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1E37E" w14:textId="096322E9" w:rsidR="00582D19" w:rsidRPr="00457CE9" w:rsidRDefault="00582D19" w:rsidP="00457CE9">
      <w:pPr>
        <w:spacing w:after="0" w:line="240" w:lineRule="auto"/>
        <w:jc w:val="center"/>
        <w:rPr>
          <w:rFonts w:ascii="Times New Roman" w:hAnsi="Times New Roman" w:cs="Times New Roman"/>
          <w:bCs/>
          <w:sz w:val="28"/>
          <w:szCs w:val="28"/>
          <w:lang w:val="kk-KZ"/>
        </w:rPr>
      </w:pPr>
      <w:bookmarkStart w:id="0" w:name="_Hlk149505274"/>
      <w:bookmarkStart w:id="1" w:name="_GoBack"/>
      <w:bookmarkEnd w:id="1"/>
      <w:r w:rsidRPr="00457CE9">
        <w:rPr>
          <w:rFonts w:ascii="Times New Roman" w:hAnsi="Times New Roman" w:cs="Times New Roman"/>
          <w:bCs/>
          <w:sz w:val="28"/>
          <w:szCs w:val="28"/>
          <w:lang w:val="kk-KZ"/>
        </w:rPr>
        <w:t xml:space="preserve">Л.Н. Гумилев атындағы Еуразия </w:t>
      </w:r>
      <w:r w:rsidR="00BD7BF5">
        <w:rPr>
          <w:rFonts w:ascii="Times New Roman" w:hAnsi="Times New Roman" w:cs="Times New Roman"/>
          <w:bCs/>
          <w:sz w:val="28"/>
          <w:szCs w:val="28"/>
          <w:lang w:val="kk-KZ"/>
        </w:rPr>
        <w:t>ұ</w:t>
      </w:r>
      <w:r w:rsidRPr="00457CE9">
        <w:rPr>
          <w:rFonts w:ascii="Times New Roman" w:hAnsi="Times New Roman" w:cs="Times New Roman"/>
          <w:bCs/>
          <w:sz w:val="28"/>
          <w:szCs w:val="28"/>
          <w:lang w:val="kk-KZ"/>
        </w:rPr>
        <w:t xml:space="preserve">лттық </w:t>
      </w:r>
      <w:r w:rsidR="00BD7BF5">
        <w:rPr>
          <w:rFonts w:ascii="Times New Roman" w:hAnsi="Times New Roman" w:cs="Times New Roman"/>
          <w:bCs/>
          <w:sz w:val="28"/>
          <w:szCs w:val="28"/>
          <w:lang w:val="kk-KZ"/>
        </w:rPr>
        <w:t>у</w:t>
      </w:r>
      <w:r w:rsidRPr="00457CE9">
        <w:rPr>
          <w:rFonts w:ascii="Times New Roman" w:hAnsi="Times New Roman" w:cs="Times New Roman"/>
          <w:bCs/>
          <w:sz w:val="28"/>
          <w:szCs w:val="28"/>
          <w:lang w:val="kk-KZ"/>
        </w:rPr>
        <w:t>ниверситеті</w:t>
      </w:r>
    </w:p>
    <w:p w14:paraId="7093B678" w14:textId="77777777" w:rsidR="00582D19" w:rsidRPr="00457CE9" w:rsidRDefault="00582D19" w:rsidP="00457CE9">
      <w:pPr>
        <w:spacing w:after="0" w:line="240" w:lineRule="auto"/>
        <w:jc w:val="center"/>
        <w:rPr>
          <w:rFonts w:ascii="Times New Roman" w:hAnsi="Times New Roman" w:cs="Times New Roman"/>
          <w:bCs/>
          <w:sz w:val="28"/>
          <w:szCs w:val="28"/>
          <w:lang w:val="kk-KZ"/>
        </w:rPr>
      </w:pPr>
    </w:p>
    <w:p w14:paraId="46D8FD61" w14:textId="77777777" w:rsidR="00582D19" w:rsidRDefault="00582D19" w:rsidP="00457CE9">
      <w:pPr>
        <w:spacing w:after="0" w:line="240" w:lineRule="auto"/>
        <w:jc w:val="center"/>
        <w:rPr>
          <w:rFonts w:ascii="Times New Roman" w:hAnsi="Times New Roman" w:cs="Times New Roman"/>
          <w:bCs/>
          <w:sz w:val="28"/>
          <w:szCs w:val="28"/>
          <w:lang w:val="kk-KZ"/>
        </w:rPr>
      </w:pPr>
    </w:p>
    <w:p w14:paraId="1353B39B" w14:textId="77777777" w:rsidR="00457CE9" w:rsidRPr="00457CE9" w:rsidRDefault="00457CE9" w:rsidP="00457CE9">
      <w:pPr>
        <w:spacing w:after="0" w:line="240" w:lineRule="auto"/>
        <w:jc w:val="center"/>
        <w:rPr>
          <w:rFonts w:ascii="Times New Roman" w:hAnsi="Times New Roman" w:cs="Times New Roman"/>
          <w:bCs/>
          <w:sz w:val="28"/>
          <w:szCs w:val="28"/>
          <w:lang w:val="kk-KZ"/>
        </w:rPr>
      </w:pPr>
    </w:p>
    <w:p w14:paraId="27CF30B1" w14:textId="2929E9C7" w:rsidR="00582D19" w:rsidRPr="00457CE9" w:rsidRDefault="006F3608" w:rsidP="00457CE9">
      <w:pPr>
        <w:spacing w:after="0" w:line="240" w:lineRule="auto"/>
        <w:jc w:val="both"/>
        <w:rPr>
          <w:rFonts w:ascii="Times New Roman" w:hAnsi="Times New Roman" w:cs="Times New Roman"/>
          <w:bCs/>
          <w:sz w:val="28"/>
          <w:szCs w:val="28"/>
          <w:lang w:val="kk-KZ"/>
        </w:rPr>
      </w:pPr>
      <w:r w:rsidRPr="00457CE9">
        <w:rPr>
          <w:rFonts w:ascii="Times New Roman" w:hAnsi="Times New Roman" w:cs="Times New Roman"/>
          <w:bCs/>
          <w:sz w:val="28"/>
          <w:szCs w:val="28"/>
          <w:lang w:val="kk-KZ"/>
        </w:rPr>
        <w:t>ӘОЖ 336.148</w:t>
      </w:r>
      <w:r w:rsidR="009C75B4" w:rsidRPr="00457CE9">
        <w:rPr>
          <w:rFonts w:ascii="Times New Roman" w:hAnsi="Times New Roman" w:cs="Times New Roman"/>
          <w:bCs/>
          <w:sz w:val="28"/>
          <w:szCs w:val="28"/>
          <w:lang w:val="kk-KZ"/>
        </w:rPr>
        <w:tab/>
      </w:r>
      <w:r w:rsidR="009C75B4" w:rsidRPr="00457CE9">
        <w:rPr>
          <w:rFonts w:ascii="Times New Roman" w:hAnsi="Times New Roman" w:cs="Times New Roman"/>
          <w:bCs/>
          <w:sz w:val="28"/>
          <w:szCs w:val="28"/>
          <w:lang w:val="kk-KZ"/>
        </w:rPr>
        <w:tab/>
      </w:r>
      <w:r w:rsidR="009C75B4" w:rsidRPr="00457CE9">
        <w:rPr>
          <w:rFonts w:ascii="Times New Roman" w:hAnsi="Times New Roman" w:cs="Times New Roman"/>
          <w:bCs/>
          <w:sz w:val="28"/>
          <w:szCs w:val="28"/>
          <w:lang w:val="kk-KZ"/>
        </w:rPr>
        <w:tab/>
      </w:r>
      <w:r w:rsidR="009C75B4" w:rsidRPr="00457CE9">
        <w:rPr>
          <w:rFonts w:ascii="Times New Roman" w:hAnsi="Times New Roman" w:cs="Times New Roman"/>
          <w:bCs/>
          <w:sz w:val="28"/>
          <w:szCs w:val="28"/>
          <w:lang w:val="kk-KZ"/>
        </w:rPr>
        <w:tab/>
      </w:r>
      <w:r w:rsidR="009C75B4" w:rsidRPr="00457CE9">
        <w:rPr>
          <w:rFonts w:ascii="Times New Roman" w:hAnsi="Times New Roman" w:cs="Times New Roman"/>
          <w:bCs/>
          <w:sz w:val="28"/>
          <w:szCs w:val="28"/>
          <w:lang w:val="kk-KZ"/>
        </w:rPr>
        <w:tab/>
      </w:r>
      <w:r w:rsidR="009C75B4" w:rsidRPr="00457CE9">
        <w:rPr>
          <w:rFonts w:ascii="Times New Roman" w:hAnsi="Times New Roman" w:cs="Times New Roman"/>
          <w:bCs/>
          <w:sz w:val="28"/>
          <w:szCs w:val="28"/>
          <w:lang w:val="kk-KZ"/>
        </w:rPr>
        <w:tab/>
      </w:r>
      <w:r w:rsidR="009C75B4" w:rsidRPr="00457CE9">
        <w:rPr>
          <w:rFonts w:ascii="Times New Roman" w:hAnsi="Times New Roman" w:cs="Times New Roman"/>
          <w:bCs/>
          <w:sz w:val="28"/>
          <w:szCs w:val="28"/>
          <w:lang w:val="kk-KZ"/>
        </w:rPr>
        <w:tab/>
      </w:r>
      <w:r w:rsidR="00457CE9">
        <w:rPr>
          <w:rFonts w:ascii="Times New Roman" w:hAnsi="Times New Roman" w:cs="Times New Roman"/>
          <w:bCs/>
          <w:sz w:val="28"/>
          <w:szCs w:val="28"/>
          <w:lang w:val="kk-KZ"/>
        </w:rPr>
        <w:t xml:space="preserve">      </w:t>
      </w:r>
      <w:r w:rsidR="00457CE9" w:rsidRPr="00457CE9">
        <w:rPr>
          <w:rFonts w:ascii="Times New Roman" w:hAnsi="Times New Roman" w:cs="Times New Roman"/>
          <w:bCs/>
          <w:sz w:val="28"/>
          <w:szCs w:val="28"/>
          <w:lang w:val="kk-KZ"/>
        </w:rPr>
        <w:t>Қ</w:t>
      </w:r>
      <w:r w:rsidR="009C75B4" w:rsidRPr="00457CE9">
        <w:rPr>
          <w:rFonts w:ascii="Times New Roman" w:hAnsi="Times New Roman" w:cs="Times New Roman"/>
          <w:bCs/>
          <w:sz w:val="28"/>
          <w:szCs w:val="28"/>
          <w:lang w:val="kk-KZ"/>
        </w:rPr>
        <w:t>олжазба құқығында</w:t>
      </w:r>
    </w:p>
    <w:p w14:paraId="333943D2" w14:textId="77777777" w:rsidR="009C75B4" w:rsidRPr="00457CE9" w:rsidRDefault="009C75B4" w:rsidP="00457CE9">
      <w:pPr>
        <w:spacing w:after="0" w:line="240" w:lineRule="auto"/>
        <w:jc w:val="both"/>
        <w:rPr>
          <w:rFonts w:ascii="Times New Roman" w:hAnsi="Times New Roman" w:cs="Times New Roman"/>
          <w:bCs/>
          <w:sz w:val="28"/>
          <w:szCs w:val="28"/>
          <w:lang w:val="kk-KZ"/>
        </w:rPr>
      </w:pPr>
    </w:p>
    <w:p w14:paraId="0917B06C" w14:textId="77777777" w:rsidR="009C75B4" w:rsidRPr="00457CE9" w:rsidRDefault="009C75B4" w:rsidP="00457CE9">
      <w:pPr>
        <w:spacing w:after="0" w:line="240" w:lineRule="auto"/>
        <w:jc w:val="both"/>
        <w:rPr>
          <w:rFonts w:ascii="Times New Roman" w:hAnsi="Times New Roman" w:cs="Times New Roman"/>
          <w:bCs/>
          <w:sz w:val="28"/>
          <w:szCs w:val="28"/>
          <w:lang w:val="kk-KZ"/>
        </w:rPr>
      </w:pPr>
    </w:p>
    <w:p w14:paraId="2332162C" w14:textId="77777777" w:rsidR="009C75B4" w:rsidRPr="00457CE9" w:rsidRDefault="009C75B4" w:rsidP="00457CE9">
      <w:pPr>
        <w:spacing w:after="0" w:line="240" w:lineRule="auto"/>
        <w:jc w:val="both"/>
        <w:rPr>
          <w:rFonts w:ascii="Times New Roman" w:hAnsi="Times New Roman" w:cs="Times New Roman"/>
          <w:bCs/>
          <w:sz w:val="28"/>
          <w:szCs w:val="28"/>
          <w:lang w:val="kk-KZ"/>
        </w:rPr>
      </w:pPr>
    </w:p>
    <w:p w14:paraId="5649B4BA" w14:textId="3A8A03E4" w:rsidR="009C75B4" w:rsidRPr="00457CE9" w:rsidRDefault="00457CE9" w:rsidP="00457CE9">
      <w:pPr>
        <w:spacing w:after="0" w:line="240" w:lineRule="auto"/>
        <w:jc w:val="center"/>
        <w:rPr>
          <w:rFonts w:ascii="Times New Roman" w:hAnsi="Times New Roman" w:cs="Times New Roman"/>
          <w:b/>
          <w:bCs/>
          <w:sz w:val="28"/>
          <w:szCs w:val="28"/>
          <w:lang w:val="kk-KZ"/>
        </w:rPr>
      </w:pPr>
      <w:r w:rsidRPr="00457CE9">
        <w:rPr>
          <w:rFonts w:ascii="Times New Roman" w:hAnsi="Times New Roman" w:cs="Times New Roman"/>
          <w:b/>
          <w:bCs/>
          <w:sz w:val="28"/>
          <w:szCs w:val="28"/>
          <w:lang w:val="kk-KZ"/>
        </w:rPr>
        <w:t>СПАТАЕВА САУЛЕ БАКЫТОВНА</w:t>
      </w:r>
    </w:p>
    <w:p w14:paraId="05B64B89" w14:textId="77777777" w:rsidR="00582D19" w:rsidRPr="00457CE9" w:rsidRDefault="00582D19" w:rsidP="00457CE9">
      <w:pPr>
        <w:spacing w:after="0" w:line="240" w:lineRule="auto"/>
        <w:jc w:val="center"/>
        <w:rPr>
          <w:rStyle w:val="a4"/>
          <w:bCs/>
          <w:color w:val="auto"/>
          <w:sz w:val="28"/>
          <w:szCs w:val="28"/>
          <w:u w:val="none"/>
          <w:lang w:val="kk-KZ"/>
        </w:rPr>
      </w:pPr>
    </w:p>
    <w:p w14:paraId="6C450ABA" w14:textId="77777777" w:rsidR="00582D19" w:rsidRPr="00457CE9" w:rsidRDefault="00582D19" w:rsidP="00457CE9">
      <w:pPr>
        <w:spacing w:after="0" w:line="240" w:lineRule="auto"/>
        <w:jc w:val="center"/>
        <w:rPr>
          <w:rStyle w:val="a4"/>
          <w:bCs/>
          <w:color w:val="auto"/>
          <w:sz w:val="28"/>
          <w:szCs w:val="28"/>
          <w:u w:val="none"/>
          <w:lang w:val="kk-KZ"/>
        </w:rPr>
      </w:pPr>
    </w:p>
    <w:p w14:paraId="79B1A650" w14:textId="77777777" w:rsidR="00582D19" w:rsidRPr="00457CE9" w:rsidRDefault="00582D19" w:rsidP="00457CE9">
      <w:pPr>
        <w:spacing w:after="0" w:line="240" w:lineRule="auto"/>
        <w:jc w:val="center"/>
        <w:rPr>
          <w:rStyle w:val="a4"/>
          <w:bCs/>
          <w:color w:val="auto"/>
          <w:sz w:val="28"/>
          <w:szCs w:val="28"/>
          <w:u w:val="none"/>
          <w:lang w:val="kk-KZ"/>
        </w:rPr>
      </w:pPr>
    </w:p>
    <w:p w14:paraId="25580533" w14:textId="11DC5F38" w:rsidR="00582D19" w:rsidRPr="00457CE9" w:rsidRDefault="00582D19" w:rsidP="00457CE9">
      <w:pPr>
        <w:spacing w:after="0" w:line="240" w:lineRule="auto"/>
        <w:jc w:val="center"/>
        <w:rPr>
          <w:rFonts w:ascii="Times New Roman" w:hAnsi="Times New Roman" w:cs="Times New Roman"/>
          <w:b/>
          <w:sz w:val="28"/>
          <w:szCs w:val="28"/>
          <w:lang w:val="kk-KZ"/>
        </w:rPr>
      </w:pPr>
      <w:r w:rsidRPr="00457CE9">
        <w:rPr>
          <w:rStyle w:val="a4"/>
          <w:b/>
          <w:color w:val="auto"/>
          <w:sz w:val="28"/>
          <w:szCs w:val="28"/>
          <w:u w:val="none"/>
          <w:lang w:val="kk-KZ"/>
        </w:rPr>
        <w:t>Агроөнеркәсіп кешенін дамытуға бағытталған бюджет қаражатын пайдалану тиімділігінің аудиті</w:t>
      </w:r>
    </w:p>
    <w:p w14:paraId="079977A5" w14:textId="3FAD01D5" w:rsidR="007A368A" w:rsidRDefault="007A368A" w:rsidP="00457CE9">
      <w:pPr>
        <w:spacing w:after="0" w:line="240" w:lineRule="auto"/>
        <w:rPr>
          <w:rFonts w:ascii="Times New Roman" w:hAnsi="Times New Roman" w:cs="Times New Roman"/>
          <w:b/>
          <w:sz w:val="28"/>
          <w:szCs w:val="28"/>
          <w:lang w:val="kk-KZ"/>
        </w:rPr>
      </w:pPr>
      <w:bookmarkStart w:id="2" w:name="_Hlk95892716"/>
    </w:p>
    <w:p w14:paraId="5BC42242" w14:textId="77777777" w:rsidR="00457CE9" w:rsidRDefault="00457CE9" w:rsidP="00457CE9">
      <w:pPr>
        <w:spacing w:after="0" w:line="240" w:lineRule="auto"/>
        <w:rPr>
          <w:rFonts w:ascii="Times New Roman" w:hAnsi="Times New Roman" w:cs="Times New Roman"/>
          <w:b/>
          <w:sz w:val="28"/>
          <w:szCs w:val="28"/>
          <w:lang w:val="kk-KZ"/>
        </w:rPr>
      </w:pPr>
    </w:p>
    <w:p w14:paraId="0E63356A" w14:textId="77777777" w:rsidR="00457CE9" w:rsidRPr="00457CE9" w:rsidRDefault="00457CE9" w:rsidP="00457CE9">
      <w:pPr>
        <w:spacing w:after="0" w:line="240" w:lineRule="auto"/>
        <w:rPr>
          <w:rFonts w:ascii="Times New Roman" w:hAnsi="Times New Roman" w:cs="Times New Roman"/>
          <w:b/>
          <w:sz w:val="28"/>
          <w:szCs w:val="28"/>
          <w:lang w:val="kk-KZ"/>
        </w:rPr>
      </w:pPr>
    </w:p>
    <w:p w14:paraId="18A4FEF3" w14:textId="729C2614" w:rsidR="00582D19" w:rsidRPr="00457CE9" w:rsidRDefault="009C75B4" w:rsidP="00457CE9">
      <w:pPr>
        <w:spacing w:after="0" w:line="240" w:lineRule="auto"/>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6D052100 </w:t>
      </w:r>
      <w:r w:rsid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Мемлекеттік аудит</w:t>
      </w:r>
    </w:p>
    <w:p w14:paraId="53BBE2FA" w14:textId="77777777" w:rsidR="00582D19" w:rsidRPr="00457CE9" w:rsidRDefault="00582D19" w:rsidP="00457CE9">
      <w:pPr>
        <w:spacing w:after="0" w:line="240" w:lineRule="auto"/>
        <w:rPr>
          <w:rFonts w:ascii="Times New Roman" w:hAnsi="Times New Roman" w:cs="Times New Roman"/>
          <w:sz w:val="28"/>
          <w:szCs w:val="28"/>
          <w:lang w:val="kk-KZ"/>
        </w:rPr>
      </w:pPr>
    </w:p>
    <w:p w14:paraId="6B79E9FD" w14:textId="77777777" w:rsidR="00582D19" w:rsidRPr="00457CE9" w:rsidRDefault="00582D19" w:rsidP="00457CE9">
      <w:pPr>
        <w:spacing w:after="0" w:line="240" w:lineRule="auto"/>
        <w:rPr>
          <w:rFonts w:ascii="Times New Roman" w:hAnsi="Times New Roman" w:cs="Times New Roman"/>
          <w:b/>
          <w:sz w:val="28"/>
          <w:szCs w:val="28"/>
          <w:lang w:val="kk-KZ"/>
        </w:rPr>
      </w:pPr>
    </w:p>
    <w:p w14:paraId="52695972" w14:textId="4C2C3D22" w:rsidR="00457CE9" w:rsidRDefault="00457CE9" w:rsidP="00457CE9">
      <w:pPr>
        <w:spacing w:after="0" w:line="240" w:lineRule="auto"/>
        <w:jc w:val="center"/>
        <w:rPr>
          <w:rFonts w:ascii="Times New Roman" w:hAnsi="Times New Roman"/>
          <w:sz w:val="28"/>
          <w:szCs w:val="28"/>
          <w:lang w:val="kk-KZ"/>
        </w:rPr>
      </w:pPr>
      <w:r>
        <w:rPr>
          <w:rFonts w:ascii="Times New Roman" w:hAnsi="Times New Roman"/>
          <w:sz w:val="28"/>
          <w:szCs w:val="28"/>
          <w:lang w:val="kk-KZ"/>
        </w:rPr>
        <w:t>Философия</w:t>
      </w:r>
      <w:r w:rsidRPr="0009279D">
        <w:rPr>
          <w:rFonts w:ascii="Times New Roman" w:hAnsi="Times New Roman"/>
          <w:sz w:val="28"/>
          <w:szCs w:val="28"/>
          <w:lang w:val="kk-KZ"/>
        </w:rPr>
        <w:t xml:space="preserve"> </w:t>
      </w:r>
      <w:r>
        <w:rPr>
          <w:rFonts w:ascii="Times New Roman" w:hAnsi="Times New Roman"/>
          <w:sz w:val="28"/>
          <w:szCs w:val="28"/>
          <w:lang w:val="kk-KZ"/>
        </w:rPr>
        <w:t xml:space="preserve">докторы </w:t>
      </w:r>
      <w:r w:rsidRPr="0009279D">
        <w:rPr>
          <w:rFonts w:ascii="Times New Roman" w:hAnsi="Times New Roman"/>
          <w:sz w:val="28"/>
          <w:szCs w:val="28"/>
          <w:lang w:val="kk-KZ"/>
        </w:rPr>
        <w:t xml:space="preserve">(PhD) </w:t>
      </w:r>
    </w:p>
    <w:p w14:paraId="3F13F068" w14:textId="2E995A5C" w:rsidR="009C75B4" w:rsidRPr="00457CE9" w:rsidRDefault="00457CE9" w:rsidP="00457CE9">
      <w:pPr>
        <w:spacing w:after="0" w:line="240" w:lineRule="auto"/>
        <w:jc w:val="center"/>
        <w:rPr>
          <w:rStyle w:val="a4"/>
          <w:bCs/>
          <w:color w:val="auto"/>
          <w:sz w:val="28"/>
          <w:szCs w:val="28"/>
          <w:u w:val="none"/>
          <w:lang w:val="kk-KZ"/>
        </w:rPr>
      </w:pPr>
      <w:r>
        <w:rPr>
          <w:rFonts w:ascii="Times New Roman" w:hAnsi="Times New Roman"/>
          <w:sz w:val="28"/>
          <w:szCs w:val="28"/>
          <w:lang w:val="kk-KZ"/>
        </w:rPr>
        <w:t>дәрежесін алу үшін дайындалған диссертация</w:t>
      </w:r>
    </w:p>
    <w:p w14:paraId="61F5E895" w14:textId="77777777" w:rsidR="00582D19" w:rsidRPr="00457CE9" w:rsidRDefault="00582D19" w:rsidP="00457CE9">
      <w:pPr>
        <w:spacing w:after="0" w:line="240" w:lineRule="auto"/>
        <w:rPr>
          <w:rFonts w:ascii="Times New Roman" w:hAnsi="Times New Roman" w:cs="Times New Roman"/>
          <w:b/>
          <w:sz w:val="28"/>
          <w:szCs w:val="28"/>
          <w:lang w:val="kk-KZ"/>
        </w:rPr>
      </w:pPr>
    </w:p>
    <w:p w14:paraId="4BA93262" w14:textId="77777777" w:rsidR="009C75B4" w:rsidRPr="00457CE9" w:rsidRDefault="009C75B4" w:rsidP="00457CE9">
      <w:pPr>
        <w:spacing w:after="0" w:line="240" w:lineRule="auto"/>
        <w:rPr>
          <w:rFonts w:ascii="Times New Roman" w:hAnsi="Times New Roman" w:cs="Times New Roman"/>
          <w:b/>
          <w:sz w:val="28"/>
          <w:szCs w:val="28"/>
          <w:lang w:val="kk-KZ"/>
        </w:rPr>
      </w:pPr>
    </w:p>
    <w:p w14:paraId="5492060E" w14:textId="77777777" w:rsidR="009C75B4" w:rsidRPr="00457CE9" w:rsidRDefault="009C75B4" w:rsidP="00457CE9">
      <w:pPr>
        <w:spacing w:after="0" w:line="240" w:lineRule="auto"/>
        <w:rPr>
          <w:rFonts w:ascii="Times New Roman" w:hAnsi="Times New Roman" w:cs="Times New Roman"/>
          <w:b/>
          <w:sz w:val="28"/>
          <w:szCs w:val="28"/>
          <w:lang w:val="kk-KZ"/>
        </w:rPr>
      </w:pPr>
    </w:p>
    <w:p w14:paraId="556E437A" w14:textId="77777777" w:rsidR="009C75B4" w:rsidRPr="00457CE9" w:rsidRDefault="009C75B4" w:rsidP="00457CE9">
      <w:pPr>
        <w:spacing w:after="0" w:line="240" w:lineRule="auto"/>
        <w:rPr>
          <w:rFonts w:ascii="Times New Roman" w:hAnsi="Times New Roman" w:cs="Times New Roman"/>
          <w:b/>
          <w:sz w:val="28"/>
          <w:szCs w:val="28"/>
          <w:lang w:val="kk-KZ"/>
        </w:rPr>
      </w:pPr>
    </w:p>
    <w:p w14:paraId="1701C4B0" w14:textId="77777777" w:rsidR="00457CE9" w:rsidRDefault="009C75B4" w:rsidP="00457CE9">
      <w:pPr>
        <w:spacing w:after="0" w:line="240" w:lineRule="auto"/>
        <w:jc w:val="right"/>
        <w:rPr>
          <w:rFonts w:ascii="Times New Roman" w:hAnsi="Times New Roman" w:cs="Times New Roman"/>
          <w:bCs/>
          <w:sz w:val="28"/>
          <w:szCs w:val="28"/>
          <w:lang w:val="kk-KZ"/>
        </w:rPr>
      </w:pPr>
      <w:r w:rsidRPr="00457CE9">
        <w:rPr>
          <w:rFonts w:ascii="Times New Roman" w:hAnsi="Times New Roman" w:cs="Times New Roman"/>
          <w:bCs/>
          <w:sz w:val="28"/>
          <w:szCs w:val="28"/>
          <w:lang w:val="kk-KZ"/>
        </w:rPr>
        <w:t>Ғылыми кеңесші</w:t>
      </w:r>
    </w:p>
    <w:p w14:paraId="053E9B32" w14:textId="26BAF0DF" w:rsidR="009C75B4" w:rsidRPr="00457CE9" w:rsidRDefault="009C75B4" w:rsidP="00457CE9">
      <w:pPr>
        <w:spacing w:after="0" w:line="240" w:lineRule="auto"/>
        <w:jc w:val="right"/>
        <w:rPr>
          <w:rFonts w:ascii="Times New Roman" w:hAnsi="Times New Roman" w:cs="Times New Roman"/>
          <w:bCs/>
          <w:sz w:val="28"/>
          <w:szCs w:val="28"/>
          <w:lang w:val="kk-KZ"/>
        </w:rPr>
      </w:pPr>
      <w:r w:rsidRPr="00457CE9">
        <w:rPr>
          <w:rFonts w:ascii="Times New Roman" w:hAnsi="Times New Roman" w:cs="Times New Roman"/>
          <w:bCs/>
          <w:sz w:val="28"/>
          <w:szCs w:val="28"/>
          <w:lang w:val="kk-KZ"/>
        </w:rPr>
        <w:t>э</w:t>
      </w:r>
      <w:r w:rsidR="00EB67B8">
        <w:rPr>
          <w:rFonts w:ascii="Times New Roman" w:hAnsi="Times New Roman" w:cs="Times New Roman"/>
          <w:bCs/>
          <w:sz w:val="28"/>
          <w:szCs w:val="28"/>
          <w:lang w:val="kk-KZ"/>
        </w:rPr>
        <w:t xml:space="preserve">кономика </w:t>
      </w:r>
      <w:r w:rsidRPr="00457CE9">
        <w:rPr>
          <w:rFonts w:ascii="Times New Roman" w:hAnsi="Times New Roman" w:cs="Times New Roman"/>
          <w:bCs/>
          <w:sz w:val="28"/>
          <w:szCs w:val="28"/>
          <w:lang w:val="kk-KZ"/>
        </w:rPr>
        <w:t>ғ</w:t>
      </w:r>
      <w:r w:rsidR="00EB67B8">
        <w:rPr>
          <w:rFonts w:ascii="Times New Roman" w:hAnsi="Times New Roman" w:cs="Times New Roman"/>
          <w:bCs/>
          <w:sz w:val="28"/>
          <w:szCs w:val="28"/>
          <w:lang w:val="kk-KZ"/>
        </w:rPr>
        <w:t xml:space="preserve">ылымдарының </w:t>
      </w:r>
      <w:r w:rsidRPr="00457CE9">
        <w:rPr>
          <w:rFonts w:ascii="Times New Roman" w:hAnsi="Times New Roman" w:cs="Times New Roman"/>
          <w:bCs/>
          <w:sz w:val="28"/>
          <w:szCs w:val="28"/>
          <w:lang w:val="kk-KZ"/>
        </w:rPr>
        <w:t>к</w:t>
      </w:r>
      <w:r w:rsidR="00EB67B8">
        <w:rPr>
          <w:rFonts w:ascii="Times New Roman" w:hAnsi="Times New Roman" w:cs="Times New Roman"/>
          <w:bCs/>
          <w:sz w:val="28"/>
          <w:szCs w:val="28"/>
          <w:lang w:val="kk-KZ"/>
        </w:rPr>
        <w:t>андидаты</w:t>
      </w:r>
      <w:r w:rsidRPr="00457CE9">
        <w:rPr>
          <w:rFonts w:ascii="Times New Roman" w:hAnsi="Times New Roman" w:cs="Times New Roman"/>
          <w:bCs/>
          <w:sz w:val="28"/>
          <w:szCs w:val="28"/>
          <w:lang w:val="kk-KZ"/>
        </w:rPr>
        <w:t xml:space="preserve">, </w:t>
      </w:r>
    </w:p>
    <w:p w14:paraId="6264FA94" w14:textId="6CB76FFA" w:rsidR="00457CE9" w:rsidRDefault="009C75B4" w:rsidP="00457CE9">
      <w:pPr>
        <w:spacing w:after="0" w:line="240" w:lineRule="auto"/>
        <w:jc w:val="right"/>
        <w:rPr>
          <w:rFonts w:ascii="Times New Roman" w:hAnsi="Times New Roman" w:cs="Times New Roman"/>
          <w:bCs/>
          <w:sz w:val="28"/>
          <w:szCs w:val="28"/>
          <w:lang w:val="kk-KZ"/>
        </w:rPr>
      </w:pPr>
      <w:r w:rsidRPr="00457CE9">
        <w:rPr>
          <w:rFonts w:ascii="Times New Roman" w:hAnsi="Times New Roman" w:cs="Times New Roman"/>
          <w:bCs/>
          <w:sz w:val="28"/>
          <w:szCs w:val="28"/>
          <w:lang w:val="kk-KZ"/>
        </w:rPr>
        <w:t xml:space="preserve">қауымдастырылған профессор </w:t>
      </w:r>
    </w:p>
    <w:p w14:paraId="58169DB7" w14:textId="56EDF028" w:rsidR="009C75B4" w:rsidRPr="00457CE9" w:rsidRDefault="009C75B4" w:rsidP="00457CE9">
      <w:pPr>
        <w:spacing w:after="0" w:line="240" w:lineRule="auto"/>
        <w:jc w:val="right"/>
        <w:rPr>
          <w:rFonts w:ascii="Times New Roman" w:hAnsi="Times New Roman" w:cs="Times New Roman"/>
          <w:bCs/>
          <w:sz w:val="28"/>
          <w:szCs w:val="28"/>
          <w:lang w:val="kk-KZ"/>
        </w:rPr>
      </w:pPr>
      <w:r w:rsidRPr="00457CE9">
        <w:rPr>
          <w:rFonts w:ascii="Times New Roman" w:hAnsi="Times New Roman" w:cs="Times New Roman"/>
          <w:bCs/>
          <w:sz w:val="28"/>
          <w:szCs w:val="28"/>
          <w:lang w:val="kk-KZ"/>
        </w:rPr>
        <w:t>Бейсенова Л.З.</w:t>
      </w:r>
    </w:p>
    <w:p w14:paraId="0B87EE47" w14:textId="77777777" w:rsidR="009C75B4" w:rsidRPr="00EB67B8" w:rsidRDefault="009C75B4" w:rsidP="00457CE9">
      <w:pPr>
        <w:spacing w:after="0" w:line="240" w:lineRule="auto"/>
        <w:jc w:val="right"/>
        <w:rPr>
          <w:rFonts w:ascii="Times New Roman" w:hAnsi="Times New Roman" w:cs="Times New Roman"/>
          <w:bCs/>
          <w:sz w:val="16"/>
          <w:szCs w:val="16"/>
          <w:lang w:val="kk-KZ"/>
        </w:rPr>
      </w:pPr>
    </w:p>
    <w:p w14:paraId="5DFEB192" w14:textId="1F0D98C6" w:rsidR="009C75B4" w:rsidRPr="00457CE9" w:rsidRDefault="00457CE9" w:rsidP="00457CE9">
      <w:pPr>
        <w:spacing w:after="0" w:line="240" w:lineRule="auto"/>
        <w:jc w:val="right"/>
        <w:rPr>
          <w:rFonts w:ascii="Times New Roman" w:hAnsi="Times New Roman" w:cs="Times New Roman"/>
          <w:bCs/>
          <w:sz w:val="28"/>
          <w:szCs w:val="28"/>
          <w:lang w:val="kk-KZ"/>
        </w:rPr>
      </w:pPr>
      <w:r>
        <w:rPr>
          <w:rFonts w:ascii="Times New Roman" w:hAnsi="Times New Roman" w:cs="Times New Roman"/>
          <w:bCs/>
          <w:sz w:val="28"/>
          <w:szCs w:val="28"/>
          <w:lang w:val="kk-KZ"/>
        </w:rPr>
        <w:t>Шетелдік кеңесші</w:t>
      </w:r>
    </w:p>
    <w:p w14:paraId="67AAB48D" w14:textId="60BDCE15" w:rsidR="00457CE9" w:rsidRDefault="00EB67B8" w:rsidP="00457CE9">
      <w:pPr>
        <w:spacing w:after="0" w:line="240" w:lineRule="auto"/>
        <w:jc w:val="right"/>
        <w:rPr>
          <w:rFonts w:ascii="Times New Roman" w:hAnsi="Times New Roman" w:cs="Times New Roman"/>
          <w:bCs/>
          <w:sz w:val="28"/>
          <w:szCs w:val="28"/>
          <w:lang w:val="kk-KZ"/>
        </w:rPr>
      </w:pPr>
      <w:r w:rsidRPr="00457CE9">
        <w:rPr>
          <w:rFonts w:ascii="Times New Roman" w:hAnsi="Times New Roman" w:cs="Times New Roman"/>
          <w:bCs/>
          <w:sz w:val="28"/>
          <w:szCs w:val="28"/>
          <w:lang w:val="kk-KZ"/>
        </w:rPr>
        <w:t>э</w:t>
      </w:r>
      <w:r>
        <w:rPr>
          <w:rFonts w:ascii="Times New Roman" w:hAnsi="Times New Roman" w:cs="Times New Roman"/>
          <w:bCs/>
          <w:sz w:val="28"/>
          <w:szCs w:val="28"/>
          <w:lang w:val="kk-KZ"/>
        </w:rPr>
        <w:t xml:space="preserve">кономика </w:t>
      </w:r>
      <w:r w:rsidRPr="00457CE9">
        <w:rPr>
          <w:rFonts w:ascii="Times New Roman" w:hAnsi="Times New Roman" w:cs="Times New Roman"/>
          <w:bCs/>
          <w:sz w:val="28"/>
          <w:szCs w:val="28"/>
          <w:lang w:val="kk-KZ"/>
        </w:rPr>
        <w:t>ғ</w:t>
      </w:r>
      <w:r>
        <w:rPr>
          <w:rFonts w:ascii="Times New Roman" w:hAnsi="Times New Roman" w:cs="Times New Roman"/>
          <w:bCs/>
          <w:sz w:val="28"/>
          <w:szCs w:val="28"/>
          <w:lang w:val="kk-KZ"/>
        </w:rPr>
        <w:t xml:space="preserve">ылымдарының </w:t>
      </w:r>
      <w:r w:rsidRPr="00457CE9">
        <w:rPr>
          <w:rFonts w:ascii="Times New Roman" w:hAnsi="Times New Roman" w:cs="Times New Roman"/>
          <w:bCs/>
          <w:sz w:val="28"/>
          <w:szCs w:val="28"/>
          <w:lang w:val="kk-KZ"/>
        </w:rPr>
        <w:t>к</w:t>
      </w:r>
      <w:r>
        <w:rPr>
          <w:rFonts w:ascii="Times New Roman" w:hAnsi="Times New Roman" w:cs="Times New Roman"/>
          <w:bCs/>
          <w:sz w:val="28"/>
          <w:szCs w:val="28"/>
          <w:lang w:val="kk-KZ"/>
        </w:rPr>
        <w:t>андидаты</w:t>
      </w:r>
      <w:r w:rsidR="009C75B4" w:rsidRPr="00457CE9">
        <w:rPr>
          <w:rFonts w:ascii="Times New Roman" w:hAnsi="Times New Roman" w:cs="Times New Roman"/>
          <w:bCs/>
          <w:sz w:val="28"/>
          <w:szCs w:val="28"/>
          <w:lang w:val="kk-KZ"/>
        </w:rPr>
        <w:t xml:space="preserve">, </w:t>
      </w:r>
    </w:p>
    <w:p w14:paraId="64BD784C" w14:textId="1ADD7026" w:rsidR="009C75B4" w:rsidRPr="00457CE9" w:rsidRDefault="009C75B4" w:rsidP="00457CE9">
      <w:pPr>
        <w:spacing w:after="0" w:line="240" w:lineRule="auto"/>
        <w:jc w:val="right"/>
        <w:rPr>
          <w:rFonts w:ascii="Times New Roman" w:hAnsi="Times New Roman" w:cs="Times New Roman"/>
          <w:bCs/>
          <w:sz w:val="28"/>
          <w:szCs w:val="28"/>
          <w:lang w:val="kk-KZ"/>
        </w:rPr>
      </w:pPr>
      <w:r w:rsidRPr="00457CE9">
        <w:rPr>
          <w:rFonts w:ascii="Times New Roman" w:hAnsi="Times New Roman" w:cs="Times New Roman"/>
          <w:bCs/>
          <w:sz w:val="28"/>
          <w:szCs w:val="28"/>
          <w:lang w:val="kk-KZ"/>
        </w:rPr>
        <w:t>профессор</w:t>
      </w:r>
    </w:p>
    <w:p w14:paraId="21A9A682" w14:textId="370CC80C" w:rsidR="009C75B4" w:rsidRPr="00457CE9" w:rsidRDefault="009C75B4" w:rsidP="00457CE9">
      <w:pPr>
        <w:spacing w:after="0" w:line="240" w:lineRule="auto"/>
        <w:jc w:val="right"/>
        <w:rPr>
          <w:rFonts w:ascii="Times New Roman" w:hAnsi="Times New Roman" w:cs="Times New Roman"/>
          <w:b/>
          <w:sz w:val="28"/>
          <w:szCs w:val="28"/>
          <w:lang w:val="kk-KZ"/>
        </w:rPr>
      </w:pPr>
      <w:r w:rsidRPr="00457CE9">
        <w:rPr>
          <w:rFonts w:ascii="Times New Roman" w:hAnsi="Times New Roman" w:cs="Times New Roman"/>
          <w:bCs/>
          <w:sz w:val="28"/>
          <w:szCs w:val="28"/>
          <w:lang w:val="kk-KZ"/>
        </w:rPr>
        <w:t>Никифорова Е.В</w:t>
      </w:r>
      <w:r w:rsidRPr="00457CE9">
        <w:rPr>
          <w:rFonts w:ascii="Times New Roman" w:hAnsi="Times New Roman" w:cs="Times New Roman"/>
          <w:b/>
          <w:sz w:val="28"/>
          <w:szCs w:val="28"/>
          <w:lang w:val="kk-KZ"/>
        </w:rPr>
        <w:t>.</w:t>
      </w:r>
    </w:p>
    <w:p w14:paraId="4446BFD3" w14:textId="77777777" w:rsidR="00582D19" w:rsidRPr="00457CE9" w:rsidRDefault="00582D19" w:rsidP="00457CE9">
      <w:pPr>
        <w:spacing w:after="0" w:line="240" w:lineRule="auto"/>
        <w:rPr>
          <w:rFonts w:ascii="Times New Roman" w:hAnsi="Times New Roman" w:cs="Times New Roman"/>
          <w:b/>
          <w:sz w:val="28"/>
          <w:szCs w:val="28"/>
          <w:lang w:val="kk-KZ"/>
        </w:rPr>
      </w:pPr>
    </w:p>
    <w:p w14:paraId="32946D44" w14:textId="77777777" w:rsidR="00582D19" w:rsidRPr="00457CE9" w:rsidRDefault="00582D19" w:rsidP="00457CE9">
      <w:pPr>
        <w:spacing w:after="0" w:line="240" w:lineRule="auto"/>
        <w:rPr>
          <w:rFonts w:ascii="Times New Roman" w:hAnsi="Times New Roman" w:cs="Times New Roman"/>
          <w:b/>
          <w:sz w:val="28"/>
          <w:szCs w:val="28"/>
          <w:lang w:val="kk-KZ"/>
        </w:rPr>
      </w:pPr>
    </w:p>
    <w:p w14:paraId="5E00880F" w14:textId="77777777" w:rsidR="00582D19" w:rsidRPr="00457CE9" w:rsidRDefault="00582D19" w:rsidP="00457CE9">
      <w:pPr>
        <w:spacing w:after="0" w:line="240" w:lineRule="auto"/>
        <w:rPr>
          <w:rFonts w:ascii="Times New Roman" w:hAnsi="Times New Roman" w:cs="Times New Roman"/>
          <w:b/>
          <w:sz w:val="28"/>
          <w:szCs w:val="28"/>
          <w:lang w:val="kk-KZ"/>
        </w:rPr>
      </w:pPr>
    </w:p>
    <w:p w14:paraId="51C5F75F" w14:textId="77777777" w:rsidR="00582D19" w:rsidRDefault="00582D19" w:rsidP="00457CE9">
      <w:pPr>
        <w:spacing w:after="0" w:line="240" w:lineRule="auto"/>
        <w:rPr>
          <w:rFonts w:ascii="Times New Roman" w:hAnsi="Times New Roman" w:cs="Times New Roman"/>
          <w:b/>
          <w:sz w:val="28"/>
          <w:szCs w:val="28"/>
          <w:lang w:val="kk-KZ"/>
        </w:rPr>
      </w:pPr>
    </w:p>
    <w:p w14:paraId="6C97E906" w14:textId="77777777" w:rsidR="00EB67B8" w:rsidRDefault="00EB67B8" w:rsidP="00457CE9">
      <w:pPr>
        <w:spacing w:after="0" w:line="240" w:lineRule="auto"/>
        <w:rPr>
          <w:rFonts w:ascii="Times New Roman" w:hAnsi="Times New Roman" w:cs="Times New Roman"/>
          <w:b/>
          <w:sz w:val="28"/>
          <w:szCs w:val="28"/>
          <w:lang w:val="kk-KZ"/>
        </w:rPr>
      </w:pPr>
    </w:p>
    <w:p w14:paraId="1AD36C84" w14:textId="77777777" w:rsidR="00EB67B8" w:rsidRDefault="00EB67B8" w:rsidP="00457CE9">
      <w:pPr>
        <w:spacing w:after="0" w:line="240" w:lineRule="auto"/>
        <w:rPr>
          <w:rFonts w:ascii="Times New Roman" w:hAnsi="Times New Roman" w:cs="Times New Roman"/>
          <w:b/>
          <w:sz w:val="28"/>
          <w:szCs w:val="28"/>
          <w:lang w:val="kk-KZ"/>
        </w:rPr>
      </w:pPr>
    </w:p>
    <w:p w14:paraId="304B950F" w14:textId="77777777" w:rsidR="00582D19" w:rsidRPr="00457CE9" w:rsidRDefault="00582D19" w:rsidP="00457CE9">
      <w:pPr>
        <w:spacing w:after="0" w:line="240" w:lineRule="auto"/>
        <w:rPr>
          <w:rFonts w:ascii="Times New Roman" w:hAnsi="Times New Roman" w:cs="Times New Roman"/>
          <w:b/>
          <w:sz w:val="28"/>
          <w:szCs w:val="28"/>
          <w:lang w:val="kk-KZ"/>
        </w:rPr>
      </w:pPr>
    </w:p>
    <w:p w14:paraId="5C427336" w14:textId="77777777" w:rsidR="009C75B4" w:rsidRPr="00457CE9" w:rsidRDefault="009C75B4" w:rsidP="00457CE9">
      <w:pPr>
        <w:spacing w:after="0" w:line="240" w:lineRule="auto"/>
        <w:rPr>
          <w:rFonts w:ascii="Times New Roman" w:hAnsi="Times New Roman" w:cs="Times New Roman"/>
          <w:b/>
          <w:sz w:val="28"/>
          <w:szCs w:val="28"/>
          <w:lang w:val="kk-KZ"/>
        </w:rPr>
      </w:pPr>
    </w:p>
    <w:p w14:paraId="3BE69C5F" w14:textId="23FE8988" w:rsidR="00582D19" w:rsidRPr="00457CE9" w:rsidRDefault="009C75B4" w:rsidP="00457CE9">
      <w:pPr>
        <w:spacing w:after="0" w:line="240" w:lineRule="auto"/>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Қазақстан Республикасы</w:t>
      </w:r>
    </w:p>
    <w:p w14:paraId="08C349A1" w14:textId="3F7902F0" w:rsidR="00582D19" w:rsidRDefault="00457CE9" w:rsidP="00457CE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44000" behindDoc="0" locked="0" layoutInCell="1" allowOverlap="1" wp14:anchorId="24D0BA5C" wp14:editId="49CF3BE2">
                <wp:simplePos x="0" y="0"/>
                <wp:positionH relativeFrom="column">
                  <wp:posOffset>2425065</wp:posOffset>
                </wp:positionH>
                <wp:positionV relativeFrom="paragraph">
                  <wp:posOffset>239395</wp:posOffset>
                </wp:positionV>
                <wp:extent cx="1390650" cy="43815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13906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C8B5C" w14:textId="77777777" w:rsidR="00D05956" w:rsidRDefault="00D05956" w:rsidP="00457CE9">
                            <w:pPr>
                              <w:jc w:val="center"/>
                              <w:rPr>
                                <w:lang w:val="kk-KZ"/>
                              </w:rPr>
                            </w:pPr>
                          </w:p>
                          <w:p w14:paraId="03F8A7EF" w14:textId="77777777" w:rsidR="00D05956" w:rsidRDefault="00D05956" w:rsidP="00457CE9">
                            <w:pPr>
                              <w:jc w:val="center"/>
                              <w:rPr>
                                <w:lang w:val="kk-KZ"/>
                              </w:rPr>
                            </w:pPr>
                          </w:p>
                          <w:p w14:paraId="754F40AE" w14:textId="77777777" w:rsidR="00D05956" w:rsidRDefault="00D05956" w:rsidP="00457CE9">
                            <w:pPr>
                              <w:jc w:val="center"/>
                              <w:rPr>
                                <w:lang w:val="kk-KZ"/>
                              </w:rPr>
                            </w:pPr>
                          </w:p>
                          <w:p w14:paraId="7C7150A3" w14:textId="77777777" w:rsidR="00D05956" w:rsidRPr="00457CE9" w:rsidRDefault="00D05956" w:rsidP="00457CE9">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0BA5C" id="Прямоугольник 2" o:spid="_x0000_s1026" style="position:absolute;left:0;text-align:left;margin-left:190.95pt;margin-top:18.85pt;width:109.5pt;height:34.5pt;z-index:25254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" fillcolor="white [3212]" stroked="f" strokeweight="2pt">
                <v:textbox>
                  <w:txbxContent>
                    <w:p w14:paraId="17EC8B5C" w14:textId="77777777" w:rsidR="00D05956" w:rsidRDefault="00D05956" w:rsidP="00457CE9">
                      <w:pPr>
                        <w:jc w:val="center"/>
                        <w:rPr>
                          <w:lang w:val="kk-KZ"/>
                        </w:rPr>
                      </w:pPr>
                    </w:p>
                    <w:p w14:paraId="03F8A7EF" w14:textId="77777777" w:rsidR="00D05956" w:rsidRDefault="00D05956" w:rsidP="00457CE9">
                      <w:pPr>
                        <w:jc w:val="center"/>
                        <w:rPr>
                          <w:lang w:val="kk-KZ"/>
                        </w:rPr>
                      </w:pPr>
                    </w:p>
                    <w:p w14:paraId="754F40AE" w14:textId="77777777" w:rsidR="00D05956" w:rsidRDefault="00D05956" w:rsidP="00457CE9">
                      <w:pPr>
                        <w:jc w:val="center"/>
                        <w:rPr>
                          <w:lang w:val="kk-KZ"/>
                        </w:rPr>
                      </w:pPr>
                    </w:p>
                    <w:p w14:paraId="7C7150A3" w14:textId="77777777" w:rsidR="00D05956" w:rsidRPr="00457CE9" w:rsidRDefault="00D05956" w:rsidP="00457CE9">
                      <w:pPr>
                        <w:jc w:val="center"/>
                        <w:rPr>
                          <w:lang w:val="kk-KZ"/>
                        </w:rPr>
                      </w:pPr>
                    </w:p>
                  </w:txbxContent>
                </v:textbox>
              </v:rect>
            </w:pict>
          </mc:Fallback>
        </mc:AlternateContent>
      </w:r>
      <w:r w:rsidR="00582D19" w:rsidRPr="00457CE9">
        <w:rPr>
          <w:rFonts w:ascii="Times New Roman" w:hAnsi="Times New Roman" w:cs="Times New Roman"/>
          <w:sz w:val="28"/>
          <w:szCs w:val="28"/>
          <w:lang w:val="kk-KZ"/>
        </w:rPr>
        <w:t>Астана, 202</w:t>
      </w:r>
      <w:r w:rsidR="00545E9A">
        <w:rPr>
          <w:rFonts w:ascii="Times New Roman" w:hAnsi="Times New Roman" w:cs="Times New Roman"/>
          <w:sz w:val="28"/>
          <w:szCs w:val="28"/>
          <w:lang w:val="kk-KZ"/>
        </w:rPr>
        <w:t>4</w:t>
      </w:r>
    </w:p>
    <w:p w14:paraId="222F7FF8" w14:textId="5D3950DB" w:rsidR="00457CE9" w:rsidRPr="00457CE9" w:rsidRDefault="00457CE9" w:rsidP="00457CE9">
      <w:pPr>
        <w:spacing w:after="0" w:line="240" w:lineRule="auto"/>
        <w:jc w:val="center"/>
        <w:rPr>
          <w:rFonts w:ascii="Times New Roman" w:hAnsi="Times New Roman" w:cs="Times New Roman"/>
          <w:b/>
          <w:sz w:val="28"/>
          <w:szCs w:val="28"/>
          <w:lang w:val="kk-KZ"/>
        </w:rPr>
      </w:pPr>
      <w:r w:rsidRPr="00457CE9">
        <w:rPr>
          <w:rFonts w:ascii="Times New Roman" w:hAnsi="Times New Roman"/>
          <w:b/>
          <w:sz w:val="28"/>
          <w:szCs w:val="28"/>
          <w:lang w:val="kk-KZ"/>
        </w:rPr>
        <w:lastRenderedPageBreak/>
        <w:t>МАЗМҰНЫ</w:t>
      </w:r>
    </w:p>
    <w:p w14:paraId="715D5F40" w14:textId="77777777" w:rsidR="00457CE9" w:rsidRPr="00457CE9" w:rsidRDefault="00457CE9" w:rsidP="00EB67B8">
      <w:pPr>
        <w:spacing w:after="0" w:line="240" w:lineRule="auto"/>
        <w:jc w:val="right"/>
        <w:rPr>
          <w:rFonts w:ascii="Times New Roman" w:hAnsi="Times New Roman" w:cs="Times New Roman"/>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
        <w:gridCol w:w="8399"/>
        <w:gridCol w:w="708"/>
      </w:tblGrid>
      <w:tr w:rsidR="00EB67B8" w:rsidRPr="00EB67B8" w14:paraId="0B8B256B" w14:textId="77777777" w:rsidTr="00D35129">
        <w:tc>
          <w:tcPr>
            <w:tcW w:w="9039" w:type="dxa"/>
            <w:gridSpan w:val="2"/>
          </w:tcPr>
          <w:bookmarkEnd w:id="0"/>
          <w:bookmarkEnd w:id="2"/>
          <w:p w14:paraId="11701D48" w14:textId="2A846266" w:rsidR="00EB67B8" w:rsidRPr="00EB67B8" w:rsidRDefault="00D35129" w:rsidP="00EB67B8">
            <w:pPr>
              <w:jc w:val="left"/>
              <w:rPr>
                <w:rFonts w:ascii="Times New Roman" w:hAnsi="Times New Roman"/>
                <w:sz w:val="28"/>
                <w:szCs w:val="28"/>
                <w:lang w:val="kk-KZ"/>
              </w:rPr>
            </w:pPr>
            <w:r w:rsidRPr="00D35129">
              <w:rPr>
                <w:rFonts w:ascii="Times New Roman" w:hAnsi="Times New Roman"/>
                <w:b/>
                <w:bCs/>
                <w:sz w:val="28"/>
                <w:szCs w:val="28"/>
                <w:lang w:val="kk-KZ"/>
              </w:rPr>
              <w:t>НОРМАТИВТІК СІЛТЕМЕЛЕР</w:t>
            </w:r>
            <w:r>
              <w:rPr>
                <w:rFonts w:ascii="Times New Roman" w:hAnsi="Times New Roman"/>
                <w:sz w:val="28"/>
                <w:szCs w:val="28"/>
                <w:lang w:val="kk-KZ"/>
              </w:rPr>
              <w:t>..................................................................</w:t>
            </w:r>
          </w:p>
        </w:tc>
        <w:tc>
          <w:tcPr>
            <w:tcW w:w="708" w:type="dxa"/>
          </w:tcPr>
          <w:p w14:paraId="152019D1" w14:textId="79CC1546" w:rsidR="00EB67B8" w:rsidRPr="00EB67B8" w:rsidRDefault="00271142"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35129" w:rsidRPr="00EB67B8" w14:paraId="71CA0B27" w14:textId="77777777" w:rsidTr="00D35129">
        <w:tc>
          <w:tcPr>
            <w:tcW w:w="9039" w:type="dxa"/>
            <w:gridSpan w:val="2"/>
          </w:tcPr>
          <w:p w14:paraId="6E7BF3CA" w14:textId="53E8F02C" w:rsidR="00D35129" w:rsidRPr="00EB67B8" w:rsidRDefault="00D35129" w:rsidP="00EB67B8">
            <w:pPr>
              <w:rPr>
                <w:rFonts w:ascii="Times New Roman" w:eastAsia="Times New Roman" w:hAnsi="Times New Roman" w:cs="Times New Roman"/>
                <w:b/>
                <w:bCs/>
                <w:sz w:val="28"/>
                <w:szCs w:val="28"/>
                <w:lang w:val="kk-KZ"/>
              </w:rPr>
            </w:pPr>
            <w:r w:rsidRPr="00EB67B8">
              <w:rPr>
                <w:rFonts w:ascii="Times New Roman" w:eastAsia="Times New Roman" w:hAnsi="Times New Roman" w:cs="Times New Roman"/>
                <w:b/>
                <w:bCs/>
                <w:sz w:val="28"/>
                <w:szCs w:val="28"/>
                <w:lang w:val="kk-KZ"/>
              </w:rPr>
              <w:t>БЕЛГІЛЕУЛЕР МЕН ҚЫСҚАРТУЛАР</w:t>
            </w:r>
            <w:r w:rsidRPr="00EB67B8">
              <w:rPr>
                <w:rFonts w:ascii="Times New Roman" w:hAnsi="Times New Roman"/>
                <w:sz w:val="28"/>
                <w:szCs w:val="28"/>
                <w:lang w:val="kk-KZ"/>
              </w:rPr>
              <w:t>.................................................</w:t>
            </w:r>
            <w:r>
              <w:rPr>
                <w:rFonts w:ascii="Times New Roman" w:hAnsi="Times New Roman"/>
                <w:sz w:val="28"/>
                <w:szCs w:val="28"/>
                <w:lang w:val="kk-KZ"/>
              </w:rPr>
              <w:t>.....</w:t>
            </w:r>
          </w:p>
        </w:tc>
        <w:tc>
          <w:tcPr>
            <w:tcW w:w="708" w:type="dxa"/>
          </w:tcPr>
          <w:p w14:paraId="2444785B" w14:textId="25591558" w:rsidR="00D35129" w:rsidRPr="00EB67B8" w:rsidRDefault="00271142" w:rsidP="00EB67B8">
            <w:pP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EB67B8" w:rsidRPr="00EB67B8" w14:paraId="187EDA18" w14:textId="77777777" w:rsidTr="00D35129">
        <w:tc>
          <w:tcPr>
            <w:tcW w:w="9039" w:type="dxa"/>
            <w:gridSpan w:val="2"/>
          </w:tcPr>
          <w:p w14:paraId="17DE41B0" w14:textId="18DFE832" w:rsidR="00EB67B8" w:rsidRPr="00EB67B8" w:rsidRDefault="00EB67B8" w:rsidP="00EB67B8">
            <w:pPr>
              <w:rPr>
                <w:rFonts w:ascii="Times New Roman" w:hAnsi="Times New Roman"/>
                <w:sz w:val="28"/>
                <w:szCs w:val="28"/>
                <w:lang w:val="kk-KZ"/>
              </w:rPr>
            </w:pPr>
            <w:r w:rsidRPr="00EB67B8">
              <w:rPr>
                <w:rFonts w:ascii="Times New Roman" w:hAnsi="Times New Roman"/>
                <w:b/>
                <w:sz w:val="28"/>
                <w:szCs w:val="28"/>
                <w:lang w:val="kk-KZ"/>
              </w:rPr>
              <w:t>КІРІСПЕ</w:t>
            </w:r>
            <w:r w:rsidRPr="00EB67B8">
              <w:rPr>
                <w:rFonts w:ascii="Times New Roman" w:hAnsi="Times New Roman"/>
                <w:sz w:val="28"/>
                <w:szCs w:val="28"/>
                <w:lang w:val="kk-KZ"/>
              </w:rPr>
              <w:t xml:space="preserve">........................................................................................................... </w:t>
            </w:r>
          </w:p>
        </w:tc>
        <w:tc>
          <w:tcPr>
            <w:tcW w:w="708" w:type="dxa"/>
          </w:tcPr>
          <w:p w14:paraId="448AB642" w14:textId="0F30C980" w:rsidR="00EB67B8" w:rsidRPr="00EB67B8" w:rsidRDefault="00271142"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8F57AE" w:rsidRPr="00EB67B8" w14:paraId="699BB583" w14:textId="77777777" w:rsidTr="00D35129">
        <w:tc>
          <w:tcPr>
            <w:tcW w:w="640" w:type="dxa"/>
            <w:hideMark/>
          </w:tcPr>
          <w:p w14:paraId="2C18EEA5" w14:textId="77777777" w:rsidR="00DE29DD" w:rsidRPr="00EB67B8" w:rsidRDefault="00DE29DD" w:rsidP="00457CE9">
            <w:pPr>
              <w:jc w:val="center"/>
              <w:rPr>
                <w:rFonts w:ascii="Times New Roman" w:hAnsi="Times New Roman"/>
                <w:b/>
                <w:sz w:val="28"/>
                <w:szCs w:val="28"/>
              </w:rPr>
            </w:pPr>
            <w:r w:rsidRPr="00EB67B8">
              <w:rPr>
                <w:rFonts w:ascii="Times New Roman" w:hAnsi="Times New Roman"/>
                <w:b/>
                <w:sz w:val="28"/>
                <w:szCs w:val="28"/>
              </w:rPr>
              <w:t>1</w:t>
            </w:r>
          </w:p>
        </w:tc>
        <w:tc>
          <w:tcPr>
            <w:tcW w:w="8399" w:type="dxa"/>
            <w:hideMark/>
          </w:tcPr>
          <w:p w14:paraId="53880C1A" w14:textId="2D72B825" w:rsidR="00DE29DD" w:rsidRPr="00EB67B8" w:rsidRDefault="00EB67B8" w:rsidP="00457CE9">
            <w:pPr>
              <w:rPr>
                <w:rFonts w:ascii="Times New Roman" w:hAnsi="Times New Roman" w:cs="Times New Roman"/>
                <w:b/>
                <w:sz w:val="28"/>
                <w:szCs w:val="28"/>
                <w:lang w:val="kk-KZ"/>
              </w:rPr>
            </w:pPr>
            <w:r w:rsidRPr="00EB67B8">
              <w:rPr>
                <w:rStyle w:val="a4"/>
                <w:b/>
                <w:color w:val="auto"/>
                <w:sz w:val="28"/>
                <w:szCs w:val="28"/>
                <w:u w:val="none"/>
                <w:lang w:val="kk-KZ"/>
              </w:rPr>
              <w:t>АГРОӨНЕРКӘСІП КЕШЕНІН ДАМЫТУҒА БАҒЫТТАЛҒАН БЮДЖЕТ ҚАРАЖАТТАРЫН ПАЙДАЛАНУ ТИІМДІЛІГІ АУДИТІНІҢ</w:t>
            </w:r>
            <w:r w:rsidRPr="00EB67B8">
              <w:rPr>
                <w:rFonts w:ascii="Times New Roman" w:hAnsi="Times New Roman" w:cs="Times New Roman"/>
                <w:b/>
                <w:sz w:val="28"/>
                <w:szCs w:val="28"/>
                <w:lang w:val="kk-KZ"/>
              </w:rPr>
              <w:t xml:space="preserve"> </w:t>
            </w:r>
            <w:r w:rsidRPr="00EB67B8">
              <w:rPr>
                <w:rFonts w:ascii="Times New Roman" w:hAnsi="Times New Roman"/>
                <w:b/>
                <w:sz w:val="28"/>
                <w:szCs w:val="28"/>
                <w:lang w:val="kk-KZ"/>
              </w:rPr>
              <w:t>ТЕОРИЯЛЫҚ-ӘДІСНАМАЛЫҚ АСПЕКТІЛЕ</w:t>
            </w:r>
            <w:r w:rsidR="00DE29DD" w:rsidRPr="00EB67B8">
              <w:rPr>
                <w:rFonts w:ascii="Times New Roman" w:hAnsi="Times New Roman"/>
                <w:b/>
                <w:sz w:val="28"/>
                <w:szCs w:val="28"/>
                <w:lang w:val="kk-KZ"/>
              </w:rPr>
              <w:t xml:space="preserve">рі </w:t>
            </w:r>
          </w:p>
        </w:tc>
        <w:tc>
          <w:tcPr>
            <w:tcW w:w="708" w:type="dxa"/>
          </w:tcPr>
          <w:p w14:paraId="1C0D7D68" w14:textId="77777777" w:rsidR="00DE29DD" w:rsidRDefault="00DE29DD" w:rsidP="00EB67B8">
            <w:pPr>
              <w:jc w:val="left"/>
              <w:rPr>
                <w:rFonts w:ascii="Times New Roman" w:hAnsi="Times New Roman" w:cs="Times New Roman"/>
                <w:sz w:val="28"/>
                <w:szCs w:val="28"/>
              </w:rPr>
            </w:pPr>
          </w:p>
          <w:p w14:paraId="66EDD5D1" w14:textId="77777777" w:rsidR="00271142" w:rsidRDefault="00271142" w:rsidP="00EB67B8">
            <w:pPr>
              <w:jc w:val="left"/>
              <w:rPr>
                <w:rFonts w:ascii="Times New Roman" w:hAnsi="Times New Roman" w:cs="Times New Roman"/>
                <w:sz w:val="28"/>
                <w:szCs w:val="28"/>
              </w:rPr>
            </w:pPr>
          </w:p>
          <w:p w14:paraId="25452B52" w14:textId="7235C7D2" w:rsidR="00271142" w:rsidRPr="00271142" w:rsidRDefault="00271142"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1</w:t>
            </w:r>
            <w:r w:rsidR="003C2C20">
              <w:rPr>
                <w:rFonts w:ascii="Times New Roman" w:hAnsi="Times New Roman" w:cs="Times New Roman"/>
                <w:sz w:val="28"/>
                <w:szCs w:val="28"/>
                <w:lang w:val="kk-KZ"/>
              </w:rPr>
              <w:t>4</w:t>
            </w:r>
          </w:p>
        </w:tc>
      </w:tr>
      <w:tr w:rsidR="008F57AE" w:rsidRPr="00EB67B8" w14:paraId="3879C191" w14:textId="77777777" w:rsidTr="00D35129">
        <w:tc>
          <w:tcPr>
            <w:tcW w:w="640" w:type="dxa"/>
            <w:hideMark/>
          </w:tcPr>
          <w:p w14:paraId="158F62CC" w14:textId="77777777" w:rsidR="00DE29DD" w:rsidRPr="00EB67B8" w:rsidRDefault="00DE29DD" w:rsidP="00457CE9">
            <w:pPr>
              <w:jc w:val="center"/>
              <w:rPr>
                <w:rFonts w:ascii="Times New Roman" w:hAnsi="Times New Roman"/>
                <w:sz w:val="28"/>
                <w:szCs w:val="28"/>
              </w:rPr>
            </w:pPr>
            <w:r w:rsidRPr="00EB67B8">
              <w:rPr>
                <w:rFonts w:ascii="Times New Roman" w:hAnsi="Times New Roman"/>
                <w:sz w:val="28"/>
                <w:szCs w:val="28"/>
              </w:rPr>
              <w:t>1.1</w:t>
            </w:r>
          </w:p>
        </w:tc>
        <w:tc>
          <w:tcPr>
            <w:tcW w:w="8399" w:type="dxa"/>
            <w:hideMark/>
          </w:tcPr>
          <w:p w14:paraId="38CDD76B" w14:textId="4ADB6397" w:rsidR="00DE29DD" w:rsidRPr="00EB67B8" w:rsidRDefault="00A135E6" w:rsidP="00EB67B8">
            <w:pPr>
              <w:rPr>
                <w:rFonts w:ascii="Times New Roman" w:hAnsi="Times New Roman"/>
                <w:sz w:val="28"/>
                <w:szCs w:val="28"/>
                <w:lang w:val="kk-KZ"/>
              </w:rPr>
            </w:pPr>
            <w:r w:rsidRPr="00EB67B8">
              <w:rPr>
                <w:rFonts w:ascii="Times New Roman" w:hAnsi="Times New Roman"/>
                <w:sz w:val="28"/>
                <w:szCs w:val="28"/>
                <w:lang w:val="kk-KZ"/>
              </w:rPr>
              <w:t>АӨК дамытуға бағытталған бюджет қаражатының тиімділігі аудитінің мәні мен маңызы</w:t>
            </w:r>
            <w:r w:rsidR="008F57AE" w:rsidRPr="00EB67B8">
              <w:rPr>
                <w:rFonts w:ascii="Times New Roman" w:hAnsi="Times New Roman"/>
                <w:sz w:val="28"/>
                <w:szCs w:val="28"/>
                <w:lang w:val="kk-KZ"/>
              </w:rPr>
              <w:t>.....................................................................</w:t>
            </w:r>
          </w:p>
        </w:tc>
        <w:tc>
          <w:tcPr>
            <w:tcW w:w="708" w:type="dxa"/>
            <w:hideMark/>
          </w:tcPr>
          <w:p w14:paraId="0D9BBCB7" w14:textId="77777777" w:rsidR="00DE29DD" w:rsidRPr="00EB67B8" w:rsidRDefault="00DE29DD" w:rsidP="00EB67B8">
            <w:pPr>
              <w:jc w:val="left"/>
              <w:rPr>
                <w:rFonts w:ascii="Times New Roman" w:hAnsi="Times New Roman" w:cs="Times New Roman"/>
                <w:sz w:val="28"/>
                <w:szCs w:val="28"/>
              </w:rPr>
            </w:pPr>
          </w:p>
          <w:p w14:paraId="4BCDFD43" w14:textId="6BD15AD0" w:rsidR="003D4E19" w:rsidRPr="00EB67B8" w:rsidRDefault="003D4E19" w:rsidP="00EB67B8">
            <w:pPr>
              <w:jc w:val="left"/>
              <w:rPr>
                <w:rFonts w:ascii="Times New Roman" w:hAnsi="Times New Roman" w:cs="Times New Roman"/>
                <w:sz w:val="28"/>
                <w:szCs w:val="28"/>
                <w:lang w:val="kk-KZ"/>
              </w:rPr>
            </w:pPr>
            <w:r w:rsidRPr="00EB67B8">
              <w:rPr>
                <w:rFonts w:ascii="Times New Roman" w:hAnsi="Times New Roman" w:cs="Times New Roman"/>
                <w:sz w:val="28"/>
                <w:szCs w:val="28"/>
                <w:lang w:val="kk-KZ"/>
              </w:rPr>
              <w:t>1</w:t>
            </w:r>
            <w:r w:rsidR="003C2C20">
              <w:rPr>
                <w:rFonts w:ascii="Times New Roman" w:hAnsi="Times New Roman" w:cs="Times New Roman"/>
                <w:sz w:val="28"/>
                <w:szCs w:val="28"/>
                <w:lang w:val="kk-KZ"/>
              </w:rPr>
              <w:t>4</w:t>
            </w:r>
          </w:p>
        </w:tc>
      </w:tr>
      <w:tr w:rsidR="008F57AE" w:rsidRPr="00EB67B8" w14:paraId="66262E17" w14:textId="77777777" w:rsidTr="00D35129">
        <w:tc>
          <w:tcPr>
            <w:tcW w:w="640" w:type="dxa"/>
            <w:hideMark/>
          </w:tcPr>
          <w:p w14:paraId="3203A36E" w14:textId="77777777" w:rsidR="00DE29DD" w:rsidRPr="00EB67B8" w:rsidRDefault="00DE29DD" w:rsidP="00457CE9">
            <w:pPr>
              <w:jc w:val="center"/>
              <w:rPr>
                <w:rFonts w:ascii="Times New Roman" w:hAnsi="Times New Roman"/>
                <w:sz w:val="28"/>
                <w:szCs w:val="28"/>
              </w:rPr>
            </w:pPr>
            <w:r w:rsidRPr="00EB67B8">
              <w:rPr>
                <w:rFonts w:ascii="Times New Roman" w:hAnsi="Times New Roman"/>
                <w:sz w:val="28"/>
                <w:szCs w:val="28"/>
              </w:rPr>
              <w:t>1.2</w:t>
            </w:r>
          </w:p>
        </w:tc>
        <w:tc>
          <w:tcPr>
            <w:tcW w:w="8399" w:type="dxa"/>
            <w:hideMark/>
          </w:tcPr>
          <w:p w14:paraId="5E8F9E11" w14:textId="251D3BAE" w:rsidR="00DE29DD" w:rsidRPr="00EB67B8" w:rsidRDefault="00FD63DD" w:rsidP="00EB67B8">
            <w:pPr>
              <w:rPr>
                <w:rFonts w:ascii="Times New Roman" w:hAnsi="Times New Roman"/>
                <w:sz w:val="28"/>
                <w:szCs w:val="28"/>
                <w:lang w:val="kk-KZ"/>
              </w:rPr>
            </w:pPr>
            <w:r w:rsidRPr="00EB67B8">
              <w:rPr>
                <w:rFonts w:ascii="Times New Roman" w:hAnsi="Times New Roman"/>
                <w:sz w:val="28"/>
                <w:szCs w:val="28"/>
                <w:lang w:val="kk-KZ"/>
              </w:rPr>
              <w:t>АӨК дамытуға бағытталған бюджет қаражатының тиімділі</w:t>
            </w:r>
            <w:r w:rsidR="009504B5" w:rsidRPr="00EB67B8">
              <w:rPr>
                <w:rFonts w:ascii="Times New Roman" w:hAnsi="Times New Roman"/>
                <w:sz w:val="28"/>
                <w:szCs w:val="28"/>
                <w:lang w:val="kk-KZ"/>
              </w:rPr>
              <w:t>гі</w:t>
            </w:r>
            <w:r w:rsidR="005F775A" w:rsidRPr="00EB67B8">
              <w:rPr>
                <w:rFonts w:ascii="Times New Roman" w:hAnsi="Times New Roman"/>
                <w:sz w:val="28"/>
                <w:szCs w:val="28"/>
                <w:lang w:val="kk-KZ"/>
              </w:rPr>
              <w:t xml:space="preserve"> </w:t>
            </w:r>
            <w:r w:rsidR="00DE29DD" w:rsidRPr="00EB67B8">
              <w:rPr>
                <w:rFonts w:ascii="Times New Roman" w:hAnsi="Times New Roman"/>
                <w:sz w:val="28"/>
                <w:szCs w:val="28"/>
                <w:lang w:val="kk-KZ"/>
              </w:rPr>
              <w:t>аудитін ұйымдастыру</w:t>
            </w:r>
            <w:r w:rsidR="002877E9" w:rsidRPr="00EB67B8">
              <w:rPr>
                <w:rFonts w:ascii="Times New Roman" w:hAnsi="Times New Roman"/>
                <w:sz w:val="28"/>
                <w:szCs w:val="28"/>
                <w:lang w:val="kk-KZ"/>
              </w:rPr>
              <w:t>д</w:t>
            </w:r>
            <w:r w:rsidR="00DE29DD" w:rsidRPr="00EB67B8">
              <w:rPr>
                <w:rFonts w:ascii="Times New Roman" w:hAnsi="Times New Roman"/>
                <w:sz w:val="28"/>
                <w:szCs w:val="28"/>
                <w:lang w:val="kk-KZ"/>
              </w:rPr>
              <w:t>ы</w:t>
            </w:r>
            <w:r w:rsidR="002877E9" w:rsidRPr="00EB67B8">
              <w:rPr>
                <w:rFonts w:ascii="Times New Roman" w:hAnsi="Times New Roman"/>
                <w:sz w:val="28"/>
                <w:szCs w:val="28"/>
                <w:lang w:val="kk-KZ"/>
              </w:rPr>
              <w:t>ң</w:t>
            </w:r>
            <w:r w:rsidR="00DE29DD" w:rsidRPr="00EB67B8">
              <w:rPr>
                <w:rFonts w:ascii="Times New Roman" w:hAnsi="Times New Roman"/>
                <w:sz w:val="28"/>
                <w:szCs w:val="28"/>
                <w:lang w:val="kk-KZ"/>
              </w:rPr>
              <w:t xml:space="preserve"> </w:t>
            </w:r>
            <w:r w:rsidR="002877E9" w:rsidRPr="00EB67B8">
              <w:rPr>
                <w:rFonts w:ascii="Times New Roman" w:hAnsi="Times New Roman"/>
                <w:sz w:val="28"/>
                <w:szCs w:val="28"/>
                <w:lang w:val="kk-KZ"/>
              </w:rPr>
              <w:t>әдіснамасы</w:t>
            </w:r>
            <w:r w:rsidR="008F57AE" w:rsidRPr="00EB67B8">
              <w:rPr>
                <w:rFonts w:ascii="Times New Roman" w:hAnsi="Times New Roman"/>
                <w:sz w:val="28"/>
                <w:szCs w:val="28"/>
                <w:lang w:val="kk-KZ"/>
              </w:rPr>
              <w:t>................................................</w:t>
            </w:r>
            <w:r w:rsidR="00271142">
              <w:rPr>
                <w:rFonts w:ascii="Times New Roman" w:hAnsi="Times New Roman"/>
                <w:sz w:val="28"/>
                <w:szCs w:val="28"/>
                <w:lang w:val="kk-KZ"/>
              </w:rPr>
              <w:t>..................</w:t>
            </w:r>
            <w:r w:rsidR="002877E9" w:rsidRPr="00EB67B8">
              <w:rPr>
                <w:rFonts w:ascii="Times New Roman" w:hAnsi="Times New Roman"/>
                <w:sz w:val="28"/>
                <w:szCs w:val="28"/>
                <w:lang w:val="kk-KZ"/>
              </w:rPr>
              <w:t xml:space="preserve"> </w:t>
            </w:r>
          </w:p>
        </w:tc>
        <w:tc>
          <w:tcPr>
            <w:tcW w:w="708" w:type="dxa"/>
          </w:tcPr>
          <w:p w14:paraId="07818368" w14:textId="77777777" w:rsidR="00DE29DD" w:rsidRPr="00EB67B8" w:rsidRDefault="00DE29DD" w:rsidP="00EB67B8">
            <w:pPr>
              <w:jc w:val="left"/>
              <w:rPr>
                <w:rFonts w:ascii="Times New Roman" w:hAnsi="Times New Roman" w:cs="Times New Roman"/>
                <w:sz w:val="28"/>
                <w:szCs w:val="28"/>
                <w:lang w:val="kk-KZ"/>
              </w:rPr>
            </w:pPr>
          </w:p>
          <w:p w14:paraId="46AFED0F" w14:textId="31E461D0" w:rsidR="003D4E19" w:rsidRPr="00EB67B8" w:rsidRDefault="003C2C20"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8F57AE" w:rsidRPr="00EB67B8" w14:paraId="5A5208D2" w14:textId="77777777" w:rsidTr="00D35129">
        <w:tc>
          <w:tcPr>
            <w:tcW w:w="640" w:type="dxa"/>
            <w:hideMark/>
          </w:tcPr>
          <w:p w14:paraId="61C319CC" w14:textId="77777777" w:rsidR="00DE29DD" w:rsidRPr="00EB67B8" w:rsidRDefault="00DE29DD" w:rsidP="00457CE9">
            <w:pPr>
              <w:jc w:val="center"/>
              <w:rPr>
                <w:rFonts w:ascii="Times New Roman" w:hAnsi="Times New Roman"/>
                <w:sz w:val="28"/>
                <w:szCs w:val="28"/>
              </w:rPr>
            </w:pPr>
            <w:r w:rsidRPr="00EB67B8">
              <w:rPr>
                <w:rFonts w:ascii="Times New Roman" w:hAnsi="Times New Roman"/>
                <w:sz w:val="28"/>
                <w:szCs w:val="28"/>
              </w:rPr>
              <w:t>1.3</w:t>
            </w:r>
          </w:p>
        </w:tc>
        <w:tc>
          <w:tcPr>
            <w:tcW w:w="8399" w:type="dxa"/>
            <w:hideMark/>
          </w:tcPr>
          <w:p w14:paraId="14C1811A" w14:textId="752D64B0" w:rsidR="00DE29DD" w:rsidRPr="00EB67B8" w:rsidRDefault="00E32C7D" w:rsidP="00EB67B8">
            <w:pPr>
              <w:rPr>
                <w:rFonts w:ascii="Times New Roman" w:hAnsi="Times New Roman"/>
                <w:sz w:val="28"/>
                <w:szCs w:val="28"/>
                <w:lang w:val="kk-KZ"/>
              </w:rPr>
            </w:pPr>
            <w:r w:rsidRPr="00EB67B8">
              <w:rPr>
                <w:rFonts w:ascii="Times New Roman" w:hAnsi="Times New Roman"/>
                <w:sz w:val="28"/>
                <w:szCs w:val="28"/>
                <w:lang w:val="kk-KZ"/>
              </w:rPr>
              <w:t xml:space="preserve">АӨК дамытуға бағытталған бюджет қаражаттарын пайдаланудың </w:t>
            </w:r>
            <w:r w:rsidR="009504B5" w:rsidRPr="00EB67B8">
              <w:rPr>
                <w:rFonts w:ascii="Times New Roman" w:hAnsi="Times New Roman"/>
                <w:sz w:val="28"/>
                <w:szCs w:val="28"/>
                <w:lang w:val="kk-KZ"/>
              </w:rPr>
              <w:t xml:space="preserve">тиімділігі </w:t>
            </w:r>
            <w:r w:rsidRPr="00EB67B8">
              <w:rPr>
                <w:rFonts w:ascii="Times New Roman" w:hAnsi="Times New Roman"/>
                <w:sz w:val="28"/>
                <w:szCs w:val="28"/>
                <w:lang w:val="kk-KZ"/>
              </w:rPr>
              <w:t>аудитін ұйымдастырудың шетелдік тәжірибесі</w:t>
            </w:r>
            <w:r w:rsidR="008F57AE" w:rsidRPr="00EB67B8">
              <w:rPr>
                <w:rFonts w:ascii="Times New Roman" w:hAnsi="Times New Roman"/>
                <w:sz w:val="28"/>
                <w:szCs w:val="28"/>
                <w:lang w:val="kk-KZ"/>
              </w:rPr>
              <w:t>...................</w:t>
            </w:r>
          </w:p>
        </w:tc>
        <w:tc>
          <w:tcPr>
            <w:tcW w:w="708" w:type="dxa"/>
          </w:tcPr>
          <w:p w14:paraId="5E827BB0" w14:textId="77777777" w:rsidR="00DE29DD" w:rsidRPr="00EB67B8" w:rsidRDefault="00DE29DD" w:rsidP="00EB67B8">
            <w:pPr>
              <w:jc w:val="left"/>
              <w:rPr>
                <w:rFonts w:ascii="Times New Roman" w:hAnsi="Times New Roman" w:cs="Times New Roman"/>
                <w:sz w:val="28"/>
                <w:szCs w:val="28"/>
                <w:lang w:val="kk-KZ"/>
              </w:rPr>
            </w:pPr>
          </w:p>
          <w:p w14:paraId="1D9438C1" w14:textId="26DCBC96" w:rsidR="006E5E7E" w:rsidRPr="00EB67B8" w:rsidRDefault="00271142"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4</w:t>
            </w:r>
            <w:r w:rsidR="003C2C20">
              <w:rPr>
                <w:rFonts w:ascii="Times New Roman" w:hAnsi="Times New Roman" w:cs="Times New Roman"/>
                <w:sz w:val="28"/>
                <w:szCs w:val="28"/>
                <w:lang w:val="kk-KZ"/>
              </w:rPr>
              <w:t>4</w:t>
            </w:r>
          </w:p>
        </w:tc>
      </w:tr>
      <w:tr w:rsidR="008F57AE" w:rsidRPr="00EB67B8" w14:paraId="247457E4" w14:textId="77777777" w:rsidTr="00D35129">
        <w:tc>
          <w:tcPr>
            <w:tcW w:w="640" w:type="dxa"/>
            <w:hideMark/>
          </w:tcPr>
          <w:p w14:paraId="58932C47" w14:textId="77777777" w:rsidR="00DE29DD" w:rsidRPr="00EB67B8" w:rsidRDefault="00DE29DD" w:rsidP="00457CE9">
            <w:pPr>
              <w:jc w:val="center"/>
              <w:rPr>
                <w:rFonts w:ascii="Times New Roman" w:hAnsi="Times New Roman"/>
                <w:b/>
                <w:sz w:val="28"/>
                <w:szCs w:val="28"/>
              </w:rPr>
            </w:pPr>
            <w:r w:rsidRPr="00EB67B8">
              <w:rPr>
                <w:rFonts w:ascii="Times New Roman" w:hAnsi="Times New Roman"/>
                <w:b/>
                <w:sz w:val="28"/>
                <w:szCs w:val="28"/>
              </w:rPr>
              <w:t>2</w:t>
            </w:r>
          </w:p>
        </w:tc>
        <w:tc>
          <w:tcPr>
            <w:tcW w:w="8399" w:type="dxa"/>
            <w:hideMark/>
          </w:tcPr>
          <w:p w14:paraId="21168985" w14:textId="3EB29418" w:rsidR="00DE29DD" w:rsidRPr="00EB67B8" w:rsidRDefault="00377295" w:rsidP="00457CE9">
            <w:pPr>
              <w:rPr>
                <w:rFonts w:ascii="Times New Roman" w:hAnsi="Times New Roman"/>
                <w:sz w:val="28"/>
                <w:szCs w:val="28"/>
                <w:lang w:val="kk-KZ"/>
              </w:rPr>
            </w:pPr>
            <w:r>
              <w:rPr>
                <w:rFonts w:ascii="Times New Roman" w:hAnsi="Times New Roman"/>
                <w:b/>
                <w:sz w:val="28"/>
                <w:szCs w:val="28"/>
                <w:lang w:val="kk-KZ"/>
              </w:rPr>
              <w:t>ҚАЗАҚСТАН РЕСПУБЛИКАСЫНДА АГРОӨНЕРКӘСІП КЕШЕНІН ДАМЫТУҒА БАҒЫТТАЛҒАН БЮДЖЕТ ҚАРАЖАТЫН ПАЙДАЛАНУ ТИІМДІЛІГІНІҢ АУДИТІН ЖҮРГІЗУ ТӘЖІРИБЕСІН ТАЛДАУ МЕН БАҒАЛАУ</w:t>
            </w:r>
            <w:r w:rsidR="00EB67B8">
              <w:rPr>
                <w:rFonts w:ascii="Times New Roman" w:hAnsi="Times New Roman"/>
                <w:sz w:val="28"/>
                <w:szCs w:val="28"/>
                <w:lang w:val="kk-KZ"/>
              </w:rPr>
              <w:t>...................</w:t>
            </w:r>
          </w:p>
        </w:tc>
        <w:tc>
          <w:tcPr>
            <w:tcW w:w="708" w:type="dxa"/>
          </w:tcPr>
          <w:p w14:paraId="053F1E8E" w14:textId="77777777" w:rsidR="00DE29DD" w:rsidRDefault="00DE29DD" w:rsidP="00EB67B8">
            <w:pPr>
              <w:jc w:val="left"/>
              <w:rPr>
                <w:rFonts w:ascii="Times New Roman" w:hAnsi="Times New Roman" w:cs="Times New Roman"/>
                <w:sz w:val="28"/>
                <w:szCs w:val="28"/>
              </w:rPr>
            </w:pPr>
          </w:p>
          <w:p w14:paraId="1A5E1FFF" w14:textId="77777777" w:rsidR="00271142" w:rsidRDefault="00271142" w:rsidP="00EB67B8">
            <w:pPr>
              <w:jc w:val="left"/>
              <w:rPr>
                <w:rFonts w:ascii="Times New Roman" w:hAnsi="Times New Roman" w:cs="Times New Roman"/>
                <w:sz w:val="28"/>
                <w:szCs w:val="28"/>
              </w:rPr>
            </w:pPr>
          </w:p>
          <w:p w14:paraId="603D3EDD" w14:textId="77777777" w:rsidR="00271142" w:rsidRDefault="00271142" w:rsidP="00EB67B8">
            <w:pPr>
              <w:jc w:val="left"/>
              <w:rPr>
                <w:rFonts w:ascii="Times New Roman" w:hAnsi="Times New Roman" w:cs="Times New Roman"/>
                <w:sz w:val="28"/>
                <w:szCs w:val="28"/>
              </w:rPr>
            </w:pPr>
          </w:p>
          <w:p w14:paraId="78A6721A" w14:textId="726BDB18" w:rsidR="00271142" w:rsidRPr="00C10723" w:rsidRDefault="00C10723"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7</w:t>
            </w:r>
            <w:r w:rsidR="003C2C20">
              <w:rPr>
                <w:rFonts w:ascii="Times New Roman" w:hAnsi="Times New Roman" w:cs="Times New Roman"/>
                <w:sz w:val="28"/>
                <w:szCs w:val="28"/>
                <w:lang w:val="kk-KZ"/>
              </w:rPr>
              <w:t>1</w:t>
            </w:r>
          </w:p>
        </w:tc>
      </w:tr>
      <w:tr w:rsidR="008F57AE" w:rsidRPr="00EB67B8" w14:paraId="637DFA03" w14:textId="77777777" w:rsidTr="00D35129">
        <w:tc>
          <w:tcPr>
            <w:tcW w:w="640" w:type="dxa"/>
            <w:hideMark/>
          </w:tcPr>
          <w:p w14:paraId="5EFE713C" w14:textId="77777777" w:rsidR="00DE29DD" w:rsidRPr="00EB67B8" w:rsidRDefault="00DE29DD" w:rsidP="00457CE9">
            <w:pPr>
              <w:jc w:val="center"/>
              <w:rPr>
                <w:rFonts w:ascii="Times New Roman" w:hAnsi="Times New Roman"/>
                <w:sz w:val="28"/>
                <w:szCs w:val="28"/>
              </w:rPr>
            </w:pPr>
            <w:r w:rsidRPr="00EB67B8">
              <w:rPr>
                <w:rFonts w:ascii="Times New Roman" w:hAnsi="Times New Roman"/>
                <w:sz w:val="28"/>
                <w:szCs w:val="28"/>
              </w:rPr>
              <w:t>2.1</w:t>
            </w:r>
          </w:p>
          <w:p w14:paraId="1E5C96D4" w14:textId="0BDF0E38" w:rsidR="00433D30" w:rsidRPr="00EB67B8" w:rsidRDefault="00433D30" w:rsidP="00457CE9">
            <w:pPr>
              <w:jc w:val="left"/>
              <w:rPr>
                <w:rFonts w:ascii="Times New Roman" w:hAnsi="Times New Roman"/>
                <w:sz w:val="28"/>
                <w:szCs w:val="28"/>
                <w:lang w:val="kk-KZ"/>
              </w:rPr>
            </w:pPr>
          </w:p>
        </w:tc>
        <w:tc>
          <w:tcPr>
            <w:tcW w:w="8399" w:type="dxa"/>
            <w:hideMark/>
          </w:tcPr>
          <w:p w14:paraId="6113040D" w14:textId="19849A80" w:rsidR="00433D30" w:rsidRPr="00EB67B8" w:rsidRDefault="00575788" w:rsidP="00EB67B8">
            <w:pPr>
              <w:rPr>
                <w:rFonts w:ascii="Times New Roman" w:hAnsi="Times New Roman"/>
                <w:sz w:val="28"/>
                <w:szCs w:val="28"/>
                <w:lang w:val="kk-KZ"/>
              </w:rPr>
            </w:pPr>
            <w:r>
              <w:rPr>
                <w:rFonts w:ascii="Times New Roman" w:hAnsi="Times New Roman"/>
                <w:sz w:val="28"/>
                <w:szCs w:val="28"/>
                <w:lang w:val="kk-KZ"/>
              </w:rPr>
              <w:t>АӨК-н</w:t>
            </w:r>
            <w:r w:rsidR="002E51FC" w:rsidRPr="00EB67B8">
              <w:rPr>
                <w:rFonts w:ascii="Times New Roman" w:hAnsi="Times New Roman"/>
                <w:sz w:val="28"/>
                <w:szCs w:val="28"/>
                <w:lang w:val="kk-KZ"/>
              </w:rPr>
              <w:t xml:space="preserve"> дамытуға бағытталған бюджет қаражатын пайдаланудың ағымдағы жағдайын талдау</w:t>
            </w:r>
            <w:r w:rsidR="008F57AE" w:rsidRPr="00EB67B8">
              <w:rPr>
                <w:rFonts w:ascii="Times New Roman" w:hAnsi="Times New Roman"/>
                <w:sz w:val="28"/>
                <w:szCs w:val="28"/>
                <w:lang w:val="kk-KZ"/>
              </w:rPr>
              <w:t>..............</w:t>
            </w:r>
            <w:r w:rsidR="00EB67B8">
              <w:rPr>
                <w:rFonts w:ascii="Times New Roman" w:hAnsi="Times New Roman"/>
                <w:sz w:val="28"/>
                <w:szCs w:val="28"/>
                <w:lang w:val="kk-KZ"/>
              </w:rPr>
              <w:t>...</w:t>
            </w:r>
            <w:r w:rsidR="008F57AE" w:rsidRPr="00EB67B8">
              <w:rPr>
                <w:rFonts w:ascii="Times New Roman" w:hAnsi="Times New Roman"/>
                <w:sz w:val="28"/>
                <w:szCs w:val="28"/>
                <w:lang w:val="kk-KZ"/>
              </w:rPr>
              <w:t>.......................</w:t>
            </w:r>
            <w:r w:rsidR="005852B2">
              <w:rPr>
                <w:rFonts w:ascii="Times New Roman" w:hAnsi="Times New Roman"/>
                <w:sz w:val="28"/>
                <w:szCs w:val="28"/>
                <w:lang w:val="kk-KZ"/>
              </w:rPr>
              <w:t>..........................</w:t>
            </w:r>
            <w:r w:rsidR="008F57AE" w:rsidRPr="00EB67B8">
              <w:rPr>
                <w:rFonts w:ascii="Times New Roman" w:hAnsi="Times New Roman"/>
                <w:sz w:val="28"/>
                <w:szCs w:val="28"/>
                <w:lang w:val="kk-KZ"/>
              </w:rPr>
              <w:t>.</w:t>
            </w:r>
            <w:r w:rsidR="005852B2">
              <w:rPr>
                <w:rFonts w:ascii="Times New Roman" w:hAnsi="Times New Roman"/>
                <w:sz w:val="28"/>
                <w:szCs w:val="28"/>
                <w:lang w:val="kk-KZ"/>
              </w:rPr>
              <w:t>..</w:t>
            </w:r>
            <w:r w:rsidR="008F57AE" w:rsidRPr="00EB67B8">
              <w:rPr>
                <w:rFonts w:ascii="Times New Roman" w:hAnsi="Times New Roman"/>
                <w:sz w:val="28"/>
                <w:szCs w:val="28"/>
                <w:lang w:val="kk-KZ"/>
              </w:rPr>
              <w:t>.</w:t>
            </w:r>
          </w:p>
        </w:tc>
        <w:tc>
          <w:tcPr>
            <w:tcW w:w="708" w:type="dxa"/>
          </w:tcPr>
          <w:p w14:paraId="587434A4" w14:textId="77777777" w:rsidR="00DE29DD" w:rsidRPr="00EB67B8" w:rsidRDefault="00DE29DD" w:rsidP="00EB67B8">
            <w:pPr>
              <w:jc w:val="left"/>
              <w:rPr>
                <w:rFonts w:ascii="Times New Roman" w:hAnsi="Times New Roman" w:cs="Times New Roman"/>
                <w:sz w:val="28"/>
                <w:szCs w:val="28"/>
                <w:lang w:val="kk-KZ"/>
              </w:rPr>
            </w:pPr>
          </w:p>
          <w:p w14:paraId="318F5A0A" w14:textId="3FC1418A" w:rsidR="003D4E19" w:rsidRPr="00EB67B8" w:rsidRDefault="00C10723"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7</w:t>
            </w:r>
            <w:r w:rsidR="003C2C20">
              <w:rPr>
                <w:rFonts w:ascii="Times New Roman" w:hAnsi="Times New Roman" w:cs="Times New Roman"/>
                <w:sz w:val="28"/>
                <w:szCs w:val="28"/>
                <w:lang w:val="kk-KZ"/>
              </w:rPr>
              <w:t>1</w:t>
            </w:r>
          </w:p>
        </w:tc>
      </w:tr>
      <w:tr w:rsidR="008F57AE" w:rsidRPr="00EB67B8" w14:paraId="0E963DB9" w14:textId="77777777" w:rsidTr="00D35129">
        <w:tc>
          <w:tcPr>
            <w:tcW w:w="640" w:type="dxa"/>
            <w:hideMark/>
          </w:tcPr>
          <w:p w14:paraId="2CDC1D2D" w14:textId="77777777" w:rsidR="00184171" w:rsidRPr="00EB67B8" w:rsidRDefault="00184171" w:rsidP="00457CE9">
            <w:pPr>
              <w:jc w:val="center"/>
              <w:rPr>
                <w:rFonts w:ascii="Times New Roman" w:hAnsi="Times New Roman"/>
                <w:sz w:val="28"/>
                <w:szCs w:val="28"/>
              </w:rPr>
            </w:pPr>
            <w:r w:rsidRPr="00EB67B8">
              <w:rPr>
                <w:rFonts w:ascii="Times New Roman" w:hAnsi="Times New Roman"/>
                <w:sz w:val="28"/>
                <w:szCs w:val="28"/>
              </w:rPr>
              <w:t>2</w:t>
            </w:r>
            <w:r w:rsidRPr="00EB67B8">
              <w:rPr>
                <w:rFonts w:ascii="Times New Roman" w:hAnsi="Times New Roman"/>
                <w:sz w:val="28"/>
                <w:szCs w:val="28"/>
                <w:lang w:val="kk-KZ"/>
              </w:rPr>
              <w:t>.</w:t>
            </w:r>
            <w:r w:rsidRPr="00EB67B8">
              <w:rPr>
                <w:rFonts w:ascii="Times New Roman" w:hAnsi="Times New Roman"/>
                <w:sz w:val="28"/>
                <w:szCs w:val="28"/>
              </w:rPr>
              <w:t>2</w:t>
            </w:r>
          </w:p>
          <w:p w14:paraId="005FABFE" w14:textId="77777777" w:rsidR="00CE7C6B" w:rsidRPr="00EB67B8" w:rsidRDefault="00CE7C6B" w:rsidP="00457CE9">
            <w:pPr>
              <w:jc w:val="center"/>
              <w:rPr>
                <w:rFonts w:ascii="Times New Roman" w:hAnsi="Times New Roman"/>
                <w:sz w:val="28"/>
                <w:szCs w:val="28"/>
                <w:lang w:val="kk-KZ"/>
              </w:rPr>
            </w:pPr>
          </w:p>
        </w:tc>
        <w:tc>
          <w:tcPr>
            <w:tcW w:w="8399" w:type="dxa"/>
          </w:tcPr>
          <w:p w14:paraId="7155D808" w14:textId="17E82A97" w:rsidR="00CE7C6B" w:rsidRPr="00EB67B8" w:rsidRDefault="00184171" w:rsidP="00EB67B8">
            <w:pPr>
              <w:rPr>
                <w:rFonts w:ascii="Times New Roman" w:hAnsi="Times New Roman"/>
                <w:sz w:val="28"/>
                <w:szCs w:val="28"/>
                <w:lang w:val="kk-KZ"/>
              </w:rPr>
            </w:pPr>
            <w:bookmarkStart w:id="3" w:name="_Hlk95908717"/>
            <w:r w:rsidRPr="00EB67B8">
              <w:rPr>
                <w:rFonts w:ascii="Times New Roman" w:hAnsi="Times New Roman"/>
                <w:sz w:val="28"/>
                <w:szCs w:val="28"/>
                <w:lang w:val="kk-KZ"/>
              </w:rPr>
              <w:t xml:space="preserve">АӨК дамытуға бағытталған бюджет қаражатын пайдаланудың </w:t>
            </w:r>
            <w:r w:rsidR="009504B5" w:rsidRPr="00EB67B8">
              <w:rPr>
                <w:rFonts w:ascii="Times New Roman" w:hAnsi="Times New Roman"/>
                <w:sz w:val="28"/>
                <w:szCs w:val="28"/>
                <w:lang w:val="kk-KZ"/>
              </w:rPr>
              <w:t>тиімділігі</w:t>
            </w:r>
            <w:r w:rsidRPr="00EB67B8">
              <w:rPr>
                <w:rFonts w:ascii="Times New Roman" w:hAnsi="Times New Roman"/>
                <w:sz w:val="28"/>
                <w:szCs w:val="28"/>
                <w:lang w:val="kk-KZ"/>
              </w:rPr>
              <w:t xml:space="preserve"> аудитінің нәтижелерін бағалау</w:t>
            </w:r>
            <w:bookmarkEnd w:id="3"/>
            <w:r w:rsidR="008F57AE" w:rsidRPr="00EB67B8">
              <w:rPr>
                <w:rFonts w:ascii="Times New Roman" w:hAnsi="Times New Roman"/>
                <w:sz w:val="28"/>
                <w:szCs w:val="28"/>
                <w:lang w:val="kk-KZ"/>
              </w:rPr>
              <w:t>....................</w:t>
            </w:r>
            <w:r w:rsidR="00EB67B8">
              <w:rPr>
                <w:rFonts w:ascii="Times New Roman" w:hAnsi="Times New Roman"/>
                <w:sz w:val="28"/>
                <w:szCs w:val="28"/>
                <w:lang w:val="kk-KZ"/>
              </w:rPr>
              <w:t>.....</w:t>
            </w:r>
            <w:r w:rsidR="008F57AE" w:rsidRPr="00EB67B8">
              <w:rPr>
                <w:rFonts w:ascii="Times New Roman" w:hAnsi="Times New Roman"/>
                <w:sz w:val="28"/>
                <w:szCs w:val="28"/>
                <w:lang w:val="kk-KZ"/>
              </w:rPr>
              <w:t>....................</w:t>
            </w:r>
            <w:r w:rsidR="005852B2">
              <w:rPr>
                <w:rFonts w:ascii="Times New Roman" w:hAnsi="Times New Roman"/>
                <w:sz w:val="28"/>
                <w:szCs w:val="28"/>
                <w:lang w:val="kk-KZ"/>
              </w:rPr>
              <w:t>..</w:t>
            </w:r>
          </w:p>
        </w:tc>
        <w:tc>
          <w:tcPr>
            <w:tcW w:w="708" w:type="dxa"/>
          </w:tcPr>
          <w:p w14:paraId="358E4839" w14:textId="77777777" w:rsidR="00CE7C6B" w:rsidRPr="00EB67B8" w:rsidRDefault="00CE7C6B" w:rsidP="00EB67B8">
            <w:pPr>
              <w:jc w:val="left"/>
              <w:rPr>
                <w:rFonts w:ascii="Times New Roman" w:hAnsi="Times New Roman" w:cs="Times New Roman"/>
                <w:sz w:val="28"/>
                <w:szCs w:val="28"/>
                <w:lang w:val="kk-KZ"/>
              </w:rPr>
            </w:pPr>
          </w:p>
          <w:p w14:paraId="054DA3EC" w14:textId="24653C5F" w:rsidR="003D4E19" w:rsidRPr="00EB67B8" w:rsidRDefault="00C10723"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95</w:t>
            </w:r>
          </w:p>
        </w:tc>
      </w:tr>
      <w:tr w:rsidR="008F57AE" w:rsidRPr="00EB67B8" w14:paraId="5D69B2C8" w14:textId="77777777" w:rsidTr="00D35129">
        <w:tc>
          <w:tcPr>
            <w:tcW w:w="640" w:type="dxa"/>
          </w:tcPr>
          <w:p w14:paraId="65EA1756" w14:textId="07313F5B" w:rsidR="00184171" w:rsidRPr="00EB67B8" w:rsidRDefault="00184171" w:rsidP="00457CE9">
            <w:pPr>
              <w:jc w:val="center"/>
              <w:rPr>
                <w:rFonts w:ascii="Times New Roman" w:hAnsi="Times New Roman"/>
                <w:sz w:val="28"/>
                <w:szCs w:val="28"/>
              </w:rPr>
            </w:pPr>
            <w:r w:rsidRPr="00EB67B8">
              <w:rPr>
                <w:rFonts w:ascii="Times New Roman" w:hAnsi="Times New Roman"/>
                <w:sz w:val="28"/>
                <w:szCs w:val="28"/>
                <w:lang w:val="kk-KZ"/>
              </w:rPr>
              <w:t>2.3</w:t>
            </w:r>
          </w:p>
        </w:tc>
        <w:tc>
          <w:tcPr>
            <w:tcW w:w="8399" w:type="dxa"/>
          </w:tcPr>
          <w:p w14:paraId="608E3334" w14:textId="0636D358" w:rsidR="00184171" w:rsidRPr="00EB67B8" w:rsidRDefault="00661619" w:rsidP="00EB67B8">
            <w:pPr>
              <w:pStyle w:val="a5"/>
              <w:tabs>
                <w:tab w:val="left" w:pos="851"/>
                <w:tab w:val="left" w:pos="993"/>
              </w:tabs>
              <w:ind w:left="0"/>
              <w:rPr>
                <w:rFonts w:ascii="Times New Roman" w:eastAsia="Times New Roman" w:hAnsi="Times New Roman"/>
                <w:color w:val="00B0F0"/>
                <w:kern w:val="36"/>
                <w:sz w:val="28"/>
                <w:szCs w:val="28"/>
                <w:lang w:val="kk-KZ" w:eastAsia="ru-RU"/>
              </w:rPr>
            </w:pPr>
            <w:r w:rsidRPr="00EB67B8">
              <w:rPr>
                <w:rFonts w:ascii="Times New Roman" w:hAnsi="Times New Roman"/>
                <w:sz w:val="28"/>
                <w:szCs w:val="28"/>
                <w:lang w:val="kk-KZ"/>
              </w:rPr>
              <w:t xml:space="preserve">ҚР </w:t>
            </w:r>
            <w:r w:rsidRPr="00EB67B8">
              <w:rPr>
                <w:rFonts w:ascii="Times New Roman" w:eastAsia="Times New Roman" w:hAnsi="Times New Roman"/>
                <w:kern w:val="36"/>
                <w:sz w:val="28"/>
                <w:szCs w:val="28"/>
                <w:lang w:val="kk-KZ" w:eastAsia="ru-RU"/>
              </w:rPr>
              <w:t xml:space="preserve">АӨК дамыту көрсеткіштерін </w:t>
            </w:r>
            <w:r w:rsidRPr="00EB67B8">
              <w:rPr>
                <w:rFonts w:ascii="Times New Roman" w:hAnsi="Times New Roman"/>
                <w:sz w:val="28"/>
                <w:szCs w:val="28"/>
                <w:lang w:val="kk-KZ"/>
              </w:rPr>
              <w:t xml:space="preserve"> талдау негізінде тиімділік аудитінің критерийлерін анықтау</w:t>
            </w:r>
            <w:r w:rsidR="008F57AE" w:rsidRPr="00EB67B8">
              <w:rPr>
                <w:rFonts w:ascii="Times New Roman" w:hAnsi="Times New Roman"/>
                <w:sz w:val="28"/>
                <w:szCs w:val="28"/>
                <w:lang w:val="kk-KZ"/>
              </w:rPr>
              <w:t>.............</w:t>
            </w:r>
            <w:r w:rsidR="005852B2">
              <w:rPr>
                <w:rFonts w:ascii="Times New Roman" w:hAnsi="Times New Roman"/>
                <w:sz w:val="28"/>
                <w:szCs w:val="28"/>
                <w:lang w:val="kk-KZ"/>
              </w:rPr>
              <w:t>................................................................</w:t>
            </w:r>
          </w:p>
        </w:tc>
        <w:tc>
          <w:tcPr>
            <w:tcW w:w="708" w:type="dxa"/>
          </w:tcPr>
          <w:p w14:paraId="0944A028" w14:textId="77777777" w:rsidR="00184171" w:rsidRPr="00EB67B8" w:rsidRDefault="00184171" w:rsidP="00EB67B8">
            <w:pPr>
              <w:jc w:val="left"/>
              <w:rPr>
                <w:rFonts w:ascii="Times New Roman" w:hAnsi="Times New Roman" w:cs="Times New Roman"/>
                <w:sz w:val="28"/>
                <w:szCs w:val="28"/>
                <w:lang w:val="kk-KZ"/>
              </w:rPr>
            </w:pPr>
          </w:p>
          <w:p w14:paraId="4A4F407C" w14:textId="38F12176" w:rsidR="003D4E19" w:rsidRPr="00EB67B8" w:rsidRDefault="003D4E19" w:rsidP="00EB67B8">
            <w:pPr>
              <w:jc w:val="left"/>
              <w:rPr>
                <w:rFonts w:ascii="Times New Roman" w:hAnsi="Times New Roman" w:cs="Times New Roman"/>
                <w:sz w:val="28"/>
                <w:szCs w:val="28"/>
                <w:lang w:val="kk-KZ"/>
              </w:rPr>
            </w:pPr>
            <w:r w:rsidRPr="00EB67B8">
              <w:rPr>
                <w:rFonts w:ascii="Times New Roman" w:hAnsi="Times New Roman" w:cs="Times New Roman"/>
                <w:sz w:val="28"/>
                <w:szCs w:val="28"/>
                <w:lang w:val="kk-KZ"/>
              </w:rPr>
              <w:t>1</w:t>
            </w:r>
            <w:r w:rsidR="00C10723">
              <w:rPr>
                <w:rFonts w:ascii="Times New Roman" w:hAnsi="Times New Roman" w:cs="Times New Roman"/>
                <w:sz w:val="28"/>
                <w:szCs w:val="28"/>
                <w:lang w:val="kk-KZ"/>
              </w:rPr>
              <w:t>31</w:t>
            </w:r>
          </w:p>
        </w:tc>
      </w:tr>
      <w:tr w:rsidR="008F57AE" w:rsidRPr="00EB67B8" w14:paraId="6FE0DFE4" w14:textId="77777777" w:rsidTr="00D35129">
        <w:tc>
          <w:tcPr>
            <w:tcW w:w="640" w:type="dxa"/>
            <w:hideMark/>
          </w:tcPr>
          <w:p w14:paraId="34CAA365" w14:textId="77777777" w:rsidR="00DE29DD" w:rsidRPr="00EB67B8" w:rsidRDefault="00DE29DD" w:rsidP="00457CE9">
            <w:pPr>
              <w:jc w:val="center"/>
              <w:rPr>
                <w:rFonts w:ascii="Times New Roman" w:hAnsi="Times New Roman"/>
                <w:sz w:val="28"/>
                <w:szCs w:val="28"/>
              </w:rPr>
            </w:pPr>
            <w:r w:rsidRPr="00EB67B8">
              <w:rPr>
                <w:rFonts w:ascii="Times New Roman" w:hAnsi="Times New Roman"/>
                <w:sz w:val="28"/>
                <w:szCs w:val="28"/>
              </w:rPr>
              <w:t>3</w:t>
            </w:r>
          </w:p>
        </w:tc>
        <w:tc>
          <w:tcPr>
            <w:tcW w:w="8399" w:type="dxa"/>
            <w:hideMark/>
          </w:tcPr>
          <w:p w14:paraId="5CEB3494" w14:textId="232F4822" w:rsidR="00DE29DD" w:rsidRPr="00EB67B8" w:rsidRDefault="00695BA2" w:rsidP="00457CE9">
            <w:pPr>
              <w:rPr>
                <w:rFonts w:ascii="Times New Roman" w:hAnsi="Times New Roman"/>
                <w:sz w:val="28"/>
                <w:szCs w:val="28"/>
                <w:lang w:val="kk-KZ"/>
              </w:rPr>
            </w:pPr>
            <w:r w:rsidRPr="00695BA2">
              <w:rPr>
                <w:rFonts w:ascii="Times New Roman" w:hAnsi="Times New Roman" w:cs="Times New Roman"/>
                <w:b/>
                <w:bCs/>
                <w:sz w:val="28"/>
                <w:szCs w:val="28"/>
                <w:lang w:val="kk-KZ"/>
              </w:rPr>
              <w:t>Қ</w:t>
            </w:r>
            <w:r>
              <w:rPr>
                <w:rFonts w:ascii="Times New Roman" w:hAnsi="Times New Roman" w:cs="Times New Roman"/>
                <w:b/>
                <w:bCs/>
                <w:sz w:val="28"/>
                <w:szCs w:val="28"/>
                <w:lang w:val="kk-KZ"/>
              </w:rPr>
              <w:t>АЗАҚСТАН РЕСПУБЛИКАСЫН</w:t>
            </w:r>
            <w:r w:rsidRPr="00695BA2">
              <w:rPr>
                <w:rFonts w:ascii="Times New Roman" w:hAnsi="Times New Roman" w:cs="Times New Roman"/>
                <w:b/>
                <w:bCs/>
                <w:sz w:val="28"/>
                <w:szCs w:val="28"/>
                <w:lang w:val="kk-KZ"/>
              </w:rPr>
              <w:t xml:space="preserve">ДА </w:t>
            </w:r>
            <w:r w:rsidRPr="00695BA2">
              <w:rPr>
                <w:rStyle w:val="a4"/>
                <w:b/>
                <w:bCs/>
                <w:color w:val="auto"/>
                <w:sz w:val="28"/>
                <w:szCs w:val="28"/>
                <w:u w:val="none"/>
                <w:lang w:val="kk-KZ"/>
              </w:rPr>
              <w:t xml:space="preserve">АӨК ДАМЫТУҒА БАҒЫТТАЛҒАН БЮДЖЕТ ҚАРАЖАТЫН ПАЙДАЛАНУ ТИІМДІЛІГІ АУДИТІН </w:t>
            </w:r>
            <w:r w:rsidRPr="00695BA2">
              <w:rPr>
                <w:rFonts w:ascii="Times New Roman" w:hAnsi="Times New Roman"/>
                <w:b/>
                <w:bCs/>
                <w:sz w:val="28"/>
                <w:szCs w:val="28"/>
                <w:lang w:val="kk-KZ"/>
              </w:rPr>
              <w:t>ҰЙЫМДАСТЫРУ ЖӘНЕ ЖҮРГІЗУ ӘДІСНАМАСЫН ЖЕТІЛДІРУ ЖОЛДАРЫ</w:t>
            </w:r>
            <w:r w:rsidR="00EB67B8">
              <w:rPr>
                <w:rFonts w:ascii="Times New Roman" w:hAnsi="Times New Roman"/>
                <w:sz w:val="28"/>
                <w:szCs w:val="28"/>
                <w:lang w:val="kk-KZ"/>
              </w:rPr>
              <w:t>.....................................</w:t>
            </w:r>
          </w:p>
        </w:tc>
        <w:tc>
          <w:tcPr>
            <w:tcW w:w="708" w:type="dxa"/>
          </w:tcPr>
          <w:p w14:paraId="464CF844" w14:textId="77777777" w:rsidR="00DE29DD" w:rsidRDefault="00DE29DD" w:rsidP="00EB67B8">
            <w:pPr>
              <w:jc w:val="left"/>
              <w:rPr>
                <w:rFonts w:ascii="Times New Roman" w:hAnsi="Times New Roman" w:cs="Times New Roman"/>
                <w:sz w:val="28"/>
                <w:szCs w:val="28"/>
                <w:lang w:val="kk-KZ"/>
              </w:rPr>
            </w:pPr>
          </w:p>
          <w:p w14:paraId="5484606E" w14:textId="77777777" w:rsidR="00C10723" w:rsidRDefault="00C10723" w:rsidP="00EB67B8">
            <w:pPr>
              <w:jc w:val="left"/>
              <w:rPr>
                <w:rFonts w:ascii="Times New Roman" w:hAnsi="Times New Roman" w:cs="Times New Roman"/>
                <w:sz w:val="28"/>
                <w:szCs w:val="28"/>
                <w:lang w:val="kk-KZ"/>
              </w:rPr>
            </w:pPr>
          </w:p>
          <w:p w14:paraId="6E4BE018" w14:textId="28E72FDE" w:rsidR="006E5E7E" w:rsidRPr="00EB67B8" w:rsidRDefault="00C10723"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15</w:t>
            </w:r>
            <w:r w:rsidR="003C2C20">
              <w:rPr>
                <w:rFonts w:ascii="Times New Roman" w:hAnsi="Times New Roman" w:cs="Times New Roman"/>
                <w:sz w:val="28"/>
                <w:szCs w:val="28"/>
                <w:lang w:val="kk-KZ"/>
              </w:rPr>
              <w:t>8</w:t>
            </w:r>
          </w:p>
        </w:tc>
      </w:tr>
      <w:tr w:rsidR="008F57AE" w:rsidRPr="00EB67B8" w14:paraId="5859944F" w14:textId="77777777" w:rsidTr="00D35129">
        <w:tc>
          <w:tcPr>
            <w:tcW w:w="640" w:type="dxa"/>
            <w:hideMark/>
          </w:tcPr>
          <w:p w14:paraId="20FA32AE" w14:textId="77777777" w:rsidR="006E5E7E" w:rsidRPr="00EB67B8" w:rsidRDefault="006E5E7E" w:rsidP="00457CE9">
            <w:pPr>
              <w:jc w:val="center"/>
              <w:rPr>
                <w:rFonts w:ascii="Times New Roman" w:hAnsi="Times New Roman"/>
                <w:sz w:val="28"/>
                <w:szCs w:val="28"/>
              </w:rPr>
            </w:pPr>
            <w:r w:rsidRPr="00EB67B8">
              <w:rPr>
                <w:rFonts w:ascii="Times New Roman" w:hAnsi="Times New Roman"/>
                <w:sz w:val="28"/>
                <w:szCs w:val="28"/>
              </w:rPr>
              <w:t>3.1</w:t>
            </w:r>
          </w:p>
        </w:tc>
        <w:tc>
          <w:tcPr>
            <w:tcW w:w="8399" w:type="dxa"/>
            <w:hideMark/>
          </w:tcPr>
          <w:p w14:paraId="23471E40" w14:textId="2B4281E2" w:rsidR="006E5E7E" w:rsidRPr="00EB67B8" w:rsidRDefault="00CF682E" w:rsidP="00457CE9">
            <w:pPr>
              <w:rPr>
                <w:rStyle w:val="a4"/>
                <w:rFonts w:cstheme="minorBidi"/>
                <w:color w:val="auto"/>
                <w:sz w:val="28"/>
                <w:szCs w:val="28"/>
                <w:u w:val="none"/>
                <w:lang w:val="kk-KZ"/>
              </w:rPr>
            </w:pPr>
            <w:r w:rsidRPr="00EB67B8">
              <w:rPr>
                <w:rFonts w:ascii="Times New Roman" w:hAnsi="Times New Roman"/>
                <w:sz w:val="28"/>
                <w:szCs w:val="28"/>
                <w:lang w:val="kk-KZ"/>
              </w:rPr>
              <w:t>АӨК дамытуға бағытталған бюджет қаражатын пайдаланудың тиімділігі аудитінің сапасын</w:t>
            </w:r>
            <w:r w:rsidR="00E911A7" w:rsidRPr="00EB67B8">
              <w:rPr>
                <w:rFonts w:ascii="Times New Roman" w:hAnsi="Times New Roman"/>
                <w:sz w:val="28"/>
                <w:szCs w:val="28"/>
                <w:lang w:val="kk-KZ"/>
              </w:rPr>
              <w:t xml:space="preserve"> жақсарту және</w:t>
            </w:r>
            <w:r w:rsidRPr="00EB67B8">
              <w:rPr>
                <w:rFonts w:ascii="Times New Roman" w:hAnsi="Times New Roman"/>
                <w:sz w:val="28"/>
                <w:szCs w:val="28"/>
                <w:lang w:val="kk-KZ"/>
              </w:rPr>
              <w:t xml:space="preserve"> жетілдіру жолдары</w:t>
            </w:r>
            <w:r w:rsidR="008F57AE" w:rsidRPr="00EB67B8">
              <w:rPr>
                <w:rFonts w:ascii="Times New Roman" w:hAnsi="Times New Roman"/>
                <w:sz w:val="28"/>
                <w:szCs w:val="28"/>
                <w:lang w:val="kk-KZ"/>
              </w:rPr>
              <w:t>.......</w:t>
            </w:r>
            <w:r w:rsidR="00EB67B8">
              <w:rPr>
                <w:rFonts w:ascii="Times New Roman" w:hAnsi="Times New Roman"/>
                <w:sz w:val="28"/>
                <w:szCs w:val="28"/>
                <w:lang w:val="kk-KZ"/>
              </w:rPr>
              <w:t>..</w:t>
            </w:r>
          </w:p>
        </w:tc>
        <w:tc>
          <w:tcPr>
            <w:tcW w:w="708" w:type="dxa"/>
          </w:tcPr>
          <w:p w14:paraId="574D4FCB" w14:textId="77777777" w:rsidR="003D4E19" w:rsidRDefault="003D4E19" w:rsidP="00EB67B8">
            <w:pPr>
              <w:jc w:val="left"/>
              <w:rPr>
                <w:rFonts w:ascii="Times New Roman" w:hAnsi="Times New Roman" w:cs="Times New Roman"/>
                <w:sz w:val="28"/>
                <w:szCs w:val="28"/>
                <w:lang w:val="kk-KZ"/>
              </w:rPr>
            </w:pPr>
          </w:p>
          <w:p w14:paraId="7A603837" w14:textId="2BE803FC" w:rsidR="003D4E19" w:rsidRPr="00EB67B8" w:rsidRDefault="00C10723" w:rsidP="00EB67B8">
            <w:pPr>
              <w:jc w:val="left"/>
              <w:rPr>
                <w:rFonts w:ascii="Times New Roman" w:hAnsi="Times New Roman" w:cs="Times New Roman"/>
                <w:sz w:val="28"/>
                <w:szCs w:val="28"/>
                <w:lang w:val="kk-KZ"/>
              </w:rPr>
            </w:pPr>
            <w:r>
              <w:rPr>
                <w:rFonts w:ascii="Times New Roman" w:hAnsi="Times New Roman" w:cs="Times New Roman"/>
                <w:sz w:val="28"/>
                <w:szCs w:val="28"/>
                <w:lang w:val="kk-KZ"/>
              </w:rPr>
              <w:t>15</w:t>
            </w:r>
            <w:r w:rsidR="003C2C20">
              <w:rPr>
                <w:rFonts w:ascii="Times New Roman" w:hAnsi="Times New Roman" w:cs="Times New Roman"/>
                <w:sz w:val="28"/>
                <w:szCs w:val="28"/>
                <w:lang w:val="kk-KZ"/>
              </w:rPr>
              <w:t>8</w:t>
            </w:r>
          </w:p>
        </w:tc>
      </w:tr>
      <w:tr w:rsidR="008F57AE" w:rsidRPr="00EB67B8" w14:paraId="732E2BFD" w14:textId="77777777" w:rsidTr="00D35129">
        <w:tc>
          <w:tcPr>
            <w:tcW w:w="640" w:type="dxa"/>
            <w:hideMark/>
          </w:tcPr>
          <w:p w14:paraId="7F9B7E20" w14:textId="77777777" w:rsidR="006E5E7E" w:rsidRPr="00EB67B8" w:rsidRDefault="006E5E7E" w:rsidP="00457CE9">
            <w:pPr>
              <w:jc w:val="center"/>
              <w:rPr>
                <w:rFonts w:ascii="Times New Roman" w:hAnsi="Times New Roman"/>
                <w:sz w:val="28"/>
                <w:szCs w:val="28"/>
              </w:rPr>
            </w:pPr>
            <w:r w:rsidRPr="00EB67B8">
              <w:rPr>
                <w:rFonts w:ascii="Times New Roman" w:hAnsi="Times New Roman"/>
                <w:sz w:val="28"/>
                <w:szCs w:val="28"/>
              </w:rPr>
              <w:t>3.2</w:t>
            </w:r>
          </w:p>
        </w:tc>
        <w:tc>
          <w:tcPr>
            <w:tcW w:w="8399" w:type="dxa"/>
            <w:hideMark/>
          </w:tcPr>
          <w:p w14:paraId="0B429341" w14:textId="05B132DC" w:rsidR="006E5E7E" w:rsidRPr="00EB67B8" w:rsidRDefault="00575788" w:rsidP="00EB67B8">
            <w:pPr>
              <w:rPr>
                <w:rFonts w:ascii="Times New Roman" w:hAnsi="Times New Roman"/>
                <w:sz w:val="28"/>
                <w:szCs w:val="28"/>
                <w:lang w:val="kk-KZ"/>
              </w:rPr>
            </w:pPr>
            <w:r>
              <w:rPr>
                <w:rFonts w:ascii="Times New Roman" w:hAnsi="Times New Roman" w:cs="Times New Roman"/>
                <w:color w:val="000000" w:themeColor="text1"/>
                <w:sz w:val="28"/>
                <w:szCs w:val="28"/>
                <w:lang w:val="kk-KZ"/>
              </w:rPr>
              <w:t>АӨК-н</w:t>
            </w:r>
            <w:r w:rsidR="005F775A" w:rsidRPr="00EB67B8">
              <w:rPr>
                <w:rFonts w:ascii="Times New Roman" w:hAnsi="Times New Roman" w:cs="Times New Roman"/>
                <w:color w:val="000000" w:themeColor="text1"/>
                <w:sz w:val="28"/>
                <w:szCs w:val="28"/>
                <w:lang w:val="kk-KZ"/>
              </w:rPr>
              <w:t xml:space="preserve"> дамытуға бағытталған бюджет қаражатының </w:t>
            </w:r>
            <w:r w:rsidR="00CF682E" w:rsidRPr="00EB67B8">
              <w:rPr>
                <w:rFonts w:ascii="Times New Roman" w:hAnsi="Times New Roman"/>
                <w:sz w:val="28"/>
                <w:szCs w:val="28"/>
                <w:lang w:val="kk-KZ"/>
              </w:rPr>
              <w:t xml:space="preserve">тиімділігі </w:t>
            </w:r>
            <w:r w:rsidR="005F775A" w:rsidRPr="00EB67B8">
              <w:rPr>
                <w:rFonts w:ascii="Times New Roman" w:hAnsi="Times New Roman" w:cs="Times New Roman"/>
                <w:color w:val="000000" w:themeColor="text1"/>
                <w:sz w:val="28"/>
                <w:szCs w:val="28"/>
                <w:lang w:val="kk-KZ"/>
              </w:rPr>
              <w:t>аудитін ұйымдастыруда иерархиялық талдау моделін колдану</w:t>
            </w:r>
            <w:r w:rsidR="008F57AE" w:rsidRPr="00EB67B8">
              <w:rPr>
                <w:rFonts w:ascii="Times New Roman" w:hAnsi="Times New Roman"/>
                <w:sz w:val="28"/>
                <w:szCs w:val="28"/>
                <w:lang w:val="kk-KZ"/>
              </w:rPr>
              <w:t>.........</w:t>
            </w:r>
          </w:p>
        </w:tc>
        <w:tc>
          <w:tcPr>
            <w:tcW w:w="708" w:type="dxa"/>
          </w:tcPr>
          <w:p w14:paraId="7DE40266" w14:textId="77777777" w:rsidR="006E5E7E" w:rsidRPr="00EB67B8" w:rsidRDefault="006E5E7E" w:rsidP="00EB67B8">
            <w:pPr>
              <w:jc w:val="left"/>
              <w:rPr>
                <w:rFonts w:ascii="Times New Roman" w:hAnsi="Times New Roman" w:cs="Times New Roman"/>
                <w:sz w:val="28"/>
                <w:szCs w:val="28"/>
              </w:rPr>
            </w:pPr>
          </w:p>
          <w:p w14:paraId="1417E162" w14:textId="7B0FC843" w:rsidR="003D4E19" w:rsidRPr="00401658" w:rsidRDefault="003D4E19" w:rsidP="00EB67B8">
            <w:pPr>
              <w:jc w:val="left"/>
              <w:rPr>
                <w:rFonts w:ascii="Times New Roman" w:hAnsi="Times New Roman" w:cs="Times New Roman"/>
                <w:sz w:val="28"/>
                <w:szCs w:val="28"/>
                <w:lang w:val="en-US"/>
              </w:rPr>
            </w:pPr>
            <w:r w:rsidRPr="00EB67B8">
              <w:rPr>
                <w:rFonts w:ascii="Times New Roman" w:hAnsi="Times New Roman" w:cs="Times New Roman"/>
                <w:sz w:val="28"/>
                <w:szCs w:val="28"/>
                <w:lang w:val="kk-KZ"/>
              </w:rPr>
              <w:t>1</w:t>
            </w:r>
            <w:r w:rsidR="00C10723">
              <w:rPr>
                <w:rFonts w:ascii="Times New Roman" w:hAnsi="Times New Roman" w:cs="Times New Roman"/>
                <w:sz w:val="28"/>
                <w:szCs w:val="28"/>
                <w:lang w:val="kk-KZ"/>
              </w:rPr>
              <w:t>7</w:t>
            </w:r>
            <w:r w:rsidR="00401658">
              <w:rPr>
                <w:rFonts w:ascii="Times New Roman" w:hAnsi="Times New Roman" w:cs="Times New Roman"/>
                <w:sz w:val="28"/>
                <w:szCs w:val="28"/>
                <w:lang w:val="en-US"/>
              </w:rPr>
              <w:t>8</w:t>
            </w:r>
          </w:p>
        </w:tc>
      </w:tr>
      <w:tr w:rsidR="008F57AE" w:rsidRPr="00EB67B8" w14:paraId="79F3A864" w14:textId="77777777" w:rsidTr="00D35129">
        <w:tc>
          <w:tcPr>
            <w:tcW w:w="640" w:type="dxa"/>
          </w:tcPr>
          <w:p w14:paraId="431F8AF4" w14:textId="77777777" w:rsidR="006E5E7E" w:rsidRPr="00EB67B8" w:rsidRDefault="006E5E7E" w:rsidP="00457CE9">
            <w:pPr>
              <w:jc w:val="center"/>
              <w:rPr>
                <w:rFonts w:ascii="Times New Roman" w:hAnsi="Times New Roman"/>
                <w:sz w:val="28"/>
                <w:szCs w:val="28"/>
              </w:rPr>
            </w:pPr>
          </w:p>
        </w:tc>
        <w:tc>
          <w:tcPr>
            <w:tcW w:w="8399" w:type="dxa"/>
            <w:hideMark/>
          </w:tcPr>
          <w:p w14:paraId="2C229CF7" w14:textId="3B0AD22A" w:rsidR="006E5E7E" w:rsidRPr="00EB67B8" w:rsidRDefault="006E5E7E" w:rsidP="00EB67B8">
            <w:pPr>
              <w:rPr>
                <w:rFonts w:ascii="Times New Roman" w:hAnsi="Times New Roman"/>
                <w:sz w:val="28"/>
                <w:szCs w:val="28"/>
                <w:lang w:val="kk-KZ"/>
              </w:rPr>
            </w:pPr>
            <w:r w:rsidRPr="00EB67B8">
              <w:rPr>
                <w:rFonts w:ascii="Times New Roman" w:hAnsi="Times New Roman"/>
                <w:b/>
                <w:sz w:val="28"/>
                <w:szCs w:val="28"/>
                <w:lang w:val="kk-KZ"/>
              </w:rPr>
              <w:t>Қ</w:t>
            </w:r>
            <w:r w:rsidR="00EB67B8" w:rsidRPr="00EB67B8">
              <w:rPr>
                <w:rFonts w:ascii="Times New Roman" w:hAnsi="Times New Roman"/>
                <w:b/>
                <w:sz w:val="28"/>
                <w:szCs w:val="28"/>
                <w:lang w:val="kk-KZ"/>
              </w:rPr>
              <w:t>ОРЫТЫНДЫ</w:t>
            </w:r>
            <w:r w:rsidR="008F57AE" w:rsidRPr="00EB67B8">
              <w:rPr>
                <w:rFonts w:ascii="Times New Roman" w:hAnsi="Times New Roman"/>
                <w:sz w:val="28"/>
                <w:szCs w:val="28"/>
                <w:lang w:val="kk-KZ"/>
              </w:rPr>
              <w:t>........................................................................................</w:t>
            </w:r>
            <w:r w:rsidRPr="00EB67B8">
              <w:rPr>
                <w:rFonts w:ascii="Times New Roman" w:hAnsi="Times New Roman"/>
                <w:sz w:val="28"/>
                <w:szCs w:val="28"/>
                <w:lang w:val="kk-KZ"/>
              </w:rPr>
              <w:t xml:space="preserve"> </w:t>
            </w:r>
          </w:p>
        </w:tc>
        <w:tc>
          <w:tcPr>
            <w:tcW w:w="708" w:type="dxa"/>
          </w:tcPr>
          <w:p w14:paraId="46EC7FE7" w14:textId="4F50B9AA" w:rsidR="006E5E7E" w:rsidRPr="00401658" w:rsidRDefault="00C10723" w:rsidP="00EB67B8">
            <w:pPr>
              <w:jc w:val="left"/>
              <w:rPr>
                <w:rFonts w:ascii="Times New Roman" w:hAnsi="Times New Roman" w:cs="Times New Roman"/>
                <w:sz w:val="28"/>
                <w:szCs w:val="28"/>
                <w:lang w:val="en-US"/>
              </w:rPr>
            </w:pPr>
            <w:r>
              <w:rPr>
                <w:rFonts w:ascii="Times New Roman" w:hAnsi="Times New Roman" w:cs="Times New Roman"/>
                <w:sz w:val="28"/>
                <w:szCs w:val="28"/>
                <w:lang w:val="kk-KZ"/>
              </w:rPr>
              <w:t>20</w:t>
            </w:r>
            <w:r w:rsidR="00401658">
              <w:rPr>
                <w:rFonts w:ascii="Times New Roman" w:hAnsi="Times New Roman" w:cs="Times New Roman"/>
                <w:sz w:val="28"/>
                <w:szCs w:val="28"/>
                <w:lang w:val="en-US"/>
              </w:rPr>
              <w:t>8</w:t>
            </w:r>
          </w:p>
        </w:tc>
      </w:tr>
      <w:tr w:rsidR="008F57AE" w:rsidRPr="00EB67B8" w14:paraId="6241FE55" w14:textId="77777777" w:rsidTr="00D35129">
        <w:tc>
          <w:tcPr>
            <w:tcW w:w="640" w:type="dxa"/>
          </w:tcPr>
          <w:p w14:paraId="1729ED82" w14:textId="77777777" w:rsidR="00150DAF" w:rsidRPr="00EB67B8" w:rsidRDefault="00150DAF" w:rsidP="00457CE9">
            <w:pPr>
              <w:jc w:val="center"/>
              <w:rPr>
                <w:rFonts w:ascii="Times New Roman" w:hAnsi="Times New Roman"/>
                <w:sz w:val="28"/>
                <w:szCs w:val="28"/>
              </w:rPr>
            </w:pPr>
          </w:p>
        </w:tc>
        <w:tc>
          <w:tcPr>
            <w:tcW w:w="8399" w:type="dxa"/>
          </w:tcPr>
          <w:p w14:paraId="3E8951E5" w14:textId="3C963A6B" w:rsidR="00150DAF" w:rsidRPr="00EB67B8" w:rsidRDefault="00EB67B8" w:rsidP="00EB67B8">
            <w:pPr>
              <w:rPr>
                <w:rFonts w:ascii="Times New Roman" w:hAnsi="Times New Roman"/>
                <w:sz w:val="28"/>
                <w:szCs w:val="28"/>
                <w:lang w:val="kk-KZ"/>
              </w:rPr>
            </w:pPr>
            <w:r w:rsidRPr="00EB67B8">
              <w:rPr>
                <w:rFonts w:ascii="Times New Roman" w:hAnsi="Times New Roman"/>
                <w:b/>
                <w:sz w:val="28"/>
                <w:szCs w:val="28"/>
                <w:lang w:val="kk-KZ"/>
              </w:rPr>
              <w:t>ПАЙДАЛАНЫЛҒАН АҚПАРАТ КӨЗДЕРІ</w:t>
            </w:r>
            <w:r w:rsidR="008F57AE" w:rsidRPr="00EB67B8">
              <w:rPr>
                <w:rFonts w:ascii="Times New Roman" w:hAnsi="Times New Roman"/>
                <w:sz w:val="28"/>
                <w:szCs w:val="28"/>
                <w:lang w:val="kk-KZ"/>
              </w:rPr>
              <w:t>.....................................</w:t>
            </w:r>
          </w:p>
        </w:tc>
        <w:tc>
          <w:tcPr>
            <w:tcW w:w="708" w:type="dxa"/>
          </w:tcPr>
          <w:p w14:paraId="3517847A" w14:textId="5A4224AD" w:rsidR="00150DAF" w:rsidRPr="00401658" w:rsidRDefault="00C10723" w:rsidP="00EB67B8">
            <w:pPr>
              <w:jc w:val="left"/>
              <w:rPr>
                <w:rFonts w:ascii="Times New Roman" w:hAnsi="Times New Roman" w:cs="Times New Roman"/>
                <w:sz w:val="28"/>
                <w:szCs w:val="28"/>
                <w:lang w:val="en-US"/>
              </w:rPr>
            </w:pPr>
            <w:r>
              <w:rPr>
                <w:rFonts w:ascii="Times New Roman" w:hAnsi="Times New Roman" w:cs="Times New Roman"/>
                <w:sz w:val="28"/>
                <w:szCs w:val="28"/>
                <w:lang w:val="kk-KZ"/>
              </w:rPr>
              <w:t>21</w:t>
            </w:r>
            <w:r w:rsidR="00401658">
              <w:rPr>
                <w:rFonts w:ascii="Times New Roman" w:hAnsi="Times New Roman" w:cs="Times New Roman"/>
                <w:sz w:val="28"/>
                <w:szCs w:val="28"/>
                <w:lang w:val="en-US"/>
              </w:rPr>
              <w:t>6</w:t>
            </w:r>
          </w:p>
        </w:tc>
      </w:tr>
      <w:tr w:rsidR="00B42F86" w:rsidRPr="00EB67B8" w14:paraId="78EEF22E" w14:textId="77777777" w:rsidTr="00D35129">
        <w:tc>
          <w:tcPr>
            <w:tcW w:w="640" w:type="dxa"/>
          </w:tcPr>
          <w:p w14:paraId="73E7D3ED" w14:textId="77777777" w:rsidR="00B42F86" w:rsidRPr="00EB67B8" w:rsidRDefault="00B42F86" w:rsidP="00457CE9">
            <w:pPr>
              <w:jc w:val="center"/>
              <w:rPr>
                <w:rFonts w:ascii="Times New Roman" w:hAnsi="Times New Roman"/>
                <w:sz w:val="28"/>
                <w:szCs w:val="28"/>
              </w:rPr>
            </w:pPr>
          </w:p>
        </w:tc>
        <w:tc>
          <w:tcPr>
            <w:tcW w:w="8399" w:type="dxa"/>
          </w:tcPr>
          <w:p w14:paraId="1FBA1BA4" w14:textId="7A313945" w:rsidR="00B42F86" w:rsidRPr="00B42F86" w:rsidRDefault="00B42F86" w:rsidP="00EB67B8">
            <w:pPr>
              <w:rPr>
                <w:rFonts w:ascii="Times New Roman" w:hAnsi="Times New Roman"/>
                <w:sz w:val="28"/>
                <w:szCs w:val="28"/>
                <w:lang w:val="kk-KZ"/>
              </w:rPr>
            </w:pPr>
            <w:r w:rsidRPr="00645B0F">
              <w:rPr>
                <w:rFonts w:ascii="Times New Roman" w:eastAsia="Times New Roman" w:hAnsi="Times New Roman" w:cs="Times New Roman"/>
                <w:b/>
                <w:bCs/>
                <w:kern w:val="36"/>
                <w:sz w:val="28"/>
                <w:szCs w:val="28"/>
                <w:lang w:val="kk-KZ" w:eastAsia="ru-RU"/>
              </w:rPr>
              <w:t xml:space="preserve">ҚОСЫМША </w:t>
            </w:r>
            <w:r>
              <w:rPr>
                <w:rFonts w:ascii="Times New Roman" w:eastAsia="Times New Roman" w:hAnsi="Times New Roman" w:cs="Times New Roman"/>
                <w:b/>
                <w:bCs/>
                <w:kern w:val="36"/>
                <w:sz w:val="28"/>
                <w:szCs w:val="28"/>
                <w:lang w:val="kk-KZ" w:eastAsia="ru-RU"/>
              </w:rPr>
              <w:t xml:space="preserve">А </w:t>
            </w:r>
            <w:r>
              <w:rPr>
                <w:rFonts w:ascii="Times New Roman" w:eastAsia="Times New Roman" w:hAnsi="Times New Roman" w:cs="Times New Roman"/>
                <w:bCs/>
                <w:kern w:val="36"/>
                <w:sz w:val="28"/>
                <w:szCs w:val="28"/>
                <w:lang w:val="kk-KZ" w:eastAsia="ru-RU"/>
              </w:rPr>
              <w:t xml:space="preserve">– </w:t>
            </w:r>
            <w:r w:rsidRPr="00E27BED">
              <w:rPr>
                <w:rFonts w:ascii="Times New Roman" w:eastAsia="Times New Roman" w:hAnsi="Times New Roman" w:cs="Times New Roman"/>
                <w:kern w:val="36"/>
                <w:sz w:val="28"/>
                <w:szCs w:val="28"/>
                <w:lang w:val="kk-KZ" w:eastAsia="ru-RU"/>
              </w:rPr>
              <w:t>2021-2025 жж. еңбек өнімділігін 2,5 есе ұлғайту міндетін іске асыруға арналған нәтижелі көрсеткіштер мен іс-шаралар</w:t>
            </w:r>
            <w:r>
              <w:rPr>
                <w:rFonts w:ascii="Times New Roman" w:eastAsia="Times New Roman" w:hAnsi="Times New Roman" w:cs="Times New Roman"/>
                <w:kern w:val="36"/>
                <w:sz w:val="28"/>
                <w:szCs w:val="28"/>
                <w:lang w:val="kk-KZ" w:eastAsia="ru-RU"/>
              </w:rPr>
              <w:t>.</w:t>
            </w:r>
            <w:r w:rsidR="00C10723">
              <w:rPr>
                <w:rFonts w:ascii="Times New Roman" w:eastAsia="Times New Roman" w:hAnsi="Times New Roman" w:cs="Times New Roman"/>
                <w:kern w:val="36"/>
                <w:sz w:val="28"/>
                <w:szCs w:val="28"/>
                <w:lang w:val="kk-KZ" w:eastAsia="ru-RU"/>
              </w:rPr>
              <w:t>..</w:t>
            </w:r>
            <w:r>
              <w:rPr>
                <w:rFonts w:ascii="Times New Roman" w:eastAsia="Times New Roman" w:hAnsi="Times New Roman" w:cs="Times New Roman"/>
                <w:kern w:val="36"/>
                <w:sz w:val="28"/>
                <w:szCs w:val="28"/>
                <w:lang w:val="kk-KZ" w:eastAsia="ru-RU"/>
              </w:rPr>
              <w:t>...................................................................................................</w:t>
            </w:r>
          </w:p>
        </w:tc>
        <w:tc>
          <w:tcPr>
            <w:tcW w:w="708" w:type="dxa"/>
          </w:tcPr>
          <w:p w14:paraId="26044AD2" w14:textId="77777777" w:rsidR="00B42F86" w:rsidRDefault="00B42F86" w:rsidP="00EB67B8">
            <w:pPr>
              <w:rPr>
                <w:rFonts w:ascii="Times New Roman" w:hAnsi="Times New Roman" w:cs="Times New Roman"/>
                <w:sz w:val="28"/>
                <w:szCs w:val="28"/>
                <w:lang w:val="kk-KZ"/>
              </w:rPr>
            </w:pPr>
          </w:p>
          <w:p w14:paraId="431C23ED" w14:textId="77777777" w:rsidR="00C10723" w:rsidRDefault="00C10723" w:rsidP="00EB67B8">
            <w:pPr>
              <w:rPr>
                <w:rFonts w:ascii="Times New Roman" w:hAnsi="Times New Roman" w:cs="Times New Roman"/>
                <w:sz w:val="28"/>
                <w:szCs w:val="28"/>
                <w:lang w:val="kk-KZ"/>
              </w:rPr>
            </w:pPr>
          </w:p>
          <w:p w14:paraId="41C335AC" w14:textId="48F53A2B" w:rsidR="00C10723" w:rsidRPr="00401658" w:rsidRDefault="00C10723" w:rsidP="00EB67B8">
            <w:pPr>
              <w:rPr>
                <w:rFonts w:ascii="Times New Roman" w:hAnsi="Times New Roman" w:cs="Times New Roman"/>
                <w:sz w:val="28"/>
                <w:szCs w:val="28"/>
                <w:lang w:val="en-US"/>
              </w:rPr>
            </w:pPr>
            <w:r>
              <w:rPr>
                <w:rFonts w:ascii="Times New Roman" w:hAnsi="Times New Roman" w:cs="Times New Roman"/>
                <w:sz w:val="28"/>
                <w:szCs w:val="28"/>
                <w:lang w:val="kk-KZ"/>
              </w:rPr>
              <w:t>22</w:t>
            </w:r>
            <w:r w:rsidR="00401658">
              <w:rPr>
                <w:rFonts w:ascii="Times New Roman" w:hAnsi="Times New Roman" w:cs="Times New Roman"/>
                <w:sz w:val="28"/>
                <w:szCs w:val="28"/>
                <w:lang w:val="en-US"/>
              </w:rPr>
              <w:t>6</w:t>
            </w:r>
          </w:p>
        </w:tc>
      </w:tr>
      <w:tr w:rsidR="00B42F86" w:rsidRPr="00EB67B8" w14:paraId="3B6F3FD7" w14:textId="77777777" w:rsidTr="00D35129">
        <w:tc>
          <w:tcPr>
            <w:tcW w:w="640" w:type="dxa"/>
          </w:tcPr>
          <w:p w14:paraId="4AC0419A" w14:textId="77777777" w:rsidR="00B42F86" w:rsidRPr="00EB67B8" w:rsidRDefault="00B42F86" w:rsidP="00457CE9">
            <w:pPr>
              <w:jc w:val="center"/>
              <w:rPr>
                <w:rFonts w:ascii="Times New Roman" w:hAnsi="Times New Roman"/>
                <w:sz w:val="28"/>
                <w:szCs w:val="28"/>
              </w:rPr>
            </w:pPr>
          </w:p>
        </w:tc>
        <w:tc>
          <w:tcPr>
            <w:tcW w:w="8399" w:type="dxa"/>
          </w:tcPr>
          <w:p w14:paraId="4CA17E59" w14:textId="08D60414" w:rsidR="00B42F86" w:rsidRPr="00B42F86" w:rsidRDefault="00B42F86" w:rsidP="00EB67B8">
            <w:pPr>
              <w:rPr>
                <w:rFonts w:ascii="Times New Roman" w:hAnsi="Times New Roman"/>
                <w:sz w:val="28"/>
                <w:szCs w:val="28"/>
                <w:lang w:val="kk-KZ"/>
              </w:rPr>
            </w:pPr>
            <w:r w:rsidRPr="00645B0F">
              <w:rPr>
                <w:rFonts w:ascii="Times New Roman" w:eastAsia="Times New Roman" w:hAnsi="Times New Roman" w:cs="Times New Roman"/>
                <w:b/>
                <w:bCs/>
                <w:kern w:val="36"/>
                <w:sz w:val="28"/>
                <w:szCs w:val="28"/>
                <w:lang w:val="kk-KZ" w:eastAsia="ru-RU"/>
              </w:rPr>
              <w:t xml:space="preserve">ҚОСЫМША </w:t>
            </w:r>
            <w:r>
              <w:rPr>
                <w:rFonts w:ascii="Times New Roman" w:eastAsia="Times New Roman" w:hAnsi="Times New Roman" w:cs="Times New Roman"/>
                <w:b/>
                <w:bCs/>
                <w:kern w:val="36"/>
                <w:sz w:val="28"/>
                <w:szCs w:val="28"/>
                <w:lang w:val="kk-KZ" w:eastAsia="ru-RU"/>
              </w:rPr>
              <w:t>Ә</w:t>
            </w:r>
            <w:r>
              <w:rPr>
                <w:rFonts w:ascii="Times New Roman" w:eastAsia="Times New Roman" w:hAnsi="Times New Roman" w:cs="Times New Roman"/>
                <w:bCs/>
                <w:kern w:val="36"/>
                <w:sz w:val="28"/>
                <w:szCs w:val="28"/>
                <w:lang w:val="kk-KZ" w:eastAsia="ru-RU"/>
              </w:rPr>
              <w:t xml:space="preserve"> </w:t>
            </w:r>
            <w:r>
              <w:rPr>
                <w:rFonts w:ascii="Times New Roman" w:eastAsia="Times New Roman" w:hAnsi="Times New Roman" w:cs="Times New Roman"/>
                <w:kern w:val="36"/>
                <w:sz w:val="28"/>
                <w:szCs w:val="28"/>
                <w:lang w:val="kk-KZ" w:eastAsia="ru-RU"/>
              </w:rPr>
              <w:t xml:space="preserve">– </w:t>
            </w:r>
            <w:r w:rsidRPr="00E27BED">
              <w:rPr>
                <w:rFonts w:ascii="Times New Roman" w:eastAsia="Times New Roman" w:hAnsi="Times New Roman" w:cs="Times New Roman"/>
                <w:kern w:val="36"/>
                <w:sz w:val="28"/>
                <w:szCs w:val="28"/>
                <w:lang w:val="kk-KZ" w:eastAsia="ru-RU"/>
              </w:rPr>
              <w:t>ҚР АӨК дамытудың 2021-2025 жж. ұлттық жобасындағы отандық өндірістің негізгі азық-түліктік тауарларымен қамтамасыз етілуі міндетін іске асыруға арналған нәтижелі көрсеткіштер мен іс шаралар</w:t>
            </w:r>
            <w:r>
              <w:rPr>
                <w:rFonts w:ascii="Times New Roman" w:eastAsia="Times New Roman" w:hAnsi="Times New Roman" w:cs="Times New Roman"/>
                <w:kern w:val="36"/>
                <w:sz w:val="28"/>
                <w:szCs w:val="28"/>
                <w:lang w:val="kk-KZ" w:eastAsia="ru-RU"/>
              </w:rPr>
              <w:t>.................................................</w:t>
            </w:r>
            <w:r w:rsidR="00F00BDF">
              <w:rPr>
                <w:rFonts w:ascii="Times New Roman" w:eastAsia="Times New Roman" w:hAnsi="Times New Roman" w:cs="Times New Roman"/>
                <w:kern w:val="36"/>
                <w:sz w:val="28"/>
                <w:szCs w:val="28"/>
                <w:lang w:val="kk-KZ" w:eastAsia="ru-RU"/>
              </w:rPr>
              <w:t>..................</w:t>
            </w:r>
            <w:r>
              <w:rPr>
                <w:rFonts w:ascii="Times New Roman" w:eastAsia="Times New Roman" w:hAnsi="Times New Roman" w:cs="Times New Roman"/>
                <w:kern w:val="36"/>
                <w:sz w:val="28"/>
                <w:szCs w:val="28"/>
                <w:lang w:val="kk-KZ" w:eastAsia="ru-RU"/>
              </w:rPr>
              <w:t>.</w:t>
            </w:r>
          </w:p>
        </w:tc>
        <w:tc>
          <w:tcPr>
            <w:tcW w:w="708" w:type="dxa"/>
          </w:tcPr>
          <w:p w14:paraId="30796E36" w14:textId="77777777" w:rsidR="00B42F86" w:rsidRDefault="00B42F86" w:rsidP="00EB67B8">
            <w:pPr>
              <w:rPr>
                <w:rFonts w:ascii="Times New Roman" w:hAnsi="Times New Roman" w:cs="Times New Roman"/>
                <w:sz w:val="28"/>
                <w:szCs w:val="28"/>
                <w:lang w:val="kk-KZ"/>
              </w:rPr>
            </w:pPr>
          </w:p>
          <w:p w14:paraId="54CE0805" w14:textId="77777777" w:rsidR="00C10723" w:rsidRDefault="00C10723" w:rsidP="00EB67B8">
            <w:pPr>
              <w:rPr>
                <w:rFonts w:ascii="Times New Roman" w:hAnsi="Times New Roman" w:cs="Times New Roman"/>
                <w:sz w:val="28"/>
                <w:szCs w:val="28"/>
                <w:lang w:val="kk-KZ"/>
              </w:rPr>
            </w:pPr>
          </w:p>
          <w:p w14:paraId="1F7E446D" w14:textId="77777777" w:rsidR="00C10723" w:rsidRDefault="00C10723" w:rsidP="00EB67B8">
            <w:pPr>
              <w:rPr>
                <w:rFonts w:ascii="Times New Roman" w:hAnsi="Times New Roman" w:cs="Times New Roman"/>
                <w:sz w:val="28"/>
                <w:szCs w:val="28"/>
                <w:lang w:val="kk-KZ"/>
              </w:rPr>
            </w:pPr>
          </w:p>
          <w:p w14:paraId="6A78E828" w14:textId="1CA9D51E" w:rsidR="00C10723" w:rsidRPr="00401658" w:rsidRDefault="00C10723" w:rsidP="00EB67B8">
            <w:pPr>
              <w:rPr>
                <w:rFonts w:ascii="Times New Roman" w:hAnsi="Times New Roman" w:cs="Times New Roman"/>
                <w:sz w:val="28"/>
                <w:szCs w:val="28"/>
                <w:lang w:val="en-US"/>
              </w:rPr>
            </w:pPr>
            <w:r>
              <w:rPr>
                <w:rFonts w:ascii="Times New Roman" w:hAnsi="Times New Roman" w:cs="Times New Roman"/>
                <w:sz w:val="28"/>
                <w:szCs w:val="28"/>
                <w:lang w:val="kk-KZ"/>
              </w:rPr>
              <w:t>2</w:t>
            </w:r>
            <w:r w:rsidR="00401658">
              <w:rPr>
                <w:rFonts w:ascii="Times New Roman" w:hAnsi="Times New Roman" w:cs="Times New Roman"/>
                <w:sz w:val="28"/>
                <w:szCs w:val="28"/>
                <w:lang w:val="en-US"/>
              </w:rPr>
              <w:t>30</w:t>
            </w:r>
          </w:p>
        </w:tc>
      </w:tr>
      <w:tr w:rsidR="00B42F86" w:rsidRPr="00EB67B8" w14:paraId="2742B312" w14:textId="77777777" w:rsidTr="00D35129">
        <w:tc>
          <w:tcPr>
            <w:tcW w:w="640" w:type="dxa"/>
          </w:tcPr>
          <w:p w14:paraId="55867360" w14:textId="77777777" w:rsidR="00B42F86" w:rsidRPr="00EB67B8" w:rsidRDefault="00B42F86" w:rsidP="00457CE9">
            <w:pPr>
              <w:jc w:val="center"/>
              <w:rPr>
                <w:rFonts w:ascii="Times New Roman" w:hAnsi="Times New Roman"/>
                <w:sz w:val="28"/>
                <w:szCs w:val="28"/>
              </w:rPr>
            </w:pPr>
          </w:p>
        </w:tc>
        <w:tc>
          <w:tcPr>
            <w:tcW w:w="8399" w:type="dxa"/>
          </w:tcPr>
          <w:p w14:paraId="2205194C" w14:textId="18817D8D" w:rsidR="00B42F86" w:rsidRPr="00EB67B8" w:rsidRDefault="00B42F86" w:rsidP="00EB67B8">
            <w:pPr>
              <w:rPr>
                <w:rFonts w:ascii="Times New Roman" w:hAnsi="Times New Roman"/>
                <w:b/>
                <w:sz w:val="28"/>
                <w:szCs w:val="28"/>
                <w:lang w:val="kk-KZ"/>
              </w:rPr>
            </w:pPr>
            <w:r w:rsidRPr="00645B0F">
              <w:rPr>
                <w:rFonts w:ascii="Times New Roman" w:eastAsia="Times New Roman" w:hAnsi="Times New Roman" w:cs="Times New Roman"/>
                <w:b/>
                <w:bCs/>
                <w:kern w:val="36"/>
                <w:sz w:val="28"/>
                <w:szCs w:val="28"/>
                <w:lang w:val="kk-KZ" w:eastAsia="ru-RU"/>
              </w:rPr>
              <w:t xml:space="preserve">ҚОСЫМША </w:t>
            </w:r>
            <w:r>
              <w:rPr>
                <w:rFonts w:ascii="Times New Roman" w:eastAsia="Times New Roman" w:hAnsi="Times New Roman" w:cs="Times New Roman"/>
                <w:b/>
                <w:bCs/>
                <w:kern w:val="36"/>
                <w:sz w:val="28"/>
                <w:szCs w:val="28"/>
                <w:lang w:val="kk-KZ" w:eastAsia="ru-RU"/>
              </w:rPr>
              <w:t xml:space="preserve">Б </w:t>
            </w:r>
            <w:r>
              <w:rPr>
                <w:rFonts w:ascii="Times New Roman" w:eastAsia="Times New Roman" w:hAnsi="Times New Roman" w:cs="Times New Roman"/>
                <w:kern w:val="36"/>
                <w:sz w:val="28"/>
                <w:szCs w:val="28"/>
                <w:lang w:val="kk-KZ" w:eastAsia="ru-RU"/>
              </w:rPr>
              <w:t xml:space="preserve">– </w:t>
            </w:r>
            <w:r w:rsidRPr="00E27BED">
              <w:rPr>
                <w:rFonts w:ascii="Times New Roman" w:eastAsia="Times New Roman" w:hAnsi="Times New Roman" w:cs="Times New Roman"/>
                <w:kern w:val="36"/>
                <w:sz w:val="28"/>
                <w:szCs w:val="28"/>
                <w:lang w:val="kk-KZ" w:eastAsia="ru-RU"/>
              </w:rPr>
              <w:t xml:space="preserve">ҚР АӨК дамытудың 2021-2025 жж. ұлттық жобасындағы </w:t>
            </w:r>
            <w:r w:rsidRPr="00E27BED">
              <w:rPr>
                <w:rFonts w:ascii="Times New Roman" w:hAnsi="Times New Roman" w:cs="Times New Roman"/>
                <w:sz w:val="28"/>
                <w:szCs w:val="28"/>
                <w:lang w:val="kk-KZ"/>
              </w:rPr>
              <w:t>өңделген өнімнің үлесін 70%-ға дейін жеткізе отырып, АӨК өнімдерінің экспортын 2 есе ұлғайту</w:t>
            </w:r>
            <w:r w:rsidRPr="00E27BED">
              <w:rPr>
                <w:rFonts w:ascii="Times New Roman" w:eastAsia="Times New Roman" w:hAnsi="Times New Roman" w:cs="Times New Roman"/>
                <w:kern w:val="36"/>
                <w:sz w:val="28"/>
                <w:szCs w:val="28"/>
                <w:lang w:val="kk-KZ" w:eastAsia="ru-RU"/>
              </w:rPr>
              <w:t xml:space="preserve"> міндетін іске асыруға арналған нәтижелі көрсеткіштер мен іс шаралар</w:t>
            </w:r>
            <w:r>
              <w:rPr>
                <w:rFonts w:ascii="Times New Roman" w:eastAsia="Times New Roman" w:hAnsi="Times New Roman" w:cs="Times New Roman"/>
                <w:kern w:val="36"/>
                <w:sz w:val="28"/>
                <w:szCs w:val="28"/>
                <w:lang w:val="kk-KZ" w:eastAsia="ru-RU"/>
              </w:rPr>
              <w:t>...................</w:t>
            </w:r>
            <w:r w:rsidR="00F00BDF">
              <w:rPr>
                <w:rFonts w:ascii="Times New Roman" w:eastAsia="Times New Roman" w:hAnsi="Times New Roman" w:cs="Times New Roman"/>
                <w:kern w:val="36"/>
                <w:sz w:val="28"/>
                <w:szCs w:val="28"/>
                <w:lang w:val="kk-KZ" w:eastAsia="ru-RU"/>
              </w:rPr>
              <w:t>................</w:t>
            </w:r>
          </w:p>
        </w:tc>
        <w:tc>
          <w:tcPr>
            <w:tcW w:w="708" w:type="dxa"/>
          </w:tcPr>
          <w:p w14:paraId="3281DC10" w14:textId="77777777" w:rsidR="00B42F86" w:rsidRDefault="00B42F86" w:rsidP="00EB67B8">
            <w:pPr>
              <w:rPr>
                <w:rFonts w:ascii="Times New Roman" w:hAnsi="Times New Roman" w:cs="Times New Roman"/>
                <w:sz w:val="28"/>
                <w:szCs w:val="28"/>
                <w:lang w:val="kk-KZ"/>
              </w:rPr>
            </w:pPr>
          </w:p>
          <w:p w14:paraId="5EC77333" w14:textId="77777777" w:rsidR="00C10723" w:rsidRDefault="00C10723" w:rsidP="00EB67B8">
            <w:pPr>
              <w:rPr>
                <w:rFonts w:ascii="Times New Roman" w:hAnsi="Times New Roman" w:cs="Times New Roman"/>
                <w:sz w:val="28"/>
                <w:szCs w:val="28"/>
                <w:lang w:val="kk-KZ"/>
              </w:rPr>
            </w:pPr>
          </w:p>
          <w:p w14:paraId="76EB9459" w14:textId="77777777" w:rsidR="00C10723" w:rsidRDefault="00C10723" w:rsidP="00EB67B8">
            <w:pPr>
              <w:rPr>
                <w:rFonts w:ascii="Times New Roman" w:hAnsi="Times New Roman" w:cs="Times New Roman"/>
                <w:sz w:val="28"/>
                <w:szCs w:val="28"/>
                <w:lang w:val="kk-KZ"/>
              </w:rPr>
            </w:pPr>
          </w:p>
          <w:p w14:paraId="38A82FE8" w14:textId="0D72319A" w:rsidR="00C10723" w:rsidRPr="00401658" w:rsidRDefault="00C10723" w:rsidP="00EB67B8">
            <w:pPr>
              <w:rPr>
                <w:rFonts w:ascii="Times New Roman" w:hAnsi="Times New Roman" w:cs="Times New Roman"/>
                <w:sz w:val="28"/>
                <w:szCs w:val="28"/>
                <w:lang w:val="en-US"/>
              </w:rPr>
            </w:pPr>
            <w:r>
              <w:rPr>
                <w:rFonts w:ascii="Times New Roman" w:hAnsi="Times New Roman" w:cs="Times New Roman"/>
                <w:sz w:val="28"/>
                <w:szCs w:val="28"/>
                <w:lang w:val="kk-KZ"/>
              </w:rPr>
              <w:t>2</w:t>
            </w:r>
            <w:r w:rsidR="003C2C20">
              <w:rPr>
                <w:rFonts w:ascii="Times New Roman" w:hAnsi="Times New Roman" w:cs="Times New Roman"/>
                <w:sz w:val="28"/>
                <w:szCs w:val="28"/>
                <w:lang w:val="kk-KZ"/>
              </w:rPr>
              <w:t>3</w:t>
            </w:r>
            <w:r w:rsidR="00401658">
              <w:rPr>
                <w:rFonts w:ascii="Times New Roman" w:hAnsi="Times New Roman" w:cs="Times New Roman"/>
                <w:sz w:val="28"/>
                <w:szCs w:val="28"/>
                <w:lang w:val="en-US"/>
              </w:rPr>
              <w:t>2</w:t>
            </w:r>
          </w:p>
        </w:tc>
      </w:tr>
      <w:tr w:rsidR="00B42F86" w:rsidRPr="00EB67B8" w14:paraId="3F0DBBE6" w14:textId="77777777" w:rsidTr="00D35129">
        <w:tc>
          <w:tcPr>
            <w:tcW w:w="640" w:type="dxa"/>
          </w:tcPr>
          <w:p w14:paraId="75255EDA" w14:textId="77777777" w:rsidR="00B42F86" w:rsidRPr="00EB67B8" w:rsidRDefault="00B42F86" w:rsidP="00457CE9">
            <w:pPr>
              <w:jc w:val="center"/>
              <w:rPr>
                <w:rFonts w:ascii="Times New Roman" w:hAnsi="Times New Roman"/>
                <w:sz w:val="28"/>
                <w:szCs w:val="28"/>
              </w:rPr>
            </w:pPr>
          </w:p>
        </w:tc>
        <w:tc>
          <w:tcPr>
            <w:tcW w:w="8399" w:type="dxa"/>
          </w:tcPr>
          <w:p w14:paraId="35B4B766" w14:textId="35F9E89B" w:rsidR="00B42F86" w:rsidRPr="00645B0F" w:rsidRDefault="00B42F86" w:rsidP="00EB67B8">
            <w:pPr>
              <w:rPr>
                <w:rFonts w:ascii="Times New Roman" w:eastAsia="Times New Roman" w:hAnsi="Times New Roman" w:cs="Times New Roman"/>
                <w:b/>
                <w:bCs/>
                <w:kern w:val="36"/>
                <w:sz w:val="28"/>
                <w:szCs w:val="28"/>
                <w:lang w:val="kk-KZ" w:eastAsia="ru-RU"/>
              </w:rPr>
            </w:pPr>
            <w:r w:rsidRPr="00645B0F">
              <w:rPr>
                <w:rFonts w:ascii="Times New Roman" w:eastAsia="Times New Roman" w:hAnsi="Times New Roman" w:cs="Times New Roman"/>
                <w:b/>
                <w:bCs/>
                <w:kern w:val="36"/>
                <w:sz w:val="28"/>
                <w:szCs w:val="28"/>
                <w:lang w:val="kk-KZ" w:eastAsia="ru-RU"/>
              </w:rPr>
              <w:t xml:space="preserve">ҚОСЫМША </w:t>
            </w:r>
            <w:r>
              <w:rPr>
                <w:rFonts w:ascii="Times New Roman" w:eastAsia="Times New Roman" w:hAnsi="Times New Roman" w:cs="Times New Roman"/>
                <w:b/>
                <w:bCs/>
                <w:kern w:val="36"/>
                <w:sz w:val="28"/>
                <w:szCs w:val="28"/>
                <w:lang w:val="kk-KZ" w:eastAsia="ru-RU"/>
              </w:rPr>
              <w:t xml:space="preserve">В </w:t>
            </w:r>
            <w:r>
              <w:rPr>
                <w:rFonts w:ascii="Times New Roman" w:eastAsia="Times New Roman" w:hAnsi="Times New Roman" w:cs="Times New Roman"/>
                <w:kern w:val="36"/>
                <w:sz w:val="28"/>
                <w:szCs w:val="28"/>
                <w:lang w:val="kk-KZ" w:eastAsia="ru-RU"/>
              </w:rPr>
              <w:t xml:space="preserve">– </w:t>
            </w:r>
            <w:r w:rsidRPr="00E27BED">
              <w:rPr>
                <w:rFonts w:ascii="Times New Roman" w:eastAsia="Times New Roman" w:hAnsi="Times New Roman" w:cs="Times New Roman"/>
                <w:kern w:val="36"/>
                <w:sz w:val="28"/>
                <w:szCs w:val="28"/>
                <w:lang w:val="kk-KZ" w:eastAsia="ru-RU"/>
              </w:rPr>
              <w:t>ҚР АӨК дамытудың 2021-2025 жж. ұлттық жобасындағы отандық өндірістің негізгі азық-түліктік тауарларымен қамтамасыз етілуі міндетін іске асыруға арналған нәтижелі көрсеткіштер мен іс-шаралар</w:t>
            </w:r>
            <w:r>
              <w:rPr>
                <w:rFonts w:ascii="Times New Roman" w:eastAsia="Times New Roman" w:hAnsi="Times New Roman" w:cs="Times New Roman"/>
                <w:kern w:val="36"/>
                <w:sz w:val="28"/>
                <w:szCs w:val="28"/>
                <w:lang w:val="kk-KZ" w:eastAsia="ru-RU"/>
              </w:rPr>
              <w:t>..................................................</w:t>
            </w:r>
            <w:r w:rsidR="00F00BDF">
              <w:rPr>
                <w:rFonts w:ascii="Times New Roman" w:eastAsia="Times New Roman" w:hAnsi="Times New Roman" w:cs="Times New Roman"/>
                <w:kern w:val="36"/>
                <w:sz w:val="28"/>
                <w:szCs w:val="28"/>
                <w:lang w:val="kk-KZ" w:eastAsia="ru-RU"/>
              </w:rPr>
              <w:t>.................</w:t>
            </w:r>
          </w:p>
        </w:tc>
        <w:tc>
          <w:tcPr>
            <w:tcW w:w="708" w:type="dxa"/>
          </w:tcPr>
          <w:p w14:paraId="71572A42" w14:textId="77777777" w:rsidR="00B42F86" w:rsidRDefault="00B42F86" w:rsidP="00EB67B8">
            <w:pPr>
              <w:rPr>
                <w:rFonts w:ascii="Times New Roman" w:hAnsi="Times New Roman" w:cs="Times New Roman"/>
                <w:sz w:val="28"/>
                <w:szCs w:val="28"/>
                <w:lang w:val="kk-KZ"/>
              </w:rPr>
            </w:pPr>
          </w:p>
          <w:p w14:paraId="02EB6447" w14:textId="77777777" w:rsidR="00C10723" w:rsidRDefault="00C10723" w:rsidP="00EB67B8">
            <w:pPr>
              <w:rPr>
                <w:rFonts w:ascii="Times New Roman" w:hAnsi="Times New Roman" w:cs="Times New Roman"/>
                <w:sz w:val="28"/>
                <w:szCs w:val="28"/>
                <w:lang w:val="kk-KZ"/>
              </w:rPr>
            </w:pPr>
          </w:p>
          <w:p w14:paraId="16CE4284" w14:textId="77777777" w:rsidR="00C10723" w:rsidRDefault="00C10723" w:rsidP="00EB67B8">
            <w:pPr>
              <w:rPr>
                <w:rFonts w:ascii="Times New Roman" w:hAnsi="Times New Roman" w:cs="Times New Roman"/>
                <w:sz w:val="28"/>
                <w:szCs w:val="28"/>
                <w:lang w:val="kk-KZ"/>
              </w:rPr>
            </w:pPr>
          </w:p>
          <w:p w14:paraId="70EC949A" w14:textId="35D45E5E" w:rsidR="00C10723" w:rsidRPr="00401658" w:rsidRDefault="00C10723" w:rsidP="00EB67B8">
            <w:pPr>
              <w:rPr>
                <w:rFonts w:ascii="Times New Roman" w:hAnsi="Times New Roman" w:cs="Times New Roman"/>
                <w:sz w:val="28"/>
                <w:szCs w:val="28"/>
                <w:lang w:val="en-US"/>
              </w:rPr>
            </w:pPr>
            <w:r>
              <w:rPr>
                <w:rFonts w:ascii="Times New Roman" w:hAnsi="Times New Roman" w:cs="Times New Roman"/>
                <w:sz w:val="28"/>
                <w:szCs w:val="28"/>
                <w:lang w:val="kk-KZ"/>
              </w:rPr>
              <w:t>2</w:t>
            </w:r>
            <w:r w:rsidR="003C2C20">
              <w:rPr>
                <w:rFonts w:ascii="Times New Roman" w:hAnsi="Times New Roman" w:cs="Times New Roman"/>
                <w:sz w:val="28"/>
                <w:szCs w:val="28"/>
                <w:lang w:val="kk-KZ"/>
              </w:rPr>
              <w:t>3</w:t>
            </w:r>
            <w:r w:rsidR="00401658">
              <w:rPr>
                <w:rFonts w:ascii="Times New Roman" w:hAnsi="Times New Roman" w:cs="Times New Roman"/>
                <w:sz w:val="28"/>
                <w:szCs w:val="28"/>
                <w:lang w:val="en-US"/>
              </w:rPr>
              <w:t>5</w:t>
            </w:r>
          </w:p>
        </w:tc>
      </w:tr>
    </w:tbl>
    <w:p w14:paraId="24F96562" w14:textId="77777777" w:rsidR="00126563" w:rsidRPr="00EB67B8" w:rsidRDefault="00126563" w:rsidP="00457CE9">
      <w:pPr>
        <w:spacing w:after="0" w:line="240" w:lineRule="auto"/>
        <w:ind w:firstLine="567"/>
        <w:rPr>
          <w:rFonts w:ascii="Times New Roman" w:hAnsi="Times New Roman" w:cs="Times New Roman"/>
          <w:sz w:val="28"/>
          <w:szCs w:val="28"/>
          <w:lang w:val="kk-KZ"/>
        </w:rPr>
      </w:pPr>
    </w:p>
    <w:p w14:paraId="0C7F969B" w14:textId="77777777" w:rsidR="00126563" w:rsidRPr="00457CE9" w:rsidRDefault="00126563" w:rsidP="00457CE9">
      <w:pPr>
        <w:spacing w:after="0" w:line="240" w:lineRule="auto"/>
        <w:ind w:firstLine="567"/>
        <w:rPr>
          <w:rFonts w:ascii="Times New Roman" w:hAnsi="Times New Roman" w:cs="Times New Roman"/>
          <w:sz w:val="28"/>
          <w:szCs w:val="28"/>
          <w:lang w:val="kk-KZ"/>
        </w:rPr>
      </w:pPr>
    </w:p>
    <w:p w14:paraId="7082F0B8" w14:textId="77777777" w:rsidR="005F775A" w:rsidRPr="00457CE9" w:rsidRDefault="005F775A" w:rsidP="00457CE9">
      <w:pPr>
        <w:spacing w:after="0" w:line="240" w:lineRule="auto"/>
        <w:ind w:firstLine="567"/>
        <w:rPr>
          <w:rFonts w:ascii="Times New Roman" w:hAnsi="Times New Roman" w:cs="Times New Roman"/>
          <w:sz w:val="28"/>
          <w:szCs w:val="28"/>
          <w:lang w:val="kk-KZ"/>
        </w:rPr>
      </w:pPr>
    </w:p>
    <w:p w14:paraId="0E0FF264" w14:textId="77777777" w:rsidR="005F775A" w:rsidRPr="00457CE9" w:rsidRDefault="005F775A" w:rsidP="00457CE9">
      <w:pPr>
        <w:spacing w:after="0" w:line="240" w:lineRule="auto"/>
        <w:ind w:firstLine="567"/>
        <w:rPr>
          <w:rFonts w:ascii="Times New Roman" w:hAnsi="Times New Roman" w:cs="Times New Roman"/>
          <w:sz w:val="28"/>
          <w:szCs w:val="28"/>
          <w:lang w:val="kk-KZ"/>
        </w:rPr>
      </w:pPr>
    </w:p>
    <w:p w14:paraId="27B9476B" w14:textId="77777777" w:rsidR="00E017EF" w:rsidRDefault="00E017EF" w:rsidP="00457CE9">
      <w:pPr>
        <w:spacing w:after="0" w:line="240" w:lineRule="auto"/>
        <w:ind w:firstLine="567"/>
        <w:rPr>
          <w:rFonts w:ascii="Times New Roman" w:hAnsi="Times New Roman"/>
          <w:sz w:val="28"/>
          <w:szCs w:val="28"/>
          <w:lang w:val="kk-KZ"/>
        </w:rPr>
      </w:pPr>
    </w:p>
    <w:p w14:paraId="4A2EE708" w14:textId="77777777" w:rsidR="001D7D7A" w:rsidRPr="00457CE9" w:rsidRDefault="001D7D7A" w:rsidP="00457CE9">
      <w:pPr>
        <w:spacing w:after="0" w:line="240" w:lineRule="auto"/>
        <w:ind w:firstLine="567"/>
        <w:rPr>
          <w:rFonts w:ascii="Times New Roman" w:hAnsi="Times New Roman"/>
          <w:sz w:val="28"/>
          <w:szCs w:val="28"/>
          <w:lang w:val="kk-KZ"/>
        </w:rPr>
      </w:pPr>
    </w:p>
    <w:p w14:paraId="2C44C845" w14:textId="77777777" w:rsidR="00E017EF" w:rsidRDefault="00E017EF" w:rsidP="00457CE9">
      <w:pPr>
        <w:spacing w:after="0" w:line="240" w:lineRule="auto"/>
        <w:ind w:firstLine="567"/>
        <w:rPr>
          <w:rFonts w:ascii="Times New Roman" w:hAnsi="Times New Roman"/>
          <w:sz w:val="28"/>
          <w:szCs w:val="28"/>
          <w:lang w:val="kk-KZ"/>
        </w:rPr>
      </w:pPr>
    </w:p>
    <w:p w14:paraId="2E3937A7" w14:textId="77777777" w:rsidR="00EB67B8" w:rsidRDefault="00EB67B8" w:rsidP="00457CE9">
      <w:pPr>
        <w:spacing w:after="0" w:line="240" w:lineRule="auto"/>
        <w:ind w:firstLine="567"/>
        <w:rPr>
          <w:rFonts w:ascii="Times New Roman" w:hAnsi="Times New Roman"/>
          <w:sz w:val="28"/>
          <w:szCs w:val="28"/>
          <w:lang w:val="kk-KZ"/>
        </w:rPr>
      </w:pPr>
    </w:p>
    <w:p w14:paraId="236EF11C" w14:textId="77777777" w:rsidR="00B42F86" w:rsidRDefault="00B42F86" w:rsidP="00457CE9">
      <w:pPr>
        <w:spacing w:after="0" w:line="240" w:lineRule="auto"/>
        <w:ind w:firstLine="567"/>
        <w:rPr>
          <w:rFonts w:ascii="Times New Roman" w:hAnsi="Times New Roman"/>
          <w:sz w:val="28"/>
          <w:szCs w:val="28"/>
          <w:lang w:val="kk-KZ"/>
        </w:rPr>
      </w:pPr>
    </w:p>
    <w:p w14:paraId="7224823B" w14:textId="77777777" w:rsidR="00B42F86" w:rsidRDefault="00B42F86" w:rsidP="00457CE9">
      <w:pPr>
        <w:spacing w:after="0" w:line="240" w:lineRule="auto"/>
        <w:ind w:firstLine="567"/>
        <w:rPr>
          <w:rFonts w:ascii="Times New Roman" w:hAnsi="Times New Roman"/>
          <w:sz w:val="28"/>
          <w:szCs w:val="28"/>
          <w:lang w:val="kk-KZ"/>
        </w:rPr>
      </w:pPr>
    </w:p>
    <w:p w14:paraId="7DA50113" w14:textId="77777777" w:rsidR="00B42F86" w:rsidRDefault="00B42F86" w:rsidP="00457CE9">
      <w:pPr>
        <w:spacing w:after="0" w:line="240" w:lineRule="auto"/>
        <w:ind w:firstLine="567"/>
        <w:rPr>
          <w:rFonts w:ascii="Times New Roman" w:hAnsi="Times New Roman"/>
          <w:sz w:val="28"/>
          <w:szCs w:val="28"/>
          <w:lang w:val="kk-KZ"/>
        </w:rPr>
      </w:pPr>
    </w:p>
    <w:p w14:paraId="3E272878" w14:textId="77777777" w:rsidR="00B42F86" w:rsidRDefault="00B42F86" w:rsidP="00457CE9">
      <w:pPr>
        <w:spacing w:after="0" w:line="240" w:lineRule="auto"/>
        <w:ind w:firstLine="567"/>
        <w:rPr>
          <w:rFonts w:ascii="Times New Roman" w:hAnsi="Times New Roman"/>
          <w:sz w:val="28"/>
          <w:szCs w:val="28"/>
          <w:lang w:val="kk-KZ"/>
        </w:rPr>
      </w:pPr>
    </w:p>
    <w:p w14:paraId="7F485317" w14:textId="77777777" w:rsidR="00B42F86" w:rsidRDefault="00B42F86" w:rsidP="00457CE9">
      <w:pPr>
        <w:spacing w:after="0" w:line="240" w:lineRule="auto"/>
        <w:ind w:firstLine="567"/>
        <w:rPr>
          <w:rFonts w:ascii="Times New Roman" w:hAnsi="Times New Roman"/>
          <w:sz w:val="28"/>
          <w:szCs w:val="28"/>
          <w:lang w:val="kk-KZ"/>
        </w:rPr>
      </w:pPr>
    </w:p>
    <w:p w14:paraId="14A88ED9" w14:textId="77777777" w:rsidR="00B42F86" w:rsidRDefault="00B42F86" w:rsidP="00457CE9">
      <w:pPr>
        <w:spacing w:after="0" w:line="240" w:lineRule="auto"/>
        <w:ind w:firstLine="567"/>
        <w:rPr>
          <w:rFonts w:ascii="Times New Roman" w:hAnsi="Times New Roman"/>
          <w:sz w:val="28"/>
          <w:szCs w:val="28"/>
          <w:lang w:val="kk-KZ"/>
        </w:rPr>
      </w:pPr>
    </w:p>
    <w:p w14:paraId="217CC71E" w14:textId="77777777" w:rsidR="00B42F86" w:rsidRDefault="00B42F86" w:rsidP="00457CE9">
      <w:pPr>
        <w:spacing w:after="0" w:line="240" w:lineRule="auto"/>
        <w:ind w:firstLine="567"/>
        <w:rPr>
          <w:rFonts w:ascii="Times New Roman" w:hAnsi="Times New Roman"/>
          <w:sz w:val="28"/>
          <w:szCs w:val="28"/>
          <w:lang w:val="kk-KZ"/>
        </w:rPr>
      </w:pPr>
    </w:p>
    <w:p w14:paraId="4AEF8AC9" w14:textId="77777777" w:rsidR="00B42F86" w:rsidRDefault="00B42F86" w:rsidP="00457CE9">
      <w:pPr>
        <w:spacing w:after="0" w:line="240" w:lineRule="auto"/>
        <w:ind w:firstLine="567"/>
        <w:rPr>
          <w:rFonts w:ascii="Times New Roman" w:hAnsi="Times New Roman"/>
          <w:sz w:val="28"/>
          <w:szCs w:val="28"/>
          <w:lang w:val="kk-KZ"/>
        </w:rPr>
      </w:pPr>
    </w:p>
    <w:p w14:paraId="62AC2665" w14:textId="77777777" w:rsidR="00B42F86" w:rsidRDefault="00B42F86" w:rsidP="00457CE9">
      <w:pPr>
        <w:spacing w:after="0" w:line="240" w:lineRule="auto"/>
        <w:ind w:firstLine="567"/>
        <w:rPr>
          <w:rFonts w:ascii="Times New Roman" w:hAnsi="Times New Roman"/>
          <w:sz w:val="28"/>
          <w:szCs w:val="28"/>
          <w:lang w:val="kk-KZ"/>
        </w:rPr>
      </w:pPr>
    </w:p>
    <w:p w14:paraId="0149E7AF" w14:textId="77777777" w:rsidR="00B42F86" w:rsidRDefault="00B42F86" w:rsidP="00457CE9">
      <w:pPr>
        <w:spacing w:after="0" w:line="240" w:lineRule="auto"/>
        <w:ind w:firstLine="567"/>
        <w:rPr>
          <w:rFonts w:ascii="Times New Roman" w:hAnsi="Times New Roman"/>
          <w:sz w:val="28"/>
          <w:szCs w:val="28"/>
          <w:lang w:val="kk-KZ"/>
        </w:rPr>
      </w:pPr>
    </w:p>
    <w:p w14:paraId="0B49C2C6" w14:textId="77777777" w:rsidR="00B42F86" w:rsidRDefault="00B42F86" w:rsidP="00457CE9">
      <w:pPr>
        <w:spacing w:after="0" w:line="240" w:lineRule="auto"/>
        <w:ind w:firstLine="567"/>
        <w:rPr>
          <w:rFonts w:ascii="Times New Roman" w:hAnsi="Times New Roman"/>
          <w:sz w:val="28"/>
          <w:szCs w:val="28"/>
          <w:lang w:val="kk-KZ"/>
        </w:rPr>
      </w:pPr>
    </w:p>
    <w:p w14:paraId="27C1E120" w14:textId="77777777" w:rsidR="00B42F86" w:rsidRDefault="00B42F86" w:rsidP="00457CE9">
      <w:pPr>
        <w:spacing w:after="0" w:line="240" w:lineRule="auto"/>
        <w:ind w:firstLine="567"/>
        <w:rPr>
          <w:rFonts w:ascii="Times New Roman" w:hAnsi="Times New Roman"/>
          <w:sz w:val="28"/>
          <w:szCs w:val="28"/>
          <w:lang w:val="kk-KZ"/>
        </w:rPr>
      </w:pPr>
    </w:p>
    <w:p w14:paraId="53E65AA2" w14:textId="77777777" w:rsidR="00B42F86" w:rsidRDefault="00B42F86" w:rsidP="00457CE9">
      <w:pPr>
        <w:spacing w:after="0" w:line="240" w:lineRule="auto"/>
        <w:ind w:firstLine="567"/>
        <w:rPr>
          <w:rFonts w:ascii="Times New Roman" w:hAnsi="Times New Roman"/>
          <w:sz w:val="28"/>
          <w:szCs w:val="28"/>
          <w:lang w:val="kk-KZ"/>
        </w:rPr>
      </w:pPr>
    </w:p>
    <w:p w14:paraId="472FDE6B" w14:textId="77777777" w:rsidR="00B42F86" w:rsidRDefault="00B42F86" w:rsidP="00457CE9">
      <w:pPr>
        <w:spacing w:after="0" w:line="240" w:lineRule="auto"/>
        <w:ind w:firstLine="567"/>
        <w:rPr>
          <w:rFonts w:ascii="Times New Roman" w:hAnsi="Times New Roman"/>
          <w:sz w:val="28"/>
          <w:szCs w:val="28"/>
          <w:lang w:val="kk-KZ"/>
        </w:rPr>
      </w:pPr>
    </w:p>
    <w:p w14:paraId="12747DC6" w14:textId="77777777" w:rsidR="00B42F86" w:rsidRDefault="00B42F86" w:rsidP="00457CE9">
      <w:pPr>
        <w:spacing w:after="0" w:line="240" w:lineRule="auto"/>
        <w:ind w:firstLine="567"/>
        <w:rPr>
          <w:rFonts w:ascii="Times New Roman" w:hAnsi="Times New Roman"/>
          <w:sz w:val="28"/>
          <w:szCs w:val="28"/>
          <w:lang w:val="kk-KZ"/>
        </w:rPr>
      </w:pPr>
    </w:p>
    <w:p w14:paraId="1A09D2AC" w14:textId="77777777" w:rsidR="00B42F86" w:rsidRDefault="00B42F86" w:rsidP="00457CE9">
      <w:pPr>
        <w:spacing w:after="0" w:line="240" w:lineRule="auto"/>
        <w:ind w:firstLine="567"/>
        <w:rPr>
          <w:rFonts w:ascii="Times New Roman" w:hAnsi="Times New Roman"/>
          <w:sz w:val="28"/>
          <w:szCs w:val="28"/>
          <w:lang w:val="kk-KZ"/>
        </w:rPr>
      </w:pPr>
    </w:p>
    <w:p w14:paraId="05E3DDBD" w14:textId="77777777" w:rsidR="00B42F86" w:rsidRDefault="00B42F86" w:rsidP="00457CE9">
      <w:pPr>
        <w:spacing w:after="0" w:line="240" w:lineRule="auto"/>
        <w:ind w:firstLine="567"/>
        <w:rPr>
          <w:rFonts w:ascii="Times New Roman" w:hAnsi="Times New Roman"/>
          <w:sz w:val="28"/>
          <w:szCs w:val="28"/>
          <w:lang w:val="kk-KZ"/>
        </w:rPr>
      </w:pPr>
    </w:p>
    <w:p w14:paraId="11BE598E" w14:textId="77777777" w:rsidR="00B42F86" w:rsidRDefault="00B42F86" w:rsidP="00457CE9">
      <w:pPr>
        <w:spacing w:after="0" w:line="240" w:lineRule="auto"/>
        <w:ind w:firstLine="567"/>
        <w:rPr>
          <w:rFonts w:ascii="Times New Roman" w:hAnsi="Times New Roman"/>
          <w:sz w:val="28"/>
          <w:szCs w:val="28"/>
          <w:lang w:val="kk-KZ"/>
        </w:rPr>
      </w:pPr>
    </w:p>
    <w:p w14:paraId="4E7E5169" w14:textId="77777777" w:rsidR="00B42F86" w:rsidRDefault="00B42F86" w:rsidP="00457CE9">
      <w:pPr>
        <w:spacing w:after="0" w:line="240" w:lineRule="auto"/>
        <w:ind w:firstLine="567"/>
        <w:rPr>
          <w:rFonts w:ascii="Times New Roman" w:hAnsi="Times New Roman"/>
          <w:sz w:val="28"/>
          <w:szCs w:val="28"/>
          <w:lang w:val="kk-KZ"/>
        </w:rPr>
      </w:pPr>
    </w:p>
    <w:p w14:paraId="5F060528" w14:textId="77777777" w:rsidR="00B42F86" w:rsidRDefault="00B42F86" w:rsidP="00457CE9">
      <w:pPr>
        <w:spacing w:after="0" w:line="240" w:lineRule="auto"/>
        <w:ind w:firstLine="567"/>
        <w:rPr>
          <w:rFonts w:ascii="Times New Roman" w:hAnsi="Times New Roman"/>
          <w:sz w:val="28"/>
          <w:szCs w:val="28"/>
          <w:lang w:val="kk-KZ"/>
        </w:rPr>
      </w:pPr>
    </w:p>
    <w:p w14:paraId="0500AB79" w14:textId="77777777" w:rsidR="00B42F86" w:rsidRDefault="00B42F86" w:rsidP="00457CE9">
      <w:pPr>
        <w:spacing w:after="0" w:line="240" w:lineRule="auto"/>
        <w:ind w:firstLine="567"/>
        <w:rPr>
          <w:rFonts w:ascii="Times New Roman" w:hAnsi="Times New Roman"/>
          <w:sz w:val="28"/>
          <w:szCs w:val="28"/>
          <w:lang w:val="kk-KZ"/>
        </w:rPr>
      </w:pPr>
    </w:p>
    <w:p w14:paraId="05BEEF91" w14:textId="77777777" w:rsidR="00B42F86" w:rsidRDefault="00B42F86" w:rsidP="00457CE9">
      <w:pPr>
        <w:spacing w:after="0" w:line="240" w:lineRule="auto"/>
        <w:ind w:firstLine="567"/>
        <w:rPr>
          <w:rFonts w:ascii="Times New Roman" w:hAnsi="Times New Roman"/>
          <w:sz w:val="28"/>
          <w:szCs w:val="28"/>
          <w:lang w:val="kk-KZ"/>
        </w:rPr>
      </w:pPr>
    </w:p>
    <w:p w14:paraId="08F94068" w14:textId="77777777" w:rsidR="00B42F86" w:rsidRDefault="00B42F86" w:rsidP="00457CE9">
      <w:pPr>
        <w:spacing w:after="0" w:line="240" w:lineRule="auto"/>
        <w:ind w:firstLine="567"/>
        <w:rPr>
          <w:rFonts w:ascii="Times New Roman" w:hAnsi="Times New Roman"/>
          <w:sz w:val="28"/>
          <w:szCs w:val="28"/>
          <w:lang w:val="kk-KZ"/>
        </w:rPr>
      </w:pPr>
    </w:p>
    <w:p w14:paraId="5D288822" w14:textId="77777777" w:rsidR="00B42F86" w:rsidRDefault="00B42F86" w:rsidP="00457CE9">
      <w:pPr>
        <w:spacing w:after="0" w:line="240" w:lineRule="auto"/>
        <w:ind w:firstLine="567"/>
        <w:rPr>
          <w:rFonts w:ascii="Times New Roman" w:hAnsi="Times New Roman"/>
          <w:sz w:val="28"/>
          <w:szCs w:val="28"/>
          <w:lang w:val="kk-KZ"/>
        </w:rPr>
      </w:pPr>
    </w:p>
    <w:p w14:paraId="76FB5C96" w14:textId="77777777" w:rsidR="00B42F86" w:rsidRDefault="00B42F86" w:rsidP="00457CE9">
      <w:pPr>
        <w:spacing w:after="0" w:line="240" w:lineRule="auto"/>
        <w:ind w:firstLine="567"/>
        <w:rPr>
          <w:rFonts w:ascii="Times New Roman" w:hAnsi="Times New Roman"/>
          <w:sz w:val="28"/>
          <w:szCs w:val="28"/>
          <w:lang w:val="kk-KZ"/>
        </w:rPr>
      </w:pPr>
    </w:p>
    <w:p w14:paraId="241BD756" w14:textId="77777777" w:rsidR="00B42F86" w:rsidRDefault="00B42F86" w:rsidP="00457CE9">
      <w:pPr>
        <w:spacing w:after="0" w:line="240" w:lineRule="auto"/>
        <w:ind w:firstLine="567"/>
        <w:rPr>
          <w:rFonts w:ascii="Times New Roman" w:hAnsi="Times New Roman"/>
          <w:sz w:val="28"/>
          <w:szCs w:val="28"/>
          <w:lang w:val="kk-KZ"/>
        </w:rPr>
      </w:pPr>
    </w:p>
    <w:p w14:paraId="5B20C6D9" w14:textId="77777777" w:rsidR="00B42F86" w:rsidRDefault="00B42F86" w:rsidP="00457CE9">
      <w:pPr>
        <w:spacing w:after="0" w:line="240" w:lineRule="auto"/>
        <w:ind w:firstLine="567"/>
        <w:rPr>
          <w:rFonts w:ascii="Times New Roman" w:hAnsi="Times New Roman"/>
          <w:sz w:val="28"/>
          <w:szCs w:val="28"/>
          <w:lang w:val="kk-KZ"/>
        </w:rPr>
      </w:pPr>
    </w:p>
    <w:p w14:paraId="13794D0C" w14:textId="77777777" w:rsidR="00B42F86" w:rsidRDefault="00B42F86" w:rsidP="00457CE9">
      <w:pPr>
        <w:spacing w:after="0" w:line="240" w:lineRule="auto"/>
        <w:ind w:firstLine="567"/>
        <w:rPr>
          <w:rFonts w:ascii="Times New Roman" w:hAnsi="Times New Roman"/>
          <w:sz w:val="28"/>
          <w:szCs w:val="28"/>
          <w:lang w:val="kk-KZ"/>
        </w:rPr>
      </w:pPr>
    </w:p>
    <w:p w14:paraId="2F8D9383" w14:textId="77777777" w:rsidR="00B42F86" w:rsidRDefault="00B42F86" w:rsidP="00457CE9">
      <w:pPr>
        <w:spacing w:after="0" w:line="240" w:lineRule="auto"/>
        <w:ind w:firstLine="567"/>
        <w:rPr>
          <w:rFonts w:ascii="Times New Roman" w:hAnsi="Times New Roman"/>
          <w:sz w:val="28"/>
          <w:szCs w:val="28"/>
          <w:lang w:val="kk-KZ"/>
        </w:rPr>
      </w:pPr>
    </w:p>
    <w:p w14:paraId="5E50FFD1" w14:textId="77777777" w:rsidR="00377295" w:rsidRDefault="00377295" w:rsidP="00457CE9">
      <w:pPr>
        <w:spacing w:after="0" w:line="240" w:lineRule="auto"/>
        <w:ind w:firstLine="567"/>
        <w:rPr>
          <w:rFonts w:ascii="Times New Roman" w:hAnsi="Times New Roman"/>
          <w:sz w:val="28"/>
          <w:szCs w:val="28"/>
          <w:lang w:val="kk-KZ"/>
        </w:rPr>
      </w:pPr>
    </w:p>
    <w:p w14:paraId="2821B0F3" w14:textId="77777777" w:rsidR="00377295" w:rsidRDefault="00377295" w:rsidP="00457CE9">
      <w:pPr>
        <w:spacing w:after="0" w:line="240" w:lineRule="auto"/>
        <w:ind w:firstLine="567"/>
        <w:rPr>
          <w:rFonts w:ascii="Times New Roman" w:hAnsi="Times New Roman"/>
          <w:sz w:val="28"/>
          <w:szCs w:val="28"/>
          <w:lang w:val="kk-KZ"/>
        </w:rPr>
      </w:pPr>
    </w:p>
    <w:p w14:paraId="6C943096" w14:textId="77777777" w:rsidR="00C10723" w:rsidRDefault="00C10723" w:rsidP="00457CE9">
      <w:pPr>
        <w:spacing w:after="0" w:line="240" w:lineRule="auto"/>
        <w:ind w:firstLine="567"/>
        <w:rPr>
          <w:rFonts w:ascii="Times New Roman" w:hAnsi="Times New Roman"/>
          <w:sz w:val="28"/>
          <w:szCs w:val="28"/>
          <w:lang w:val="kk-KZ"/>
        </w:rPr>
      </w:pPr>
    </w:p>
    <w:p w14:paraId="32F08069" w14:textId="77777777" w:rsidR="00C10723" w:rsidRDefault="00C10723" w:rsidP="00457CE9">
      <w:pPr>
        <w:spacing w:after="0" w:line="240" w:lineRule="auto"/>
        <w:ind w:firstLine="567"/>
        <w:rPr>
          <w:rFonts w:ascii="Times New Roman" w:hAnsi="Times New Roman"/>
          <w:sz w:val="28"/>
          <w:szCs w:val="28"/>
          <w:lang w:val="kk-KZ"/>
        </w:rPr>
      </w:pPr>
    </w:p>
    <w:p w14:paraId="1470EB0B" w14:textId="77777777" w:rsidR="00334F89" w:rsidRDefault="00334F89" w:rsidP="00334F89">
      <w:pPr>
        <w:spacing w:after="0" w:line="240" w:lineRule="auto"/>
        <w:ind w:firstLine="567"/>
        <w:rPr>
          <w:rFonts w:ascii="Times New Roman" w:hAnsi="Times New Roman"/>
          <w:b/>
          <w:bCs/>
          <w:sz w:val="28"/>
          <w:szCs w:val="28"/>
          <w:lang w:val="kk-KZ"/>
        </w:rPr>
      </w:pPr>
      <w:r>
        <w:rPr>
          <w:rFonts w:ascii="Times New Roman" w:hAnsi="Times New Roman"/>
          <w:b/>
          <w:bCs/>
          <w:sz w:val="28"/>
          <w:szCs w:val="28"/>
          <w:lang w:val="kk-KZ"/>
        </w:rPr>
        <w:t xml:space="preserve">НОРМАТИВТІК СІЛТЕМЕЛЕР </w:t>
      </w:r>
    </w:p>
    <w:p w14:paraId="4AF5B1BA" w14:textId="77777777" w:rsidR="00334F89" w:rsidRDefault="00334F89" w:rsidP="00334F89">
      <w:pPr>
        <w:spacing w:after="0" w:line="240" w:lineRule="auto"/>
        <w:ind w:firstLine="567"/>
        <w:rPr>
          <w:rFonts w:ascii="Times New Roman" w:hAnsi="Times New Roman"/>
          <w:sz w:val="28"/>
          <w:szCs w:val="28"/>
          <w:lang w:val="kk-KZ"/>
        </w:rPr>
      </w:pPr>
    </w:p>
    <w:p w14:paraId="4EB01745" w14:textId="6EC040A2" w:rsidR="00334F89" w:rsidRPr="006D4672" w:rsidRDefault="00334F89" w:rsidP="0097172E">
      <w:pPr>
        <w:pStyle w:val="a5"/>
        <w:numPr>
          <w:ilvl w:val="0"/>
          <w:numId w:val="49"/>
        </w:numPr>
        <w:tabs>
          <w:tab w:val="left" w:pos="1134"/>
        </w:tabs>
        <w:spacing w:after="0" w:line="240" w:lineRule="auto"/>
        <w:ind w:left="0" w:firstLine="709"/>
        <w:jc w:val="both"/>
        <w:rPr>
          <w:lang w:val="kk-KZ"/>
        </w:rPr>
      </w:pPr>
      <w:r w:rsidRPr="006D4672">
        <w:rPr>
          <w:rFonts w:ascii="Times New Roman" w:hAnsi="Times New Roman"/>
          <w:sz w:val="28"/>
          <w:szCs w:val="28"/>
          <w:shd w:val="clear" w:color="auto" w:fill="FFFFFF"/>
          <w:lang w:val="kk-KZ"/>
        </w:rPr>
        <w:t xml:space="preserve">Мемлекеттік аудит және қаржылық бақылау туралы ҚР заңы </w:t>
      </w:r>
      <w:hyperlink r:id="rId8" w:history="1">
        <w:r w:rsidRPr="006D4672">
          <w:rPr>
            <w:rStyle w:val="a4"/>
            <w:color w:val="auto"/>
            <w:sz w:val="28"/>
            <w:szCs w:val="28"/>
            <w:u w:val="none"/>
            <w:lang w:val="kk-KZ"/>
          </w:rPr>
          <w:t xml:space="preserve">Мемлекеттік аудит және қаржылық бақылау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53FF2BB7" w14:textId="504B3206" w:rsidR="00334F89" w:rsidRPr="006D4672" w:rsidRDefault="0097172E"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hyperlink r:id="rId9" w:history="1">
        <w:r w:rsidR="00334F89" w:rsidRPr="006D4672">
          <w:rPr>
            <w:rStyle w:val="a4"/>
            <w:color w:val="auto"/>
            <w:sz w:val="28"/>
            <w:szCs w:val="28"/>
            <w:u w:val="none"/>
          </w:rPr>
          <w:t xml:space="preserve">Об утверждении процедурных стандартов внешнего государственного аудита и финансового контроля - ИПС </w:t>
        </w:r>
        <w:r w:rsidR="00E535DA">
          <w:rPr>
            <w:rStyle w:val="a4"/>
            <w:color w:val="auto"/>
            <w:sz w:val="28"/>
            <w:szCs w:val="28"/>
            <w:u w:val="none"/>
            <w:lang w:val="kk-KZ"/>
          </w:rPr>
          <w:t>«</w:t>
        </w:r>
        <w:r w:rsidR="00334F89" w:rsidRPr="006D4672">
          <w:rPr>
            <w:rStyle w:val="a4"/>
            <w:color w:val="auto"/>
            <w:sz w:val="28"/>
            <w:szCs w:val="28"/>
            <w:u w:val="none"/>
          </w:rPr>
          <w:t>Әділет</w:t>
        </w:r>
        <w:r w:rsidR="00E535DA">
          <w:rPr>
            <w:rStyle w:val="a4"/>
            <w:color w:val="auto"/>
            <w:sz w:val="28"/>
            <w:szCs w:val="28"/>
            <w:u w:val="none"/>
            <w:lang w:val="kk-KZ"/>
          </w:rPr>
          <w:t xml:space="preserve">» </w:t>
        </w:r>
        <w:r w:rsidR="00334F89" w:rsidRPr="006D4672">
          <w:rPr>
            <w:rStyle w:val="a4"/>
            <w:color w:val="auto"/>
            <w:sz w:val="28"/>
            <w:szCs w:val="28"/>
            <w:u w:val="none"/>
          </w:rPr>
          <w:t>(zan.kz)</w:t>
        </w:r>
      </w:hyperlink>
    </w:p>
    <w:p w14:paraId="7F3CE145" w14:textId="70E66080" w:rsidR="00334F89" w:rsidRPr="006D4672" w:rsidRDefault="0097172E"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hyperlink r:id="rId10" w:history="1">
        <w:r w:rsidR="00334F89" w:rsidRPr="006D4672">
          <w:rPr>
            <w:rStyle w:val="a4"/>
            <w:color w:val="auto"/>
            <w:sz w:val="28"/>
            <w:szCs w:val="28"/>
            <w:u w:val="none"/>
            <w:lang w:val="kk-KZ"/>
          </w:rPr>
          <w:t xml:space="preserve">Сыртқы мемлекеттік аудит және қаржылық бақылау жүргізу қағидаларын бекіту туралы </w:t>
        </w:r>
        <w:r w:rsidR="00E535DA">
          <w:rPr>
            <w:rStyle w:val="a4"/>
            <w:color w:val="auto"/>
            <w:sz w:val="28"/>
            <w:szCs w:val="28"/>
            <w:u w:val="none"/>
            <w:lang w:val="kk-KZ"/>
          </w:rPr>
          <w:t>–</w:t>
        </w:r>
        <w:r w:rsidR="00334F89" w:rsidRPr="006D4672">
          <w:rPr>
            <w:rStyle w:val="a4"/>
            <w:color w:val="auto"/>
            <w:sz w:val="28"/>
            <w:szCs w:val="28"/>
            <w:u w:val="none"/>
            <w:lang w:val="kk-KZ"/>
          </w:rPr>
          <w:t xml:space="preserve"> </w:t>
        </w:r>
        <w:r w:rsidR="00E535DA">
          <w:rPr>
            <w:rStyle w:val="a4"/>
            <w:color w:val="auto"/>
            <w:sz w:val="28"/>
            <w:szCs w:val="28"/>
            <w:u w:val="none"/>
            <w:lang w:val="kk-KZ"/>
          </w:rPr>
          <w:t>«</w:t>
        </w:r>
        <w:r w:rsidR="00334F89" w:rsidRPr="006D4672">
          <w:rPr>
            <w:rStyle w:val="a4"/>
            <w:color w:val="auto"/>
            <w:sz w:val="28"/>
            <w:szCs w:val="28"/>
            <w:u w:val="none"/>
            <w:lang w:val="kk-KZ"/>
          </w:rPr>
          <w:t>Әділет</w:t>
        </w:r>
        <w:r w:rsidR="00E535DA">
          <w:rPr>
            <w:rStyle w:val="a4"/>
            <w:color w:val="auto"/>
            <w:sz w:val="28"/>
            <w:szCs w:val="28"/>
            <w:u w:val="none"/>
            <w:lang w:val="kk-KZ"/>
          </w:rPr>
          <w:t>»</w:t>
        </w:r>
        <w:r w:rsidR="00334F89" w:rsidRPr="006D4672">
          <w:rPr>
            <w:rStyle w:val="a4"/>
            <w:color w:val="auto"/>
            <w:sz w:val="28"/>
            <w:szCs w:val="28"/>
            <w:u w:val="none"/>
            <w:lang w:val="kk-KZ"/>
          </w:rPr>
          <w:t xml:space="preserve"> АҚЖ (zan.kz)</w:t>
        </w:r>
      </w:hyperlink>
    </w:p>
    <w:p w14:paraId="5D9B1371" w14:textId="297F7809" w:rsidR="00334F89" w:rsidRPr="006D4672" w:rsidRDefault="00334F89" w:rsidP="0097172E">
      <w:pPr>
        <w:pStyle w:val="a5"/>
        <w:numPr>
          <w:ilvl w:val="0"/>
          <w:numId w:val="49"/>
        </w:numPr>
        <w:tabs>
          <w:tab w:val="left" w:pos="1134"/>
          <w:tab w:val="left" w:pos="1276"/>
        </w:tabs>
        <w:spacing w:after="0" w:line="240" w:lineRule="auto"/>
        <w:ind w:left="0" w:firstLine="709"/>
        <w:jc w:val="both"/>
        <w:rPr>
          <w:rFonts w:ascii="Times New Roman" w:hAnsi="Times New Roman"/>
          <w:sz w:val="28"/>
          <w:szCs w:val="28"/>
          <w:lang w:val="kk-KZ"/>
        </w:rPr>
      </w:pPr>
      <w:r w:rsidRPr="006D4672">
        <w:rPr>
          <w:rFonts w:ascii="Times New Roman" w:hAnsi="Times New Roman"/>
          <w:sz w:val="28"/>
          <w:szCs w:val="28"/>
          <w:lang w:val="kk-KZ"/>
        </w:rPr>
        <w:t xml:space="preserve">Ішкі мемлекеттік аудит пен қаржылық бақылауды жүргізу бойынша стандарт </w:t>
      </w:r>
      <w:hyperlink r:id="rId11" w:history="1">
        <w:r w:rsidRPr="006D4672">
          <w:rPr>
            <w:rStyle w:val="a4"/>
            <w:color w:val="auto"/>
            <w:sz w:val="28"/>
            <w:szCs w:val="28"/>
            <w:u w:val="none"/>
            <w:lang w:val="kk-KZ"/>
          </w:rPr>
          <w:t xml:space="preserve">Ішкі мемлекеттік аудит және қаржылық бақылау жүргізу қағидаларын бекіту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2145CE2A" w14:textId="01054130"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eastAsia="zh-CN"/>
        </w:rPr>
        <w:t xml:space="preserve">Стратегия 2050, </w:t>
      </w:r>
      <w:hyperlink r:id="rId12" w:history="1">
        <w:r w:rsidRPr="006D4672">
          <w:rPr>
            <w:rStyle w:val="a4"/>
            <w:color w:val="auto"/>
            <w:sz w:val="28"/>
            <w:szCs w:val="28"/>
            <w:u w:val="none"/>
          </w:rPr>
          <w:t xml:space="preserve">Стратегия </w:t>
        </w:r>
        <w:r w:rsidR="00E535DA">
          <w:rPr>
            <w:rStyle w:val="a4"/>
            <w:color w:val="auto"/>
            <w:sz w:val="28"/>
            <w:szCs w:val="28"/>
            <w:u w:val="none"/>
            <w:lang w:val="kk-KZ"/>
          </w:rPr>
          <w:t>«</w:t>
        </w:r>
        <w:r w:rsidRPr="006D4672">
          <w:rPr>
            <w:rStyle w:val="a4"/>
            <w:color w:val="auto"/>
            <w:sz w:val="28"/>
            <w:szCs w:val="28"/>
            <w:u w:val="none"/>
          </w:rPr>
          <w:t>Казахстан-2050</w:t>
        </w:r>
        <w:r w:rsidR="00E535DA">
          <w:rPr>
            <w:rStyle w:val="a4"/>
            <w:color w:val="auto"/>
            <w:sz w:val="28"/>
            <w:szCs w:val="28"/>
            <w:u w:val="none"/>
            <w:lang w:val="kk-KZ"/>
          </w:rPr>
          <w:t>»</w:t>
        </w:r>
        <w:r w:rsidRPr="006D4672">
          <w:rPr>
            <w:rStyle w:val="a4"/>
            <w:color w:val="auto"/>
            <w:sz w:val="28"/>
            <w:szCs w:val="28"/>
            <w:u w:val="none"/>
          </w:rPr>
          <w:t xml:space="preserve">: новый политический курс состоявшегося государства - ИПС </w:t>
        </w:r>
        <w:r w:rsidR="00E535DA">
          <w:rPr>
            <w:rStyle w:val="a4"/>
            <w:color w:val="auto"/>
            <w:sz w:val="28"/>
            <w:szCs w:val="28"/>
            <w:u w:val="none"/>
            <w:lang w:val="kk-KZ"/>
          </w:rPr>
          <w:t>«</w:t>
        </w:r>
        <w:r w:rsidRPr="006D4672">
          <w:rPr>
            <w:rStyle w:val="a4"/>
            <w:color w:val="auto"/>
            <w:sz w:val="28"/>
            <w:szCs w:val="28"/>
            <w:u w:val="none"/>
          </w:rPr>
          <w:t>Әділет</w:t>
        </w:r>
        <w:r w:rsidR="00E535DA">
          <w:rPr>
            <w:rStyle w:val="a4"/>
            <w:color w:val="auto"/>
            <w:sz w:val="28"/>
            <w:szCs w:val="28"/>
            <w:u w:val="none"/>
            <w:lang w:val="kk-KZ"/>
          </w:rPr>
          <w:t>»</w:t>
        </w:r>
        <w:r w:rsidRPr="006D4672">
          <w:rPr>
            <w:rStyle w:val="a4"/>
            <w:color w:val="auto"/>
            <w:sz w:val="28"/>
            <w:szCs w:val="28"/>
            <w:u w:val="none"/>
          </w:rPr>
          <w:t xml:space="preserve"> (zan.kz)</w:t>
        </w:r>
      </w:hyperlink>
    </w:p>
    <w:p w14:paraId="0E02DB41" w14:textId="48500049"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rPr>
        <w:t xml:space="preserve"> 900. Республикалық бюджетті атқарылуын кейіннен бағалау бойынша стандарт </w:t>
      </w:r>
      <w:hyperlink r:id="rId13" w:history="1">
        <w:r w:rsidRPr="006D4672">
          <w:rPr>
            <w:rStyle w:val="a4"/>
            <w:color w:val="auto"/>
            <w:sz w:val="28"/>
            <w:szCs w:val="28"/>
            <w:u w:val="none"/>
          </w:rPr>
          <w:t xml:space="preserve">Об утверждении процедурных стандартов внешнего государственного аудита и финансового контроля - ИПС </w:t>
        </w:r>
        <w:r w:rsidR="00E535DA">
          <w:rPr>
            <w:rStyle w:val="a4"/>
            <w:color w:val="auto"/>
            <w:sz w:val="28"/>
            <w:szCs w:val="28"/>
            <w:u w:val="none"/>
            <w:lang w:val="kk-KZ"/>
          </w:rPr>
          <w:t>«</w:t>
        </w:r>
        <w:r w:rsidRPr="006D4672">
          <w:rPr>
            <w:rStyle w:val="a4"/>
            <w:color w:val="auto"/>
            <w:sz w:val="28"/>
            <w:szCs w:val="28"/>
            <w:u w:val="none"/>
          </w:rPr>
          <w:t>Әділет</w:t>
        </w:r>
        <w:r w:rsidR="00E535DA">
          <w:rPr>
            <w:rStyle w:val="a4"/>
            <w:color w:val="auto"/>
            <w:sz w:val="28"/>
            <w:szCs w:val="28"/>
            <w:u w:val="none"/>
            <w:lang w:val="kk-KZ"/>
          </w:rPr>
          <w:t>»</w:t>
        </w:r>
        <w:r w:rsidRPr="006D4672">
          <w:rPr>
            <w:rStyle w:val="a4"/>
            <w:color w:val="auto"/>
            <w:sz w:val="28"/>
            <w:szCs w:val="28"/>
            <w:u w:val="none"/>
          </w:rPr>
          <w:t xml:space="preserve"> (zan.kz)</w:t>
        </w:r>
      </w:hyperlink>
    </w:p>
    <w:p w14:paraId="1EA216B8" w14:textId="77777777"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rPr>
        <w:t xml:space="preserve"> 100. Тиімділік аудитін жүргізу бойынша сыртқы мемлекеттік аудиттің және қаржылық бақылаудың рәсімдік стандарты </w:t>
      </w:r>
    </w:p>
    <w:p w14:paraId="4B4E5CF8" w14:textId="3B73F9C3"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rPr>
        <w:t xml:space="preserve">Сыртқы мемлекеттік аудит және қаржылық бақылауды жүргізу тәртібі </w:t>
      </w:r>
      <w:hyperlink r:id="rId14" w:history="1">
        <w:r w:rsidRPr="006D4672">
          <w:rPr>
            <w:rStyle w:val="a4"/>
            <w:color w:val="auto"/>
            <w:sz w:val="28"/>
            <w:szCs w:val="28"/>
            <w:u w:val="none"/>
          </w:rPr>
          <w:t xml:space="preserve">Об утверждении Правил проведения внешнего государственного аудита и финансового контроля - ИПС </w:t>
        </w:r>
        <w:r w:rsidR="00E535DA">
          <w:rPr>
            <w:rStyle w:val="a4"/>
            <w:color w:val="auto"/>
            <w:sz w:val="28"/>
            <w:szCs w:val="28"/>
            <w:u w:val="none"/>
            <w:lang w:val="kk-KZ"/>
          </w:rPr>
          <w:t>«</w:t>
        </w:r>
        <w:r w:rsidRPr="006D4672">
          <w:rPr>
            <w:rStyle w:val="a4"/>
            <w:color w:val="auto"/>
            <w:sz w:val="28"/>
            <w:szCs w:val="28"/>
            <w:u w:val="none"/>
          </w:rPr>
          <w:t>Әділет</w:t>
        </w:r>
        <w:r w:rsidR="00E535DA">
          <w:rPr>
            <w:rStyle w:val="a4"/>
            <w:color w:val="auto"/>
            <w:sz w:val="28"/>
            <w:szCs w:val="28"/>
            <w:u w:val="none"/>
            <w:lang w:val="kk-KZ"/>
          </w:rPr>
          <w:t>»</w:t>
        </w:r>
        <w:r w:rsidRPr="006D4672">
          <w:rPr>
            <w:rStyle w:val="a4"/>
            <w:color w:val="auto"/>
            <w:sz w:val="28"/>
            <w:szCs w:val="28"/>
            <w:u w:val="none"/>
          </w:rPr>
          <w:t xml:space="preserve"> (zan.kz)</w:t>
        </w:r>
      </w:hyperlink>
    </w:p>
    <w:p w14:paraId="185184EA" w14:textId="66BB7934"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rPr>
        <w:t xml:space="preserve">ҚР Бюджет кодексі </w:t>
      </w:r>
      <w:hyperlink r:id="rId15" w:history="1">
        <w:r w:rsidRPr="006D4672">
          <w:rPr>
            <w:rStyle w:val="a4"/>
            <w:color w:val="auto"/>
            <w:sz w:val="28"/>
            <w:szCs w:val="28"/>
            <w:u w:val="none"/>
            <w:lang w:val="kk-KZ"/>
          </w:rPr>
          <w:t xml:space="preserve">Қазақстан Республикасының Бюджет кодексі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0A64D14A" w14:textId="7A5FC8AB"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eastAsia="zh-CN"/>
        </w:rPr>
        <w:t xml:space="preserve">«ҚР Мемлекеттік жоспарлау жүйесінің» </w:t>
      </w:r>
      <w:hyperlink r:id="rId16" w:history="1">
        <w:r w:rsidRPr="006D4672">
          <w:rPr>
            <w:rStyle w:val="a4"/>
            <w:color w:val="auto"/>
            <w:sz w:val="28"/>
            <w:szCs w:val="28"/>
            <w:u w:val="none"/>
            <w:lang w:val="kk-KZ"/>
          </w:rPr>
          <w:t xml:space="preserve">Қазақстан Республикасындағы мемлекеттік жоспарлау жүйесін бекіту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58BDB3E9" w14:textId="2EBFB4A5" w:rsidR="00334F89" w:rsidRPr="006D4672" w:rsidRDefault="00334F89" w:rsidP="0097172E">
      <w:pPr>
        <w:pStyle w:val="a5"/>
        <w:widowControl w:val="0"/>
        <w:numPr>
          <w:ilvl w:val="0"/>
          <w:numId w:val="49"/>
        </w:numPr>
        <w:tabs>
          <w:tab w:val="left" w:pos="1134"/>
          <w:tab w:val="left" w:pos="1276"/>
        </w:tabs>
        <w:spacing w:after="0" w:line="240" w:lineRule="auto"/>
        <w:ind w:left="0" w:firstLine="709"/>
        <w:jc w:val="both"/>
        <w:rPr>
          <w:rFonts w:ascii="Times New Roman" w:hAnsi="Times New Roman"/>
          <w:sz w:val="28"/>
          <w:szCs w:val="28"/>
          <w:shd w:val="clear" w:color="auto" w:fill="FFFFFF"/>
          <w:lang w:val="kk-KZ"/>
        </w:rPr>
      </w:pPr>
      <w:r w:rsidRPr="006D4672">
        <w:rPr>
          <w:rFonts w:ascii="Times New Roman" w:hAnsi="Times New Roman"/>
          <w:sz w:val="28"/>
          <w:szCs w:val="28"/>
          <w:lang w:val="kk-KZ" w:eastAsia="zh-CN"/>
        </w:rPr>
        <w:t xml:space="preserve">Мемлекет дамуының 2025 ж. дейінгі стратегиялық жоспарында </w:t>
      </w:r>
      <w:hyperlink r:id="rId17" w:history="1">
        <w:r w:rsidR="00E535DA">
          <w:rPr>
            <w:rStyle w:val="a4"/>
            <w:color w:val="auto"/>
            <w:sz w:val="28"/>
            <w:szCs w:val="28"/>
            <w:u w:val="none"/>
            <w:lang w:val="kk-KZ"/>
          </w:rPr>
          <w:t>«</w:t>
        </w:r>
        <w:r w:rsidRPr="006D4672">
          <w:rPr>
            <w:rStyle w:val="a4"/>
            <w:color w:val="auto"/>
            <w:sz w:val="28"/>
            <w:szCs w:val="28"/>
            <w:u w:val="none"/>
            <w:lang w:val="kk-KZ"/>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w:t>
        </w:r>
        <w:r w:rsidR="00E535DA">
          <w:rPr>
            <w:rStyle w:val="a4"/>
            <w:color w:val="auto"/>
            <w:sz w:val="28"/>
            <w:szCs w:val="28"/>
            <w:u w:val="none"/>
            <w:lang w:val="kk-KZ"/>
          </w:rPr>
          <w:t>»</w:t>
        </w:r>
        <w:r w:rsidRPr="006D4672">
          <w:rPr>
            <w:rStyle w:val="a4"/>
            <w:color w:val="auto"/>
            <w:sz w:val="28"/>
            <w:szCs w:val="28"/>
            <w:u w:val="none"/>
            <w:lang w:val="kk-KZ"/>
          </w:rPr>
          <w:t xml:space="preserve"> Қазақстан Республикасының Президенті Жарлығының жобасы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00ABDC0C" w14:textId="77777777"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Style w:val="a4"/>
          <w:color w:val="auto"/>
          <w:u w:val="none"/>
        </w:rPr>
      </w:pPr>
      <w:r w:rsidRPr="006D4672">
        <w:rPr>
          <w:rFonts w:ascii="Times New Roman" w:hAnsi="Times New Roman"/>
          <w:sz w:val="28"/>
          <w:szCs w:val="28"/>
          <w:lang w:val="kk-KZ"/>
        </w:rPr>
        <w:t xml:space="preserve">Исследовательская работа «Исследование методологических подходов к проведению аудита эффективности использования бюджетных средств, направленных на развитие агропромышленного комплекса с выработкой рекомендаций» </w:t>
      </w:r>
      <w:hyperlink r:id="rId18" w:history="1">
        <w:r w:rsidRPr="006D4672">
          <w:rPr>
            <w:rStyle w:val="a4"/>
            <w:color w:val="auto"/>
            <w:sz w:val="28"/>
            <w:szCs w:val="28"/>
            <w:u w:val="none"/>
            <w:lang w:val="kk-KZ"/>
          </w:rPr>
          <w:t>https://www.gov.kz/memleket/entities/esep/documents/details/270890?lang=ru</w:t>
        </w:r>
      </w:hyperlink>
    </w:p>
    <w:p w14:paraId="70965D4B" w14:textId="780A4A22"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 xml:space="preserve">Ауыл шаруашылығы өндірісін дамыту бағдарламасы ҚР Үкіметінің </w:t>
      </w:r>
      <w:r w:rsidRPr="006D4672">
        <w:rPr>
          <w:rFonts w:ascii="Times New Roman" w:hAnsi="Times New Roman"/>
          <w:kern w:val="36"/>
          <w:sz w:val="28"/>
          <w:szCs w:val="28"/>
          <w:lang w:val="kk-KZ" w:eastAsia="zh-CN"/>
        </w:rPr>
        <w:t>05.01.2000 ж. №175</w:t>
      </w:r>
      <w:hyperlink r:id="rId19" w:history="1">
        <w:r w:rsidRPr="006D4672">
          <w:rPr>
            <w:rStyle w:val="a4"/>
            <w:color w:val="auto"/>
            <w:sz w:val="28"/>
            <w:szCs w:val="28"/>
            <w:u w:val="none"/>
            <w:lang w:val="kk-KZ"/>
          </w:rPr>
          <w:t xml:space="preserve">Ауыл шаруашылығы өндірісін дамытудың 2000-2002 жылдарға арналған бағдарламасын жүзеге асыру жөніндегі Іс-шаралар жоспарын бекіту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53860BB1" w14:textId="442E6DF4"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 xml:space="preserve">Мемлекеттік аграрлық азық-түлік бағдарламасы ҚР Президентінің </w:t>
      </w:r>
      <w:r w:rsidRPr="006D4672">
        <w:rPr>
          <w:rFonts w:ascii="Times New Roman" w:hAnsi="Times New Roman"/>
          <w:kern w:val="36"/>
          <w:sz w:val="28"/>
          <w:szCs w:val="28"/>
          <w:lang w:val="kk-KZ" w:eastAsia="zh-CN"/>
        </w:rPr>
        <w:t>05.06.2002 жылы №889</w:t>
      </w:r>
      <w:r w:rsidRPr="006D4672">
        <w:rPr>
          <w:rFonts w:ascii="Times New Roman" w:eastAsia="Times New Roman" w:hAnsi="Times New Roman"/>
          <w:kern w:val="36"/>
          <w:sz w:val="28"/>
          <w:szCs w:val="28"/>
          <w:lang w:val="kk-KZ" w:eastAsia="ru-RU"/>
        </w:rPr>
        <w:t xml:space="preserve"> жарлығы</w:t>
      </w:r>
      <w:hyperlink r:id="rId20" w:history="1">
        <w:r w:rsidRPr="006D4672">
          <w:rPr>
            <w:rStyle w:val="a4"/>
            <w:color w:val="auto"/>
            <w:sz w:val="28"/>
            <w:szCs w:val="28"/>
            <w:u w:val="none"/>
            <w:lang w:val="kk-KZ"/>
          </w:rPr>
          <w:t xml:space="preserve">Қазақстан Республикасының 2003-2005 жылдарға арналған Мемлекеттік аграрлық азық-түлік бағдарламасы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587B7278" w14:textId="3C2B6F07"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 xml:space="preserve">Ауылдық аумақтарды дамытудың мемлекеттік бағдарламасы ҚР Президентінің </w:t>
      </w:r>
      <w:r w:rsidRPr="006D4672">
        <w:rPr>
          <w:rFonts w:ascii="Times New Roman" w:hAnsi="Times New Roman"/>
          <w:kern w:val="36"/>
          <w:sz w:val="28"/>
          <w:szCs w:val="28"/>
          <w:lang w:val="kk-KZ" w:eastAsia="zh-CN"/>
        </w:rPr>
        <w:t>10.07.2003 ж. №1149 бұйрығы</w:t>
      </w:r>
      <w:r w:rsidR="00B4646F" w:rsidRPr="006D4672">
        <w:rPr>
          <w:rFonts w:ascii="Times New Roman" w:hAnsi="Times New Roman"/>
          <w:kern w:val="36"/>
          <w:sz w:val="28"/>
          <w:szCs w:val="28"/>
          <w:lang w:val="kk-KZ" w:eastAsia="zh-CN"/>
        </w:rPr>
        <w:t>//</w:t>
      </w:r>
      <w:hyperlink r:id="rId21" w:history="1">
        <w:r w:rsidRPr="006D4672">
          <w:rPr>
            <w:rStyle w:val="a4"/>
            <w:color w:val="auto"/>
            <w:sz w:val="28"/>
            <w:szCs w:val="28"/>
            <w:u w:val="none"/>
            <w:lang w:val="kk-KZ"/>
          </w:rPr>
          <w:t xml:space="preserve">Қазақстан Республикасының Ауылдық аумақтарын дамытудың 2004-2010 жылдарға арналған мемлекеттiк бағдарламасы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 xml:space="preserve">» </w:t>
        </w:r>
        <w:r w:rsidRPr="006D4672">
          <w:rPr>
            <w:rStyle w:val="a4"/>
            <w:color w:val="auto"/>
            <w:sz w:val="28"/>
            <w:szCs w:val="28"/>
            <w:u w:val="none"/>
            <w:lang w:val="kk-KZ"/>
          </w:rPr>
          <w:t>АҚЖ (zan.kz)</w:t>
        </w:r>
      </w:hyperlink>
    </w:p>
    <w:p w14:paraId="12E35863" w14:textId="77777777"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 xml:space="preserve">ҚР АӨК тұрақты даму тұжырымдамасын іске асыру бойынша бірінші кезектегі шаралар бағдарламасы ҚР Үкіметінің </w:t>
      </w:r>
      <w:r w:rsidRPr="006D4672">
        <w:rPr>
          <w:rFonts w:ascii="Times New Roman" w:hAnsi="Times New Roman"/>
          <w:kern w:val="36"/>
          <w:sz w:val="28"/>
          <w:szCs w:val="28"/>
          <w:lang w:val="kk-KZ" w:eastAsia="zh-CN"/>
        </w:rPr>
        <w:t xml:space="preserve">06.03.2006 ж. </w:t>
      </w:r>
      <w:r w:rsidRPr="006D4672">
        <w:rPr>
          <w:rFonts w:ascii="Times New Roman" w:eastAsia="Times New Roman" w:hAnsi="Times New Roman"/>
          <w:kern w:val="36"/>
          <w:sz w:val="28"/>
          <w:szCs w:val="28"/>
          <w:lang w:val="kk-KZ" w:eastAsia="ru-RU"/>
        </w:rPr>
        <w:t>№</w:t>
      </w:r>
      <w:r w:rsidRPr="006D4672">
        <w:rPr>
          <w:rFonts w:ascii="Times New Roman" w:hAnsi="Times New Roman"/>
          <w:kern w:val="36"/>
          <w:sz w:val="28"/>
          <w:szCs w:val="28"/>
          <w:lang w:val="kk-KZ" w:eastAsia="zh-CN"/>
        </w:rPr>
        <w:t>149 қаулысы</w:t>
      </w:r>
    </w:p>
    <w:p w14:paraId="36C28BEE" w14:textId="5D889F78"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 xml:space="preserve">«Агробизнес – 2017» бағдарламасы ҚР Үкіметінің </w:t>
      </w:r>
      <w:r w:rsidRPr="006D4672">
        <w:rPr>
          <w:rFonts w:ascii="Times New Roman" w:hAnsi="Times New Roman"/>
          <w:kern w:val="36"/>
          <w:sz w:val="28"/>
          <w:szCs w:val="28"/>
          <w:lang w:val="kk-KZ" w:eastAsia="zh-CN"/>
        </w:rPr>
        <w:t>18.02.2013 жылғы №151 қаулысы</w:t>
      </w:r>
      <w:r w:rsidR="00B4646F" w:rsidRPr="006D4672">
        <w:rPr>
          <w:rFonts w:ascii="Times New Roman" w:hAnsi="Times New Roman"/>
          <w:kern w:val="36"/>
          <w:sz w:val="28"/>
          <w:szCs w:val="28"/>
          <w:lang w:val="kk-KZ" w:eastAsia="zh-CN"/>
        </w:rPr>
        <w:t xml:space="preserve">// </w:t>
      </w:r>
      <w:hyperlink r:id="rId22" w:history="1">
        <w:r w:rsidRPr="006D4672">
          <w:rPr>
            <w:rStyle w:val="a4"/>
            <w:color w:val="auto"/>
            <w:sz w:val="28"/>
            <w:szCs w:val="28"/>
            <w:u w:val="none"/>
            <w:lang w:val="kk-KZ"/>
          </w:rPr>
          <w:t xml:space="preserve">Қазақстан Республикасында агроөнеркәсіптік кешенді дамыту жөніндегі </w:t>
        </w:r>
        <w:r w:rsidR="00E535DA">
          <w:rPr>
            <w:rStyle w:val="a4"/>
            <w:color w:val="auto"/>
            <w:sz w:val="28"/>
            <w:szCs w:val="28"/>
            <w:u w:val="none"/>
            <w:lang w:val="kk-KZ"/>
          </w:rPr>
          <w:t>«</w:t>
        </w:r>
        <w:r w:rsidRPr="006D4672">
          <w:rPr>
            <w:rStyle w:val="a4"/>
            <w:color w:val="auto"/>
            <w:sz w:val="28"/>
            <w:szCs w:val="28"/>
            <w:u w:val="none"/>
            <w:lang w:val="kk-KZ"/>
          </w:rPr>
          <w:t>Агробизнес-2017</w:t>
        </w:r>
        <w:r w:rsidR="00E535DA">
          <w:rPr>
            <w:rStyle w:val="a4"/>
            <w:color w:val="auto"/>
            <w:sz w:val="28"/>
            <w:szCs w:val="28"/>
            <w:u w:val="none"/>
            <w:lang w:val="kk-KZ"/>
          </w:rPr>
          <w:t>»</w:t>
        </w:r>
        <w:r w:rsidRPr="006D4672">
          <w:rPr>
            <w:rStyle w:val="a4"/>
            <w:color w:val="auto"/>
            <w:sz w:val="28"/>
            <w:szCs w:val="28"/>
            <w:u w:val="none"/>
            <w:lang w:val="kk-KZ"/>
          </w:rPr>
          <w:t xml:space="preserve"> бағдарламасын бекіту туралы </w:t>
        </w:r>
        <w:r w:rsidR="00E535DA">
          <w:rPr>
            <w:rStyle w:val="a4"/>
            <w:color w:val="auto"/>
            <w:sz w:val="28"/>
            <w:szCs w:val="28"/>
            <w:u w:val="none"/>
            <w:lang w:val="kk-KZ"/>
          </w:rPr>
          <w:t>–</w:t>
        </w:r>
        <w:r w:rsidRPr="006D4672">
          <w:rPr>
            <w:rStyle w:val="a4"/>
            <w:color w:val="auto"/>
            <w:sz w:val="28"/>
            <w:szCs w:val="28"/>
            <w:u w:val="none"/>
            <w:lang w:val="kk-KZ"/>
          </w:rPr>
          <w:t xml:space="preserve"> </w:t>
        </w:r>
        <w:r w:rsidR="00E535DA">
          <w:rPr>
            <w:rStyle w:val="a4"/>
            <w:color w:val="auto"/>
            <w:sz w:val="28"/>
            <w:szCs w:val="28"/>
            <w:u w:val="none"/>
            <w:lang w:val="kk-KZ"/>
          </w:rPr>
          <w:t>«</w:t>
        </w:r>
        <w:r w:rsidRPr="006D4672">
          <w:rPr>
            <w:rStyle w:val="a4"/>
            <w:color w:val="auto"/>
            <w:sz w:val="28"/>
            <w:szCs w:val="28"/>
            <w:u w:val="none"/>
            <w:lang w:val="kk-KZ"/>
          </w:rPr>
          <w:t>Әділет</w:t>
        </w:r>
        <w:r w:rsidR="00E535DA">
          <w:rPr>
            <w:rStyle w:val="a4"/>
            <w:color w:val="auto"/>
            <w:sz w:val="28"/>
            <w:szCs w:val="28"/>
            <w:u w:val="none"/>
            <w:lang w:val="kk-KZ"/>
          </w:rPr>
          <w:t>»</w:t>
        </w:r>
        <w:r w:rsidRPr="006D4672">
          <w:rPr>
            <w:rStyle w:val="a4"/>
            <w:color w:val="auto"/>
            <w:sz w:val="28"/>
            <w:szCs w:val="28"/>
            <w:u w:val="none"/>
            <w:lang w:val="kk-KZ"/>
          </w:rPr>
          <w:t xml:space="preserve"> АҚЖ (zan.kz)</w:t>
        </w:r>
      </w:hyperlink>
    </w:p>
    <w:p w14:paraId="607F0B9E" w14:textId="4F6AE2DE"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hAnsi="Times New Roman"/>
          <w:sz w:val="28"/>
          <w:szCs w:val="28"/>
          <w:lang w:val="kk-KZ"/>
        </w:rPr>
        <w:t xml:space="preserve">ҚР АӨК 2017-2021 жж. дамытудың мемлекеттік бағдарламасы </w:t>
      </w:r>
      <w:r w:rsidR="00B4646F" w:rsidRPr="006D4672">
        <w:rPr>
          <w:rFonts w:ascii="Times New Roman" w:hAnsi="Times New Roman"/>
          <w:sz w:val="28"/>
          <w:szCs w:val="28"/>
          <w:lang w:val="kk-KZ"/>
        </w:rPr>
        <w:t>//</w:t>
      </w:r>
      <w:hyperlink r:id="rId23" w:history="1">
        <w:r w:rsidRPr="006D4672">
          <w:rPr>
            <w:rStyle w:val="a4"/>
            <w:color w:val="auto"/>
            <w:sz w:val="28"/>
            <w:szCs w:val="28"/>
            <w:u w:val="none"/>
            <w:lang w:val="kk-KZ"/>
          </w:rPr>
          <w:t>gprapk-kaz.pdf (primeminister.kz)</w:t>
        </w:r>
      </w:hyperlink>
    </w:p>
    <w:p w14:paraId="04ED844B" w14:textId="71476FC9"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№511 Ереже 24.11.2014 ж. ҚР қаржы министрлігінің бұйрығымен бекітілген «</w:t>
      </w:r>
      <w:r w:rsidR="00A10410" w:rsidRPr="006D4672">
        <w:rPr>
          <w:rFonts w:ascii="Times New Roman" w:eastAsia="Times New Roman" w:hAnsi="Times New Roman"/>
          <w:kern w:val="36"/>
          <w:sz w:val="28"/>
          <w:szCs w:val="28"/>
          <w:lang w:val="kk-KZ" w:eastAsia="ru-RU"/>
        </w:rPr>
        <w:t>Б</w:t>
      </w:r>
      <w:r w:rsidRPr="006D4672">
        <w:rPr>
          <w:rFonts w:ascii="Times New Roman" w:eastAsia="Times New Roman" w:hAnsi="Times New Roman"/>
          <w:kern w:val="36"/>
          <w:sz w:val="28"/>
          <w:szCs w:val="28"/>
          <w:lang w:val="kk-KZ" w:eastAsia="ru-RU"/>
        </w:rPr>
        <w:t>юджеттік тапсырысты әзірлеу және ұсыну тәртібі</w:t>
      </w:r>
      <w:r w:rsidR="00A10410" w:rsidRPr="006D4672">
        <w:rPr>
          <w:rFonts w:ascii="Times New Roman" w:eastAsia="Times New Roman" w:hAnsi="Times New Roman"/>
          <w:kern w:val="36"/>
          <w:sz w:val="28"/>
          <w:szCs w:val="28"/>
          <w:lang w:val="kk-KZ" w:eastAsia="ru-RU"/>
        </w:rPr>
        <w:t>»</w:t>
      </w:r>
    </w:p>
    <w:p w14:paraId="26F8E732" w14:textId="77777777"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eastAsia="Times New Roman" w:hAnsi="Times New Roman"/>
          <w:kern w:val="36"/>
          <w:sz w:val="28"/>
          <w:szCs w:val="28"/>
          <w:lang w:val="kk-KZ" w:eastAsia="ru-RU"/>
        </w:rPr>
        <w:t>30.12.2014 жылғы №195 ҚР Ұлттық экономика министрлігінің бұйрығымен бекітілген «Бюджеттік бағдарламаларды (кіші бағдарламалар) әзірлеу және бекіту (қайта бекіту) қағидалары</w:t>
      </w:r>
    </w:p>
    <w:p w14:paraId="35CA3A9D" w14:textId="34EC03CA" w:rsidR="00334F89" w:rsidRPr="006D4672" w:rsidRDefault="00B4646F"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hAnsi="Times New Roman"/>
          <w:sz w:val="28"/>
          <w:szCs w:val="28"/>
          <w:lang w:val="kk-KZ"/>
        </w:rPr>
        <w:t>2021-2025 жж. АӨК дамытудың ұлттық жобасы //</w:t>
      </w:r>
      <w:hyperlink r:id="rId24" w:history="1">
        <w:r w:rsidR="00334F89" w:rsidRPr="006D4672">
          <w:rPr>
            <w:rStyle w:val="a4"/>
            <w:color w:val="auto"/>
            <w:sz w:val="28"/>
            <w:szCs w:val="28"/>
            <w:u w:val="none"/>
          </w:rPr>
          <w:t xml:space="preserve">Об утверждении национального проекта по развитию агропромышленного комплекса Республики Казахстан на 2021 - 2025 годы - ИПС </w:t>
        </w:r>
        <w:r w:rsidR="00E535DA">
          <w:rPr>
            <w:rStyle w:val="a4"/>
            <w:color w:val="auto"/>
            <w:sz w:val="28"/>
            <w:szCs w:val="28"/>
            <w:u w:val="none"/>
            <w:lang w:val="kk-KZ"/>
          </w:rPr>
          <w:t>«</w:t>
        </w:r>
        <w:r w:rsidR="00334F89" w:rsidRPr="006D4672">
          <w:rPr>
            <w:rStyle w:val="a4"/>
            <w:color w:val="auto"/>
            <w:sz w:val="28"/>
            <w:szCs w:val="28"/>
            <w:u w:val="none"/>
          </w:rPr>
          <w:t>Әділет</w:t>
        </w:r>
        <w:r w:rsidR="00E535DA">
          <w:rPr>
            <w:rStyle w:val="a4"/>
            <w:color w:val="auto"/>
            <w:sz w:val="28"/>
            <w:szCs w:val="28"/>
            <w:u w:val="none"/>
            <w:lang w:val="kk-KZ"/>
          </w:rPr>
          <w:t>»</w:t>
        </w:r>
        <w:r w:rsidR="00334F89" w:rsidRPr="006D4672">
          <w:rPr>
            <w:rStyle w:val="a4"/>
            <w:color w:val="auto"/>
            <w:sz w:val="28"/>
            <w:szCs w:val="28"/>
            <w:u w:val="none"/>
          </w:rPr>
          <w:t xml:space="preserve"> (zan.kz)</w:t>
        </w:r>
      </w:hyperlink>
    </w:p>
    <w:p w14:paraId="2A375D85" w14:textId="31BD0681"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hAnsi="Times New Roman"/>
          <w:sz w:val="28"/>
          <w:szCs w:val="28"/>
          <w:lang w:val="kk-KZ"/>
        </w:rPr>
        <w:t xml:space="preserve">Положение о Департаменте международного сотрудничества и привлечения инвестиций Министерства сельского хозяйства РК. Приказ Министра сельского хозяйства РК №365 от 07.12.2021 год </w:t>
      </w:r>
      <w:r w:rsidR="00B4646F" w:rsidRPr="006D4672">
        <w:rPr>
          <w:rFonts w:ascii="Times New Roman" w:hAnsi="Times New Roman"/>
          <w:sz w:val="28"/>
          <w:szCs w:val="28"/>
          <w:lang w:val="kk-KZ"/>
        </w:rPr>
        <w:t xml:space="preserve">// </w:t>
      </w:r>
      <w:hyperlink w:history="1">
        <w:r w:rsidR="00B4646F" w:rsidRPr="006D4672">
          <w:rPr>
            <w:rStyle w:val="a4"/>
            <w:color w:val="auto"/>
            <w:sz w:val="28"/>
            <w:szCs w:val="28"/>
            <w:u w:val="none"/>
          </w:rPr>
          <w:t>GOV.KZ (www.gov.kz)</w:t>
        </w:r>
      </w:hyperlink>
    </w:p>
    <w:p w14:paraId="290B91E8" w14:textId="53E05CCA" w:rsidR="00334F89" w:rsidRPr="006D4672" w:rsidRDefault="0097172E"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hyperlink r:id="rId25" w:history="1">
        <w:r w:rsidR="00334F89" w:rsidRPr="006D4672">
          <w:rPr>
            <w:rStyle w:val="a4"/>
            <w:color w:val="auto"/>
            <w:sz w:val="28"/>
            <w:szCs w:val="28"/>
            <w:u w:val="none"/>
          </w:rPr>
          <w:t xml:space="preserve">Постановление Правительства Республики Казахстан от 30 декабря 2020 года № 945 «Об утверждении Плана развития акционерного общества «Национальная компания «Продовольственная контрактная корпорация» на 2021 – 2030 годы» </w:t>
        </w:r>
        <w:r w:rsidR="00B4646F" w:rsidRPr="006D4672">
          <w:rPr>
            <w:rStyle w:val="a4"/>
            <w:color w:val="auto"/>
            <w:sz w:val="28"/>
            <w:szCs w:val="28"/>
            <w:u w:val="none"/>
            <w:lang w:val="kk-KZ"/>
          </w:rPr>
          <w:t xml:space="preserve">// </w:t>
        </w:r>
        <w:r w:rsidR="00334F89" w:rsidRPr="006D4672">
          <w:rPr>
            <w:rStyle w:val="a4"/>
            <w:color w:val="auto"/>
            <w:sz w:val="28"/>
            <w:szCs w:val="28"/>
            <w:u w:val="none"/>
          </w:rPr>
          <w:t>(с изменениями и дополнениями от 28.06.2022 г.) /Copyright © Paragraph 1997-2022 (R: 5.2.1.123)/ (fcc.kz)</w:t>
        </w:r>
      </w:hyperlink>
    </w:p>
    <w:p w14:paraId="3BE93BE9" w14:textId="75AB947D" w:rsidR="00334F89" w:rsidRPr="006D4672" w:rsidRDefault="00334F89"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r w:rsidRPr="006D4672">
        <w:rPr>
          <w:rFonts w:ascii="Times New Roman" w:hAnsi="Times New Roman"/>
          <w:sz w:val="28"/>
          <w:szCs w:val="28"/>
          <w:lang w:val="kk-KZ"/>
        </w:rPr>
        <w:t xml:space="preserve">Национальный план развития до 2025 года </w:t>
      </w:r>
      <w:r w:rsidR="00B4646F" w:rsidRPr="006D4672">
        <w:rPr>
          <w:rFonts w:ascii="Times New Roman" w:hAnsi="Times New Roman"/>
          <w:sz w:val="28"/>
          <w:szCs w:val="28"/>
          <w:lang w:val="kk-KZ"/>
        </w:rPr>
        <w:t xml:space="preserve">// </w:t>
      </w:r>
      <w:hyperlink w:history="1">
        <w:r w:rsidR="00B4646F" w:rsidRPr="006D4672">
          <w:rPr>
            <w:rStyle w:val="a4"/>
            <w:color w:val="auto"/>
            <w:sz w:val="28"/>
            <w:szCs w:val="28"/>
            <w:u w:val="none"/>
            <w:lang w:val="kk-KZ"/>
          </w:rPr>
          <w:t>GOV.KZ (www.gov.kz)</w:t>
        </w:r>
      </w:hyperlink>
    </w:p>
    <w:p w14:paraId="7DAC302F" w14:textId="1DCFF6F5" w:rsidR="00334F89" w:rsidRPr="006D4672" w:rsidRDefault="0097172E"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hyperlink r:id="rId26" w:history="1">
        <w:r w:rsidR="00334F89" w:rsidRPr="006D4672">
          <w:rPr>
            <w:rStyle w:val="a4"/>
            <w:color w:val="auto"/>
            <w:sz w:val="28"/>
            <w:szCs w:val="28"/>
            <w:u w:val="none"/>
          </w:rPr>
          <w:t xml:space="preserve">Стратегии и программы </w:t>
        </w:r>
        <w:r w:rsidR="00B4646F" w:rsidRPr="006D4672">
          <w:rPr>
            <w:rStyle w:val="a4"/>
            <w:color w:val="auto"/>
            <w:sz w:val="28"/>
            <w:szCs w:val="28"/>
            <w:u w:val="none"/>
            <w:lang w:val="kk-KZ"/>
          </w:rPr>
          <w:t>//</w:t>
        </w:r>
        <w:r w:rsidR="00334F89" w:rsidRPr="006D4672">
          <w:rPr>
            <w:rStyle w:val="a4"/>
            <w:color w:val="auto"/>
            <w:sz w:val="28"/>
            <w:szCs w:val="28"/>
            <w:u w:val="none"/>
          </w:rPr>
          <w:t xml:space="preserve"> Официальный сайт Президента Республики Казахстан (akorda.kz)</w:t>
        </w:r>
      </w:hyperlink>
    </w:p>
    <w:p w14:paraId="51C17369" w14:textId="6A53AF6D" w:rsidR="00334F89" w:rsidRPr="006D4672" w:rsidRDefault="0097172E" w:rsidP="0097172E">
      <w:pPr>
        <w:pStyle w:val="a5"/>
        <w:numPr>
          <w:ilvl w:val="0"/>
          <w:numId w:val="49"/>
        </w:numPr>
        <w:tabs>
          <w:tab w:val="left" w:pos="1134"/>
          <w:tab w:val="left" w:pos="1276"/>
          <w:tab w:val="left" w:pos="1605"/>
        </w:tabs>
        <w:spacing w:after="0" w:line="240" w:lineRule="auto"/>
        <w:ind w:left="0" w:firstLine="709"/>
        <w:jc w:val="both"/>
        <w:rPr>
          <w:rFonts w:ascii="Times New Roman" w:hAnsi="Times New Roman"/>
          <w:sz w:val="28"/>
          <w:szCs w:val="28"/>
          <w:lang w:val="kk-KZ"/>
        </w:rPr>
      </w:pPr>
      <w:hyperlink r:id="rId27" w:anchor="pos=5;-106" w:history="1">
        <w:r w:rsidR="00334F89" w:rsidRPr="006D4672">
          <w:rPr>
            <w:rStyle w:val="a4"/>
            <w:color w:val="auto"/>
            <w:sz w:val="28"/>
            <w:szCs w:val="28"/>
            <w:u w:val="none"/>
          </w:rPr>
          <w:t xml:space="preserve">Приказ Председателя Счетного комитета по контролю за исполнением республиканского бюджета от 25 ноября 2022 года № 158-н/қ «Об утверждении Классификатора нарушений, выявляемых на объектах государственного аудита и финансового контроля» </w:t>
        </w:r>
        <w:r w:rsidR="00B4646F" w:rsidRPr="006D4672">
          <w:rPr>
            <w:rStyle w:val="a4"/>
            <w:color w:val="auto"/>
            <w:sz w:val="28"/>
            <w:szCs w:val="28"/>
            <w:u w:val="none"/>
            <w:lang w:val="kk-KZ"/>
          </w:rPr>
          <w:t xml:space="preserve">// </w:t>
        </w:r>
        <w:r w:rsidR="00334F89" w:rsidRPr="006D4672">
          <w:rPr>
            <w:rStyle w:val="a4"/>
            <w:color w:val="auto"/>
            <w:sz w:val="28"/>
            <w:szCs w:val="28"/>
            <w:u w:val="none"/>
          </w:rPr>
          <w:t>(zakon.kz)</w:t>
        </w:r>
      </w:hyperlink>
    </w:p>
    <w:p w14:paraId="44F61384" w14:textId="77777777" w:rsidR="00334F89" w:rsidRPr="006D4672" w:rsidRDefault="00334F89" w:rsidP="00457CE9">
      <w:pPr>
        <w:spacing w:after="0" w:line="240" w:lineRule="auto"/>
        <w:ind w:firstLine="567"/>
        <w:rPr>
          <w:rFonts w:ascii="Times New Roman" w:hAnsi="Times New Roman"/>
          <w:sz w:val="28"/>
          <w:szCs w:val="28"/>
          <w:lang w:val="kk-KZ"/>
        </w:rPr>
      </w:pPr>
    </w:p>
    <w:p w14:paraId="00D94FF8" w14:textId="77777777" w:rsidR="00B42F86" w:rsidRPr="006D4672" w:rsidRDefault="00B42F86" w:rsidP="00457CE9">
      <w:pPr>
        <w:spacing w:after="0" w:line="240" w:lineRule="auto"/>
        <w:ind w:firstLine="567"/>
        <w:rPr>
          <w:rFonts w:ascii="Times New Roman" w:hAnsi="Times New Roman"/>
          <w:sz w:val="28"/>
          <w:szCs w:val="28"/>
          <w:lang w:val="kk-KZ"/>
        </w:rPr>
      </w:pPr>
    </w:p>
    <w:p w14:paraId="25CF692C" w14:textId="77777777" w:rsidR="00E017EF" w:rsidRPr="006D4672" w:rsidRDefault="00E017EF" w:rsidP="00457CE9">
      <w:pPr>
        <w:spacing w:after="0" w:line="240" w:lineRule="auto"/>
        <w:ind w:firstLine="567"/>
        <w:rPr>
          <w:rFonts w:ascii="Times New Roman" w:hAnsi="Times New Roman"/>
          <w:sz w:val="28"/>
          <w:szCs w:val="28"/>
          <w:lang w:val="kk-KZ"/>
        </w:rPr>
      </w:pPr>
    </w:p>
    <w:p w14:paraId="334292EB" w14:textId="77777777" w:rsidR="00334F89" w:rsidRDefault="00334F89" w:rsidP="00457CE9">
      <w:pPr>
        <w:spacing w:after="0" w:line="240" w:lineRule="auto"/>
        <w:ind w:firstLine="567"/>
        <w:rPr>
          <w:rFonts w:ascii="Times New Roman" w:hAnsi="Times New Roman"/>
          <w:sz w:val="28"/>
          <w:szCs w:val="28"/>
          <w:lang w:val="kk-KZ"/>
        </w:rPr>
      </w:pPr>
    </w:p>
    <w:p w14:paraId="70A6FDB8" w14:textId="77777777" w:rsidR="00334F89" w:rsidRDefault="00334F89" w:rsidP="00457CE9">
      <w:pPr>
        <w:spacing w:after="0" w:line="240" w:lineRule="auto"/>
        <w:ind w:firstLine="567"/>
        <w:rPr>
          <w:rFonts w:ascii="Times New Roman" w:hAnsi="Times New Roman"/>
          <w:sz w:val="28"/>
          <w:szCs w:val="28"/>
          <w:lang w:val="kk-KZ"/>
        </w:rPr>
      </w:pPr>
    </w:p>
    <w:p w14:paraId="3657B47D" w14:textId="77777777" w:rsidR="000F6CC6" w:rsidRDefault="000F6CC6" w:rsidP="00457CE9">
      <w:pPr>
        <w:spacing w:after="0" w:line="240" w:lineRule="auto"/>
        <w:ind w:firstLine="567"/>
        <w:rPr>
          <w:rFonts w:ascii="Times New Roman" w:hAnsi="Times New Roman"/>
          <w:sz w:val="28"/>
          <w:szCs w:val="28"/>
          <w:lang w:val="kk-KZ"/>
        </w:rPr>
      </w:pPr>
    </w:p>
    <w:p w14:paraId="5920C3F1" w14:textId="77777777" w:rsidR="000F6CC6" w:rsidRDefault="000F6CC6" w:rsidP="00457CE9">
      <w:pPr>
        <w:spacing w:after="0" w:line="240" w:lineRule="auto"/>
        <w:ind w:firstLine="567"/>
        <w:rPr>
          <w:rFonts w:ascii="Times New Roman" w:hAnsi="Times New Roman"/>
          <w:sz w:val="28"/>
          <w:szCs w:val="28"/>
          <w:lang w:val="kk-KZ"/>
        </w:rPr>
      </w:pPr>
    </w:p>
    <w:p w14:paraId="6B86FE3C" w14:textId="77777777" w:rsidR="000F6CC6" w:rsidRDefault="000F6CC6" w:rsidP="00457CE9">
      <w:pPr>
        <w:spacing w:after="0" w:line="240" w:lineRule="auto"/>
        <w:ind w:firstLine="567"/>
        <w:rPr>
          <w:rFonts w:ascii="Times New Roman" w:hAnsi="Times New Roman"/>
          <w:sz w:val="28"/>
          <w:szCs w:val="28"/>
          <w:lang w:val="kk-KZ"/>
        </w:rPr>
      </w:pPr>
    </w:p>
    <w:p w14:paraId="4C13DED6" w14:textId="77777777" w:rsidR="000F6CC6" w:rsidRDefault="000F6CC6" w:rsidP="00457CE9">
      <w:pPr>
        <w:spacing w:after="0" w:line="240" w:lineRule="auto"/>
        <w:ind w:firstLine="567"/>
        <w:rPr>
          <w:rFonts w:ascii="Times New Roman" w:hAnsi="Times New Roman"/>
          <w:sz w:val="28"/>
          <w:szCs w:val="28"/>
          <w:lang w:val="kk-KZ"/>
        </w:rPr>
      </w:pPr>
    </w:p>
    <w:p w14:paraId="2250898E" w14:textId="77777777" w:rsidR="00B4646F" w:rsidRDefault="00B4646F" w:rsidP="00457CE9">
      <w:pPr>
        <w:spacing w:after="0" w:line="240" w:lineRule="auto"/>
        <w:ind w:firstLine="567"/>
        <w:rPr>
          <w:rFonts w:ascii="Times New Roman" w:hAnsi="Times New Roman"/>
          <w:sz w:val="28"/>
          <w:szCs w:val="28"/>
          <w:lang w:val="kk-KZ"/>
        </w:rPr>
      </w:pPr>
    </w:p>
    <w:p w14:paraId="21853AE8" w14:textId="77777777" w:rsidR="00B4646F" w:rsidRPr="00457CE9" w:rsidRDefault="00B4646F" w:rsidP="00457CE9">
      <w:pPr>
        <w:spacing w:after="0" w:line="240" w:lineRule="auto"/>
        <w:ind w:firstLine="567"/>
        <w:rPr>
          <w:rFonts w:ascii="Times New Roman" w:hAnsi="Times New Roman"/>
          <w:sz w:val="28"/>
          <w:szCs w:val="28"/>
          <w:lang w:val="kk-KZ"/>
        </w:rPr>
      </w:pPr>
    </w:p>
    <w:p w14:paraId="5E9E477A" w14:textId="0DBF83FB" w:rsidR="00150DAF" w:rsidRDefault="00457CE9" w:rsidP="00457CE9">
      <w:pPr>
        <w:spacing w:after="0" w:line="240" w:lineRule="auto"/>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p>
    <w:p w14:paraId="0736FF31" w14:textId="77777777" w:rsidR="00457CE9" w:rsidRPr="00457CE9" w:rsidRDefault="00457CE9" w:rsidP="00457CE9">
      <w:pPr>
        <w:spacing w:after="0" w:line="240" w:lineRule="auto"/>
        <w:jc w:val="right"/>
        <w:rPr>
          <w:rFonts w:ascii="Times New Roman" w:hAnsi="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0"/>
      </w:tblGrid>
      <w:tr w:rsidR="00334F89" w14:paraId="6FE4E37E" w14:textId="77777777" w:rsidTr="00334F89">
        <w:tc>
          <w:tcPr>
            <w:tcW w:w="1555" w:type="dxa"/>
            <w:hideMark/>
          </w:tcPr>
          <w:p w14:paraId="29475B3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АӨК</w:t>
            </w:r>
          </w:p>
        </w:tc>
        <w:tc>
          <w:tcPr>
            <w:tcW w:w="7790" w:type="dxa"/>
            <w:hideMark/>
          </w:tcPr>
          <w:p w14:paraId="3182543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Агроөнеркәсіптік кешен</w:t>
            </w:r>
          </w:p>
        </w:tc>
      </w:tr>
      <w:tr w:rsidR="00334F89" w14:paraId="7C2E63A2" w14:textId="77777777" w:rsidTr="00334F89">
        <w:tc>
          <w:tcPr>
            <w:tcW w:w="1555" w:type="dxa"/>
            <w:hideMark/>
          </w:tcPr>
          <w:p w14:paraId="3AF8571A"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ҚР</w:t>
            </w:r>
          </w:p>
        </w:tc>
        <w:tc>
          <w:tcPr>
            <w:tcW w:w="7790" w:type="dxa"/>
            <w:hideMark/>
          </w:tcPr>
          <w:p w14:paraId="643263E0"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tc>
      </w:tr>
      <w:tr w:rsidR="00334F89" w14:paraId="45D1F266" w14:textId="77777777" w:rsidTr="00334F89">
        <w:tc>
          <w:tcPr>
            <w:tcW w:w="1555" w:type="dxa"/>
            <w:hideMark/>
          </w:tcPr>
          <w:p w14:paraId="1AB1473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ҰБХ</w:t>
            </w:r>
          </w:p>
        </w:tc>
        <w:tc>
          <w:tcPr>
            <w:tcW w:w="7790" w:type="dxa"/>
            <w:hideMark/>
          </w:tcPr>
          <w:p w14:paraId="1E05210F"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Ұлттық басқару холдингі</w:t>
            </w:r>
          </w:p>
        </w:tc>
      </w:tr>
      <w:tr w:rsidR="00334F89" w14:paraId="7FE569EB" w14:textId="77777777" w:rsidTr="00334F89">
        <w:tc>
          <w:tcPr>
            <w:tcW w:w="1555" w:type="dxa"/>
            <w:hideMark/>
          </w:tcPr>
          <w:p w14:paraId="224D0481"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АҚШ</w:t>
            </w:r>
          </w:p>
        </w:tc>
        <w:tc>
          <w:tcPr>
            <w:tcW w:w="7790" w:type="dxa"/>
            <w:hideMark/>
          </w:tcPr>
          <w:p w14:paraId="7FB28D5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Америка Құрама Штаттары</w:t>
            </w:r>
          </w:p>
        </w:tc>
      </w:tr>
      <w:tr w:rsidR="00334F89" w:rsidRPr="00B108D0" w14:paraId="5E5B153F" w14:textId="77777777" w:rsidTr="00334F89">
        <w:tc>
          <w:tcPr>
            <w:tcW w:w="1555" w:type="dxa"/>
            <w:hideMark/>
          </w:tcPr>
          <w:p w14:paraId="1F1D4D71"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ЕВРОСАИ</w:t>
            </w:r>
          </w:p>
        </w:tc>
        <w:tc>
          <w:tcPr>
            <w:tcW w:w="7790" w:type="dxa"/>
            <w:hideMark/>
          </w:tcPr>
          <w:p w14:paraId="42309F46"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Жоғары қаржылық бақылау органдарының Еуропа ұйымы</w:t>
            </w:r>
          </w:p>
        </w:tc>
      </w:tr>
      <w:tr w:rsidR="00334F89" w:rsidRPr="00B108D0" w14:paraId="6060A95C" w14:textId="77777777" w:rsidTr="00334F89">
        <w:tc>
          <w:tcPr>
            <w:tcW w:w="1555" w:type="dxa"/>
            <w:hideMark/>
          </w:tcPr>
          <w:p w14:paraId="674B0367"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АЗОСАИ</w:t>
            </w:r>
          </w:p>
        </w:tc>
        <w:tc>
          <w:tcPr>
            <w:tcW w:w="7790" w:type="dxa"/>
            <w:hideMark/>
          </w:tcPr>
          <w:p w14:paraId="43CE6760"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Жоғары қаржылық бақылау органдарының Азия ұйымы</w:t>
            </w:r>
          </w:p>
        </w:tc>
      </w:tr>
      <w:tr w:rsidR="00334F89" w14:paraId="537B5EB6" w14:textId="77777777" w:rsidTr="00334F89">
        <w:tc>
          <w:tcPr>
            <w:tcW w:w="1555" w:type="dxa"/>
            <w:hideMark/>
          </w:tcPr>
          <w:p w14:paraId="774E264E"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ЭЫДҰ</w:t>
            </w:r>
          </w:p>
        </w:tc>
        <w:tc>
          <w:tcPr>
            <w:tcW w:w="7790" w:type="dxa"/>
            <w:hideMark/>
          </w:tcPr>
          <w:p w14:paraId="0C20702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Экономикалық ынтымақтастық және даму ұйымы</w:t>
            </w:r>
          </w:p>
        </w:tc>
      </w:tr>
      <w:tr w:rsidR="00334F89" w:rsidRPr="00B108D0" w14:paraId="2AAFECB8" w14:textId="77777777" w:rsidTr="00334F89">
        <w:tc>
          <w:tcPr>
            <w:tcW w:w="1555" w:type="dxa"/>
            <w:hideMark/>
          </w:tcPr>
          <w:p w14:paraId="3EED3E17"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ISSAI</w:t>
            </w:r>
          </w:p>
        </w:tc>
        <w:tc>
          <w:tcPr>
            <w:tcW w:w="7790" w:type="dxa"/>
            <w:hideMark/>
          </w:tcPr>
          <w:p w14:paraId="2E73C74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The International Standards of Supreme Audit Institutions</w:t>
            </w:r>
          </w:p>
        </w:tc>
      </w:tr>
      <w:tr w:rsidR="005813BE" w:rsidRPr="00B108D0" w14:paraId="04ADC6DD" w14:textId="77777777" w:rsidTr="00334F89">
        <w:tc>
          <w:tcPr>
            <w:tcW w:w="1555" w:type="dxa"/>
          </w:tcPr>
          <w:p w14:paraId="04FF1A45" w14:textId="36FD1078" w:rsidR="005813BE" w:rsidRPr="005813BE" w:rsidRDefault="005813BE">
            <w:pPr>
              <w:rPr>
                <w:rFonts w:ascii="Times New Roman" w:hAnsi="Times New Roman" w:cs="Times New Roman"/>
                <w:sz w:val="28"/>
                <w:szCs w:val="28"/>
                <w:lang w:val="en-US"/>
              </w:rPr>
            </w:pPr>
            <w:r>
              <w:rPr>
                <w:rFonts w:ascii="Times New Roman" w:hAnsi="Times New Roman" w:cs="Times New Roman"/>
                <w:sz w:val="28"/>
                <w:szCs w:val="28"/>
                <w:lang w:val="en-US"/>
              </w:rPr>
              <w:t>INTOSAI</w:t>
            </w:r>
          </w:p>
        </w:tc>
        <w:tc>
          <w:tcPr>
            <w:tcW w:w="7790" w:type="dxa"/>
          </w:tcPr>
          <w:p w14:paraId="499F708E" w14:textId="2C8BEE21" w:rsidR="005813BE" w:rsidRDefault="00EF152C">
            <w:pPr>
              <w:rPr>
                <w:rFonts w:ascii="Times New Roman" w:hAnsi="Times New Roman" w:cs="Times New Roman"/>
                <w:sz w:val="28"/>
                <w:szCs w:val="28"/>
                <w:lang w:val="kk-KZ"/>
              </w:rPr>
            </w:pPr>
            <w:r>
              <w:rPr>
                <w:rFonts w:ascii="Times New Roman" w:hAnsi="Times New Roman" w:cs="Times New Roman"/>
                <w:sz w:val="28"/>
                <w:szCs w:val="28"/>
                <w:lang w:val="kk-KZ"/>
              </w:rPr>
              <w:t xml:space="preserve">The International </w:t>
            </w:r>
            <w:r>
              <w:rPr>
                <w:rFonts w:ascii="Times New Roman" w:hAnsi="Times New Roman" w:cs="Times New Roman"/>
                <w:sz w:val="28"/>
                <w:szCs w:val="28"/>
                <w:lang w:val="en-US"/>
              </w:rPr>
              <w:t>Organization</w:t>
            </w:r>
            <w:r>
              <w:rPr>
                <w:rFonts w:ascii="Times New Roman" w:hAnsi="Times New Roman" w:cs="Times New Roman"/>
                <w:sz w:val="28"/>
                <w:szCs w:val="28"/>
                <w:lang w:val="kk-KZ"/>
              </w:rPr>
              <w:t xml:space="preserve"> of Supreme Audit Institutions</w:t>
            </w:r>
          </w:p>
        </w:tc>
      </w:tr>
      <w:tr w:rsidR="00334F89" w14:paraId="6DFA33A4" w14:textId="77777777" w:rsidTr="00334F89">
        <w:tc>
          <w:tcPr>
            <w:tcW w:w="1555" w:type="dxa"/>
            <w:hideMark/>
          </w:tcPr>
          <w:p w14:paraId="3A191C1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NASS</w:t>
            </w:r>
          </w:p>
        </w:tc>
        <w:tc>
          <w:tcPr>
            <w:tcW w:w="7790" w:type="dxa"/>
            <w:hideMark/>
          </w:tcPr>
          <w:p w14:paraId="7057A8F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National agricultural statistics service</w:t>
            </w:r>
          </w:p>
        </w:tc>
      </w:tr>
      <w:tr w:rsidR="00334F89" w14:paraId="21A6847F" w14:textId="77777777" w:rsidTr="00334F89">
        <w:tc>
          <w:tcPr>
            <w:tcW w:w="1555" w:type="dxa"/>
            <w:hideMark/>
          </w:tcPr>
          <w:p w14:paraId="329C1D08" w14:textId="77777777" w:rsidR="00334F89" w:rsidRDefault="00334F89">
            <w:pPr>
              <w:rPr>
                <w:rFonts w:ascii="Times New Roman" w:hAnsi="Times New Roman" w:cs="Times New Roman"/>
                <w:sz w:val="28"/>
                <w:szCs w:val="28"/>
                <w:lang w:val="kk-KZ"/>
              </w:rPr>
            </w:pPr>
            <w:r>
              <w:rPr>
                <w:rFonts w:ascii="Times New Roman" w:hAnsi="Times New Roman"/>
                <w:sz w:val="28"/>
                <w:szCs w:val="28"/>
                <w:lang w:val="kk-KZ"/>
              </w:rPr>
              <w:t>ЖАО</w:t>
            </w:r>
          </w:p>
        </w:tc>
        <w:tc>
          <w:tcPr>
            <w:tcW w:w="7790" w:type="dxa"/>
            <w:hideMark/>
          </w:tcPr>
          <w:p w14:paraId="2A127886"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Жоғары аудит органдары</w:t>
            </w:r>
          </w:p>
        </w:tc>
      </w:tr>
      <w:tr w:rsidR="00334F89" w14:paraId="5A184EB9" w14:textId="77777777" w:rsidTr="00334F89">
        <w:tc>
          <w:tcPr>
            <w:tcW w:w="1555" w:type="dxa"/>
            <w:hideMark/>
          </w:tcPr>
          <w:p w14:paraId="0C35D17C"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ЖІӨ</w:t>
            </w:r>
          </w:p>
        </w:tc>
        <w:tc>
          <w:tcPr>
            <w:tcW w:w="7790" w:type="dxa"/>
            <w:hideMark/>
          </w:tcPr>
          <w:p w14:paraId="07B23141"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Жалпы ішкі өнім</w:t>
            </w:r>
          </w:p>
        </w:tc>
      </w:tr>
      <w:tr w:rsidR="00334F89" w14:paraId="264AF724" w14:textId="77777777" w:rsidTr="00334F89">
        <w:tc>
          <w:tcPr>
            <w:tcW w:w="1555" w:type="dxa"/>
            <w:hideMark/>
          </w:tcPr>
          <w:p w14:paraId="7190ED50"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АШМ</w:t>
            </w:r>
          </w:p>
        </w:tc>
        <w:tc>
          <w:tcPr>
            <w:tcW w:w="7790" w:type="dxa"/>
            <w:hideMark/>
          </w:tcPr>
          <w:p w14:paraId="5FED1BA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 министрлігі</w:t>
            </w:r>
          </w:p>
        </w:tc>
      </w:tr>
      <w:tr w:rsidR="001C24D3" w14:paraId="2B4B7BEF" w14:textId="77777777" w:rsidTr="00334F89">
        <w:tc>
          <w:tcPr>
            <w:tcW w:w="1555" w:type="dxa"/>
          </w:tcPr>
          <w:p w14:paraId="77E6FC1C" w14:textId="5AB987DD" w:rsidR="001C24D3" w:rsidRDefault="001C24D3">
            <w:pPr>
              <w:rPr>
                <w:rFonts w:ascii="Times New Roman" w:hAnsi="Times New Roman" w:cs="Times New Roman"/>
                <w:sz w:val="28"/>
                <w:szCs w:val="28"/>
                <w:lang w:val="kk-KZ"/>
              </w:rPr>
            </w:pPr>
            <w:r>
              <w:rPr>
                <w:rFonts w:ascii="Times New Roman" w:hAnsi="Times New Roman" w:cs="Times New Roman"/>
                <w:sz w:val="28"/>
                <w:szCs w:val="28"/>
                <w:lang w:val="kk-KZ"/>
              </w:rPr>
              <w:t>ХМАС</w:t>
            </w:r>
          </w:p>
        </w:tc>
        <w:tc>
          <w:tcPr>
            <w:tcW w:w="7790" w:type="dxa"/>
          </w:tcPr>
          <w:p w14:paraId="7362AB1D" w14:textId="52919826" w:rsidR="001C24D3" w:rsidRDefault="001C24D3">
            <w:pPr>
              <w:rPr>
                <w:rFonts w:ascii="Times New Roman" w:hAnsi="Times New Roman" w:cs="Times New Roman"/>
                <w:sz w:val="28"/>
                <w:szCs w:val="28"/>
                <w:lang w:val="kk-KZ"/>
              </w:rPr>
            </w:pPr>
            <w:r>
              <w:rPr>
                <w:rFonts w:ascii="Times New Roman" w:hAnsi="Times New Roman" w:cs="Times New Roman"/>
                <w:sz w:val="28"/>
                <w:szCs w:val="28"/>
                <w:lang w:val="kk-KZ"/>
              </w:rPr>
              <w:t>Халықаралық мемлекеттік аудит стандарттары</w:t>
            </w:r>
          </w:p>
        </w:tc>
      </w:tr>
      <w:tr w:rsidR="00334F89" w14:paraId="7FE1BAFB" w14:textId="77777777" w:rsidTr="00334F89">
        <w:tc>
          <w:tcPr>
            <w:tcW w:w="1555" w:type="dxa"/>
            <w:hideMark/>
          </w:tcPr>
          <w:p w14:paraId="24F7E444"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АҚ</w:t>
            </w:r>
          </w:p>
        </w:tc>
        <w:tc>
          <w:tcPr>
            <w:tcW w:w="7790" w:type="dxa"/>
            <w:hideMark/>
          </w:tcPr>
          <w:p w14:paraId="54FCC36B"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Акционерлік Қоғам</w:t>
            </w:r>
          </w:p>
        </w:tc>
      </w:tr>
      <w:tr w:rsidR="00334F89" w14:paraId="7FC23F78" w14:textId="77777777" w:rsidTr="00334F89">
        <w:tc>
          <w:tcPr>
            <w:tcW w:w="1555" w:type="dxa"/>
            <w:hideMark/>
          </w:tcPr>
          <w:p w14:paraId="11CF2A9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ТДМ</w:t>
            </w:r>
          </w:p>
        </w:tc>
        <w:tc>
          <w:tcPr>
            <w:tcW w:w="7790" w:type="dxa"/>
            <w:hideMark/>
          </w:tcPr>
          <w:p w14:paraId="53A1C2FD"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Тұрақты даму мақсаттары</w:t>
            </w:r>
          </w:p>
        </w:tc>
      </w:tr>
      <w:tr w:rsidR="00334F89" w14:paraId="465484E2" w14:textId="77777777" w:rsidTr="00334F89">
        <w:tc>
          <w:tcPr>
            <w:tcW w:w="1555" w:type="dxa"/>
            <w:hideMark/>
          </w:tcPr>
          <w:p w14:paraId="5A09DD7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ҚҚС</w:t>
            </w:r>
          </w:p>
        </w:tc>
        <w:tc>
          <w:tcPr>
            <w:tcW w:w="7790" w:type="dxa"/>
            <w:hideMark/>
          </w:tcPr>
          <w:p w14:paraId="47814C2F"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Қосылған құн салығы</w:t>
            </w:r>
          </w:p>
        </w:tc>
      </w:tr>
      <w:tr w:rsidR="00334F89" w14:paraId="22352AEB" w14:textId="77777777" w:rsidTr="00334F89">
        <w:tc>
          <w:tcPr>
            <w:tcW w:w="1555" w:type="dxa"/>
            <w:hideMark/>
          </w:tcPr>
          <w:p w14:paraId="337ABBD4"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ІҚМ</w:t>
            </w:r>
          </w:p>
        </w:tc>
        <w:tc>
          <w:tcPr>
            <w:tcW w:w="7790" w:type="dxa"/>
            <w:hideMark/>
          </w:tcPr>
          <w:p w14:paraId="068472CF"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Ірі қара мал</w:t>
            </w:r>
          </w:p>
        </w:tc>
      </w:tr>
      <w:tr w:rsidR="00334F89" w14:paraId="1FAF875C" w14:textId="77777777" w:rsidTr="00334F89">
        <w:tc>
          <w:tcPr>
            <w:tcW w:w="1555" w:type="dxa"/>
            <w:hideMark/>
          </w:tcPr>
          <w:p w14:paraId="6CBC4A4B"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КеАҚ</w:t>
            </w:r>
          </w:p>
        </w:tc>
        <w:tc>
          <w:tcPr>
            <w:tcW w:w="7790" w:type="dxa"/>
            <w:hideMark/>
          </w:tcPr>
          <w:p w14:paraId="0E7AFFAF"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Коммерциялық емес Акционерлік Қоғамы</w:t>
            </w:r>
          </w:p>
        </w:tc>
      </w:tr>
      <w:tr w:rsidR="00334F89" w14:paraId="7547DC55" w14:textId="77777777" w:rsidTr="00334F89">
        <w:tc>
          <w:tcPr>
            <w:tcW w:w="1555" w:type="dxa"/>
            <w:hideMark/>
          </w:tcPr>
          <w:p w14:paraId="2BE8A366"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shd w:val="clear" w:color="auto" w:fill="FFFFFF"/>
                <w:lang w:val="kk-KZ"/>
              </w:rPr>
              <w:t>БҰҰ</w:t>
            </w:r>
          </w:p>
        </w:tc>
        <w:tc>
          <w:tcPr>
            <w:tcW w:w="7790" w:type="dxa"/>
            <w:hideMark/>
          </w:tcPr>
          <w:p w14:paraId="16D144C4"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Біріккен Ұлттар Ұйымы</w:t>
            </w:r>
          </w:p>
        </w:tc>
      </w:tr>
      <w:tr w:rsidR="00334F89" w14:paraId="565F7778" w14:textId="77777777" w:rsidTr="00334F89">
        <w:tc>
          <w:tcPr>
            <w:tcW w:w="1555" w:type="dxa"/>
            <w:hideMark/>
          </w:tcPr>
          <w:p w14:paraId="60DC8D82" w14:textId="77777777" w:rsidR="00334F89" w:rsidRDefault="00334F89">
            <w:pPr>
              <w:rPr>
                <w:rFonts w:ascii="Times New Roman" w:hAnsi="Times New Roman" w:cs="Times New Roman"/>
                <w:sz w:val="28"/>
                <w:szCs w:val="28"/>
                <w:lang w:val="kk-KZ"/>
              </w:rPr>
            </w:pPr>
            <w:r>
              <w:rPr>
                <w:rFonts w:ascii="Times New Roman" w:eastAsia="Times New Roman" w:hAnsi="Times New Roman" w:cs="Times New Roman"/>
                <w:kern w:val="36"/>
                <w:sz w:val="28"/>
                <w:szCs w:val="28"/>
                <w:lang w:val="kk-KZ" w:eastAsia="ru-RU"/>
              </w:rPr>
              <w:t>ДСҰ</w:t>
            </w:r>
          </w:p>
        </w:tc>
        <w:tc>
          <w:tcPr>
            <w:tcW w:w="7790" w:type="dxa"/>
            <w:hideMark/>
          </w:tcPr>
          <w:p w14:paraId="082D8BF9"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Дүниежүзілік сауда ұйымы</w:t>
            </w:r>
          </w:p>
        </w:tc>
      </w:tr>
      <w:tr w:rsidR="00334F89" w14:paraId="4AB6933F" w14:textId="77777777" w:rsidTr="00334F89">
        <w:tc>
          <w:tcPr>
            <w:tcW w:w="1555" w:type="dxa"/>
            <w:hideMark/>
          </w:tcPr>
          <w:p w14:paraId="27771049" w14:textId="77777777" w:rsidR="00334F89" w:rsidRDefault="00334F89">
            <w:pPr>
              <w:rPr>
                <w:rFonts w:ascii="Times New Roman" w:hAnsi="Times New Roman"/>
                <w:sz w:val="28"/>
                <w:szCs w:val="28"/>
                <w:lang w:val="kk-KZ"/>
              </w:rPr>
            </w:pPr>
            <w:r>
              <w:rPr>
                <w:rFonts w:ascii="Times New Roman" w:hAnsi="Times New Roman"/>
                <w:sz w:val="28"/>
                <w:szCs w:val="28"/>
                <w:lang w:val="kk-KZ"/>
              </w:rPr>
              <w:t>АШТӨ</w:t>
            </w:r>
          </w:p>
        </w:tc>
        <w:tc>
          <w:tcPr>
            <w:tcW w:w="7790" w:type="dxa"/>
            <w:hideMark/>
          </w:tcPr>
          <w:p w14:paraId="1DB8844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Ауыл шаруашылық тауар өндірушілер</w:t>
            </w:r>
          </w:p>
        </w:tc>
      </w:tr>
      <w:tr w:rsidR="00334F89" w14:paraId="204D29F5" w14:textId="77777777" w:rsidTr="00334F89">
        <w:tc>
          <w:tcPr>
            <w:tcW w:w="1555" w:type="dxa"/>
            <w:hideMark/>
          </w:tcPr>
          <w:p w14:paraId="593BA55D" w14:textId="77777777" w:rsidR="00334F89" w:rsidRDefault="00334F89">
            <w:pPr>
              <w:rPr>
                <w:rFonts w:ascii="Times New Roman" w:hAnsi="Times New Roman"/>
                <w:sz w:val="28"/>
                <w:szCs w:val="28"/>
                <w:lang w:val="kk-KZ"/>
              </w:rPr>
            </w:pPr>
            <w:r>
              <w:rPr>
                <w:rFonts w:ascii="Times New Roman" w:hAnsi="Times New Roman" w:cs="Times New Roman"/>
                <w:kern w:val="36"/>
                <w:sz w:val="28"/>
                <w:szCs w:val="28"/>
                <w:lang w:val="kk-KZ" w:eastAsia="zh-CN"/>
              </w:rPr>
              <w:t>ҰК</w:t>
            </w:r>
          </w:p>
        </w:tc>
        <w:tc>
          <w:tcPr>
            <w:tcW w:w="7790" w:type="dxa"/>
            <w:hideMark/>
          </w:tcPr>
          <w:p w14:paraId="6043B394"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Ұлттық Компания</w:t>
            </w:r>
          </w:p>
        </w:tc>
      </w:tr>
      <w:tr w:rsidR="00334F89" w14:paraId="2CA6F6A4" w14:textId="77777777" w:rsidTr="00334F89">
        <w:tc>
          <w:tcPr>
            <w:tcW w:w="1555" w:type="dxa"/>
            <w:hideMark/>
          </w:tcPr>
          <w:p w14:paraId="4B4F52C7" w14:textId="77777777" w:rsidR="00334F89" w:rsidRDefault="00334F89">
            <w:pPr>
              <w:rPr>
                <w:rFonts w:ascii="Times New Roman" w:hAnsi="Times New Roman"/>
                <w:sz w:val="28"/>
                <w:szCs w:val="28"/>
                <w:lang w:val="kk-KZ"/>
              </w:rPr>
            </w:pPr>
            <w:r>
              <w:rPr>
                <w:rFonts w:ascii="Times New Roman" w:hAnsi="Times New Roman" w:cs="Times New Roman"/>
                <w:kern w:val="36"/>
                <w:sz w:val="28"/>
                <w:szCs w:val="28"/>
                <w:lang w:val="kk-KZ" w:eastAsia="zh-CN"/>
              </w:rPr>
              <w:t>ХҚҰ</w:t>
            </w:r>
          </w:p>
        </w:tc>
        <w:tc>
          <w:tcPr>
            <w:tcW w:w="7790" w:type="dxa"/>
            <w:hideMark/>
          </w:tcPr>
          <w:p w14:paraId="3D276DAA"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Халықаралық қарыз ұйымдары</w:t>
            </w:r>
          </w:p>
        </w:tc>
      </w:tr>
      <w:tr w:rsidR="00334F89" w14:paraId="06545DC3" w14:textId="77777777" w:rsidTr="00334F89">
        <w:tc>
          <w:tcPr>
            <w:tcW w:w="1555" w:type="dxa"/>
            <w:hideMark/>
          </w:tcPr>
          <w:p w14:paraId="1C50A9ED" w14:textId="77777777" w:rsidR="00334F89" w:rsidRDefault="00334F89">
            <w:pPr>
              <w:rPr>
                <w:rFonts w:ascii="Times New Roman" w:hAnsi="Times New Roman"/>
                <w:sz w:val="28"/>
                <w:szCs w:val="28"/>
                <w:lang w:val="kk-KZ"/>
              </w:rPr>
            </w:pPr>
            <w:r>
              <w:rPr>
                <w:rFonts w:ascii="Times New Roman" w:hAnsi="Times New Roman"/>
                <w:sz w:val="28"/>
                <w:szCs w:val="28"/>
                <w:lang w:val="kk-KZ"/>
              </w:rPr>
              <w:t>РБ</w:t>
            </w:r>
          </w:p>
        </w:tc>
        <w:tc>
          <w:tcPr>
            <w:tcW w:w="7790" w:type="dxa"/>
            <w:hideMark/>
          </w:tcPr>
          <w:p w14:paraId="5D93B35A"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бюджет</w:t>
            </w:r>
          </w:p>
        </w:tc>
      </w:tr>
      <w:tr w:rsidR="00334F89" w14:paraId="6CB607E2" w14:textId="77777777" w:rsidTr="00334F89">
        <w:tc>
          <w:tcPr>
            <w:tcW w:w="1555" w:type="dxa"/>
            <w:hideMark/>
          </w:tcPr>
          <w:p w14:paraId="6D9DC20D" w14:textId="77777777" w:rsidR="00334F89" w:rsidRDefault="00334F89">
            <w:pPr>
              <w:rPr>
                <w:rFonts w:ascii="Times New Roman" w:hAnsi="Times New Roman"/>
                <w:sz w:val="28"/>
                <w:szCs w:val="28"/>
                <w:lang w:val="kk-KZ"/>
              </w:rPr>
            </w:pPr>
            <w:r>
              <w:rPr>
                <w:rFonts w:ascii="Times New Roman" w:hAnsi="Times New Roman"/>
                <w:sz w:val="28"/>
                <w:szCs w:val="28"/>
                <w:lang w:val="kk-KZ"/>
              </w:rPr>
              <w:t>ЖБ</w:t>
            </w:r>
          </w:p>
        </w:tc>
        <w:tc>
          <w:tcPr>
            <w:tcW w:w="7790" w:type="dxa"/>
            <w:hideMark/>
          </w:tcPr>
          <w:p w14:paraId="582A601C"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Мемлекеттік бюджет</w:t>
            </w:r>
          </w:p>
        </w:tc>
      </w:tr>
      <w:tr w:rsidR="00334F89" w14:paraId="0B807AD5" w14:textId="77777777" w:rsidTr="00334F89">
        <w:tc>
          <w:tcPr>
            <w:tcW w:w="1555" w:type="dxa"/>
            <w:hideMark/>
          </w:tcPr>
          <w:p w14:paraId="1E5950A8" w14:textId="77777777" w:rsidR="00334F89" w:rsidRDefault="00334F89">
            <w:pPr>
              <w:rPr>
                <w:rFonts w:ascii="Times New Roman" w:hAnsi="Times New Roman"/>
                <w:sz w:val="28"/>
                <w:szCs w:val="28"/>
                <w:lang w:val="kk-KZ"/>
              </w:rPr>
            </w:pPr>
            <w:r>
              <w:rPr>
                <w:rFonts w:ascii="Times New Roman" w:hAnsi="Times New Roman" w:cs="Times New Roman"/>
                <w:sz w:val="28"/>
                <w:szCs w:val="28"/>
                <w:lang w:val="kk-KZ"/>
              </w:rPr>
              <w:t>CAP</w:t>
            </w:r>
          </w:p>
        </w:tc>
        <w:tc>
          <w:tcPr>
            <w:tcW w:w="7790" w:type="dxa"/>
            <w:hideMark/>
          </w:tcPr>
          <w:p w14:paraId="6377F1B4"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 xml:space="preserve">Common Agricultural Policy </w:t>
            </w:r>
          </w:p>
        </w:tc>
      </w:tr>
      <w:tr w:rsidR="00334F89" w:rsidRPr="00B108D0" w14:paraId="02516CBD" w14:textId="77777777" w:rsidTr="00334F89">
        <w:tc>
          <w:tcPr>
            <w:tcW w:w="1555" w:type="dxa"/>
            <w:hideMark/>
          </w:tcPr>
          <w:p w14:paraId="5AF4FB32" w14:textId="77777777" w:rsidR="00334F89" w:rsidRDefault="00334F89">
            <w:pPr>
              <w:rPr>
                <w:rFonts w:ascii="Times New Roman" w:hAnsi="Times New Roman"/>
                <w:sz w:val="28"/>
                <w:szCs w:val="28"/>
                <w:lang w:val="kk-KZ"/>
              </w:rPr>
            </w:pPr>
            <w:r>
              <w:rPr>
                <w:rFonts w:ascii="Times New Roman" w:hAnsi="Times New Roman" w:cs="Times New Roman"/>
                <w:sz w:val="28"/>
                <w:szCs w:val="28"/>
                <w:lang w:val="kk-KZ"/>
              </w:rPr>
              <w:t>EAFRD</w:t>
            </w:r>
          </w:p>
        </w:tc>
        <w:tc>
          <w:tcPr>
            <w:tcW w:w="7790" w:type="dxa"/>
            <w:hideMark/>
          </w:tcPr>
          <w:p w14:paraId="0355816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 xml:space="preserve">Europen Agricultural fund for rural development </w:t>
            </w:r>
          </w:p>
        </w:tc>
      </w:tr>
      <w:tr w:rsidR="00334F89" w14:paraId="49F9EBD5" w14:textId="77777777" w:rsidTr="00334F89">
        <w:tc>
          <w:tcPr>
            <w:tcW w:w="1555" w:type="dxa"/>
            <w:hideMark/>
          </w:tcPr>
          <w:p w14:paraId="08C543DD" w14:textId="77777777" w:rsidR="00334F89" w:rsidRDefault="00334F89">
            <w:pPr>
              <w:rPr>
                <w:rFonts w:ascii="Times New Roman" w:hAnsi="Times New Roman"/>
                <w:sz w:val="28"/>
                <w:szCs w:val="28"/>
                <w:lang w:val="kk-KZ"/>
              </w:rPr>
            </w:pPr>
            <w:r>
              <w:rPr>
                <w:rFonts w:ascii="Times New Roman" w:hAnsi="Times New Roman" w:cs="Times New Roman"/>
                <w:sz w:val="28"/>
                <w:szCs w:val="28"/>
                <w:lang w:val="kk-KZ"/>
              </w:rPr>
              <w:t>EAGF</w:t>
            </w:r>
          </w:p>
        </w:tc>
        <w:tc>
          <w:tcPr>
            <w:tcW w:w="7790" w:type="dxa"/>
            <w:hideMark/>
          </w:tcPr>
          <w:p w14:paraId="12C9276B"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 xml:space="preserve">Europen Agricultural Guarantee Fund </w:t>
            </w:r>
          </w:p>
        </w:tc>
      </w:tr>
      <w:tr w:rsidR="00334F89" w:rsidRPr="00B108D0" w14:paraId="626AC7A6" w14:textId="77777777" w:rsidTr="00334F89">
        <w:tc>
          <w:tcPr>
            <w:tcW w:w="1555" w:type="dxa"/>
            <w:hideMark/>
          </w:tcPr>
          <w:p w14:paraId="13D92F46" w14:textId="77777777" w:rsidR="00334F89" w:rsidRDefault="00334F89">
            <w:pPr>
              <w:rPr>
                <w:rFonts w:ascii="Times New Roman" w:hAnsi="Times New Roman"/>
                <w:sz w:val="28"/>
                <w:szCs w:val="28"/>
                <w:lang w:val="kk-KZ"/>
              </w:rPr>
            </w:pPr>
            <w:r>
              <w:rPr>
                <w:rFonts w:ascii="Times New Roman" w:hAnsi="Times New Roman" w:cs="Times New Roman"/>
                <w:sz w:val="28"/>
                <w:szCs w:val="28"/>
                <w:lang w:val="kk-KZ"/>
              </w:rPr>
              <w:t>ASAE</w:t>
            </w:r>
          </w:p>
        </w:tc>
        <w:tc>
          <w:tcPr>
            <w:tcW w:w="7790" w:type="dxa"/>
            <w:hideMark/>
          </w:tcPr>
          <w:p w14:paraId="0DF746FB" w14:textId="77777777" w:rsidR="00334F89" w:rsidRDefault="00334F89">
            <w:pPr>
              <w:rPr>
                <w:rFonts w:ascii="Times New Roman" w:hAnsi="Times New Roman" w:cs="Times New Roman"/>
                <w:sz w:val="28"/>
                <w:szCs w:val="28"/>
                <w:lang w:val="en-US"/>
              </w:rPr>
            </w:pPr>
            <w:r>
              <w:rPr>
                <w:rFonts w:ascii="Times New Roman" w:hAnsi="Times New Roman" w:cs="Times New Roman"/>
                <w:sz w:val="28"/>
                <w:szCs w:val="28"/>
                <w:lang w:val="en-US"/>
              </w:rPr>
              <w:t xml:space="preserve">Australian Standard on Assurance Engagements </w:t>
            </w:r>
          </w:p>
        </w:tc>
      </w:tr>
      <w:tr w:rsidR="00334F89" w14:paraId="4447953C" w14:textId="77777777" w:rsidTr="00334F89">
        <w:tc>
          <w:tcPr>
            <w:tcW w:w="1555" w:type="dxa"/>
            <w:hideMark/>
          </w:tcPr>
          <w:p w14:paraId="357A1B8C" w14:textId="77777777" w:rsidR="00334F89" w:rsidRDefault="00334F89">
            <w:pPr>
              <w:rPr>
                <w:rFonts w:ascii="Times New Roman" w:hAnsi="Times New Roman" w:cs="Times New Roman"/>
                <w:sz w:val="28"/>
                <w:szCs w:val="28"/>
                <w:lang w:val="en-US"/>
              </w:rPr>
            </w:pPr>
            <w:r>
              <w:rPr>
                <w:rFonts w:ascii="Times New Roman" w:hAnsi="Times New Roman" w:cs="Times New Roman"/>
                <w:sz w:val="28"/>
                <w:szCs w:val="28"/>
                <w:lang w:val="en-US"/>
              </w:rPr>
              <w:t>VfM</w:t>
            </w:r>
          </w:p>
        </w:tc>
        <w:tc>
          <w:tcPr>
            <w:tcW w:w="7790" w:type="dxa"/>
            <w:hideMark/>
          </w:tcPr>
          <w:p w14:paraId="287FA772" w14:textId="77777777" w:rsidR="00334F89" w:rsidRDefault="00334F89">
            <w:pPr>
              <w:rPr>
                <w:rFonts w:ascii="Times New Roman" w:hAnsi="Times New Roman" w:cs="Times New Roman"/>
                <w:sz w:val="28"/>
                <w:szCs w:val="28"/>
                <w:lang w:val="en-US"/>
              </w:rPr>
            </w:pPr>
            <w:r>
              <w:rPr>
                <w:rFonts w:ascii="Times New Roman" w:hAnsi="Times New Roman" w:cs="Times New Roman"/>
                <w:sz w:val="28"/>
                <w:szCs w:val="28"/>
                <w:lang w:val="en-US"/>
              </w:rPr>
              <w:t>Value for money</w:t>
            </w:r>
          </w:p>
        </w:tc>
      </w:tr>
      <w:tr w:rsidR="00334F89" w14:paraId="6EB00948" w14:textId="77777777" w:rsidTr="00334F89">
        <w:tc>
          <w:tcPr>
            <w:tcW w:w="1555" w:type="dxa"/>
            <w:hideMark/>
          </w:tcPr>
          <w:p w14:paraId="0934E9F4" w14:textId="77777777" w:rsidR="00334F89" w:rsidRDefault="00334F89">
            <w:pPr>
              <w:rPr>
                <w:rFonts w:ascii="Times New Roman" w:hAnsi="Times New Roman"/>
                <w:sz w:val="28"/>
                <w:szCs w:val="28"/>
                <w:lang w:val="kk-KZ"/>
              </w:rPr>
            </w:pPr>
            <w:r>
              <w:rPr>
                <w:rFonts w:ascii="Times New Roman" w:hAnsi="Times New Roman" w:cs="Times New Roman"/>
                <w:kern w:val="36"/>
                <w:sz w:val="28"/>
                <w:szCs w:val="28"/>
                <w:lang w:val="kk-KZ" w:eastAsia="zh-CN"/>
              </w:rPr>
              <w:t>ССР</w:t>
            </w:r>
          </w:p>
        </w:tc>
        <w:tc>
          <w:tcPr>
            <w:tcW w:w="7790" w:type="dxa"/>
            <w:hideMark/>
          </w:tcPr>
          <w:p w14:paraId="4DFFF03C"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Совет Социалистік Республикасы</w:t>
            </w:r>
          </w:p>
        </w:tc>
      </w:tr>
      <w:tr w:rsidR="00334F89" w14:paraId="3D7C9E52" w14:textId="77777777" w:rsidTr="00334F89">
        <w:tc>
          <w:tcPr>
            <w:tcW w:w="1555" w:type="dxa"/>
            <w:hideMark/>
          </w:tcPr>
          <w:p w14:paraId="7261070A"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shd w:val="clear" w:color="auto" w:fill="FFFFFF"/>
                <w:lang w:val="kk-KZ"/>
              </w:rPr>
              <w:t>СҚО</w:t>
            </w:r>
          </w:p>
        </w:tc>
        <w:tc>
          <w:tcPr>
            <w:tcW w:w="7790" w:type="dxa"/>
            <w:hideMark/>
          </w:tcPr>
          <w:p w14:paraId="0F57FC74"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Солтүстік Қазақстан Облысы</w:t>
            </w:r>
          </w:p>
        </w:tc>
      </w:tr>
      <w:tr w:rsidR="00334F89" w:rsidRPr="00B108D0" w14:paraId="73FC0AD6" w14:textId="77777777" w:rsidTr="00334F89">
        <w:tc>
          <w:tcPr>
            <w:tcW w:w="1555" w:type="dxa"/>
            <w:hideMark/>
          </w:tcPr>
          <w:p w14:paraId="70D281C2" w14:textId="77777777" w:rsidR="00334F89" w:rsidRDefault="00334F89">
            <w:pPr>
              <w:rPr>
                <w:rFonts w:ascii="Times New Roman" w:hAnsi="Times New Roman" w:cs="Times New Roman"/>
                <w:sz w:val="28"/>
                <w:szCs w:val="28"/>
                <w:lang w:val="kk-KZ"/>
              </w:rPr>
            </w:pPr>
            <w:r>
              <w:rPr>
                <w:rFonts w:ascii="Times New Roman" w:hAnsi="Times New Roman" w:cs="Times New Roman"/>
                <w:kern w:val="36"/>
                <w:sz w:val="28"/>
                <w:szCs w:val="28"/>
                <w:lang w:val="kk-KZ" w:eastAsia="zh-CN"/>
              </w:rPr>
              <w:t>ҒЗТКЖ</w:t>
            </w:r>
          </w:p>
        </w:tc>
        <w:tc>
          <w:tcPr>
            <w:tcW w:w="7790" w:type="dxa"/>
            <w:hideMark/>
          </w:tcPr>
          <w:p w14:paraId="56C8E4BD" w14:textId="77777777" w:rsidR="00334F89" w:rsidRDefault="00334F89">
            <w:pPr>
              <w:rPr>
                <w:rFonts w:ascii="Times New Roman" w:hAnsi="Times New Roman" w:cs="Times New Roman"/>
                <w:sz w:val="28"/>
                <w:szCs w:val="28"/>
                <w:lang w:val="kk-KZ"/>
              </w:rPr>
            </w:pPr>
            <w:r>
              <w:rPr>
                <w:rFonts w:ascii="Times New Roman" w:hAnsi="Times New Roman" w:cs="Times New Roman"/>
                <w:kern w:val="36"/>
                <w:sz w:val="28"/>
                <w:szCs w:val="28"/>
                <w:lang w:val="kk-KZ" w:eastAsia="zh-CN"/>
              </w:rPr>
              <w:t>Ғылыми-зерттеу және тәжірибелік-конструкторлық жұмыстар</w:t>
            </w:r>
          </w:p>
        </w:tc>
      </w:tr>
      <w:tr w:rsidR="00334F89" w14:paraId="2B207A15" w14:textId="77777777" w:rsidTr="00334F89">
        <w:tc>
          <w:tcPr>
            <w:tcW w:w="1555" w:type="dxa"/>
            <w:hideMark/>
          </w:tcPr>
          <w:p w14:paraId="2738AE54" w14:textId="77777777" w:rsidR="00334F89" w:rsidRDefault="00334F89">
            <w:pPr>
              <w:rPr>
                <w:rFonts w:ascii="Times New Roman" w:hAnsi="Times New Roman" w:cs="Times New Roman"/>
                <w:sz w:val="28"/>
                <w:szCs w:val="28"/>
                <w:lang w:val="kk-KZ"/>
              </w:rPr>
            </w:pPr>
            <w:r>
              <w:rPr>
                <w:rFonts w:ascii="Times New Roman" w:hAnsi="Times New Roman" w:cs="Times New Roman"/>
                <w:kern w:val="36"/>
                <w:sz w:val="28"/>
                <w:szCs w:val="28"/>
                <w:lang w:val="kk-KZ" w:eastAsia="zh-CN"/>
              </w:rPr>
              <w:t>ҚХР</w:t>
            </w:r>
          </w:p>
        </w:tc>
        <w:tc>
          <w:tcPr>
            <w:tcW w:w="7790" w:type="dxa"/>
            <w:hideMark/>
          </w:tcPr>
          <w:p w14:paraId="44848649"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Қытай Халық Республикасы</w:t>
            </w:r>
          </w:p>
        </w:tc>
      </w:tr>
      <w:tr w:rsidR="00334F89" w14:paraId="5B86AA0F" w14:textId="77777777" w:rsidTr="00334F89">
        <w:tc>
          <w:tcPr>
            <w:tcW w:w="1555" w:type="dxa"/>
            <w:hideMark/>
          </w:tcPr>
          <w:p w14:paraId="17F8501F"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shd w:val="clear" w:color="auto" w:fill="FFFFFF"/>
              </w:rPr>
              <w:t>ЖОО</w:t>
            </w:r>
          </w:p>
        </w:tc>
        <w:tc>
          <w:tcPr>
            <w:tcW w:w="7790" w:type="dxa"/>
            <w:hideMark/>
          </w:tcPr>
          <w:p w14:paraId="2C267C9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Жоғары Оқу Орындары</w:t>
            </w:r>
          </w:p>
        </w:tc>
      </w:tr>
      <w:tr w:rsidR="00334F89" w14:paraId="2A72CCC9" w14:textId="77777777" w:rsidTr="00334F89">
        <w:tc>
          <w:tcPr>
            <w:tcW w:w="1555" w:type="dxa"/>
            <w:hideMark/>
          </w:tcPr>
          <w:p w14:paraId="5836EF4B"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shd w:val="clear" w:color="auto" w:fill="FFFFFF"/>
              </w:rPr>
              <w:t>ҒЗИ</w:t>
            </w:r>
          </w:p>
        </w:tc>
        <w:tc>
          <w:tcPr>
            <w:tcW w:w="7790" w:type="dxa"/>
            <w:hideMark/>
          </w:tcPr>
          <w:p w14:paraId="4E86F506"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Ғылыми Зерттеу Институты</w:t>
            </w:r>
          </w:p>
        </w:tc>
      </w:tr>
      <w:tr w:rsidR="00334F89" w14:paraId="2A231889" w14:textId="77777777" w:rsidTr="00334F89">
        <w:tc>
          <w:tcPr>
            <w:tcW w:w="1555" w:type="dxa"/>
            <w:hideMark/>
          </w:tcPr>
          <w:p w14:paraId="1126FA30"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bdr w:val="none" w:sz="0" w:space="0" w:color="auto" w:frame="1"/>
                <w:shd w:val="clear" w:color="auto" w:fill="FFFFFF"/>
              </w:rPr>
              <w:t>БТО</w:t>
            </w:r>
          </w:p>
        </w:tc>
        <w:tc>
          <w:tcPr>
            <w:tcW w:w="7790" w:type="dxa"/>
            <w:hideMark/>
          </w:tcPr>
          <w:p w14:paraId="1F58BBA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Білімді тарату орталығы</w:t>
            </w:r>
          </w:p>
        </w:tc>
      </w:tr>
      <w:tr w:rsidR="00334F89" w14:paraId="4D2EC9FC" w14:textId="77777777" w:rsidTr="00334F89">
        <w:tc>
          <w:tcPr>
            <w:tcW w:w="1555" w:type="dxa"/>
            <w:hideMark/>
          </w:tcPr>
          <w:p w14:paraId="1F70FBB7" w14:textId="77777777" w:rsidR="00334F89" w:rsidRDefault="00334F89">
            <w:pPr>
              <w:rPr>
                <w:rFonts w:ascii="Times New Roman" w:hAnsi="Times New Roman" w:cs="Times New Roman"/>
                <w:color w:val="000000"/>
                <w:spacing w:val="2"/>
                <w:sz w:val="28"/>
                <w:szCs w:val="28"/>
                <w:bdr w:val="none" w:sz="0" w:space="0" w:color="auto" w:frame="1"/>
                <w:shd w:val="clear" w:color="auto" w:fill="FFFFFF"/>
              </w:rPr>
            </w:pPr>
            <w:r>
              <w:rPr>
                <w:rFonts w:ascii="Times New Roman" w:hAnsi="Times New Roman" w:cs="Times New Roman"/>
                <w:color w:val="000000"/>
                <w:spacing w:val="2"/>
                <w:sz w:val="28"/>
                <w:szCs w:val="28"/>
                <w:shd w:val="clear" w:color="auto" w:fill="FFFFFF"/>
              </w:rPr>
              <w:t>ҒЗҰ</w:t>
            </w:r>
          </w:p>
        </w:tc>
        <w:tc>
          <w:tcPr>
            <w:tcW w:w="7790" w:type="dxa"/>
            <w:hideMark/>
          </w:tcPr>
          <w:p w14:paraId="4C755AF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Ғылыми зерттеу ұйымдары</w:t>
            </w:r>
          </w:p>
        </w:tc>
      </w:tr>
      <w:tr w:rsidR="00334F89" w14:paraId="3484F2C2" w14:textId="77777777" w:rsidTr="00334F89">
        <w:tc>
          <w:tcPr>
            <w:tcW w:w="1555" w:type="dxa"/>
            <w:hideMark/>
          </w:tcPr>
          <w:p w14:paraId="17079ABF" w14:textId="77777777" w:rsidR="00334F89" w:rsidRDefault="00334F89">
            <w:pP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ҰАҒБО</w:t>
            </w:r>
          </w:p>
        </w:tc>
        <w:tc>
          <w:tcPr>
            <w:tcW w:w="7790" w:type="dxa"/>
            <w:hideMark/>
          </w:tcPr>
          <w:p w14:paraId="19C84ED5"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Ұлттық Аграрлық Ғылыми Білім беру Орталығы</w:t>
            </w:r>
          </w:p>
        </w:tc>
      </w:tr>
      <w:tr w:rsidR="00334F89" w14:paraId="74395646" w14:textId="77777777" w:rsidTr="00334F89">
        <w:tc>
          <w:tcPr>
            <w:tcW w:w="1555" w:type="dxa"/>
            <w:hideMark/>
          </w:tcPr>
          <w:p w14:paraId="6B61CAD9"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bdr w:val="none" w:sz="0" w:space="0" w:color="auto" w:frame="1"/>
                <w:shd w:val="clear" w:color="auto" w:fill="FFFFFF"/>
                <w:lang w:val="kk-KZ"/>
              </w:rPr>
              <w:t>ӨҚҚ</w:t>
            </w:r>
          </w:p>
        </w:tc>
        <w:tc>
          <w:tcPr>
            <w:tcW w:w="7790" w:type="dxa"/>
            <w:hideMark/>
          </w:tcPr>
          <w:p w14:paraId="21AFE6E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Өсімдік қорғау құралдары</w:t>
            </w:r>
          </w:p>
        </w:tc>
      </w:tr>
      <w:tr w:rsidR="00334F89" w14:paraId="1A8F2D83" w14:textId="77777777" w:rsidTr="00334F89">
        <w:tc>
          <w:tcPr>
            <w:tcW w:w="1555" w:type="dxa"/>
            <w:hideMark/>
          </w:tcPr>
          <w:p w14:paraId="56AFA407" w14:textId="77777777" w:rsidR="00334F89" w:rsidRDefault="00334F89">
            <w:pPr>
              <w:rPr>
                <w:rFonts w:ascii="Times New Roman" w:hAnsi="Times New Roman" w:cs="Times New Roman"/>
                <w:color w:val="000000"/>
                <w:spacing w:val="2"/>
                <w:sz w:val="28"/>
                <w:szCs w:val="28"/>
                <w:bdr w:val="none" w:sz="0" w:space="0" w:color="auto" w:frame="1"/>
                <w:shd w:val="clear" w:color="auto" w:fill="FFFFFF"/>
                <w:lang w:val="kk-KZ"/>
              </w:rPr>
            </w:pPr>
            <w:r>
              <w:rPr>
                <w:rFonts w:ascii="Times New Roman" w:hAnsi="Times New Roman" w:cs="Times New Roman"/>
                <w:color w:val="000000"/>
                <w:spacing w:val="2"/>
                <w:sz w:val="28"/>
                <w:szCs w:val="28"/>
                <w:shd w:val="clear" w:color="auto" w:fill="FFFFFF"/>
              </w:rPr>
              <w:t>НҚА</w:t>
            </w:r>
          </w:p>
        </w:tc>
        <w:tc>
          <w:tcPr>
            <w:tcW w:w="7790" w:type="dxa"/>
            <w:hideMark/>
          </w:tcPr>
          <w:p w14:paraId="2B34904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Нормативтік-құқықтық актілер</w:t>
            </w:r>
          </w:p>
        </w:tc>
      </w:tr>
      <w:tr w:rsidR="00334F89" w14:paraId="401F4E74" w14:textId="77777777" w:rsidTr="00334F89">
        <w:tc>
          <w:tcPr>
            <w:tcW w:w="1555" w:type="dxa"/>
            <w:hideMark/>
          </w:tcPr>
          <w:p w14:paraId="01D1C5E6" w14:textId="77777777" w:rsidR="00334F89" w:rsidRDefault="00334F89">
            <w:pPr>
              <w:rPr>
                <w:rFonts w:ascii="Times New Roman" w:hAnsi="Times New Roman" w:cs="Times New Roman"/>
                <w:color w:val="000000"/>
                <w:spacing w:val="2"/>
                <w:sz w:val="28"/>
                <w:szCs w:val="28"/>
                <w:bdr w:val="none" w:sz="0" w:space="0" w:color="auto" w:frame="1"/>
                <w:shd w:val="clear" w:color="auto" w:fill="FFFFFF"/>
                <w:lang w:val="kk-KZ"/>
              </w:rPr>
            </w:pPr>
            <w:r>
              <w:rPr>
                <w:rFonts w:ascii="Times New Roman" w:hAnsi="Times New Roman" w:cs="Times New Roman"/>
                <w:color w:val="000000"/>
                <w:spacing w:val="2"/>
                <w:sz w:val="28"/>
                <w:szCs w:val="28"/>
                <w:shd w:val="clear" w:color="auto" w:fill="FFFFFF"/>
                <w:lang w:val="kk-KZ"/>
              </w:rPr>
              <w:t>МҚҰ</w:t>
            </w:r>
          </w:p>
        </w:tc>
        <w:tc>
          <w:tcPr>
            <w:tcW w:w="7790" w:type="dxa"/>
            <w:hideMark/>
          </w:tcPr>
          <w:p w14:paraId="67A1AAB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Микро қаржылық ұйымдар</w:t>
            </w:r>
          </w:p>
        </w:tc>
      </w:tr>
      <w:tr w:rsidR="00334F89" w14:paraId="5654AF6C" w14:textId="77777777" w:rsidTr="00334F89">
        <w:tc>
          <w:tcPr>
            <w:tcW w:w="1555" w:type="dxa"/>
            <w:hideMark/>
          </w:tcPr>
          <w:p w14:paraId="0C11A16B" w14:textId="77777777" w:rsidR="00334F89" w:rsidRDefault="00334F89">
            <w:pPr>
              <w:rPr>
                <w:rFonts w:ascii="Times New Roman" w:hAnsi="Times New Roman" w:cs="Times New Roman"/>
                <w:color w:val="000000"/>
                <w:spacing w:val="2"/>
                <w:sz w:val="28"/>
                <w:szCs w:val="28"/>
                <w:shd w:val="clear" w:color="auto" w:fill="FFFFFF"/>
                <w:lang w:val="kk-KZ"/>
              </w:rPr>
            </w:pPr>
            <w:r>
              <w:rPr>
                <w:rFonts w:ascii="Times New Roman" w:eastAsia="Times New Roman" w:hAnsi="Times New Roman"/>
                <w:kern w:val="36"/>
                <w:sz w:val="28"/>
                <w:szCs w:val="28"/>
                <w:lang w:val="kk-KZ" w:eastAsia="ru-RU"/>
              </w:rPr>
              <w:t>ЖҚБО</w:t>
            </w:r>
          </w:p>
        </w:tc>
        <w:tc>
          <w:tcPr>
            <w:tcW w:w="7790" w:type="dxa"/>
            <w:hideMark/>
          </w:tcPr>
          <w:p w14:paraId="1B6A413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Жоғары Қаржылық Бақылау Органы</w:t>
            </w:r>
          </w:p>
        </w:tc>
      </w:tr>
      <w:tr w:rsidR="00334F89" w14:paraId="26B8451B" w14:textId="77777777" w:rsidTr="00334F89">
        <w:tc>
          <w:tcPr>
            <w:tcW w:w="1555" w:type="dxa"/>
            <w:hideMark/>
          </w:tcPr>
          <w:p w14:paraId="09DAB747" w14:textId="77777777" w:rsidR="00334F89" w:rsidRDefault="00334F89">
            <w:pPr>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МИК</w:t>
            </w:r>
          </w:p>
        </w:tc>
        <w:tc>
          <w:tcPr>
            <w:tcW w:w="7790" w:type="dxa"/>
            <w:hideMark/>
          </w:tcPr>
          <w:p w14:paraId="26B5C7A1"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Мемлекеттік инспекциялық комитеті</w:t>
            </w:r>
          </w:p>
        </w:tc>
      </w:tr>
      <w:tr w:rsidR="00334F89" w14:paraId="184745A3" w14:textId="77777777" w:rsidTr="00334F89">
        <w:tc>
          <w:tcPr>
            <w:tcW w:w="1555" w:type="dxa"/>
            <w:hideMark/>
          </w:tcPr>
          <w:p w14:paraId="063FD994" w14:textId="77777777" w:rsidR="00334F89" w:rsidRDefault="00334F89">
            <w:pPr>
              <w:rPr>
                <w:rFonts w:ascii="Times New Roman" w:eastAsia="Times New Roman" w:hAnsi="Times New Roman"/>
                <w:kern w:val="36"/>
                <w:sz w:val="28"/>
                <w:szCs w:val="28"/>
                <w:lang w:val="kk-KZ" w:eastAsia="ru-RU"/>
              </w:rPr>
            </w:pPr>
            <w:r>
              <w:rPr>
                <w:rFonts w:ascii="Times New Roman" w:hAnsi="Times New Roman" w:cs="Times New Roman"/>
                <w:color w:val="000000"/>
                <w:sz w:val="28"/>
                <w:szCs w:val="28"/>
                <w:lang w:val="kk-KZ"/>
              </w:rPr>
              <w:t>ТКШ</w:t>
            </w:r>
          </w:p>
        </w:tc>
        <w:tc>
          <w:tcPr>
            <w:tcW w:w="7790" w:type="dxa"/>
            <w:hideMark/>
          </w:tcPr>
          <w:p w14:paraId="5A8AC227"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Тұрғын үй коммуналдық шаруашылық</w:t>
            </w:r>
          </w:p>
        </w:tc>
      </w:tr>
      <w:tr w:rsidR="00334F89" w14:paraId="2F8BCCFD" w14:textId="77777777" w:rsidTr="00334F89">
        <w:tc>
          <w:tcPr>
            <w:tcW w:w="1555" w:type="dxa"/>
            <w:hideMark/>
          </w:tcPr>
          <w:p w14:paraId="01472E2C" w14:textId="77777777" w:rsidR="00334F89" w:rsidRDefault="00334F89">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ҚЭН</w:t>
            </w:r>
          </w:p>
        </w:tc>
        <w:tc>
          <w:tcPr>
            <w:tcW w:w="7790" w:type="dxa"/>
            <w:hideMark/>
          </w:tcPr>
          <w:p w14:paraId="22C30B0E"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Қаржылық экономикалық негіздеу</w:t>
            </w:r>
          </w:p>
        </w:tc>
      </w:tr>
      <w:tr w:rsidR="00334F89" w14:paraId="6083277B" w14:textId="77777777" w:rsidTr="00334F89">
        <w:tc>
          <w:tcPr>
            <w:tcW w:w="1555" w:type="dxa"/>
            <w:hideMark/>
          </w:tcPr>
          <w:p w14:paraId="2143CE08" w14:textId="77777777" w:rsidR="00334F89" w:rsidRDefault="00334F89">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КТС</w:t>
            </w:r>
          </w:p>
        </w:tc>
        <w:tc>
          <w:tcPr>
            <w:tcW w:w="7790" w:type="dxa"/>
            <w:hideMark/>
          </w:tcPr>
          <w:p w14:paraId="4143C90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Корпоративті табыс салығы</w:t>
            </w:r>
          </w:p>
        </w:tc>
      </w:tr>
      <w:tr w:rsidR="00334F89" w14:paraId="2AAD7F54" w14:textId="77777777" w:rsidTr="00334F89">
        <w:tc>
          <w:tcPr>
            <w:tcW w:w="1555" w:type="dxa"/>
            <w:hideMark/>
          </w:tcPr>
          <w:p w14:paraId="228E826F"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млрд.</w:t>
            </w:r>
          </w:p>
        </w:tc>
        <w:tc>
          <w:tcPr>
            <w:tcW w:w="7790" w:type="dxa"/>
            <w:hideMark/>
          </w:tcPr>
          <w:p w14:paraId="502EB39D"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миллиард</w:t>
            </w:r>
          </w:p>
        </w:tc>
      </w:tr>
      <w:tr w:rsidR="00334F89" w14:paraId="4AA55271" w14:textId="77777777" w:rsidTr="00334F89">
        <w:tc>
          <w:tcPr>
            <w:tcW w:w="1555" w:type="dxa"/>
            <w:hideMark/>
          </w:tcPr>
          <w:p w14:paraId="5CFA8591"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трлн</w:t>
            </w:r>
          </w:p>
        </w:tc>
        <w:tc>
          <w:tcPr>
            <w:tcW w:w="7790" w:type="dxa"/>
            <w:hideMark/>
          </w:tcPr>
          <w:p w14:paraId="11E2F38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триллион</w:t>
            </w:r>
          </w:p>
        </w:tc>
      </w:tr>
      <w:tr w:rsidR="00334F89" w14:paraId="2EE71D78" w14:textId="77777777" w:rsidTr="00334F89">
        <w:tc>
          <w:tcPr>
            <w:tcW w:w="1555" w:type="dxa"/>
            <w:hideMark/>
          </w:tcPr>
          <w:p w14:paraId="43588F12"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жж.</w:t>
            </w:r>
          </w:p>
        </w:tc>
        <w:tc>
          <w:tcPr>
            <w:tcW w:w="7790" w:type="dxa"/>
            <w:hideMark/>
          </w:tcPr>
          <w:p w14:paraId="37756D19"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жылдар</w:t>
            </w:r>
          </w:p>
        </w:tc>
      </w:tr>
      <w:tr w:rsidR="00334F89" w14:paraId="10D40DDC" w14:textId="77777777" w:rsidTr="00334F89">
        <w:tc>
          <w:tcPr>
            <w:tcW w:w="1555" w:type="dxa"/>
            <w:hideMark/>
          </w:tcPr>
          <w:p w14:paraId="73623FB6"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eastAsia="zh-CN"/>
              </w:rPr>
              <w:t>ж.</w:t>
            </w:r>
          </w:p>
        </w:tc>
        <w:tc>
          <w:tcPr>
            <w:tcW w:w="7790" w:type="dxa"/>
            <w:hideMark/>
          </w:tcPr>
          <w:p w14:paraId="1B330F06"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жыл</w:t>
            </w:r>
          </w:p>
        </w:tc>
      </w:tr>
      <w:tr w:rsidR="00334F89" w14:paraId="5771BE20" w14:textId="77777777" w:rsidTr="00334F89">
        <w:tc>
          <w:tcPr>
            <w:tcW w:w="1555" w:type="dxa"/>
            <w:hideMark/>
          </w:tcPr>
          <w:p w14:paraId="322458A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га</w:t>
            </w:r>
          </w:p>
        </w:tc>
        <w:tc>
          <w:tcPr>
            <w:tcW w:w="7790" w:type="dxa"/>
            <w:hideMark/>
          </w:tcPr>
          <w:p w14:paraId="3769230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гектар</w:t>
            </w:r>
          </w:p>
        </w:tc>
      </w:tr>
      <w:tr w:rsidR="00334F89" w14:paraId="3F64C720" w14:textId="77777777" w:rsidTr="00334F89">
        <w:tc>
          <w:tcPr>
            <w:tcW w:w="1555" w:type="dxa"/>
            <w:hideMark/>
          </w:tcPr>
          <w:p w14:paraId="4197B1C2" w14:textId="77777777" w:rsidR="00334F89" w:rsidRDefault="00334F89">
            <w:pPr>
              <w:rPr>
                <w:rFonts w:ascii="Times New Roman" w:hAnsi="Times New Roman" w:cs="Times New Roman"/>
                <w:sz w:val="28"/>
                <w:szCs w:val="28"/>
                <w:lang w:val="kk-KZ"/>
              </w:rPr>
            </w:pPr>
            <w:r>
              <w:rPr>
                <w:rFonts w:ascii="Times New Roman" w:hAnsi="Times New Roman"/>
                <w:sz w:val="28"/>
                <w:szCs w:val="28"/>
                <w:lang w:val="kk-KZ"/>
              </w:rPr>
              <w:t>млн.</w:t>
            </w:r>
          </w:p>
        </w:tc>
        <w:tc>
          <w:tcPr>
            <w:tcW w:w="7790" w:type="dxa"/>
            <w:hideMark/>
          </w:tcPr>
          <w:p w14:paraId="738B3B09"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миллион</w:t>
            </w:r>
          </w:p>
        </w:tc>
      </w:tr>
      <w:tr w:rsidR="00334F89" w14:paraId="6A677434" w14:textId="77777777" w:rsidTr="00334F89">
        <w:tc>
          <w:tcPr>
            <w:tcW w:w="1555" w:type="dxa"/>
            <w:hideMark/>
          </w:tcPr>
          <w:p w14:paraId="1837DE09" w14:textId="77777777" w:rsidR="00334F89" w:rsidRDefault="00334F89">
            <w:pPr>
              <w:rPr>
                <w:rFonts w:ascii="Times New Roman" w:hAnsi="Times New Roman" w:cs="Times New Roman"/>
                <w:sz w:val="28"/>
                <w:szCs w:val="28"/>
                <w:lang w:val="kk-KZ"/>
              </w:rPr>
            </w:pPr>
            <w:r>
              <w:rPr>
                <w:rFonts w:ascii="Times New Roman" w:hAnsi="Times New Roman" w:cs="Times New Roman"/>
                <w:color w:val="000000"/>
                <w:spacing w:val="2"/>
                <w:sz w:val="28"/>
                <w:szCs w:val="28"/>
                <w:shd w:val="clear" w:color="auto" w:fill="FFFFFF"/>
              </w:rPr>
              <w:t>бірл.</w:t>
            </w:r>
          </w:p>
        </w:tc>
        <w:tc>
          <w:tcPr>
            <w:tcW w:w="7790" w:type="dxa"/>
            <w:hideMark/>
          </w:tcPr>
          <w:p w14:paraId="324DB6B8"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бірлік</w:t>
            </w:r>
          </w:p>
        </w:tc>
      </w:tr>
      <w:tr w:rsidR="00334F89" w14:paraId="735AAC2F" w14:textId="77777777" w:rsidTr="00334F89">
        <w:tc>
          <w:tcPr>
            <w:tcW w:w="1555" w:type="dxa"/>
            <w:hideMark/>
          </w:tcPr>
          <w:p w14:paraId="1DE1D40C" w14:textId="77777777" w:rsidR="00334F89" w:rsidRDefault="00334F89">
            <w:pPr>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color w:val="000000"/>
                <w:sz w:val="28"/>
                <w:szCs w:val="28"/>
                <w:lang w:eastAsia="ru-RU"/>
              </w:rPr>
              <w:t>км</w:t>
            </w:r>
          </w:p>
        </w:tc>
        <w:tc>
          <w:tcPr>
            <w:tcW w:w="7790" w:type="dxa"/>
            <w:hideMark/>
          </w:tcPr>
          <w:p w14:paraId="7B908C13"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километр</w:t>
            </w:r>
          </w:p>
        </w:tc>
      </w:tr>
      <w:tr w:rsidR="00334F89" w14:paraId="753A74F1" w14:textId="77777777" w:rsidTr="00334F89">
        <w:tc>
          <w:tcPr>
            <w:tcW w:w="1555" w:type="dxa"/>
            <w:hideMark/>
          </w:tcPr>
          <w:p w14:paraId="788C8DDE" w14:textId="77777777" w:rsidR="00334F89" w:rsidRDefault="00334F89">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т</w:t>
            </w:r>
          </w:p>
        </w:tc>
        <w:tc>
          <w:tcPr>
            <w:tcW w:w="7790" w:type="dxa"/>
            <w:hideMark/>
          </w:tcPr>
          <w:p w14:paraId="432B7529" w14:textId="77777777" w:rsidR="00334F89" w:rsidRDefault="00334F89">
            <w:pPr>
              <w:rPr>
                <w:rFonts w:ascii="Times New Roman" w:hAnsi="Times New Roman" w:cs="Times New Roman"/>
                <w:sz w:val="28"/>
                <w:szCs w:val="28"/>
                <w:lang w:val="kk-KZ"/>
              </w:rPr>
            </w:pPr>
            <w:r>
              <w:rPr>
                <w:rFonts w:ascii="Times New Roman" w:hAnsi="Times New Roman" w:cs="Times New Roman"/>
                <w:sz w:val="28"/>
                <w:szCs w:val="28"/>
                <w:lang w:val="kk-KZ"/>
              </w:rPr>
              <w:t>тонна</w:t>
            </w:r>
          </w:p>
        </w:tc>
      </w:tr>
    </w:tbl>
    <w:p w14:paraId="1F18E0EF"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08CEC679"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5567EBA4"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250213A0"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2756870"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E0758CD"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B71586C"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44B75548"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2FD5E37B"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6B0B3382"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25A98731"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6308E273"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5C9BBFB4"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1964167B"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55B12EFE"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750BC272"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C04D068"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0C0D9422"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7E67A189"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51EC4776"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8EDFD78"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39BEE19"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1D867E6D"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40A4DECC"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05AA7A8B"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4305D1C5"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1E257BB2"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6FFBC5CB"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34AFBFC0"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41CE7B37" w14:textId="77777777" w:rsidR="005C1477" w:rsidRPr="00457CE9" w:rsidRDefault="005C1477" w:rsidP="00457CE9">
      <w:pPr>
        <w:spacing w:after="0" w:line="240" w:lineRule="auto"/>
        <w:ind w:firstLine="709"/>
        <w:rPr>
          <w:rFonts w:ascii="Times New Roman" w:hAnsi="Times New Roman" w:cs="Times New Roman"/>
          <w:sz w:val="28"/>
          <w:szCs w:val="28"/>
          <w:lang w:val="kk-KZ"/>
        </w:rPr>
      </w:pPr>
    </w:p>
    <w:p w14:paraId="72D72759" w14:textId="77777777" w:rsidR="005C1477" w:rsidRDefault="005C1477" w:rsidP="00457CE9">
      <w:pPr>
        <w:spacing w:after="0" w:line="240" w:lineRule="auto"/>
        <w:ind w:firstLine="709"/>
        <w:rPr>
          <w:rFonts w:ascii="Times New Roman" w:hAnsi="Times New Roman" w:cs="Times New Roman"/>
          <w:sz w:val="28"/>
          <w:szCs w:val="28"/>
          <w:lang w:val="kk-KZ"/>
        </w:rPr>
      </w:pPr>
    </w:p>
    <w:p w14:paraId="1627914C" w14:textId="4A5B7BF3" w:rsidR="00A83E71" w:rsidRPr="00457CE9" w:rsidRDefault="00457CE9" w:rsidP="00457CE9">
      <w:pPr>
        <w:spacing w:after="0" w:line="240" w:lineRule="auto"/>
        <w:jc w:val="center"/>
        <w:rPr>
          <w:rFonts w:ascii="Times New Roman" w:hAnsi="Times New Roman" w:cs="Times New Roman"/>
          <w:b/>
          <w:sz w:val="28"/>
          <w:szCs w:val="28"/>
          <w:lang w:val="en-US"/>
        </w:rPr>
      </w:pPr>
      <w:r w:rsidRPr="00457CE9">
        <w:rPr>
          <w:rFonts w:ascii="Times New Roman" w:hAnsi="Times New Roman" w:cs="Times New Roman"/>
          <w:b/>
          <w:sz w:val="28"/>
          <w:szCs w:val="28"/>
          <w:lang w:val="kk-KZ"/>
        </w:rPr>
        <w:t>КІРІСПЕ</w:t>
      </w:r>
    </w:p>
    <w:p w14:paraId="2358284A" w14:textId="77777777" w:rsidR="00457CE9" w:rsidRDefault="00457CE9" w:rsidP="00457CE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p>
    <w:p w14:paraId="3D4EE967" w14:textId="3016E50A" w:rsidR="007770A0" w:rsidRDefault="007770A0" w:rsidP="007770A0">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sidRPr="007770A0">
        <w:rPr>
          <w:rStyle w:val="a4"/>
          <w:bCs/>
          <w:color w:val="auto"/>
          <w:sz w:val="28"/>
          <w:szCs w:val="28"/>
          <w:u w:val="none"/>
          <w:lang w:val="kk-KZ"/>
        </w:rPr>
        <w:t>Диссертациялық зерттеу тақырыбының</w:t>
      </w:r>
      <w:r w:rsidRPr="007770A0">
        <w:rPr>
          <w:rStyle w:val="a4"/>
          <w:b/>
          <w:color w:val="auto"/>
          <w:sz w:val="28"/>
          <w:szCs w:val="28"/>
          <w:u w:val="none"/>
          <w:lang w:val="kk-KZ"/>
        </w:rPr>
        <w:t xml:space="preserve"> өзектілігі</w:t>
      </w:r>
      <w:r w:rsidRPr="007770A0">
        <w:rPr>
          <w:rStyle w:val="a4"/>
          <w:color w:val="auto"/>
          <w:sz w:val="28"/>
          <w:szCs w:val="28"/>
          <w:u w:val="none"/>
          <w:lang w:val="kk-KZ"/>
        </w:rPr>
        <w:t xml:space="preserve">. </w:t>
      </w:r>
      <w:r>
        <w:rPr>
          <w:rFonts w:ascii="Times New Roman" w:hAnsi="Times New Roman" w:cs="Times New Roman"/>
          <w:sz w:val="28"/>
          <w:szCs w:val="28"/>
          <w:lang w:val="kk-KZ"/>
        </w:rPr>
        <w:t xml:space="preserve">Агроөнеркәсіптік кешен – көптеген құрылымдық элементтерді қамтитын күрделі әлеуметтік-экономикалық жүйе бола отырып, мемлекеттің </w:t>
      </w:r>
      <w:r w:rsidR="001E2869">
        <w:rPr>
          <w:rFonts w:ascii="Times New Roman" w:hAnsi="Times New Roman" w:cs="Times New Roman"/>
          <w:sz w:val="28"/>
          <w:szCs w:val="28"/>
          <w:lang w:val="kk-KZ"/>
        </w:rPr>
        <w:t>азық-түлік</w:t>
      </w:r>
      <w:r>
        <w:rPr>
          <w:rFonts w:ascii="Times New Roman" w:hAnsi="Times New Roman" w:cs="Times New Roman"/>
          <w:sz w:val="28"/>
          <w:szCs w:val="28"/>
          <w:lang w:val="kk-KZ"/>
        </w:rPr>
        <w:t xml:space="preserve">тік қауіпсіздігін қамтамасыз етуші стратегиялық бағыты болып табылады. </w:t>
      </w:r>
    </w:p>
    <w:p w14:paraId="175CDF20" w14:textId="07A27DEA" w:rsidR="007770A0" w:rsidRDefault="007770A0" w:rsidP="007770A0">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Біріккен Ұлттар Ұйымының </w:t>
      </w:r>
      <w:r w:rsidR="001E2869">
        <w:rPr>
          <w:rFonts w:ascii="Times New Roman" w:hAnsi="Times New Roman" w:cs="Times New Roman"/>
          <w:sz w:val="28"/>
          <w:szCs w:val="28"/>
          <w:lang w:val="kk-KZ"/>
        </w:rPr>
        <w:t>Азық-түлік</w:t>
      </w:r>
      <w:r>
        <w:rPr>
          <w:rFonts w:ascii="Times New Roman" w:hAnsi="Times New Roman" w:cs="Times New Roman"/>
          <w:sz w:val="28"/>
          <w:szCs w:val="28"/>
          <w:lang w:val="kk-KZ"/>
        </w:rPr>
        <w:t xml:space="preserve">тік және ауыл шаруашылық ұйымының (ФАО) мәліметі бойынша ауыл шаруашылық тауар өндірушілерді қолдауға үкіметтермен бөлінетін жалпы қаржы көлемі жылына 540 млрд. АҚШ долларын құрап отыр, 2021 жылға АӨК субсидиялар көлемінің өсу қарқынын ескере отырып 2030 жылға жылына 1,8 трлн. АҚШ долларын құрайды деп болжанған. </w:t>
      </w:r>
      <w:r w:rsidR="001E2869">
        <w:rPr>
          <w:rFonts w:ascii="Times New Roman" w:hAnsi="Times New Roman" w:cs="Times New Roman"/>
          <w:sz w:val="28"/>
          <w:szCs w:val="28"/>
          <w:lang w:val="kk-KZ"/>
        </w:rPr>
        <w:t>Азық-түлік</w:t>
      </w:r>
      <w:r>
        <w:rPr>
          <w:rFonts w:ascii="Times New Roman" w:hAnsi="Times New Roman" w:cs="Times New Roman"/>
          <w:sz w:val="28"/>
          <w:szCs w:val="28"/>
          <w:lang w:val="kk-KZ"/>
        </w:rPr>
        <w:t xml:space="preserve">тік қауіпсіздікті қамтамасыз ету </w:t>
      </w:r>
      <w:r w:rsidR="001E2869">
        <w:rPr>
          <w:rFonts w:ascii="Times New Roman" w:hAnsi="Times New Roman" w:cs="Times New Roman"/>
          <w:sz w:val="28"/>
          <w:szCs w:val="28"/>
          <w:lang w:val="kk-KZ"/>
        </w:rPr>
        <w:t>азық-түлік</w:t>
      </w:r>
      <w:r>
        <w:rPr>
          <w:rFonts w:ascii="Times New Roman" w:hAnsi="Times New Roman" w:cs="Times New Roman"/>
          <w:sz w:val="28"/>
          <w:szCs w:val="28"/>
          <w:lang w:val="kk-KZ"/>
        </w:rPr>
        <w:t>тік жүйелердің тұрақты дамуына әсер ететін факторларды мұқият талдауын қажет етеді [</w:t>
      </w:r>
      <w:r w:rsidR="00587004">
        <w:rPr>
          <w:rFonts w:ascii="Times New Roman" w:hAnsi="Times New Roman" w:cs="Times New Roman"/>
          <w:sz w:val="28"/>
          <w:szCs w:val="28"/>
          <w:lang w:val="kk-KZ"/>
        </w:rPr>
        <w:t>1</w:t>
      </w:r>
      <w:r>
        <w:rPr>
          <w:rFonts w:ascii="Times New Roman" w:hAnsi="Times New Roman" w:cs="Times New Roman"/>
          <w:sz w:val="28"/>
          <w:szCs w:val="28"/>
          <w:lang w:val="kk-KZ"/>
        </w:rPr>
        <w:t>].  Қазақстан Республикасы территориясының аумағы дүние жүзінде тоғызыншы орынға ие, жан басына шаққанда егістік жер көлемі әлемдегі екінші орынға ие болғандықтан, оның болашағы зор, сондықтан аграрлық өндірісті дамыту, оның салалық және аумақтық құрылымын жетілдіру үшін мемлекеттік бюджеттен 2015 жылдан 2 есеге өсіп, 2021 жылы 16725,1 млрд. теңгені құрады және бұл жыл сайын өсуде [</w:t>
      </w:r>
      <w:r w:rsidR="00011EBD">
        <w:rPr>
          <w:rFonts w:ascii="Times New Roman" w:hAnsi="Times New Roman" w:cs="Times New Roman"/>
          <w:sz w:val="28"/>
          <w:szCs w:val="28"/>
          <w:lang w:val="kk-KZ"/>
        </w:rPr>
        <w:t>2</w:t>
      </w:r>
      <w:r>
        <w:rPr>
          <w:rFonts w:ascii="Times New Roman" w:hAnsi="Times New Roman" w:cs="Times New Roman"/>
          <w:sz w:val="28"/>
          <w:szCs w:val="28"/>
          <w:lang w:val="kk-KZ"/>
        </w:rPr>
        <w:t>].</w:t>
      </w:r>
    </w:p>
    <w:p w14:paraId="22EA6E5C" w14:textId="667BAED4" w:rsidR="007544BA" w:rsidRDefault="007544BA" w:rsidP="007544BA">
      <w:pPr>
        <w:widowControl w:val="0"/>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ҚР Президенті Қасым-Жомарт Тоқаев «Әділетті мемлекет, біртұтас ұлт, берекелі қоғам» атты 2023 жылдың 16 наурызындағы жолдауында «Ауыл шаруашылығын дамыту – негізгі проблеманың бірі. Осы саладағы ахуал мемлекетіміздің азық-түлік қауіпсіздігіне тікелей әсер етеді. Еліміздің ауыл шаруашылығы өнімдерінің көлемін және оның қосымша құнын арттыру қажет. Бұл стратегиялық міндет. Үкімет агроөнеркәсіп саласын субсидиялаудың ұзақ мерзімге арналған жаңа тәсілдерін әзірлеуге тиіс. Бюджет қаражатының қайтарымы болуы керек» деп жазған [</w:t>
      </w:r>
      <w:r w:rsidR="00100FAE">
        <w:rPr>
          <w:rFonts w:ascii="Times New Roman" w:hAnsi="Times New Roman" w:cs="Times New Roman"/>
          <w:sz w:val="28"/>
          <w:szCs w:val="28"/>
          <w:lang w:val="kk-KZ"/>
        </w:rPr>
        <w:t>3</w:t>
      </w:r>
      <w:r>
        <w:rPr>
          <w:rFonts w:ascii="Times New Roman" w:hAnsi="Times New Roman" w:cs="Times New Roman"/>
          <w:sz w:val="28"/>
          <w:szCs w:val="28"/>
          <w:lang w:val="kk-KZ"/>
        </w:rPr>
        <w:t>].</w:t>
      </w:r>
    </w:p>
    <w:p w14:paraId="651A843B" w14:textId="77777777" w:rsidR="007544BA" w:rsidRDefault="007544BA" w:rsidP="007544BA">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ҚР Президентінің «Халық бірлігі және жүйелі реформалар – ел өркендеуінің берік негізі» атты халыққа жолдауында Қасым-Жомарт Тоқаев Қазақстанның ауыл шаруашылығының әлеуеті орасан зор екендігі көп айтылады, дегенмен агроөнеркәсіп кешенінде шешілмеген мәселелер көп делінген. Президент халыққа жолдауында фермерлер қауымдастығымен бірігіп агроөнеркәсіп кешенін мемлекеттік қолдау тәсілдерін қайта қарау қажет және жүйелі жұмыстар атқарылу керек деп айтқан [4]. </w:t>
      </w:r>
    </w:p>
    <w:p w14:paraId="3AFECD02" w14:textId="77777777" w:rsidR="007544BA" w:rsidRDefault="007544BA" w:rsidP="007544BA">
      <w:pPr>
        <w:widowControl w:val="0"/>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бюджет қаражатын басқару тиімділігі экономика тұрақтылығының, қажет экономикалық өсімді және қоғамдық әлауқатты жақсартудың және мемлекеттің ұлттық қауіпсіздігінің мүдделерін сақтауды қамтамасыз етудің негізі болып табылады. Қазақстан Республикасы даму мемлекеттік жоспарлау жүйесіндегі әртүрлі стратегияларда жалпыұлттық әлеуметтік-экономикалық тапсырмаларды анықтау негізінде экономиканың барлық сфераларында сапалы қайта құрылымдау және мемлекеттің қызметінде тиімділікті жоғарылату арқылы дамуды көздейді. Мемлекеттік аудит және қаржылық бақылау жүйесі бюджет қаражатын басқарудың бекітілген ережелерінен ауытқуды анықтайтын құқықтық жүйенің жалпы мемлекеттік реттеуінің бөлінбейтін бөлігі деуге болады. </w:t>
      </w:r>
    </w:p>
    <w:p w14:paraId="12DF83A7" w14:textId="77777777" w:rsidR="007544BA" w:rsidRDefault="007544BA" w:rsidP="007544BA">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ҚР Президенті Қасым-Жомарт Тоқаев «Жаңа Қазақстан – жаңару мен жаңғыру жолы» атты 2022 жылдың 16 наурызындағы жолдауында «Біздің елімізде көптеген ауқымды жобалар мен бағдарламалар әзірленуде, бірақ көбінесе оларды жүзеге асыру әртүрлі себептерге байланысты идеалдан алыс. Республикалық бюджеттің атқарылу сапасына парламенттік бақылауды күшейту қажет. Жоғары аудиторлық палатаның төрағасы жылына екі рет төменгі палата депутаттары алдында есеп беруі тиіс. Бұл мәжіліс мәртебесін одан әрі арттыруға мүмкіндік береді» деп атап өткен [5].</w:t>
      </w:r>
    </w:p>
    <w:p w14:paraId="5C0BA58F" w14:textId="58DD8A36" w:rsidR="007544BA" w:rsidRDefault="007544BA" w:rsidP="007544BA">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ҚР-да </w:t>
      </w:r>
      <w:r w:rsidR="00575788">
        <w:rPr>
          <w:rFonts w:ascii="Times New Roman" w:hAnsi="Times New Roman" w:cs="Times New Roman"/>
          <w:sz w:val="28"/>
          <w:szCs w:val="28"/>
          <w:lang w:val="kk-KZ"/>
        </w:rPr>
        <w:t>АӨК-н</w:t>
      </w:r>
      <w:r>
        <w:rPr>
          <w:rFonts w:ascii="Times New Roman" w:hAnsi="Times New Roman" w:cs="Times New Roman"/>
          <w:sz w:val="28"/>
          <w:szCs w:val="28"/>
          <w:lang w:val="kk-KZ"/>
        </w:rPr>
        <w:t xml:space="preserve"> дамытуға бөлінетін бюджет қаражаты қомақты, және оны пайдалану тиімділігін тәуелсіз бағалау мемлекеттік аудит және қаржылық бақылау органдарының басты мақсаты болып табылады. </w:t>
      </w:r>
    </w:p>
    <w:p w14:paraId="45DB4500" w14:textId="77777777" w:rsidR="007544BA" w:rsidRDefault="007544BA" w:rsidP="007544BA">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Pr>
          <w:rFonts w:ascii="Times New Roman" w:hAnsi="Times New Roman" w:cs="Times New Roman"/>
          <w:sz w:val="28"/>
          <w:szCs w:val="28"/>
          <w:lang w:val="kk-KZ"/>
        </w:rPr>
        <w:t>Аталған мәселелерді шешу мемлекеттік бюджет қаражатының көмегімен іске асырылатыны, яғни оны өз кезегінде тиімді және мақсатқа сәйкес жұмсалуына баға беруге мүмкіндік беретін, соның ішінде АӨК дамытуға бағытталған бюджет қаражатын пайдалану тиімділігі аудитін ұйымдастыру және өткізу тәртібін, рәсімдерін жетілдіру қажеттігін көрсетеді.</w:t>
      </w:r>
    </w:p>
    <w:p w14:paraId="07F2F9FA" w14:textId="77777777" w:rsidR="007544BA" w:rsidRPr="007544BA" w:rsidRDefault="007544BA" w:rsidP="007544BA">
      <w:pPr>
        <w:shd w:val="clear" w:color="auto" w:fill="FFFFFF"/>
        <w:tabs>
          <w:tab w:val="left" w:pos="426"/>
          <w:tab w:val="left" w:pos="851"/>
        </w:tabs>
        <w:spacing w:after="0" w:line="240" w:lineRule="auto"/>
        <w:ind w:firstLine="709"/>
        <w:jc w:val="both"/>
        <w:outlineLvl w:val="0"/>
        <w:rPr>
          <w:rStyle w:val="a4"/>
          <w:color w:val="auto"/>
          <w:u w:val="none"/>
          <w:lang w:val="kk-KZ"/>
        </w:rPr>
      </w:pPr>
      <w:r>
        <w:rPr>
          <w:rFonts w:ascii="Times New Roman" w:hAnsi="Times New Roman" w:cs="Times New Roman"/>
          <w:sz w:val="28"/>
          <w:szCs w:val="28"/>
          <w:lang w:val="kk-KZ"/>
        </w:rPr>
        <w:t>Осы орайда агроөнеркәсіп кешенін дамытуға бағытталған бюджет қаражатын пайдалану тиімділігінің аудиті әдістемесінің толық әзірленбегендігін ескере отырып, анықталған мәселені шешуге байланысты зерттеу жұмыстарын жүргізу қажеттілігі диссертациялық жұмыс тақырыбының өзектілігін анықтайды.</w:t>
      </w:r>
    </w:p>
    <w:p w14:paraId="289527C6" w14:textId="5875BF9F" w:rsidR="00334F89" w:rsidRPr="00C5613E" w:rsidRDefault="00334F89" w:rsidP="00334F89">
      <w:pPr>
        <w:pStyle w:val="1"/>
        <w:shd w:val="clear" w:color="auto" w:fill="FFFFFF"/>
        <w:spacing w:before="0" w:beforeAutospacing="0" w:after="0" w:afterAutospacing="0"/>
        <w:ind w:firstLine="709"/>
        <w:jc w:val="both"/>
        <w:rPr>
          <w:b w:val="0"/>
          <w:bCs w:val="0"/>
          <w:sz w:val="28"/>
          <w:szCs w:val="28"/>
          <w:lang w:val="kk-KZ"/>
        </w:rPr>
      </w:pPr>
      <w:r>
        <w:rPr>
          <w:b w:val="0"/>
          <w:bCs w:val="0"/>
          <w:sz w:val="28"/>
          <w:szCs w:val="28"/>
          <w:lang w:val="kk-KZ"/>
        </w:rPr>
        <w:t xml:space="preserve">Тақырыптың </w:t>
      </w:r>
      <w:r w:rsidRPr="007544BA">
        <w:rPr>
          <w:sz w:val="28"/>
          <w:szCs w:val="28"/>
          <w:lang w:val="kk-KZ"/>
        </w:rPr>
        <w:t>зерттелу деңгейі.</w:t>
      </w:r>
      <w:r>
        <w:rPr>
          <w:b w:val="0"/>
          <w:bCs w:val="0"/>
          <w:sz w:val="28"/>
          <w:szCs w:val="28"/>
          <w:lang w:val="kk-KZ"/>
        </w:rPr>
        <w:t xml:space="preserve"> </w:t>
      </w:r>
      <w:r w:rsidR="007544BA" w:rsidRPr="006E76DD">
        <w:rPr>
          <w:b w:val="0"/>
          <w:bCs w:val="0"/>
          <w:sz w:val="28"/>
          <w:szCs w:val="28"/>
          <w:lang w:val="kk-KZ"/>
        </w:rPr>
        <w:t xml:space="preserve">Диссертациялық зерттеудің теориялық негіздерін шетелдік және отандық ғалымдардың еңбектері құрады, алайда  зерттеу барысында </w:t>
      </w:r>
      <w:r w:rsidR="00575788">
        <w:rPr>
          <w:b w:val="0"/>
          <w:bCs w:val="0"/>
          <w:sz w:val="28"/>
          <w:szCs w:val="28"/>
          <w:lang w:val="kk-KZ"/>
        </w:rPr>
        <w:t>АӨК-н</w:t>
      </w:r>
      <w:r w:rsidR="007544BA" w:rsidRPr="006E76DD">
        <w:rPr>
          <w:b w:val="0"/>
          <w:bCs w:val="0"/>
          <w:sz w:val="28"/>
          <w:szCs w:val="28"/>
          <w:lang w:val="kk-KZ"/>
        </w:rPr>
        <w:t xml:space="preserve"> дамытуға бағытталған бюджет қаражатын пайдалану тиімділігі аудитінің теориялық және әдіснамалық негіздерін айқындайтын ғылыми жұмыстар саны  көп еместігі анықталды.</w:t>
      </w:r>
      <w:r w:rsidR="00A24866" w:rsidRPr="006E76DD">
        <w:rPr>
          <w:b w:val="0"/>
          <w:bCs w:val="0"/>
          <w:sz w:val="28"/>
          <w:szCs w:val="28"/>
          <w:lang w:val="kk-KZ"/>
        </w:rPr>
        <w:t xml:space="preserve"> Т</w:t>
      </w:r>
      <w:r w:rsidRPr="006E76DD">
        <w:rPr>
          <w:b w:val="0"/>
          <w:bCs w:val="0"/>
          <w:sz w:val="28"/>
          <w:szCs w:val="28"/>
          <w:lang w:val="kk-KZ"/>
        </w:rPr>
        <w:t>иімділік</w:t>
      </w:r>
      <w:r>
        <w:rPr>
          <w:b w:val="0"/>
          <w:bCs w:val="0"/>
          <w:sz w:val="28"/>
          <w:szCs w:val="28"/>
          <w:lang w:val="kk-KZ"/>
        </w:rPr>
        <w:t xml:space="preserve"> аудиті туралы жалпы кезеңдік басылымдардағы еуропалық Kells, Stuart, English, </w:t>
      </w:r>
      <w:r w:rsidR="00C5613E">
        <w:rPr>
          <w:b w:val="0"/>
          <w:bCs w:val="0"/>
          <w:sz w:val="28"/>
          <w:szCs w:val="28"/>
          <w:lang w:val="kk-KZ"/>
        </w:rPr>
        <w:t xml:space="preserve">M. </w:t>
      </w:r>
      <w:r>
        <w:rPr>
          <w:b w:val="0"/>
          <w:bCs w:val="0"/>
          <w:sz w:val="28"/>
          <w:szCs w:val="28"/>
          <w:lang w:val="kk-KZ"/>
        </w:rPr>
        <w:t xml:space="preserve">Linda, Barzelay, </w:t>
      </w:r>
      <w:r w:rsidRPr="003D4F30">
        <w:rPr>
          <w:b w:val="0"/>
          <w:bCs w:val="0"/>
          <w:sz w:val="28"/>
          <w:szCs w:val="28"/>
          <w:lang w:val="kk-KZ"/>
        </w:rPr>
        <w:t xml:space="preserve">Persi, </w:t>
      </w:r>
      <w:r w:rsidR="00C5613E" w:rsidRPr="003D4F30">
        <w:rPr>
          <w:b w:val="0"/>
          <w:bCs w:val="0"/>
          <w:sz w:val="28"/>
          <w:szCs w:val="28"/>
          <w:lang w:val="kk-KZ"/>
        </w:rPr>
        <w:t>M.</w:t>
      </w:r>
      <w:r w:rsidR="00C5613E">
        <w:rPr>
          <w:b w:val="0"/>
          <w:bCs w:val="0"/>
          <w:sz w:val="28"/>
          <w:szCs w:val="28"/>
          <w:lang w:val="kk-KZ"/>
        </w:rPr>
        <w:t xml:space="preserve"> </w:t>
      </w:r>
      <w:r w:rsidRPr="003D4F30">
        <w:rPr>
          <w:b w:val="0"/>
          <w:bCs w:val="0"/>
          <w:sz w:val="28"/>
          <w:szCs w:val="28"/>
          <w:lang w:val="kk-KZ"/>
        </w:rPr>
        <w:t xml:space="preserve">Bowerman, </w:t>
      </w:r>
      <w:r w:rsidR="00C5613E" w:rsidRPr="003D4F30">
        <w:rPr>
          <w:b w:val="0"/>
          <w:bCs w:val="0"/>
          <w:sz w:val="28"/>
          <w:szCs w:val="28"/>
          <w:lang w:val="kk-KZ"/>
        </w:rPr>
        <w:t>H.</w:t>
      </w:r>
      <w:r w:rsidR="00C5613E">
        <w:rPr>
          <w:b w:val="0"/>
          <w:bCs w:val="0"/>
          <w:sz w:val="28"/>
          <w:szCs w:val="28"/>
          <w:lang w:val="kk-KZ"/>
        </w:rPr>
        <w:t xml:space="preserve"> </w:t>
      </w:r>
      <w:r w:rsidRPr="003D4F30">
        <w:rPr>
          <w:b w:val="0"/>
          <w:bCs w:val="0"/>
          <w:sz w:val="28"/>
          <w:szCs w:val="28"/>
          <w:lang w:val="kk-KZ"/>
        </w:rPr>
        <w:t>Raby</w:t>
      </w:r>
      <w:r w:rsidR="00C5613E">
        <w:rPr>
          <w:b w:val="0"/>
          <w:bCs w:val="0"/>
          <w:sz w:val="28"/>
          <w:szCs w:val="28"/>
          <w:lang w:val="kk-KZ"/>
        </w:rPr>
        <w:t xml:space="preserve"> </w:t>
      </w:r>
      <w:r w:rsidRPr="003D4F30">
        <w:rPr>
          <w:b w:val="0"/>
          <w:bCs w:val="0"/>
          <w:sz w:val="28"/>
          <w:szCs w:val="28"/>
          <w:lang w:val="kk-KZ"/>
        </w:rPr>
        <w:t>and Humphrey, Grönlund et al., Lonsdale, Glynn, J.Christopher Mihm, Dr. Alexia Nalewaika, Professor Anthony Mills, Alexandra Otetea, Cristina Maria Tita (Batusaru), Mihai Aristotel Ungureanu</w:t>
      </w:r>
      <w:r w:rsidR="00C5613E">
        <w:rPr>
          <w:b w:val="0"/>
          <w:bCs w:val="0"/>
          <w:sz w:val="28"/>
          <w:szCs w:val="28"/>
          <w:lang w:val="kk-KZ"/>
        </w:rPr>
        <w:t xml:space="preserve"> </w:t>
      </w:r>
      <w:r w:rsidRPr="003D4F30">
        <w:rPr>
          <w:b w:val="0"/>
          <w:bCs w:val="0"/>
          <w:sz w:val="28"/>
          <w:szCs w:val="28"/>
          <w:lang w:val="kk-KZ"/>
        </w:rPr>
        <w:t xml:space="preserve">және </w:t>
      </w:r>
      <w:r w:rsidRPr="00C5613E">
        <w:rPr>
          <w:b w:val="0"/>
          <w:bCs w:val="0"/>
          <w:sz w:val="28"/>
          <w:szCs w:val="28"/>
          <w:lang w:val="kk-KZ"/>
        </w:rPr>
        <w:t>тағы басқа ғалымдардың еңбегі зерттелді.</w:t>
      </w:r>
    </w:p>
    <w:p w14:paraId="663F35BB" w14:textId="77777777" w:rsidR="00C5613E" w:rsidRPr="00C5613E" w:rsidRDefault="00C5613E" w:rsidP="00C5613E">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sidRPr="00C5613E">
        <w:rPr>
          <w:rFonts w:ascii="Times New Roman" w:hAnsi="Times New Roman" w:cs="Times New Roman"/>
          <w:sz w:val="28"/>
          <w:szCs w:val="28"/>
          <w:lang w:val="kk-KZ"/>
        </w:rPr>
        <w:t xml:space="preserve">Сонымен қатар тиімділік аудитінің тәжірибедегі маңыздылығы туралы келесі шетелдік авторлардың S.Umor, Zakaria, Z. Sulaiman N.A., R.M. Kutty, Zhou Yarong, Yin Xin, </w:t>
      </w:r>
      <w:r w:rsidRPr="00C5613E">
        <w:rPr>
          <w:rFonts w:ascii="Times New Roman" w:eastAsia="Times New Roman" w:hAnsi="Times New Roman" w:cs="Times New Roman"/>
          <w:color w:val="323232"/>
          <w:sz w:val="28"/>
          <w:szCs w:val="28"/>
          <w:lang w:val="kk-KZ" w:eastAsia="ru-RU"/>
        </w:rPr>
        <w:t>Alwardat, Yousef Ali</w:t>
      </w:r>
      <w:r w:rsidRPr="00C5613E">
        <w:rPr>
          <w:rFonts w:ascii="Times New Roman" w:eastAsia="Times New Roman" w:hAnsi="Times New Roman" w:cs="Times New Roman"/>
          <w:color w:val="323232"/>
          <w:sz w:val="28"/>
          <w:szCs w:val="28"/>
          <w:vertAlign w:val="superscript"/>
          <w:lang w:val="kk-KZ" w:eastAsia="ru-RU"/>
        </w:rPr>
        <w:t xml:space="preserve"> </w:t>
      </w:r>
      <w:r w:rsidRPr="00C5613E">
        <w:rPr>
          <w:rFonts w:ascii="Times New Roman" w:eastAsia="Times New Roman" w:hAnsi="Times New Roman" w:cs="Times New Roman"/>
          <w:color w:val="323232"/>
          <w:sz w:val="28"/>
          <w:szCs w:val="28"/>
          <w:lang w:val="kk-KZ" w:eastAsia="ru-RU"/>
        </w:rPr>
        <w:t>Benamraoui, Abdelhafid</w:t>
      </w:r>
      <w:r w:rsidRPr="00C5613E">
        <w:rPr>
          <w:rFonts w:ascii="Times New Roman" w:eastAsia="Times New Roman" w:hAnsi="Times New Roman" w:cs="Times New Roman"/>
          <w:color w:val="323232"/>
          <w:sz w:val="28"/>
          <w:szCs w:val="28"/>
          <w:vertAlign w:val="superscript"/>
          <w:lang w:val="kk-KZ" w:eastAsia="ru-RU"/>
        </w:rPr>
        <w:t xml:space="preserve"> </w:t>
      </w:r>
      <w:r w:rsidRPr="00C5613E">
        <w:rPr>
          <w:rFonts w:ascii="Times New Roman" w:eastAsia="Times New Roman" w:hAnsi="Times New Roman" w:cs="Times New Roman"/>
          <w:color w:val="323232"/>
          <w:sz w:val="28"/>
          <w:szCs w:val="28"/>
          <w:lang w:val="kk-KZ" w:eastAsia="ru-RU"/>
        </w:rPr>
        <w:t xml:space="preserve">Rieple, Alison, </w:t>
      </w:r>
      <w:r w:rsidRPr="00C5613E">
        <w:rPr>
          <w:rFonts w:ascii="Times New Roman" w:hAnsi="Times New Roman" w:cs="Times New Roman"/>
          <w:sz w:val="28"/>
          <w:szCs w:val="28"/>
          <w:lang w:val="kk-KZ"/>
        </w:rPr>
        <w:t xml:space="preserve">Dingzu Zhang, Xingjie Shen and Cong Peng, ресейлік авторлардың А.Н. Саунин, А.С. Садчиков, О.И. Карепина, О.А. Фролова, Е.Ю. Грачева, С.Н. Рябухин, Ю.Б. Слободяник, В.А. Жуков, В.В. Филлипова, Е.Ю. Грачева, О.А. Фролова, Н.Г. Барышников, О.В. Котлячков, С.Н. Коваленко, Трунова Е.А., Макарова Л.Г., және отандық авторлардың Сембиева Л.М., Бейсенова Л.З., Карыбаев А.А., Шахарова А.Е., С.Н. Нугербеков, Ә.М. Қари, Ғ.А. Құлмурзинова, А.Т. Молдашевтың еңбектерін атауға болады. </w:t>
      </w:r>
    </w:p>
    <w:p w14:paraId="5C5B5195" w14:textId="509FC751" w:rsidR="00334F89" w:rsidRDefault="00334F89" w:rsidP="00334F89">
      <w:pPr>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sidRPr="00C5613E">
        <w:rPr>
          <w:rFonts w:ascii="Times New Roman" w:hAnsi="Times New Roman" w:cs="Times New Roman"/>
          <w:sz w:val="28"/>
          <w:szCs w:val="28"/>
          <w:lang w:val="kk-KZ"/>
        </w:rPr>
        <w:t>Жалпы мемлекеттік қаражатты пайдаланудың тиімділік аудиті мемлекеттік аудит және қаржылық бақылау типі ретінде атқарушы билік органдарының бюджет</w:t>
      </w:r>
      <w:r>
        <w:rPr>
          <w:rFonts w:ascii="Times New Roman" w:hAnsi="Times New Roman" w:cs="Times New Roman"/>
          <w:sz w:val="28"/>
          <w:szCs w:val="28"/>
          <w:lang w:val="kk-KZ"/>
        </w:rPr>
        <w:t xml:space="preserve"> қаражатын басқару саласындағы шешімдерді қабылдау және орындау сапасына маңызды әсер ететінін, олардың қызметіндегі ашықтық пен есептілікті арттыруға ықпал ететінін әлемдік тәжірибе көрсетіп отырғандығын барлық ғалымдар куәландырып отыр. Осыған орай </w:t>
      </w:r>
      <w:r w:rsidR="00575788">
        <w:rPr>
          <w:rFonts w:ascii="Times New Roman" w:hAnsi="Times New Roman" w:cs="Times New Roman"/>
          <w:sz w:val="28"/>
          <w:szCs w:val="28"/>
          <w:lang w:val="kk-KZ"/>
        </w:rPr>
        <w:t>АӨК-н</w:t>
      </w:r>
      <w:r>
        <w:rPr>
          <w:rFonts w:ascii="Times New Roman" w:hAnsi="Times New Roman" w:cs="Times New Roman"/>
          <w:sz w:val="28"/>
          <w:szCs w:val="28"/>
          <w:lang w:val="kk-KZ"/>
        </w:rPr>
        <w:t xml:space="preserve"> дамытуға бағытталған бюджет қаражатын пайдалану тиімділігі аудитін ұйымдастыруды оның салалық ерекшеліктерін, әлеуметтік, экономикалық, экологиялық, технологиялық, бюджеттік әсерін ескере отырып жүзеге асыру өзекті болып отыр.   </w:t>
      </w:r>
    </w:p>
    <w:p w14:paraId="3655B173" w14:textId="77777777"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u w:val="none"/>
        </w:rPr>
      </w:pPr>
      <w:r w:rsidRPr="00334F89">
        <w:rPr>
          <w:rStyle w:val="a4"/>
          <w:color w:val="auto"/>
          <w:sz w:val="28"/>
          <w:szCs w:val="28"/>
          <w:u w:val="none"/>
          <w:lang w:val="kk-KZ"/>
        </w:rPr>
        <w:t xml:space="preserve">Тақырыптың өзектілігі негізінде диссертациялық жұмыстың </w:t>
      </w:r>
      <w:r w:rsidRPr="00334F89">
        <w:rPr>
          <w:rStyle w:val="a4"/>
          <w:b/>
          <w:color w:val="auto"/>
          <w:sz w:val="28"/>
          <w:szCs w:val="28"/>
          <w:u w:val="none"/>
          <w:lang w:val="kk-KZ"/>
        </w:rPr>
        <w:t>мақсаты</w:t>
      </w:r>
      <w:r w:rsidRPr="00334F89">
        <w:rPr>
          <w:rStyle w:val="a4"/>
          <w:color w:val="auto"/>
          <w:sz w:val="28"/>
          <w:szCs w:val="28"/>
          <w:u w:val="none"/>
          <w:lang w:val="kk-KZ"/>
        </w:rPr>
        <w:t xml:space="preserve"> АӨК дамытуға бағытталған бюджет қаражатын пайдалану тиімділігі аудитінің теориялық аспектілерін зерттеу және тәжірибесіне талдау мен бағалау жасау арқылы оны </w:t>
      </w:r>
      <w:r w:rsidRPr="00334F89">
        <w:rPr>
          <w:rFonts w:ascii="Times New Roman" w:hAnsi="Times New Roman"/>
          <w:sz w:val="28"/>
          <w:szCs w:val="28"/>
          <w:lang w:val="kk-KZ"/>
        </w:rPr>
        <w:t xml:space="preserve">ұйымдастыру және жүргізу әдіснамасын кешенді жетілдіру жолдарын </w:t>
      </w:r>
      <w:r w:rsidRPr="00334F89">
        <w:rPr>
          <w:rStyle w:val="a4"/>
          <w:color w:val="auto"/>
          <w:sz w:val="28"/>
          <w:szCs w:val="28"/>
          <w:u w:val="none"/>
          <w:lang w:val="kk-KZ"/>
        </w:rPr>
        <w:t>ұсыну болып табылады</w:t>
      </w:r>
      <w:r w:rsidRPr="00334F89">
        <w:rPr>
          <w:rFonts w:ascii="Times New Roman" w:hAnsi="Times New Roman"/>
          <w:sz w:val="28"/>
          <w:szCs w:val="28"/>
          <w:lang w:val="kk-KZ"/>
        </w:rPr>
        <w:t xml:space="preserve">. </w:t>
      </w:r>
      <w:r w:rsidRPr="00334F89">
        <w:rPr>
          <w:rStyle w:val="a4"/>
          <w:color w:val="auto"/>
          <w:sz w:val="28"/>
          <w:szCs w:val="28"/>
          <w:u w:val="none"/>
          <w:lang w:val="kk-KZ"/>
        </w:rPr>
        <w:t xml:space="preserve"> Диссертациялық жұмыстың мақсатына жету үшін келесі </w:t>
      </w:r>
      <w:r w:rsidRPr="00334F89">
        <w:rPr>
          <w:rStyle w:val="a4"/>
          <w:b/>
          <w:color w:val="auto"/>
          <w:sz w:val="28"/>
          <w:szCs w:val="28"/>
          <w:u w:val="none"/>
          <w:lang w:val="kk-KZ"/>
        </w:rPr>
        <w:t>міндеттер</w:t>
      </w:r>
      <w:r w:rsidRPr="00334F89">
        <w:rPr>
          <w:rStyle w:val="a4"/>
          <w:color w:val="auto"/>
          <w:sz w:val="28"/>
          <w:szCs w:val="28"/>
          <w:u w:val="none"/>
          <w:lang w:val="kk-KZ"/>
        </w:rPr>
        <w:t xml:space="preserve"> анықталды:</w:t>
      </w:r>
    </w:p>
    <w:p w14:paraId="108546F9" w14:textId="77777777" w:rsidR="00334F89" w:rsidRPr="00334F89" w:rsidRDefault="00334F89" w:rsidP="0097172E">
      <w:pPr>
        <w:pStyle w:val="a5"/>
        <w:numPr>
          <w:ilvl w:val="0"/>
          <w:numId w:val="54"/>
        </w:numPr>
        <w:tabs>
          <w:tab w:val="left" w:pos="993"/>
        </w:tabs>
        <w:spacing w:after="0" w:line="240" w:lineRule="auto"/>
        <w:ind w:left="0" w:firstLine="709"/>
        <w:jc w:val="both"/>
        <w:rPr>
          <w:rStyle w:val="a4"/>
          <w:color w:val="auto"/>
          <w:sz w:val="28"/>
          <w:szCs w:val="28"/>
          <w:u w:val="none"/>
          <w:lang w:val="kk-KZ"/>
        </w:rPr>
      </w:pPr>
      <w:r w:rsidRPr="00334F89">
        <w:rPr>
          <w:rFonts w:ascii="Times New Roman" w:hAnsi="Times New Roman"/>
          <w:sz w:val="28"/>
          <w:szCs w:val="28"/>
          <w:lang w:val="kk-KZ"/>
        </w:rPr>
        <w:t xml:space="preserve">агроөнеркәсіп кешенін дамытуға бағытталған бюджет </w:t>
      </w:r>
      <w:r w:rsidRPr="00334F89">
        <w:rPr>
          <w:rStyle w:val="a4"/>
          <w:color w:val="auto"/>
          <w:sz w:val="28"/>
          <w:szCs w:val="28"/>
          <w:u w:val="none"/>
          <w:lang w:val="kk-KZ"/>
        </w:rPr>
        <w:t>қаражатын пайдалану</w:t>
      </w:r>
      <w:r w:rsidRPr="00334F89">
        <w:rPr>
          <w:rFonts w:ascii="Times New Roman" w:hAnsi="Times New Roman"/>
          <w:sz w:val="28"/>
          <w:szCs w:val="28"/>
          <w:lang w:val="kk-KZ"/>
        </w:rPr>
        <w:t xml:space="preserve"> тиімділігі аудитінің мәні мен маңызын анықтау;</w:t>
      </w:r>
    </w:p>
    <w:p w14:paraId="640068CA" w14:textId="77777777" w:rsidR="00334F89" w:rsidRPr="00334F89" w:rsidRDefault="00334F89"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lang w:val="kk-KZ"/>
        </w:rPr>
      </w:pPr>
      <w:r w:rsidRPr="00334F89">
        <w:rPr>
          <w:rFonts w:ascii="Times New Roman" w:hAnsi="Times New Roman"/>
          <w:sz w:val="28"/>
          <w:szCs w:val="28"/>
          <w:lang w:val="kk-KZ"/>
        </w:rPr>
        <w:t xml:space="preserve">агроөнеркәсіп кешенін дамытуға бағытталған бюджет </w:t>
      </w:r>
      <w:r w:rsidRPr="00334F89">
        <w:rPr>
          <w:rStyle w:val="a4"/>
          <w:color w:val="auto"/>
          <w:sz w:val="28"/>
          <w:szCs w:val="28"/>
          <w:u w:val="none"/>
          <w:lang w:val="kk-KZ"/>
        </w:rPr>
        <w:t>қаражатын пайдалану</w:t>
      </w:r>
      <w:r w:rsidRPr="00334F89">
        <w:rPr>
          <w:rFonts w:ascii="Times New Roman" w:hAnsi="Times New Roman"/>
          <w:sz w:val="28"/>
          <w:szCs w:val="28"/>
          <w:lang w:val="kk-KZ"/>
        </w:rPr>
        <w:t xml:space="preserve"> тиімділігі аудитінің әдіснамасын зерттеу;</w:t>
      </w:r>
    </w:p>
    <w:p w14:paraId="7EC0FF45" w14:textId="77777777" w:rsidR="00334F89" w:rsidRDefault="00334F89"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rFonts w:ascii="Times New Roman" w:hAnsi="Times New Roman"/>
          <w:sz w:val="28"/>
          <w:szCs w:val="28"/>
          <w:lang w:val="kk-KZ"/>
        </w:rPr>
      </w:pPr>
      <w:r w:rsidRPr="00334F89">
        <w:rPr>
          <w:rFonts w:ascii="Times New Roman" w:hAnsi="Times New Roman"/>
          <w:sz w:val="28"/>
          <w:szCs w:val="28"/>
          <w:lang w:val="kk-KZ"/>
        </w:rPr>
        <w:t xml:space="preserve">агроөнеркәсіп кешенін дамытуға бағытталған </w:t>
      </w:r>
      <w:r>
        <w:rPr>
          <w:rFonts w:ascii="Times New Roman" w:hAnsi="Times New Roman"/>
          <w:sz w:val="28"/>
          <w:szCs w:val="28"/>
          <w:lang w:val="kk-KZ"/>
        </w:rPr>
        <w:t xml:space="preserve">бюджет қаражатын пайдаланудың тиімділік аудитін ұйымдастырудың шетелдік тәжірибесінің ерекшеліктерін анықтау;  </w:t>
      </w:r>
    </w:p>
    <w:p w14:paraId="4D0DFDDD" w14:textId="5F5E4530" w:rsidR="00334F89" w:rsidRDefault="00F925A7"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rFonts w:ascii="Times New Roman" w:hAnsi="Times New Roman"/>
          <w:sz w:val="28"/>
          <w:szCs w:val="28"/>
          <w:lang w:val="kk-KZ"/>
        </w:rPr>
      </w:pPr>
      <w:r>
        <w:rPr>
          <w:rFonts w:ascii="Times New Roman" w:hAnsi="Times New Roman"/>
          <w:sz w:val="28"/>
          <w:szCs w:val="28"/>
          <w:lang w:val="kk-KZ"/>
        </w:rPr>
        <w:t>ҚР АӨК</w:t>
      </w:r>
      <w:r w:rsidR="00334F89">
        <w:rPr>
          <w:rFonts w:ascii="Times New Roman" w:hAnsi="Times New Roman"/>
          <w:sz w:val="28"/>
          <w:szCs w:val="28"/>
          <w:lang w:val="kk-KZ"/>
        </w:rPr>
        <w:t xml:space="preserve"> дамытуға бағытталған бюджет қаражатын пайдаланудың ағымдағы жағдайына талдау жасау; </w:t>
      </w:r>
    </w:p>
    <w:p w14:paraId="2CD0F49B" w14:textId="77777777" w:rsidR="00334F89" w:rsidRDefault="00334F89"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rFonts w:ascii="Times New Roman" w:hAnsi="Times New Roman"/>
          <w:sz w:val="28"/>
          <w:szCs w:val="28"/>
          <w:lang w:val="kk-KZ"/>
        </w:rPr>
      </w:pPr>
      <w:r>
        <w:rPr>
          <w:rFonts w:ascii="Times New Roman" w:hAnsi="Times New Roman"/>
          <w:sz w:val="28"/>
          <w:szCs w:val="28"/>
          <w:lang w:val="kk-KZ"/>
        </w:rPr>
        <w:t xml:space="preserve">агроөнеркәсіп кешенін дамытуға бағытталған бюджет қаражатын пайдаланудың тиімділік аудитінің нәтижелерін бағалау; </w:t>
      </w:r>
    </w:p>
    <w:p w14:paraId="6744B8AC" w14:textId="4B5B39E2" w:rsidR="00334F89" w:rsidRPr="006E76DD" w:rsidRDefault="00A24866"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rFonts w:ascii="Times New Roman" w:hAnsi="Times New Roman"/>
          <w:sz w:val="28"/>
          <w:szCs w:val="28"/>
          <w:lang w:val="kk-KZ"/>
        </w:rPr>
      </w:pPr>
      <w:r w:rsidRPr="006E76DD">
        <w:rPr>
          <w:rFonts w:ascii="Times New Roman" w:hAnsi="Times New Roman"/>
          <w:sz w:val="28"/>
          <w:szCs w:val="28"/>
          <w:lang w:val="kk-KZ"/>
        </w:rPr>
        <w:t>ҚР АӨК дамыту жөніндегі ұлттық жобасының көрсеткіштерін талдау негізінде агроөнеркәсіп кешенін дамытуға бағытталған бюджет қаражатын пайдалану тиімділігі аудитінің критерийлерін анықтау</w:t>
      </w:r>
      <w:r w:rsidR="00334F89" w:rsidRPr="006E76DD">
        <w:rPr>
          <w:rFonts w:ascii="Times New Roman" w:hAnsi="Times New Roman"/>
          <w:sz w:val="28"/>
          <w:szCs w:val="28"/>
          <w:lang w:val="kk-KZ"/>
        </w:rPr>
        <w:t>;</w:t>
      </w:r>
    </w:p>
    <w:p w14:paraId="526D7A92" w14:textId="77777777" w:rsidR="00334F89" w:rsidRDefault="00334F89"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rFonts w:ascii="Times New Roman" w:hAnsi="Times New Roman"/>
          <w:sz w:val="28"/>
          <w:szCs w:val="28"/>
          <w:lang w:val="kk-KZ"/>
        </w:rPr>
      </w:pPr>
      <w:r>
        <w:rPr>
          <w:rFonts w:ascii="Times New Roman" w:hAnsi="Times New Roman"/>
          <w:sz w:val="28"/>
          <w:szCs w:val="28"/>
          <w:lang w:val="kk-KZ"/>
        </w:rPr>
        <w:t>АӨК дамытуға бағытталған бюджет қаражатын пайдаланудың тиімділігі аудитінің сапасын жетілдіру бойынша  ұсыныстар әзірлеу;</w:t>
      </w:r>
    </w:p>
    <w:p w14:paraId="4D0415F2" w14:textId="77777777" w:rsidR="00334F89" w:rsidRPr="00334F89" w:rsidRDefault="00334F89" w:rsidP="0097172E">
      <w:pPr>
        <w:pStyle w:val="a5"/>
        <w:numPr>
          <w:ilvl w:val="0"/>
          <w:numId w:val="55"/>
        </w:numPr>
        <w:shd w:val="clear" w:color="auto" w:fill="FFFFFF"/>
        <w:tabs>
          <w:tab w:val="left" w:pos="426"/>
          <w:tab w:val="left" w:pos="993"/>
          <w:tab w:val="left" w:pos="1134"/>
        </w:tabs>
        <w:spacing w:after="0" w:line="240" w:lineRule="auto"/>
        <w:ind w:firstLine="709"/>
        <w:jc w:val="both"/>
        <w:outlineLvl w:val="0"/>
        <w:rPr>
          <w:rStyle w:val="a4"/>
          <w:color w:val="auto"/>
          <w:u w:val="none"/>
          <w:lang w:val="kk-KZ"/>
        </w:rPr>
      </w:pPr>
      <w:r>
        <w:rPr>
          <w:rFonts w:ascii="Times New Roman" w:hAnsi="Times New Roman"/>
          <w:sz w:val="28"/>
          <w:szCs w:val="28"/>
          <w:lang w:val="kk-KZ"/>
        </w:rPr>
        <w:t>АӨК дамытуға бағытталған бюджет қаражатын пайдаланудың тиімділігі аудитінде  иерархиялық талдау моделін қолдануды ұсыну.</w:t>
      </w:r>
    </w:p>
    <w:p w14:paraId="30CAB5C3" w14:textId="77777777" w:rsidR="00334F89" w:rsidRDefault="00334F89" w:rsidP="00334F89">
      <w:pPr>
        <w:shd w:val="clear" w:color="auto" w:fill="FFFFFF"/>
        <w:tabs>
          <w:tab w:val="left" w:pos="426"/>
          <w:tab w:val="left" w:pos="851"/>
        </w:tabs>
        <w:spacing w:after="0" w:line="240" w:lineRule="auto"/>
        <w:ind w:firstLine="709"/>
        <w:jc w:val="both"/>
        <w:outlineLvl w:val="0"/>
        <w:rPr>
          <w:rStyle w:val="a4"/>
          <w:sz w:val="28"/>
          <w:szCs w:val="28"/>
          <w:lang w:val="kk-KZ"/>
        </w:rPr>
      </w:pPr>
      <w:r>
        <w:rPr>
          <w:rFonts w:ascii="Times New Roman" w:hAnsi="Times New Roman" w:cs="Times New Roman"/>
          <w:sz w:val="28"/>
          <w:szCs w:val="28"/>
          <w:lang w:val="kk-KZ"/>
        </w:rPr>
        <w:t xml:space="preserve">Диссертациялық жұмыстың зерттеу </w:t>
      </w:r>
      <w:r>
        <w:rPr>
          <w:rFonts w:ascii="Times New Roman" w:hAnsi="Times New Roman" w:cs="Times New Roman"/>
          <w:b/>
          <w:bCs/>
          <w:sz w:val="28"/>
          <w:szCs w:val="28"/>
          <w:lang w:val="kk-KZ"/>
        </w:rPr>
        <w:t>объектісі</w:t>
      </w:r>
      <w:r>
        <w:rPr>
          <w:rFonts w:ascii="Times New Roman" w:hAnsi="Times New Roman" w:cs="Times New Roman"/>
          <w:sz w:val="28"/>
          <w:szCs w:val="28"/>
          <w:lang w:val="kk-KZ"/>
        </w:rPr>
        <w:t xml:space="preserve"> Қазақстан Республикасының Ауыл шаруашылығы министрлігінің агроөнеркәсіп кешенін дамытуға бағытталған бюджет қаражатын пайдалану бойынша қызметі болып табылады</w:t>
      </w:r>
      <w:r>
        <w:rPr>
          <w:rStyle w:val="a4"/>
          <w:sz w:val="28"/>
          <w:szCs w:val="28"/>
          <w:lang w:val="kk-KZ"/>
        </w:rPr>
        <w:t>.</w:t>
      </w:r>
    </w:p>
    <w:p w14:paraId="6BABD34D" w14:textId="77777777"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color w:val="auto"/>
          <w:sz w:val="28"/>
          <w:szCs w:val="28"/>
          <w:u w:val="none"/>
          <w:lang w:val="kk-KZ"/>
        </w:rPr>
        <w:t xml:space="preserve">Диссертациялық жұмыстың </w:t>
      </w:r>
      <w:r w:rsidRPr="00334F89">
        <w:rPr>
          <w:rStyle w:val="a4"/>
          <w:b/>
          <w:color w:val="auto"/>
          <w:sz w:val="28"/>
          <w:szCs w:val="28"/>
          <w:u w:val="none"/>
          <w:lang w:val="kk-KZ"/>
        </w:rPr>
        <w:t>пәні</w:t>
      </w:r>
      <w:r w:rsidRPr="00334F89">
        <w:rPr>
          <w:rStyle w:val="a4"/>
          <w:color w:val="auto"/>
          <w:sz w:val="28"/>
          <w:szCs w:val="28"/>
          <w:u w:val="none"/>
          <w:lang w:val="kk-KZ"/>
        </w:rPr>
        <w:t xml:space="preserve"> АӨК дамытуға бағытталған бюджет қаражатын пайдаланудың тиімділік аудитін жүргізу үрдісінде туындайтын экономикалық қатынастар жиынтығы болып табылады.</w:t>
      </w:r>
    </w:p>
    <w:p w14:paraId="39D62C88" w14:textId="68250732"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b/>
          <w:bCs/>
          <w:color w:val="auto"/>
          <w:sz w:val="28"/>
          <w:szCs w:val="28"/>
          <w:u w:val="none"/>
          <w:lang w:val="kk-KZ"/>
        </w:rPr>
        <w:t xml:space="preserve">Ғылыми зерттеудің теориялық және әдіснамалық негізі. </w:t>
      </w:r>
      <w:r w:rsidRPr="00334F89">
        <w:rPr>
          <w:rStyle w:val="a4"/>
          <w:color w:val="auto"/>
          <w:sz w:val="28"/>
          <w:szCs w:val="28"/>
          <w:u w:val="none"/>
          <w:lang w:val="kk-KZ"/>
        </w:rPr>
        <w:t xml:space="preserve">Диссертациялық зерттеуде шетелдік және отандық ғалымдардың мемлекеттік аудит және қаржылық бақылаудағы тиімділік аудитінің маңызы, түсінігі, оны ендіру қажеттігі туралы еңбектері, мемлекеттік аудит және қаржылық бақылау аясындағы Қазақстан Республикасының заңнамалық актілері, ҚР </w:t>
      </w:r>
      <w:r w:rsidR="00575788">
        <w:rPr>
          <w:rStyle w:val="a4"/>
          <w:color w:val="auto"/>
          <w:sz w:val="28"/>
          <w:szCs w:val="28"/>
          <w:u w:val="none"/>
          <w:lang w:val="kk-KZ"/>
        </w:rPr>
        <w:t>АӨК-н</w:t>
      </w:r>
      <w:r w:rsidRPr="00334F89">
        <w:rPr>
          <w:rStyle w:val="a4"/>
          <w:color w:val="auto"/>
          <w:sz w:val="28"/>
          <w:szCs w:val="28"/>
          <w:u w:val="none"/>
          <w:lang w:val="kk-KZ"/>
        </w:rPr>
        <w:t xml:space="preserve"> дамыту бойынша үкімет қаулылары, мемлекеттік жоспарлау жүйесінің құжаттары, стратегиялық бағдарламалар, ұлттық жобалар, даму жоспарлары, бюджеттік есеп берулер, мемлекеттік аудиттің халықаралық стандарттары ISSAI, GUID, ЖАП мен тексеру комиссияларының аудиторлық есептері және тағы басқа ресми құжаттар қолданылды. </w:t>
      </w:r>
    </w:p>
    <w:p w14:paraId="6877251C" w14:textId="77777777" w:rsidR="00334F89" w:rsidRPr="00334F89" w:rsidRDefault="00334F89" w:rsidP="00334F89">
      <w:pPr>
        <w:widowControl w:val="0"/>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color w:val="auto"/>
          <w:sz w:val="28"/>
          <w:szCs w:val="28"/>
          <w:u w:val="none"/>
          <w:lang w:val="kk-KZ"/>
        </w:rPr>
        <w:t xml:space="preserve">Зерттеудің әдіснамалық негізі ретінде танудың жалпығылыми әдістері құрады. Зерттеу барысында байқау, мәліметтерді статистикалық өңдеу, оқиғалар мен құбылыстардың сандық мәліметтерінің динамикасын салыстыру талдауы, топтау, экономикалық-математикалық модельдеу, есептеу, коэффициенттер әдісі, санау, эксперттік бағалау және т.б. әдістері қолданылды. Статистикалық мәліметтерді талдау топтау, жинақтау, салыстыру, иерархиялық талдау әдістерін қолдану арқылы жасалды.  </w:t>
      </w:r>
    </w:p>
    <w:p w14:paraId="3DD79CDB" w14:textId="4B21741C" w:rsidR="00334F89" w:rsidRPr="00334F89" w:rsidRDefault="00334F89" w:rsidP="00334F89">
      <w:pPr>
        <w:widowControl w:val="0"/>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b/>
          <w:bCs/>
          <w:color w:val="auto"/>
          <w:sz w:val="28"/>
          <w:szCs w:val="28"/>
          <w:u w:val="none"/>
          <w:lang w:val="kk-KZ"/>
        </w:rPr>
        <w:t xml:space="preserve">Зерттеудің ақпараттық базасы </w:t>
      </w:r>
      <w:r w:rsidRPr="00334F89">
        <w:rPr>
          <w:rStyle w:val="a4"/>
          <w:color w:val="auto"/>
          <w:sz w:val="28"/>
          <w:szCs w:val="28"/>
          <w:u w:val="none"/>
          <w:lang w:val="kk-KZ"/>
        </w:rPr>
        <w:t>ретінде ҚР Стратегиялық жоспарлау және реформалар агенттінің ресми сайттары, ҚР Ауыл шаруашылығы министрлігінің, Жоғары Аудит Палатасының, «ҰБХ «Бәйтерек» АҚ-ның, Аграрлық несиелік корпорациясы АҚ-ның жылдық есептері, Экономикалық ынтымақтастық және даму ұйымының «Ауыл шаруашылық саясаты монитор</w:t>
      </w:r>
      <w:r w:rsidR="00C00E24">
        <w:rPr>
          <w:rStyle w:val="a4"/>
          <w:color w:val="auto"/>
          <w:sz w:val="28"/>
          <w:szCs w:val="28"/>
          <w:u w:val="none"/>
          <w:lang w:val="kk-KZ"/>
        </w:rPr>
        <w:t>и</w:t>
      </w:r>
      <w:r w:rsidRPr="00334F89">
        <w:rPr>
          <w:rStyle w:val="a4"/>
          <w:color w:val="auto"/>
          <w:sz w:val="28"/>
          <w:szCs w:val="28"/>
          <w:u w:val="none"/>
          <w:lang w:val="kk-KZ"/>
        </w:rPr>
        <w:t>нгі және бағалау» баяндамалары мен есептері, Еуропалық Есеп Палатасының «Еуроодақтағы қоғамдық аудит» ресми есептері, Ресей Федерациясының Есеп палатасының «АӨК» бюллетеньдері, INTOSAI ұйымдарының мемлекеттік аудиттің халықаралық стандарттары, АҚШ Ауыл шаруашылығы министрлігінің ресми сайттарындағы есептіліктері, «Тиімділікті зерттеу, талдау және бағалау орталығының» мемлекеттік аудит және қаржылық бақылау аясындағы интернет ресурстарындағы зерттеу есептілік материалдары қолданылды.</w:t>
      </w:r>
    </w:p>
    <w:p w14:paraId="091C24C1" w14:textId="46C9E9F7" w:rsidR="00A24866" w:rsidRPr="006E76DD" w:rsidRDefault="00334F89" w:rsidP="00A24866">
      <w:pPr>
        <w:widowControl w:val="0"/>
        <w:shd w:val="clear" w:color="auto" w:fill="FFFFFF"/>
        <w:tabs>
          <w:tab w:val="left" w:pos="426"/>
          <w:tab w:val="left" w:pos="851"/>
        </w:tabs>
        <w:spacing w:after="0" w:line="240" w:lineRule="auto"/>
        <w:ind w:firstLine="709"/>
        <w:jc w:val="both"/>
        <w:outlineLvl w:val="0"/>
        <w:rPr>
          <w:lang w:val="kk-KZ"/>
        </w:rPr>
      </w:pPr>
      <w:r>
        <w:rPr>
          <w:rFonts w:ascii="Times New Roman" w:hAnsi="Times New Roman" w:cs="Times New Roman"/>
          <w:color w:val="000000"/>
          <w:sz w:val="28"/>
          <w:szCs w:val="28"/>
          <w:lang w:val="kk-KZ"/>
        </w:rPr>
        <w:t xml:space="preserve">Ғылыми зерттеудің </w:t>
      </w:r>
      <w:r>
        <w:rPr>
          <w:rFonts w:ascii="Times New Roman" w:hAnsi="Times New Roman" w:cs="Times New Roman"/>
          <w:b/>
          <w:bCs/>
          <w:color w:val="000000"/>
          <w:sz w:val="28"/>
          <w:szCs w:val="28"/>
          <w:lang w:val="kk-KZ"/>
        </w:rPr>
        <w:t>негізгі гипотезасы</w:t>
      </w:r>
      <w:r w:rsidRPr="006E76DD">
        <w:rPr>
          <w:rFonts w:ascii="Times New Roman" w:hAnsi="Times New Roman" w:cs="Times New Roman"/>
          <w:b/>
          <w:bCs/>
          <w:color w:val="000000"/>
          <w:sz w:val="28"/>
          <w:szCs w:val="28"/>
          <w:lang w:val="kk-KZ"/>
        </w:rPr>
        <w:t>.</w:t>
      </w:r>
      <w:r w:rsidRPr="006E76DD">
        <w:rPr>
          <w:rFonts w:ascii="Times New Roman" w:hAnsi="Times New Roman" w:cs="Times New Roman"/>
          <w:color w:val="000000"/>
          <w:sz w:val="28"/>
          <w:szCs w:val="28"/>
          <w:lang w:val="kk-KZ"/>
        </w:rPr>
        <w:t xml:space="preserve"> </w:t>
      </w:r>
      <w:r w:rsidR="00A24866" w:rsidRPr="006E76DD">
        <w:rPr>
          <w:rFonts w:ascii="Times New Roman" w:hAnsi="Times New Roman" w:cs="Times New Roman"/>
          <w:color w:val="000000"/>
          <w:sz w:val="28"/>
          <w:szCs w:val="28"/>
          <w:lang w:val="kk-KZ"/>
        </w:rPr>
        <w:t>Агроөнеркәсіп кешенін  дамытуға  бағытталған бюджет қаражатын пайдалану тиімділігін  жоғарғы сапада ұйымдастырылған мемлекеттік аудит арқылы бақылау деңге</w:t>
      </w:r>
      <w:r w:rsidR="00C00E24">
        <w:rPr>
          <w:rFonts w:ascii="Times New Roman" w:hAnsi="Times New Roman" w:cs="Times New Roman"/>
          <w:color w:val="000000"/>
          <w:sz w:val="28"/>
          <w:szCs w:val="28"/>
          <w:lang w:val="kk-KZ"/>
        </w:rPr>
        <w:t>й</w:t>
      </w:r>
      <w:r w:rsidR="00A24866" w:rsidRPr="006E76DD">
        <w:rPr>
          <w:rFonts w:ascii="Times New Roman" w:hAnsi="Times New Roman" w:cs="Times New Roman"/>
          <w:color w:val="000000"/>
          <w:sz w:val="28"/>
          <w:szCs w:val="28"/>
          <w:lang w:val="kk-KZ"/>
        </w:rPr>
        <w:t xml:space="preserve">інің күшейтілуі, аудиторлық есептердегі қорытындыларға көзқарастар арқылы, сонымен қатар әлеуметтік, экономикалық, экологиялық қысымның әсерінен бюджет қаражатын басқарушы мемлекеттік орталық органдар, бюджет қаражатын алушылар жауапкершілігінің өзгеруіне әкелуі мүмкін. </w:t>
      </w:r>
    </w:p>
    <w:p w14:paraId="17BAA355" w14:textId="77777777" w:rsidR="00A24866" w:rsidRPr="006E76DD" w:rsidRDefault="00A24866" w:rsidP="00A24866">
      <w:pPr>
        <w:widowControl w:val="0"/>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sidRPr="006E76DD">
        <w:rPr>
          <w:rFonts w:ascii="Times New Roman" w:hAnsi="Times New Roman" w:cs="Times New Roman"/>
          <w:sz w:val="28"/>
          <w:szCs w:val="28"/>
          <w:lang w:val="kk-KZ"/>
        </w:rPr>
        <w:t xml:space="preserve">Гипотезаны негіздеу: </w:t>
      </w:r>
    </w:p>
    <w:p w14:paraId="6E18B597" w14:textId="3F07C301" w:rsidR="00A24866" w:rsidRPr="006E76DD" w:rsidRDefault="00A24866" w:rsidP="00A24866">
      <w:pPr>
        <w:tabs>
          <w:tab w:val="left" w:pos="993"/>
        </w:tabs>
        <w:spacing w:after="0" w:line="240" w:lineRule="auto"/>
        <w:ind w:firstLine="709"/>
        <w:jc w:val="both"/>
        <w:rPr>
          <w:rFonts w:ascii="Times New Roman" w:hAnsi="Times New Roman" w:cs="Times New Roman"/>
          <w:sz w:val="28"/>
          <w:szCs w:val="28"/>
          <w:lang w:val="kk-KZ"/>
        </w:rPr>
      </w:pPr>
      <w:r w:rsidRPr="006E76DD">
        <w:rPr>
          <w:rFonts w:ascii="Times New Roman" w:hAnsi="Times New Roman" w:cs="Times New Roman"/>
          <w:sz w:val="28"/>
          <w:szCs w:val="28"/>
          <w:lang w:val="kk-KZ"/>
        </w:rPr>
        <w:t xml:space="preserve">1) жоғары сапалы тиімділік аудиті арқылы күшейтілген бақылау: Агроөнеркәсіп кешенін дамытуға бағытталған бюджет қаражатын пайдалану тиімділігінің аудиті бөлінген ақшалай қаражаттардың бағытының және көлемінің оның нәтижелермен сәйкестігін егжей-тегжейлі зерделеуді және талдауды көздейді. Бұл аудиторлар мен басқа да мүдделі тараптар жүргізетін  бақылау сапасының жоғарылауын білдіреді. Агроөнеркәсіп кешенін дамытуға бағытталған бюджет қаражатын пайдаланушылардың ең жақсы тәжірибелерді көрсету және қаражатты ұқыпты пайдалану қажеттілігін сезінуі мүмкін; </w:t>
      </w:r>
    </w:p>
    <w:p w14:paraId="3B731EF9" w14:textId="6284ECC2" w:rsidR="00334F89" w:rsidRDefault="00A24866" w:rsidP="00A24866">
      <w:pPr>
        <w:widowControl w:val="0"/>
        <w:shd w:val="clear" w:color="auto" w:fill="FFFFFF"/>
        <w:tabs>
          <w:tab w:val="left" w:pos="426"/>
          <w:tab w:val="left" w:pos="851"/>
        </w:tabs>
        <w:spacing w:after="0" w:line="240" w:lineRule="auto"/>
        <w:ind w:firstLine="709"/>
        <w:jc w:val="both"/>
        <w:outlineLvl w:val="0"/>
        <w:rPr>
          <w:rFonts w:ascii="Times New Roman" w:hAnsi="Times New Roman" w:cs="Times New Roman"/>
          <w:sz w:val="28"/>
          <w:szCs w:val="28"/>
          <w:lang w:val="kk-KZ"/>
        </w:rPr>
      </w:pPr>
      <w:r w:rsidRPr="006E76DD">
        <w:rPr>
          <w:rFonts w:ascii="Times New Roman" w:hAnsi="Times New Roman" w:cs="Times New Roman"/>
          <w:sz w:val="28"/>
          <w:szCs w:val="28"/>
          <w:lang w:val="kk-KZ"/>
        </w:rPr>
        <w:t xml:space="preserve">2) </w:t>
      </w:r>
      <w:r w:rsidR="0071258D" w:rsidRPr="006E76DD">
        <w:rPr>
          <w:rFonts w:ascii="Times New Roman" w:hAnsi="Times New Roman" w:cs="Times New Roman"/>
          <w:sz w:val="28"/>
          <w:szCs w:val="28"/>
          <w:lang w:val="kk-KZ"/>
        </w:rPr>
        <w:t>АӨК</w:t>
      </w:r>
      <w:r w:rsidRPr="006E76DD">
        <w:rPr>
          <w:rFonts w:ascii="Times New Roman" w:hAnsi="Times New Roman" w:cs="Times New Roman"/>
          <w:sz w:val="28"/>
          <w:szCs w:val="28"/>
          <w:lang w:val="kk-KZ"/>
        </w:rPr>
        <w:t xml:space="preserve"> дамытуға бағытталған бюджет қаражатын пайдалану тиімділігінің аудиті </w:t>
      </w:r>
      <w:r w:rsidR="00334F89" w:rsidRPr="006E76DD">
        <w:rPr>
          <w:rFonts w:ascii="Times New Roman" w:hAnsi="Times New Roman" w:cs="Times New Roman"/>
          <w:sz w:val="28"/>
          <w:szCs w:val="28"/>
          <w:lang w:val="kk-KZ"/>
        </w:rPr>
        <w:t>бойынша аудиторлық есептерге көзқарастар әсері: бюджет қаражатын</w:t>
      </w:r>
      <w:r w:rsidR="00334F89">
        <w:rPr>
          <w:rFonts w:ascii="Times New Roman" w:hAnsi="Times New Roman" w:cs="Times New Roman"/>
          <w:sz w:val="28"/>
          <w:szCs w:val="28"/>
          <w:lang w:val="kk-KZ"/>
        </w:rPr>
        <w:t xml:space="preserve"> пайдалану тиімділігі аудитінің нәтижелері әдетте мемлекеттік органдар мен қаржы институттары, салық төлеушілер сияқты мүдделі тараптарға ұсынылатын есепте келтіріледі. Қолайсыз аудиторлық есептерді алу агроөнеркәсіп кешен</w:t>
      </w:r>
      <w:r w:rsidR="004B06D6">
        <w:rPr>
          <w:rFonts w:ascii="Times New Roman" w:hAnsi="Times New Roman" w:cs="Times New Roman"/>
          <w:sz w:val="28"/>
          <w:szCs w:val="28"/>
          <w:lang w:val="kk-KZ"/>
        </w:rPr>
        <w:t>і</w:t>
      </w:r>
      <w:r w:rsidR="00334F89">
        <w:rPr>
          <w:rFonts w:ascii="Times New Roman" w:hAnsi="Times New Roman" w:cs="Times New Roman"/>
          <w:sz w:val="28"/>
          <w:szCs w:val="28"/>
          <w:lang w:val="kk-KZ"/>
        </w:rPr>
        <w:t xml:space="preserve"> қатысушыларының беделі мен қаржылық жағдайына теріс әсер етуі мүмкін; </w:t>
      </w:r>
    </w:p>
    <w:p w14:paraId="4A77F805" w14:textId="77777777" w:rsidR="00334F89" w:rsidRDefault="00334F89" w:rsidP="00334F89">
      <w:pPr>
        <w:tabs>
          <w:tab w:val="left" w:pos="993"/>
        </w:tabs>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3)</w:t>
      </w:r>
      <w:r>
        <w:rPr>
          <w:rFonts w:ascii="Times New Roman" w:hAnsi="Times New Roman" w:cs="Times New Roman"/>
          <w:color w:val="000000"/>
          <w:sz w:val="28"/>
          <w:szCs w:val="28"/>
          <w:lang w:val="kk-KZ"/>
        </w:rPr>
        <w:t xml:space="preserve"> әлеуметтік, экономикалық, экологиялық қысым: бюджет қаражатын тиімсіз пайдалану анықталған жағдайда, агроөнеркәсіп кешеніне қатысушылар жұртшылық пен мүдделі тараптардың әлеуметтік қысымына тап болуы мүмкін. Қоғамның теріс көзқарасы сенімінің жоғалуына және іскерлік қатынастардың бұзылуына әкелуі мүмкін. Мұндай ықпалды болдырмау үшін агроөнеркәсіп кешеніне қатысушылар бюджет қаражатын тиімді пайдалану үшін жауапкершілігін өзгерте алады.</w:t>
      </w:r>
    </w:p>
    <w:p w14:paraId="7772AF2E" w14:textId="77777777"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color w:val="auto"/>
          <w:sz w:val="28"/>
          <w:szCs w:val="28"/>
          <w:u w:val="none"/>
          <w:lang w:val="kk-KZ"/>
        </w:rPr>
        <w:t xml:space="preserve">Зерттеу тақырыбының </w:t>
      </w:r>
      <w:r w:rsidRPr="00334F89">
        <w:rPr>
          <w:rStyle w:val="a4"/>
          <w:b/>
          <w:color w:val="auto"/>
          <w:sz w:val="28"/>
          <w:szCs w:val="28"/>
          <w:u w:val="none"/>
          <w:lang w:val="kk-KZ"/>
        </w:rPr>
        <w:t>ғылыми жаңалығы</w:t>
      </w:r>
      <w:r w:rsidRPr="00334F89">
        <w:rPr>
          <w:rStyle w:val="a4"/>
          <w:color w:val="auto"/>
          <w:sz w:val="28"/>
          <w:szCs w:val="28"/>
          <w:u w:val="none"/>
          <w:lang w:val="kk-KZ"/>
        </w:rPr>
        <w:t xml:space="preserve"> АӨК дамытуға бағытталған бюджет қаражатын пайдалану тиімділігі аудитінің теориялық-әдіснамалық және тәжірибелік аспектілерін зерттеу және тиімділік аудитінің сапасын жақсарту және кешенді жетілдіру бойынша әзірленген ұсыныстар болып табылады.</w:t>
      </w:r>
    </w:p>
    <w:p w14:paraId="05B76FFA" w14:textId="77777777" w:rsidR="00334F89" w:rsidRDefault="00334F89" w:rsidP="00334F89">
      <w:pPr>
        <w:pStyle w:val="a5"/>
        <w:tabs>
          <w:tab w:val="left" w:pos="993"/>
        </w:tabs>
        <w:spacing w:after="0" w:line="240" w:lineRule="auto"/>
        <w:ind w:left="0" w:firstLine="709"/>
        <w:jc w:val="both"/>
      </w:pPr>
      <w:r>
        <w:rPr>
          <w:rFonts w:ascii="Times New Roman" w:eastAsia="SimSun" w:hAnsi="Times New Roman" w:cstheme="minorBidi"/>
          <w:b/>
          <w:bCs/>
          <w:color w:val="000000"/>
          <w:sz w:val="28"/>
          <w:szCs w:val="28"/>
        </w:rPr>
        <w:t xml:space="preserve">Қорғауға шығарылатын негізгі </w:t>
      </w:r>
      <w:r>
        <w:rPr>
          <w:rFonts w:ascii="Times New Roman" w:eastAsia="SimSun" w:hAnsi="Times New Roman" w:cstheme="minorBidi"/>
          <w:b/>
          <w:bCs/>
          <w:color w:val="000000"/>
          <w:sz w:val="28"/>
          <w:szCs w:val="28"/>
          <w:lang w:val="kk-KZ"/>
        </w:rPr>
        <w:t>тұжырымдамалар</w:t>
      </w:r>
      <w:r>
        <w:rPr>
          <w:rFonts w:ascii="Times New Roman" w:eastAsia="SimSun" w:hAnsi="Times New Roman" w:cstheme="minorBidi"/>
          <w:b/>
          <w:bCs/>
          <w:color w:val="000000"/>
          <w:sz w:val="28"/>
          <w:szCs w:val="28"/>
        </w:rPr>
        <w:t>:</w:t>
      </w:r>
    </w:p>
    <w:p w14:paraId="6547673B" w14:textId="77777777" w:rsidR="00A24866" w:rsidRDefault="00334F89" w:rsidP="0097172E">
      <w:pPr>
        <w:pStyle w:val="a5"/>
        <w:numPr>
          <w:ilvl w:val="0"/>
          <w:numId w:val="56"/>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«АӨК дамытуға бағытталған бюджет қаражатын пайдалану тиімділігінің аудиті» ұғымына авторлық анықтама беріліп оны ұйымдастыру кезеңдері анықталды;</w:t>
      </w:r>
    </w:p>
    <w:p w14:paraId="3EB002A7" w14:textId="4F2AFC15" w:rsidR="00A24866" w:rsidRPr="00100FAE" w:rsidRDefault="00A24866" w:rsidP="0097172E">
      <w:pPr>
        <w:pStyle w:val="a5"/>
        <w:numPr>
          <w:ilvl w:val="0"/>
          <w:numId w:val="56"/>
        </w:numPr>
        <w:tabs>
          <w:tab w:val="left" w:pos="993"/>
        </w:tabs>
        <w:spacing w:after="0" w:line="240" w:lineRule="auto"/>
        <w:ind w:left="0" w:firstLine="709"/>
        <w:jc w:val="both"/>
        <w:rPr>
          <w:rFonts w:ascii="Times New Roman" w:hAnsi="Times New Roman"/>
          <w:sz w:val="28"/>
          <w:szCs w:val="28"/>
          <w:lang w:val="kk-KZ"/>
        </w:rPr>
      </w:pPr>
      <w:r w:rsidRPr="00A24866">
        <w:rPr>
          <w:rFonts w:ascii="Times New Roman" w:hAnsi="Times New Roman"/>
          <w:sz w:val="28"/>
          <w:szCs w:val="28"/>
          <w:lang w:val="kk-KZ"/>
        </w:rPr>
        <w:t xml:space="preserve">ҚР </w:t>
      </w:r>
      <w:r w:rsidR="00575788">
        <w:rPr>
          <w:rFonts w:ascii="Times New Roman" w:hAnsi="Times New Roman"/>
          <w:sz w:val="28"/>
          <w:szCs w:val="28"/>
          <w:lang w:val="kk-KZ"/>
        </w:rPr>
        <w:t>АӨК-н</w:t>
      </w:r>
      <w:r w:rsidRPr="00A24866">
        <w:rPr>
          <w:rFonts w:ascii="Times New Roman" w:hAnsi="Times New Roman"/>
          <w:sz w:val="28"/>
          <w:szCs w:val="28"/>
          <w:lang w:val="kk-KZ"/>
        </w:rPr>
        <w:t xml:space="preserve"> дамытуға бағытталған бюджет қаражатын пайдалану тиімділігіне баға берілді, оларды тиімсіз пайдалану себептері </w:t>
      </w:r>
      <w:r w:rsidRPr="00100FAE">
        <w:rPr>
          <w:rFonts w:ascii="Times New Roman" w:hAnsi="Times New Roman"/>
          <w:sz w:val="28"/>
          <w:szCs w:val="28"/>
          <w:lang w:val="kk-KZ"/>
        </w:rPr>
        <w:t>анықталды;</w:t>
      </w:r>
    </w:p>
    <w:p w14:paraId="49F709D6" w14:textId="5912BB80" w:rsidR="00A24866" w:rsidRPr="00A24866" w:rsidRDefault="00A24866" w:rsidP="0097172E">
      <w:pPr>
        <w:pStyle w:val="a5"/>
        <w:numPr>
          <w:ilvl w:val="0"/>
          <w:numId w:val="56"/>
        </w:numPr>
        <w:tabs>
          <w:tab w:val="left" w:pos="993"/>
        </w:tabs>
        <w:spacing w:after="0" w:line="240" w:lineRule="auto"/>
        <w:ind w:left="0" w:firstLine="709"/>
        <w:jc w:val="both"/>
        <w:rPr>
          <w:rFonts w:ascii="Times New Roman" w:hAnsi="Times New Roman"/>
          <w:sz w:val="28"/>
          <w:szCs w:val="28"/>
          <w:lang w:val="kk-KZ"/>
        </w:rPr>
      </w:pPr>
      <w:r w:rsidRPr="00100FAE">
        <w:rPr>
          <w:rFonts w:ascii="Times New Roman" w:hAnsi="Times New Roman"/>
          <w:sz w:val="28"/>
          <w:szCs w:val="28"/>
          <w:lang w:val="kk-KZ"/>
        </w:rPr>
        <w:t>ҚР АӨК дамыту жөніндегі ұлттық жобасының көрсеткіштерін талдау негізінде агроөнеркәсіп кешенін дамытуға бағытталған бюджет қаражатын  пайдалану тиімділігі аудитінің бағыттары толықтырылып критерийлері</w:t>
      </w:r>
      <w:r w:rsidRPr="00A24866">
        <w:rPr>
          <w:rFonts w:ascii="Times New Roman" w:hAnsi="Times New Roman"/>
          <w:sz w:val="28"/>
          <w:szCs w:val="28"/>
          <w:lang w:val="kk-KZ"/>
        </w:rPr>
        <w:t xml:space="preserve"> жүйеленді; </w:t>
      </w:r>
    </w:p>
    <w:p w14:paraId="13D8F48B" w14:textId="0571D6F9" w:rsidR="00B51A5A" w:rsidRDefault="00B51A5A" w:rsidP="0097172E">
      <w:pPr>
        <w:pStyle w:val="a5"/>
        <w:numPr>
          <w:ilvl w:val="0"/>
          <w:numId w:val="56"/>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АӨК-н дамытуға жұмсалған бюджет қаражаты тиімділігі аудитін ұйымдастыру мен өткізуге ұсынылған қадамдар моделі әзірленді;</w:t>
      </w:r>
    </w:p>
    <w:p w14:paraId="434F7DD4" w14:textId="310E7CDD" w:rsidR="00334F89" w:rsidRDefault="00334F89" w:rsidP="0097172E">
      <w:pPr>
        <w:pStyle w:val="a5"/>
        <w:numPr>
          <w:ilvl w:val="0"/>
          <w:numId w:val="56"/>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АӨК дамытуға бағытталған бюджет қаражатын пайдаланудың тиімділігі аудитінің сапасын жетілдіру бойынша  ұсыныстар әзірленді; </w:t>
      </w:r>
    </w:p>
    <w:p w14:paraId="5B9AF3EC" w14:textId="77777777" w:rsidR="00334F89" w:rsidRDefault="00334F89" w:rsidP="0097172E">
      <w:pPr>
        <w:pStyle w:val="a5"/>
        <w:numPr>
          <w:ilvl w:val="0"/>
          <w:numId w:val="56"/>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ҚР АӨК дамытуға бағытталған бюджет қаражатын пайдалану тиімділік аудитінде иерархиялық талдау моделін қолдану ұсынылды.</w:t>
      </w:r>
    </w:p>
    <w:p w14:paraId="628C90A1" w14:textId="77777777"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u w:val="none"/>
          <w:lang w:val="kk-KZ"/>
        </w:rPr>
      </w:pPr>
      <w:r w:rsidRPr="00334F89">
        <w:rPr>
          <w:rStyle w:val="a4"/>
          <w:color w:val="auto"/>
          <w:sz w:val="28"/>
          <w:szCs w:val="28"/>
          <w:u w:val="none"/>
          <w:lang w:val="kk-KZ"/>
        </w:rPr>
        <w:t xml:space="preserve">Зерттеу тақырыбының </w:t>
      </w:r>
      <w:r w:rsidRPr="00334F89">
        <w:rPr>
          <w:rStyle w:val="a4"/>
          <w:b/>
          <w:color w:val="auto"/>
          <w:sz w:val="28"/>
          <w:szCs w:val="28"/>
          <w:u w:val="none"/>
          <w:lang w:val="kk-KZ"/>
        </w:rPr>
        <w:t>теориялық</w:t>
      </w:r>
      <w:r w:rsidRPr="00334F89">
        <w:rPr>
          <w:rStyle w:val="a4"/>
          <w:color w:val="auto"/>
          <w:sz w:val="28"/>
          <w:szCs w:val="28"/>
          <w:u w:val="none"/>
          <w:lang w:val="kk-KZ"/>
        </w:rPr>
        <w:t xml:space="preserve"> маңыздылығы АӨК дамытуға бағытталған бюджет қаражатын пайдалану тиімділігінің аудитін ұйымдастыру әдіснамасын жетілдіруге, ғылыми және практикалық деңгейін арттыруға бағытталған теориялық материалдар негізінде жасалған тұжырымдар мен анықтамалар болып табылады. </w:t>
      </w:r>
    </w:p>
    <w:p w14:paraId="45955FE8" w14:textId="77777777"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color w:val="auto"/>
          <w:sz w:val="28"/>
          <w:szCs w:val="28"/>
          <w:u w:val="none"/>
          <w:lang w:val="kk-KZ"/>
        </w:rPr>
        <w:t xml:space="preserve"> Зерттеу тақырыбының </w:t>
      </w:r>
      <w:r w:rsidRPr="00334F89">
        <w:rPr>
          <w:rStyle w:val="a4"/>
          <w:b/>
          <w:color w:val="auto"/>
          <w:sz w:val="28"/>
          <w:szCs w:val="28"/>
          <w:u w:val="none"/>
          <w:lang w:val="kk-KZ"/>
        </w:rPr>
        <w:t>практикалық</w:t>
      </w:r>
      <w:r w:rsidRPr="00334F89">
        <w:rPr>
          <w:rStyle w:val="a4"/>
          <w:color w:val="auto"/>
          <w:sz w:val="28"/>
          <w:szCs w:val="28"/>
          <w:u w:val="none"/>
          <w:lang w:val="kk-KZ"/>
        </w:rPr>
        <w:t xml:space="preserve"> маңыздылығы АӨК дамытуға бағытталған бюджет қаражатын пайдалану тиімділігінің аудитін жетілдіру бойынша ұсыныстардың және </w:t>
      </w:r>
      <w:r w:rsidRPr="00334F89">
        <w:rPr>
          <w:rFonts w:ascii="Times New Roman" w:hAnsi="Times New Roman"/>
          <w:sz w:val="28"/>
          <w:szCs w:val="28"/>
          <w:lang w:val="kk-KZ"/>
        </w:rPr>
        <w:t xml:space="preserve">тиімділік аудитінде иерархиялық талдау моделінің </w:t>
      </w:r>
      <w:r w:rsidRPr="00334F89">
        <w:rPr>
          <w:rStyle w:val="a4"/>
          <w:color w:val="auto"/>
          <w:sz w:val="28"/>
          <w:szCs w:val="28"/>
          <w:u w:val="none"/>
          <w:lang w:val="kk-KZ"/>
        </w:rPr>
        <w:t xml:space="preserve">қолданылу мүмкіндігі. </w:t>
      </w:r>
    </w:p>
    <w:p w14:paraId="0E8D24F2" w14:textId="218A43E6" w:rsidR="00334F89" w:rsidRPr="00334F89" w:rsidRDefault="00334F89" w:rsidP="00334F89">
      <w:pPr>
        <w:widowControl w:val="0"/>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b/>
          <w:bCs/>
          <w:color w:val="auto"/>
          <w:sz w:val="28"/>
          <w:szCs w:val="28"/>
          <w:u w:val="none"/>
          <w:lang w:val="kk-KZ"/>
        </w:rPr>
        <w:t xml:space="preserve">Зерттеу нәтижелерін апробациялау. </w:t>
      </w:r>
      <w:bookmarkStart w:id="4" w:name="_Hlk153923808"/>
      <w:r w:rsidRPr="00334F89">
        <w:rPr>
          <w:rStyle w:val="a4"/>
          <w:color w:val="auto"/>
          <w:sz w:val="28"/>
          <w:szCs w:val="28"/>
          <w:u w:val="none"/>
          <w:lang w:val="kk-KZ"/>
        </w:rPr>
        <w:t xml:space="preserve">Зерттеу нәтижелері </w:t>
      </w:r>
      <w:r w:rsidR="0071258D">
        <w:rPr>
          <w:rStyle w:val="a4"/>
          <w:color w:val="auto"/>
          <w:sz w:val="28"/>
          <w:szCs w:val="28"/>
          <w:u w:val="none"/>
          <w:lang w:val="kk-KZ"/>
        </w:rPr>
        <w:t xml:space="preserve">жалпы саны 6,31 б.п. көлемінде 12 </w:t>
      </w:r>
      <w:r w:rsidRPr="00334F89">
        <w:rPr>
          <w:rStyle w:val="a4"/>
          <w:color w:val="auto"/>
          <w:sz w:val="28"/>
          <w:szCs w:val="28"/>
          <w:u w:val="none"/>
          <w:lang w:val="kk-KZ"/>
        </w:rPr>
        <w:t>ғылыми</w:t>
      </w:r>
      <w:r w:rsidR="0071258D">
        <w:rPr>
          <w:rStyle w:val="a4"/>
          <w:color w:val="auto"/>
          <w:sz w:val="28"/>
          <w:szCs w:val="28"/>
          <w:u w:val="none"/>
          <w:lang w:val="kk-KZ"/>
        </w:rPr>
        <w:t xml:space="preserve"> мақалаларда </w:t>
      </w:r>
      <w:r w:rsidRPr="00334F89">
        <w:rPr>
          <w:rStyle w:val="a4"/>
          <w:color w:val="auto"/>
          <w:sz w:val="28"/>
          <w:szCs w:val="28"/>
          <w:u w:val="none"/>
          <w:lang w:val="kk-KZ"/>
        </w:rPr>
        <w:t>жарияланды</w:t>
      </w:r>
      <w:r w:rsidR="0071258D">
        <w:rPr>
          <w:rStyle w:val="a4"/>
          <w:color w:val="auto"/>
          <w:sz w:val="28"/>
          <w:szCs w:val="28"/>
          <w:u w:val="none"/>
          <w:lang w:val="kk-KZ"/>
        </w:rPr>
        <w:t>,</w:t>
      </w:r>
      <w:r w:rsidR="0071258D" w:rsidRPr="0071258D">
        <w:rPr>
          <w:rFonts w:ascii="Times New Roman" w:eastAsia="Times New Roman" w:hAnsi="Times New Roman" w:cs="Times New Roman"/>
          <w:sz w:val="28"/>
          <w:szCs w:val="28"/>
          <w:lang w:val="kk-KZ"/>
        </w:rPr>
        <w:t xml:space="preserve"> оның ішінде</w:t>
      </w:r>
      <w:r w:rsidRPr="00334F89">
        <w:rPr>
          <w:rStyle w:val="a4"/>
          <w:color w:val="auto"/>
          <w:sz w:val="28"/>
          <w:szCs w:val="28"/>
          <w:u w:val="none"/>
          <w:lang w:val="kk-KZ"/>
        </w:rPr>
        <w:t>:</w:t>
      </w:r>
      <w:r w:rsidR="0071258D" w:rsidRPr="0071258D">
        <w:rPr>
          <w:rFonts w:ascii="Times New Roman" w:eastAsia="Times New Roman" w:hAnsi="Times New Roman" w:cs="Times New Roman"/>
          <w:sz w:val="28"/>
          <w:szCs w:val="28"/>
          <w:lang w:val="kk-KZ"/>
        </w:rPr>
        <w:t xml:space="preserve"> ҚР БҒМ Ғ</w:t>
      </w:r>
      <w:r w:rsidR="0071258D">
        <w:rPr>
          <w:rFonts w:ascii="Times New Roman" w:eastAsia="Times New Roman" w:hAnsi="Times New Roman" w:cs="Times New Roman"/>
          <w:sz w:val="28"/>
          <w:szCs w:val="28"/>
          <w:lang w:val="kk-KZ"/>
        </w:rPr>
        <w:t xml:space="preserve">БСБК </w:t>
      </w:r>
      <w:r w:rsidR="0071258D" w:rsidRPr="0071258D">
        <w:rPr>
          <w:rFonts w:ascii="Times New Roman" w:eastAsia="Times New Roman" w:hAnsi="Times New Roman" w:cs="Times New Roman"/>
          <w:sz w:val="28"/>
          <w:szCs w:val="28"/>
          <w:lang w:val="kk-KZ"/>
        </w:rPr>
        <w:t>ұсынған басылымдарда – 4</w:t>
      </w:r>
      <w:r w:rsidR="0071258D">
        <w:rPr>
          <w:rFonts w:ascii="Times New Roman" w:eastAsia="Times New Roman" w:hAnsi="Times New Roman" w:cs="Times New Roman"/>
          <w:sz w:val="28"/>
          <w:szCs w:val="28"/>
          <w:lang w:val="kk-KZ"/>
        </w:rPr>
        <w:t xml:space="preserve">, </w:t>
      </w:r>
      <w:r w:rsidR="0071258D" w:rsidRPr="0071258D">
        <w:rPr>
          <w:rFonts w:ascii="Times New Roman" w:eastAsia="Times New Roman" w:hAnsi="Times New Roman" w:cs="Times New Roman"/>
          <w:sz w:val="28"/>
          <w:szCs w:val="28"/>
          <w:lang w:val="kk-KZ"/>
        </w:rPr>
        <w:t>Scopus халықаралық дәйексөз базасында</w:t>
      </w:r>
      <w:r w:rsidR="0071258D" w:rsidRPr="00334F89">
        <w:rPr>
          <w:rStyle w:val="a4"/>
          <w:color w:val="auto"/>
          <w:sz w:val="28"/>
          <w:szCs w:val="28"/>
          <w:u w:val="none"/>
          <w:lang w:val="kk-KZ"/>
        </w:rPr>
        <w:t xml:space="preserve"> </w:t>
      </w:r>
      <w:r w:rsidR="0071258D">
        <w:rPr>
          <w:rStyle w:val="a4"/>
          <w:color w:val="auto"/>
          <w:sz w:val="28"/>
          <w:szCs w:val="28"/>
          <w:u w:val="none"/>
          <w:lang w:val="kk-KZ"/>
        </w:rPr>
        <w:t xml:space="preserve">– 2, </w:t>
      </w:r>
      <w:r w:rsidR="0071258D" w:rsidRPr="0071258D">
        <w:rPr>
          <w:rStyle w:val="a4"/>
          <w:color w:val="auto"/>
          <w:sz w:val="28"/>
          <w:szCs w:val="28"/>
          <w:u w:val="none"/>
          <w:lang w:val="kk-KZ"/>
        </w:rPr>
        <w:t xml:space="preserve">ғылыми-тәжірибелік конференциялар жинақтарында </w:t>
      </w:r>
      <w:r w:rsidR="0071258D">
        <w:rPr>
          <w:rStyle w:val="a4"/>
          <w:color w:val="auto"/>
          <w:sz w:val="28"/>
          <w:szCs w:val="28"/>
          <w:u w:val="none"/>
          <w:lang w:val="kk-KZ"/>
        </w:rPr>
        <w:t xml:space="preserve">– 4, </w:t>
      </w:r>
      <w:r w:rsidRPr="00334F89">
        <w:rPr>
          <w:rStyle w:val="a4"/>
          <w:color w:val="auto"/>
          <w:sz w:val="28"/>
          <w:szCs w:val="28"/>
          <w:u w:val="none"/>
          <w:lang w:val="kk-KZ"/>
        </w:rPr>
        <w:t>және тағы басқа</w:t>
      </w:r>
      <w:r w:rsidR="0071258D">
        <w:rPr>
          <w:rStyle w:val="a4"/>
          <w:color w:val="auto"/>
          <w:sz w:val="28"/>
          <w:szCs w:val="28"/>
          <w:u w:val="none"/>
          <w:lang w:val="kk-KZ"/>
        </w:rPr>
        <w:t xml:space="preserve"> халықаралық ғылыми мақалаларда – 2</w:t>
      </w:r>
      <w:r w:rsidRPr="00334F89">
        <w:rPr>
          <w:rStyle w:val="a4"/>
          <w:color w:val="auto"/>
          <w:sz w:val="28"/>
          <w:szCs w:val="28"/>
          <w:u w:val="none"/>
          <w:lang w:val="kk-KZ"/>
        </w:rPr>
        <w:t>.</w:t>
      </w:r>
    </w:p>
    <w:bookmarkEnd w:id="4"/>
    <w:p w14:paraId="57CF0D56" w14:textId="643A87B7" w:rsidR="00334F89" w:rsidRPr="0047324C" w:rsidRDefault="00334F89" w:rsidP="00334F89">
      <w:pPr>
        <w:widowControl w:val="0"/>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334F89">
        <w:rPr>
          <w:rStyle w:val="a4"/>
          <w:b/>
          <w:bCs/>
          <w:color w:val="auto"/>
          <w:sz w:val="28"/>
          <w:szCs w:val="28"/>
          <w:u w:val="none"/>
          <w:lang w:val="kk-KZ"/>
        </w:rPr>
        <w:t xml:space="preserve">Зерттеу нәтижелерін ендіру. </w:t>
      </w:r>
      <w:r w:rsidRPr="00334F89">
        <w:rPr>
          <w:rStyle w:val="a4"/>
          <w:color w:val="auto"/>
          <w:sz w:val="28"/>
          <w:szCs w:val="28"/>
          <w:u w:val="none"/>
          <w:lang w:val="kk-KZ"/>
        </w:rPr>
        <w:t xml:space="preserve">Зерттеу нәтижелері Л.Н.Гумилев атындағы Еуразия Ұлттық Университетіндегі «Мемлекеттік аудит» кафедрасының ғылыми-әдістемелік семинарларында </w:t>
      </w:r>
      <w:r w:rsidRPr="0047324C">
        <w:rPr>
          <w:rStyle w:val="a4"/>
          <w:color w:val="auto"/>
          <w:sz w:val="28"/>
          <w:szCs w:val="28"/>
          <w:u w:val="none"/>
          <w:lang w:val="kk-KZ"/>
        </w:rPr>
        <w:t>қарастырылды.</w:t>
      </w:r>
      <w:r w:rsidR="0047324C" w:rsidRPr="0047324C">
        <w:rPr>
          <w:rStyle w:val="a4"/>
          <w:color w:val="auto"/>
          <w:sz w:val="28"/>
          <w:szCs w:val="28"/>
          <w:u w:val="none"/>
          <w:lang w:val="kk-KZ"/>
        </w:rPr>
        <w:t xml:space="preserve"> Сонымен қатар С.Сейфуллин атындағы Қазақ Агротехникалық Зерттеу Университетінің </w:t>
      </w:r>
      <w:r w:rsidR="0047324C" w:rsidRPr="0047324C">
        <w:rPr>
          <w:rFonts w:ascii="Times New Roman" w:hAnsi="Times New Roman" w:cs="Times New Roman"/>
          <w:sz w:val="28"/>
          <w:szCs w:val="28"/>
          <w:lang w:val="kk-KZ"/>
        </w:rPr>
        <w:t>«Аудит және салық салу» Білім беру бағдарламасы тобының 6B04106 «Бухгалтерлік есеп, аудит және салықтық консалтингі» білім беру бағдарламасының білім алушылары үшін «мемлекеттік аудит» және «мемлекеттік қаржылық бақылау» пәндері бойынша оқу-әдістемелік кешендерін дайындау кезінде пайдаланылды.</w:t>
      </w:r>
    </w:p>
    <w:p w14:paraId="4990138C" w14:textId="2276DE23" w:rsidR="00334F89" w:rsidRPr="00334F89" w:rsidRDefault="00334F89" w:rsidP="00334F8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47324C">
        <w:rPr>
          <w:rStyle w:val="a4"/>
          <w:b/>
          <w:bCs/>
          <w:color w:val="auto"/>
          <w:sz w:val="28"/>
          <w:szCs w:val="28"/>
          <w:u w:val="none"/>
          <w:lang w:val="kk-KZ"/>
        </w:rPr>
        <w:t xml:space="preserve">Диссертациялық жұмыстың құрылымы мен көлемі. </w:t>
      </w:r>
      <w:r w:rsidRPr="0047324C">
        <w:rPr>
          <w:rStyle w:val="a4"/>
          <w:color w:val="auto"/>
          <w:sz w:val="28"/>
          <w:szCs w:val="28"/>
          <w:u w:val="none"/>
          <w:lang w:val="kk-KZ"/>
        </w:rPr>
        <w:t>Диссертациялық жұмыс кіріспеден, үш негізгі бөлімнен, қорытындыдан, пайдаланылған</w:t>
      </w:r>
      <w:r w:rsidRPr="00334F89">
        <w:rPr>
          <w:rStyle w:val="a4"/>
          <w:color w:val="auto"/>
          <w:sz w:val="28"/>
          <w:szCs w:val="28"/>
          <w:u w:val="none"/>
          <w:lang w:val="kk-KZ"/>
        </w:rPr>
        <w:t xml:space="preserve"> ақпараттар көздерінің библиографиялық тізімінен, қосымшалардан тұрады. Жұмыстың жалпы көлемі </w:t>
      </w:r>
      <w:r w:rsidR="00FB170B">
        <w:rPr>
          <w:rStyle w:val="a4"/>
          <w:color w:val="auto"/>
          <w:sz w:val="28"/>
          <w:szCs w:val="28"/>
          <w:u w:val="none"/>
          <w:lang w:val="kk-KZ"/>
        </w:rPr>
        <w:t>2</w:t>
      </w:r>
      <w:r w:rsidR="003C2C20" w:rsidRPr="003C2C20">
        <w:rPr>
          <w:rStyle w:val="a4"/>
          <w:color w:val="auto"/>
          <w:sz w:val="28"/>
          <w:szCs w:val="28"/>
          <w:u w:val="none"/>
          <w:lang w:val="kk-KZ"/>
        </w:rPr>
        <w:t>2</w:t>
      </w:r>
      <w:r w:rsidR="00401658" w:rsidRPr="00401658">
        <w:rPr>
          <w:rStyle w:val="a4"/>
          <w:color w:val="auto"/>
          <w:sz w:val="28"/>
          <w:szCs w:val="28"/>
          <w:u w:val="none"/>
          <w:lang w:val="kk-KZ"/>
        </w:rPr>
        <w:t>5</w:t>
      </w:r>
      <w:r w:rsidRPr="00334F89">
        <w:rPr>
          <w:rStyle w:val="a4"/>
          <w:color w:val="auto"/>
          <w:sz w:val="28"/>
          <w:szCs w:val="28"/>
          <w:u w:val="none"/>
          <w:lang w:val="kk-KZ"/>
        </w:rPr>
        <w:t xml:space="preserve"> беттен, соның ішінде 8</w:t>
      </w:r>
      <w:r w:rsidR="00FB170B">
        <w:rPr>
          <w:rStyle w:val="a4"/>
          <w:color w:val="auto"/>
          <w:sz w:val="28"/>
          <w:szCs w:val="28"/>
          <w:u w:val="none"/>
          <w:lang w:val="kk-KZ"/>
        </w:rPr>
        <w:t>4</w:t>
      </w:r>
      <w:r w:rsidRPr="00334F89">
        <w:rPr>
          <w:rStyle w:val="a4"/>
          <w:color w:val="auto"/>
          <w:sz w:val="28"/>
          <w:szCs w:val="28"/>
          <w:u w:val="none"/>
          <w:lang w:val="kk-KZ"/>
        </w:rPr>
        <w:t xml:space="preserve"> кестеден, 2</w:t>
      </w:r>
      <w:r w:rsidR="00FB170B">
        <w:rPr>
          <w:rStyle w:val="a4"/>
          <w:color w:val="auto"/>
          <w:sz w:val="28"/>
          <w:szCs w:val="28"/>
          <w:u w:val="none"/>
          <w:lang w:val="kk-KZ"/>
        </w:rPr>
        <w:t>8</w:t>
      </w:r>
      <w:r w:rsidRPr="00334F89">
        <w:rPr>
          <w:rStyle w:val="a4"/>
          <w:color w:val="auto"/>
          <w:sz w:val="28"/>
          <w:szCs w:val="28"/>
          <w:u w:val="none"/>
          <w:lang w:val="kk-KZ"/>
        </w:rPr>
        <w:t xml:space="preserve"> суреттен</w:t>
      </w:r>
      <w:r w:rsidR="003C2C20">
        <w:rPr>
          <w:rStyle w:val="a4"/>
          <w:color w:val="auto"/>
          <w:sz w:val="28"/>
          <w:szCs w:val="28"/>
          <w:u w:val="none"/>
          <w:lang w:val="kk-KZ"/>
        </w:rPr>
        <w:t>, қосымшалардан</w:t>
      </w:r>
      <w:r w:rsidRPr="00334F89">
        <w:rPr>
          <w:rStyle w:val="a4"/>
          <w:color w:val="auto"/>
          <w:sz w:val="28"/>
          <w:szCs w:val="28"/>
          <w:u w:val="none"/>
          <w:lang w:val="kk-KZ"/>
        </w:rPr>
        <w:t xml:space="preserve"> тұрады.</w:t>
      </w:r>
    </w:p>
    <w:p w14:paraId="1A1FFB74" w14:textId="4330D211" w:rsidR="00D36CCB" w:rsidRPr="00457CE9" w:rsidRDefault="00AB3AF3" w:rsidP="00457CE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457CE9">
        <w:rPr>
          <w:rStyle w:val="a4"/>
          <w:b/>
          <w:color w:val="auto"/>
          <w:sz w:val="28"/>
          <w:szCs w:val="28"/>
          <w:u w:val="none"/>
          <w:lang w:val="kk-KZ"/>
        </w:rPr>
        <w:t>«Агроөнеркәсіп кешенін дамытуға бағытталған бюджет қаражаттарын пайдалану тиімділігі аудитінің</w:t>
      </w:r>
      <w:r w:rsidRPr="00457CE9">
        <w:rPr>
          <w:rFonts w:ascii="Times New Roman" w:hAnsi="Times New Roman" w:cs="Times New Roman"/>
          <w:b/>
          <w:sz w:val="28"/>
          <w:szCs w:val="28"/>
          <w:lang w:val="kk-KZ"/>
        </w:rPr>
        <w:t xml:space="preserve"> </w:t>
      </w:r>
      <w:r w:rsidRPr="00457CE9">
        <w:rPr>
          <w:rFonts w:ascii="Times New Roman" w:hAnsi="Times New Roman"/>
          <w:b/>
          <w:sz w:val="28"/>
          <w:szCs w:val="28"/>
          <w:lang w:val="kk-KZ"/>
        </w:rPr>
        <w:t>теориялық-әдіснамалық аспектілері</w:t>
      </w:r>
      <w:r w:rsidRPr="00457CE9">
        <w:rPr>
          <w:rStyle w:val="a4"/>
          <w:b/>
          <w:color w:val="auto"/>
          <w:sz w:val="28"/>
          <w:szCs w:val="28"/>
          <w:u w:val="none"/>
          <w:lang w:val="kk-KZ"/>
        </w:rPr>
        <w:t>»</w:t>
      </w:r>
      <w:r w:rsidRPr="00457CE9">
        <w:rPr>
          <w:rStyle w:val="a4"/>
          <w:color w:val="auto"/>
          <w:sz w:val="28"/>
          <w:szCs w:val="28"/>
          <w:u w:val="none"/>
          <w:lang w:val="kk-KZ"/>
        </w:rPr>
        <w:t xml:space="preserve"> атты бірінші бөлімінде тиімділік аудиті түсінігі, мақсаты, бюджет қаражаттарын басқару мен есептілік сапасының жақсаруына ықпалы</w:t>
      </w:r>
      <w:r w:rsidR="00D36CCB" w:rsidRPr="00457CE9">
        <w:rPr>
          <w:rStyle w:val="a4"/>
          <w:color w:val="auto"/>
          <w:sz w:val="28"/>
          <w:szCs w:val="28"/>
          <w:u w:val="none"/>
          <w:lang w:val="kk-KZ"/>
        </w:rPr>
        <w:t xml:space="preserve">, елімізде </w:t>
      </w:r>
      <w:r w:rsidR="00575788">
        <w:rPr>
          <w:rStyle w:val="a4"/>
          <w:color w:val="auto"/>
          <w:sz w:val="28"/>
          <w:szCs w:val="28"/>
          <w:u w:val="none"/>
          <w:lang w:val="kk-KZ"/>
        </w:rPr>
        <w:t>АӨК-н</w:t>
      </w:r>
      <w:r w:rsidR="00D36CCB" w:rsidRPr="00457CE9">
        <w:rPr>
          <w:rStyle w:val="a4"/>
          <w:color w:val="auto"/>
          <w:sz w:val="28"/>
          <w:szCs w:val="28"/>
          <w:u w:val="none"/>
          <w:lang w:val="kk-KZ"/>
        </w:rPr>
        <w:t xml:space="preserve"> дамытуға бағытталған бюджет қаражат</w:t>
      </w:r>
      <w:r w:rsidR="00A81B11">
        <w:rPr>
          <w:rStyle w:val="a4"/>
          <w:color w:val="auto"/>
          <w:sz w:val="28"/>
          <w:szCs w:val="28"/>
          <w:u w:val="none"/>
          <w:lang w:val="kk-KZ"/>
        </w:rPr>
        <w:t>ы</w:t>
      </w:r>
      <w:r w:rsidR="00D36CCB" w:rsidRPr="00457CE9">
        <w:rPr>
          <w:rStyle w:val="a4"/>
          <w:color w:val="auto"/>
          <w:sz w:val="28"/>
          <w:szCs w:val="28"/>
          <w:u w:val="none"/>
          <w:lang w:val="kk-KZ"/>
        </w:rPr>
        <w:t xml:space="preserve">ның тиімділік аудитін ұйымдастыру мен жүргізудің нормативтік-құқықтық реттелуі зерделенген. Сонымен қатар дамыған елдерде қолданылып келе жатқан тиімділік аудитінің тәжірибесі зерттеліп, қазақстандық мемлекеттік қаржылық бақылау жүйесінде, соның ішінде </w:t>
      </w:r>
      <w:r w:rsidR="00575788">
        <w:rPr>
          <w:rStyle w:val="a4"/>
          <w:color w:val="auto"/>
          <w:sz w:val="28"/>
          <w:szCs w:val="28"/>
          <w:u w:val="none"/>
          <w:lang w:val="kk-KZ"/>
        </w:rPr>
        <w:t>АӨК-н</w:t>
      </w:r>
      <w:r w:rsidR="00D36CCB" w:rsidRPr="00457CE9">
        <w:rPr>
          <w:rStyle w:val="a4"/>
          <w:color w:val="auto"/>
          <w:sz w:val="28"/>
          <w:szCs w:val="28"/>
          <w:u w:val="none"/>
          <w:lang w:val="kk-KZ"/>
        </w:rPr>
        <w:t>е бағытталған бюджет қаражатының тиімділік аудиті түсінігіне авторлық анықтама беріл</w:t>
      </w:r>
      <w:r w:rsidR="00F66957" w:rsidRPr="00457CE9">
        <w:rPr>
          <w:rStyle w:val="a4"/>
          <w:color w:val="auto"/>
          <w:sz w:val="28"/>
          <w:szCs w:val="28"/>
          <w:u w:val="none"/>
          <w:lang w:val="kk-KZ"/>
        </w:rPr>
        <w:t>іп</w:t>
      </w:r>
      <w:r w:rsidR="00F7339A" w:rsidRPr="00457CE9">
        <w:rPr>
          <w:rStyle w:val="a4"/>
          <w:color w:val="auto"/>
          <w:sz w:val="28"/>
          <w:szCs w:val="28"/>
          <w:u w:val="none"/>
          <w:lang w:val="kk-KZ"/>
        </w:rPr>
        <w:t>,</w:t>
      </w:r>
      <w:r w:rsidR="00F66957" w:rsidRPr="00457CE9">
        <w:rPr>
          <w:rStyle w:val="a4"/>
          <w:color w:val="auto"/>
          <w:sz w:val="28"/>
          <w:szCs w:val="28"/>
          <w:u w:val="none"/>
          <w:lang w:val="kk-KZ"/>
        </w:rPr>
        <w:t xml:space="preserve"> оны мемлекеттік аудит және қаржылық бақылау органдарымен ұйымдастыру кезеңдері</w:t>
      </w:r>
      <w:r w:rsidR="00F7339A" w:rsidRPr="00457CE9">
        <w:rPr>
          <w:rStyle w:val="a4"/>
          <w:color w:val="auto"/>
          <w:sz w:val="28"/>
          <w:szCs w:val="28"/>
          <w:u w:val="none"/>
          <w:lang w:val="kk-KZ"/>
        </w:rPr>
        <w:t xml:space="preserve"> </w:t>
      </w:r>
      <w:r w:rsidR="00D36CCB" w:rsidRPr="00457CE9">
        <w:rPr>
          <w:rStyle w:val="a4"/>
          <w:color w:val="auto"/>
          <w:sz w:val="28"/>
          <w:szCs w:val="28"/>
          <w:u w:val="none"/>
          <w:lang w:val="kk-KZ"/>
        </w:rPr>
        <w:t>анықтал</w:t>
      </w:r>
      <w:r w:rsidR="00F7339A" w:rsidRPr="00457CE9">
        <w:rPr>
          <w:rStyle w:val="a4"/>
          <w:color w:val="auto"/>
          <w:sz w:val="28"/>
          <w:szCs w:val="28"/>
          <w:u w:val="none"/>
          <w:lang w:val="kk-KZ"/>
        </w:rPr>
        <w:t>ды</w:t>
      </w:r>
      <w:r w:rsidR="0071258D">
        <w:rPr>
          <w:rStyle w:val="a4"/>
          <w:color w:val="auto"/>
          <w:sz w:val="28"/>
          <w:szCs w:val="28"/>
          <w:u w:val="none"/>
          <w:lang w:val="kk-KZ"/>
        </w:rPr>
        <w:t>, АӨК бюджет қаражатын пайдаланудың тиімділігі аудитінің бағыттары мен арнайы критерийлері әзірленді</w:t>
      </w:r>
      <w:r w:rsidR="00D36CCB" w:rsidRPr="00457CE9">
        <w:rPr>
          <w:rStyle w:val="a4"/>
          <w:color w:val="auto"/>
          <w:sz w:val="28"/>
          <w:szCs w:val="28"/>
          <w:u w:val="none"/>
          <w:lang w:val="kk-KZ"/>
        </w:rPr>
        <w:t>.</w:t>
      </w:r>
      <w:r w:rsidR="00765EB8" w:rsidRPr="00457CE9">
        <w:rPr>
          <w:rStyle w:val="a4"/>
          <w:color w:val="auto"/>
          <w:sz w:val="28"/>
          <w:szCs w:val="28"/>
          <w:u w:val="none"/>
          <w:lang w:val="kk-KZ"/>
        </w:rPr>
        <w:t xml:space="preserve"> </w:t>
      </w:r>
    </w:p>
    <w:p w14:paraId="102F990E" w14:textId="3236777A" w:rsidR="002D157E" w:rsidRPr="00457CE9" w:rsidRDefault="00595FBC" w:rsidP="00457CE9">
      <w:pPr>
        <w:shd w:val="clear" w:color="auto" w:fill="FFFFFF"/>
        <w:tabs>
          <w:tab w:val="left" w:pos="426"/>
          <w:tab w:val="left" w:pos="851"/>
        </w:tabs>
        <w:spacing w:after="0" w:line="240" w:lineRule="auto"/>
        <w:ind w:firstLine="709"/>
        <w:jc w:val="both"/>
        <w:outlineLvl w:val="0"/>
        <w:rPr>
          <w:rStyle w:val="a4"/>
          <w:color w:val="auto"/>
          <w:sz w:val="28"/>
          <w:szCs w:val="28"/>
          <w:u w:val="none"/>
          <w:lang w:val="kk-KZ"/>
        </w:rPr>
      </w:pPr>
      <w:r w:rsidRPr="00457CE9">
        <w:rPr>
          <w:rStyle w:val="a4"/>
          <w:b/>
          <w:color w:val="auto"/>
          <w:sz w:val="28"/>
          <w:szCs w:val="28"/>
          <w:u w:val="none"/>
          <w:lang w:val="kk-KZ"/>
        </w:rPr>
        <w:t>«</w:t>
      </w:r>
      <w:r w:rsidRPr="00457CE9">
        <w:rPr>
          <w:rFonts w:ascii="Times New Roman" w:hAnsi="Times New Roman"/>
          <w:b/>
          <w:sz w:val="28"/>
          <w:szCs w:val="28"/>
          <w:lang w:val="kk-KZ"/>
        </w:rPr>
        <w:t>Қазақстан Республикасында агроөнеркәсіп кешенін дамытуға бағытталған бюджет қаражаттарын пайдаланудың тиімділік аудитін жүргізу тәжірибесі</w:t>
      </w:r>
      <w:r w:rsidRPr="00457CE9">
        <w:rPr>
          <w:rStyle w:val="a4"/>
          <w:b/>
          <w:color w:val="auto"/>
          <w:sz w:val="28"/>
          <w:szCs w:val="28"/>
          <w:u w:val="none"/>
          <w:lang w:val="kk-KZ"/>
        </w:rPr>
        <w:t xml:space="preserve">» </w:t>
      </w:r>
      <w:r w:rsidRPr="00457CE9">
        <w:rPr>
          <w:rStyle w:val="a4"/>
          <w:color w:val="auto"/>
          <w:sz w:val="28"/>
          <w:szCs w:val="28"/>
          <w:u w:val="none"/>
          <w:lang w:val="kk-KZ"/>
        </w:rPr>
        <w:t xml:space="preserve">атты </w:t>
      </w:r>
      <w:r w:rsidR="00D36CCB" w:rsidRPr="00457CE9">
        <w:rPr>
          <w:rStyle w:val="a4"/>
          <w:color w:val="auto"/>
          <w:sz w:val="28"/>
          <w:szCs w:val="28"/>
          <w:u w:val="none"/>
          <w:lang w:val="kk-KZ"/>
        </w:rPr>
        <w:t>екінші бөлімінде</w:t>
      </w:r>
      <w:r w:rsidRPr="00457CE9">
        <w:rPr>
          <w:rStyle w:val="a4"/>
          <w:color w:val="auto"/>
          <w:sz w:val="28"/>
          <w:szCs w:val="28"/>
          <w:u w:val="none"/>
          <w:lang w:val="kk-KZ"/>
        </w:rPr>
        <w:t xml:space="preserve"> ҚР-да </w:t>
      </w:r>
      <w:r w:rsidR="00575788">
        <w:rPr>
          <w:rStyle w:val="a4"/>
          <w:color w:val="auto"/>
          <w:sz w:val="28"/>
          <w:szCs w:val="28"/>
          <w:u w:val="none"/>
          <w:lang w:val="kk-KZ"/>
        </w:rPr>
        <w:t>АӨК-н</w:t>
      </w:r>
      <w:r w:rsidRPr="00457CE9">
        <w:rPr>
          <w:rStyle w:val="a4"/>
          <w:color w:val="auto"/>
          <w:sz w:val="28"/>
          <w:szCs w:val="28"/>
          <w:u w:val="none"/>
          <w:lang w:val="kk-KZ"/>
        </w:rPr>
        <w:t xml:space="preserve"> дамыту бағытында іске асырылған мемлекеттік бағдарламалар мақсат</w:t>
      </w:r>
      <w:r w:rsidR="00F7339A" w:rsidRPr="00457CE9">
        <w:rPr>
          <w:rStyle w:val="a4"/>
          <w:color w:val="auto"/>
          <w:sz w:val="28"/>
          <w:szCs w:val="28"/>
          <w:u w:val="none"/>
          <w:lang w:val="kk-KZ"/>
        </w:rPr>
        <w:t>тары</w:t>
      </w:r>
      <w:r w:rsidRPr="00457CE9">
        <w:rPr>
          <w:rStyle w:val="a4"/>
          <w:color w:val="auto"/>
          <w:sz w:val="28"/>
          <w:szCs w:val="28"/>
          <w:u w:val="none"/>
          <w:lang w:val="kk-KZ"/>
        </w:rPr>
        <w:t xml:space="preserve">, негізгі міндеттері зерттелді. Қазіргі таңда іске асырылған және іске асырылып жатқан мемлекеттік бағдарламасына және ұлттық жобасын іске асыруда жұмсалған </w:t>
      </w:r>
      <w:r w:rsidR="00F7339A" w:rsidRPr="00457CE9">
        <w:rPr>
          <w:rStyle w:val="a4"/>
          <w:color w:val="auto"/>
          <w:sz w:val="28"/>
          <w:szCs w:val="28"/>
          <w:u w:val="none"/>
          <w:lang w:val="kk-KZ"/>
        </w:rPr>
        <w:t xml:space="preserve">бюджет бағдарламалары бойынша </w:t>
      </w:r>
      <w:r w:rsidRPr="00457CE9">
        <w:rPr>
          <w:rStyle w:val="a4"/>
          <w:color w:val="auto"/>
          <w:sz w:val="28"/>
          <w:szCs w:val="28"/>
          <w:u w:val="none"/>
          <w:lang w:val="kk-KZ"/>
        </w:rPr>
        <w:t xml:space="preserve">бюджет қаражатының жағдайына талдау жасалды. </w:t>
      </w:r>
      <w:r w:rsidR="00575788">
        <w:rPr>
          <w:rStyle w:val="a4"/>
          <w:color w:val="auto"/>
          <w:sz w:val="28"/>
          <w:szCs w:val="28"/>
          <w:u w:val="none"/>
          <w:lang w:val="kk-KZ"/>
        </w:rPr>
        <w:t>АӨК-н</w:t>
      </w:r>
      <w:r w:rsidRPr="00457CE9">
        <w:rPr>
          <w:rStyle w:val="a4"/>
          <w:color w:val="auto"/>
          <w:sz w:val="28"/>
          <w:szCs w:val="28"/>
          <w:u w:val="none"/>
          <w:lang w:val="kk-KZ"/>
        </w:rPr>
        <w:t xml:space="preserve"> дамытуға бағытталған бюджет қаражатының мемлекеттік аудит нәтижелері зерттелді, </w:t>
      </w:r>
      <w:r w:rsidR="00F7339A" w:rsidRPr="00457CE9">
        <w:rPr>
          <w:rStyle w:val="a4"/>
          <w:color w:val="auto"/>
          <w:sz w:val="28"/>
          <w:szCs w:val="28"/>
          <w:u w:val="none"/>
          <w:lang w:val="kk-KZ"/>
        </w:rPr>
        <w:t xml:space="preserve">соның ішінде тиімділік аудиті бойынша жасалған аудиторлық қорытындылары зерделенді, бюджет қаражатын жұмсау кезінде </w:t>
      </w:r>
      <w:r w:rsidRPr="00457CE9">
        <w:rPr>
          <w:rStyle w:val="a4"/>
          <w:color w:val="auto"/>
          <w:sz w:val="28"/>
          <w:szCs w:val="28"/>
          <w:u w:val="none"/>
          <w:lang w:val="kk-KZ"/>
        </w:rPr>
        <w:t>жіберілген кемшіліктер мен бұзушылықтар жүйеленді</w:t>
      </w:r>
      <w:r w:rsidR="00F7339A" w:rsidRPr="00457CE9">
        <w:rPr>
          <w:rStyle w:val="a4"/>
          <w:color w:val="auto"/>
          <w:sz w:val="28"/>
          <w:szCs w:val="28"/>
          <w:u w:val="none"/>
          <w:lang w:val="kk-KZ"/>
        </w:rPr>
        <w:t>, жүргізілген аудит сапасына баға берілді.</w:t>
      </w:r>
      <w:r w:rsidR="00553D4C">
        <w:rPr>
          <w:rStyle w:val="a4"/>
          <w:color w:val="auto"/>
          <w:sz w:val="28"/>
          <w:szCs w:val="28"/>
          <w:u w:val="none"/>
          <w:lang w:val="kk-KZ"/>
        </w:rPr>
        <w:t xml:space="preserve"> Тиімділік аудитінде интегралдық бағалау әдісі </w:t>
      </w:r>
      <w:r w:rsidR="00F66957" w:rsidRPr="00457CE9">
        <w:rPr>
          <w:rStyle w:val="a4"/>
          <w:color w:val="auto"/>
          <w:sz w:val="28"/>
          <w:szCs w:val="28"/>
          <w:u w:val="none"/>
          <w:lang w:val="kk-KZ"/>
        </w:rPr>
        <w:t xml:space="preserve"> </w:t>
      </w:r>
    </w:p>
    <w:p w14:paraId="56B6402E" w14:textId="7EED4C7F" w:rsidR="002D157E" w:rsidRPr="00457CE9" w:rsidRDefault="00F7339A" w:rsidP="00457CE9">
      <w:pPr>
        <w:widowControl w:val="0"/>
        <w:shd w:val="clear" w:color="auto" w:fill="FFFFFF"/>
        <w:tabs>
          <w:tab w:val="left" w:pos="426"/>
          <w:tab w:val="left" w:pos="851"/>
        </w:tabs>
        <w:spacing w:after="0" w:line="240" w:lineRule="auto"/>
        <w:ind w:firstLine="709"/>
        <w:jc w:val="both"/>
        <w:outlineLvl w:val="0"/>
        <w:rPr>
          <w:rFonts w:ascii="Times New Roman" w:hAnsi="Times New Roman"/>
          <w:color w:val="000000" w:themeColor="text1"/>
          <w:sz w:val="28"/>
          <w:szCs w:val="28"/>
          <w:lang w:val="kk-KZ"/>
        </w:rPr>
      </w:pPr>
      <w:r w:rsidRPr="00457CE9">
        <w:rPr>
          <w:rStyle w:val="a4"/>
          <w:b/>
          <w:color w:val="auto"/>
          <w:sz w:val="28"/>
          <w:szCs w:val="28"/>
          <w:u w:val="none"/>
          <w:lang w:val="kk-KZ"/>
        </w:rPr>
        <w:t>«Агроөнеркәсіп кешенін дамытуға бағытталған бюджет қаражатын пайдалану тиімділігі аудитін</w:t>
      </w:r>
      <w:r w:rsidR="00DA1A6C" w:rsidRPr="00457CE9">
        <w:rPr>
          <w:rStyle w:val="a4"/>
          <w:b/>
          <w:color w:val="auto"/>
          <w:sz w:val="28"/>
          <w:szCs w:val="28"/>
          <w:u w:val="none"/>
          <w:lang w:val="kk-KZ"/>
        </w:rPr>
        <w:t xml:space="preserve"> </w:t>
      </w:r>
      <w:r w:rsidRPr="00457CE9">
        <w:rPr>
          <w:rFonts w:ascii="Times New Roman" w:hAnsi="Times New Roman"/>
          <w:b/>
          <w:sz w:val="28"/>
          <w:szCs w:val="28"/>
          <w:lang w:val="kk-KZ"/>
        </w:rPr>
        <w:t>ұйымдастыру және жүргізу әдістемесін жетілдіру жолдары</w:t>
      </w:r>
      <w:r w:rsidRPr="00457CE9">
        <w:rPr>
          <w:rStyle w:val="a4"/>
          <w:b/>
          <w:color w:val="auto"/>
          <w:sz w:val="28"/>
          <w:szCs w:val="28"/>
          <w:u w:val="none"/>
          <w:lang w:val="kk-KZ"/>
        </w:rPr>
        <w:t>»</w:t>
      </w:r>
      <w:r w:rsidR="0099493D" w:rsidRPr="00457CE9">
        <w:rPr>
          <w:rStyle w:val="a4"/>
          <w:color w:val="auto"/>
          <w:sz w:val="28"/>
          <w:szCs w:val="28"/>
          <w:u w:val="none"/>
          <w:lang w:val="kk-KZ"/>
        </w:rPr>
        <w:t xml:space="preserve"> атты</w:t>
      </w:r>
      <w:r w:rsidRPr="00457CE9">
        <w:rPr>
          <w:rStyle w:val="a4"/>
          <w:color w:val="auto"/>
          <w:sz w:val="28"/>
          <w:szCs w:val="28"/>
          <w:u w:val="none"/>
          <w:lang w:val="kk-KZ"/>
        </w:rPr>
        <w:t xml:space="preserve"> үшінші бөлімінде</w:t>
      </w:r>
      <w:r w:rsidR="0099493D" w:rsidRPr="00457CE9">
        <w:rPr>
          <w:rStyle w:val="a4"/>
          <w:color w:val="auto"/>
          <w:sz w:val="28"/>
          <w:szCs w:val="28"/>
          <w:u w:val="none"/>
          <w:lang w:val="kk-KZ"/>
        </w:rPr>
        <w:t xml:space="preserve"> </w:t>
      </w:r>
      <w:r w:rsidR="001D7CBA" w:rsidRPr="00457CE9">
        <w:rPr>
          <w:rFonts w:ascii="Times New Roman" w:hAnsi="Times New Roman"/>
          <w:sz w:val="28"/>
          <w:szCs w:val="28"/>
          <w:lang w:val="kk-KZ"/>
        </w:rPr>
        <w:t xml:space="preserve">АӨК дамытуға бағытталған бюджет қаражатын пайдаланудың тиімділігі аудитінің ұйыдастыру мен жүргізілу үрдісін зерттеу және қорытындысына баға беру негізінде </w:t>
      </w:r>
      <w:r w:rsidR="001D7CBA" w:rsidRPr="00457CE9">
        <w:rPr>
          <w:rStyle w:val="a4"/>
          <w:color w:val="auto"/>
          <w:sz w:val="28"/>
          <w:szCs w:val="28"/>
          <w:u w:val="none"/>
          <w:lang w:val="kk-KZ"/>
        </w:rPr>
        <w:t>жүйелі кемшіліктер анықталып, оның</w:t>
      </w:r>
      <w:r w:rsidR="001D7CBA" w:rsidRPr="00457CE9">
        <w:rPr>
          <w:rFonts w:ascii="Times New Roman" w:hAnsi="Times New Roman"/>
          <w:sz w:val="28"/>
          <w:szCs w:val="28"/>
          <w:lang w:val="kk-KZ"/>
        </w:rPr>
        <w:t xml:space="preserve"> сапасын</w:t>
      </w:r>
      <w:r w:rsidR="0071258D">
        <w:rPr>
          <w:rFonts w:ascii="Times New Roman" w:hAnsi="Times New Roman"/>
          <w:sz w:val="28"/>
          <w:szCs w:val="28"/>
          <w:lang w:val="kk-KZ"/>
        </w:rPr>
        <w:t xml:space="preserve"> кешенді</w:t>
      </w:r>
      <w:r w:rsidR="001D7CBA" w:rsidRPr="00457CE9">
        <w:rPr>
          <w:rFonts w:ascii="Times New Roman" w:hAnsi="Times New Roman"/>
          <w:sz w:val="28"/>
          <w:szCs w:val="28"/>
          <w:lang w:val="kk-KZ"/>
        </w:rPr>
        <w:t xml:space="preserve"> жетілдіру бойынша ұсыныстар әзірленді. </w:t>
      </w:r>
      <w:r w:rsidR="0099493D" w:rsidRPr="00457CE9">
        <w:rPr>
          <w:rFonts w:ascii="Times New Roman" w:hAnsi="Times New Roman"/>
          <w:sz w:val="28"/>
          <w:szCs w:val="28"/>
          <w:lang w:val="kk-KZ"/>
        </w:rPr>
        <w:t xml:space="preserve">Сонымен қатар ҚР </w:t>
      </w:r>
      <w:r w:rsidR="00575788">
        <w:rPr>
          <w:rFonts w:ascii="Times New Roman" w:hAnsi="Times New Roman"/>
          <w:color w:val="000000" w:themeColor="text1"/>
          <w:sz w:val="28"/>
          <w:szCs w:val="28"/>
          <w:lang w:val="kk-KZ"/>
        </w:rPr>
        <w:t>АӨК-н</w:t>
      </w:r>
      <w:r w:rsidR="0099493D" w:rsidRPr="00457CE9">
        <w:rPr>
          <w:rFonts w:ascii="Times New Roman" w:hAnsi="Times New Roman"/>
          <w:color w:val="000000" w:themeColor="text1"/>
          <w:sz w:val="28"/>
          <w:szCs w:val="28"/>
          <w:lang w:val="kk-KZ"/>
        </w:rPr>
        <w:t xml:space="preserve"> дамытуға бағытталған бюджет қаражатының тиімділік аудитін ұйымдастыруда иерархиялық талдау моделі әзірленіп</w:t>
      </w:r>
      <w:r w:rsidR="001D7CBA" w:rsidRPr="00457CE9">
        <w:rPr>
          <w:rFonts w:ascii="Times New Roman" w:hAnsi="Times New Roman"/>
          <w:color w:val="000000" w:themeColor="text1"/>
          <w:sz w:val="28"/>
          <w:szCs w:val="28"/>
          <w:lang w:val="kk-KZ"/>
        </w:rPr>
        <w:t>, оны тәжірибеде қолдану</w:t>
      </w:r>
      <w:r w:rsidR="0099493D" w:rsidRPr="00457CE9">
        <w:rPr>
          <w:rFonts w:ascii="Times New Roman" w:hAnsi="Times New Roman"/>
          <w:color w:val="000000" w:themeColor="text1"/>
          <w:sz w:val="28"/>
          <w:szCs w:val="28"/>
          <w:lang w:val="kk-KZ"/>
        </w:rPr>
        <w:t xml:space="preserve"> ұсынылды.</w:t>
      </w:r>
    </w:p>
    <w:p w14:paraId="18B3F932" w14:textId="2512A0F9" w:rsidR="00FD1510" w:rsidRDefault="00FD1510" w:rsidP="00457CE9">
      <w:pPr>
        <w:widowControl w:val="0"/>
        <w:shd w:val="clear" w:color="auto" w:fill="FFFFFF"/>
        <w:tabs>
          <w:tab w:val="left" w:pos="426"/>
          <w:tab w:val="left" w:pos="851"/>
        </w:tabs>
        <w:spacing w:after="0" w:line="240" w:lineRule="auto"/>
        <w:ind w:firstLine="709"/>
        <w:jc w:val="both"/>
        <w:outlineLvl w:val="0"/>
        <w:rPr>
          <w:rFonts w:ascii="Times New Roman" w:hAnsi="Times New Roman" w:cs="Times New Roman"/>
          <w:color w:val="000000" w:themeColor="text1"/>
          <w:sz w:val="28"/>
          <w:szCs w:val="28"/>
          <w:lang w:val="kk-KZ"/>
        </w:rPr>
      </w:pPr>
      <w:r w:rsidRPr="00457CE9">
        <w:rPr>
          <w:rFonts w:ascii="Times New Roman" w:hAnsi="Times New Roman" w:cs="Times New Roman"/>
          <w:b/>
          <w:color w:val="000000" w:themeColor="text1"/>
          <w:sz w:val="28"/>
          <w:szCs w:val="28"/>
          <w:lang w:val="kk-KZ"/>
        </w:rPr>
        <w:t xml:space="preserve">Диссертацияның қосымшаларында </w:t>
      </w:r>
      <w:r w:rsidRPr="00457CE9">
        <w:rPr>
          <w:rFonts w:ascii="Times New Roman" w:hAnsi="Times New Roman" w:cs="Times New Roman"/>
          <w:color w:val="000000" w:themeColor="text1"/>
          <w:sz w:val="28"/>
          <w:szCs w:val="28"/>
          <w:lang w:val="kk-KZ"/>
        </w:rPr>
        <w:t xml:space="preserve">иерархиялық талдау моделін </w:t>
      </w:r>
      <w:r w:rsidR="001D7CBA" w:rsidRPr="00457CE9">
        <w:rPr>
          <w:rFonts w:ascii="Times New Roman" w:hAnsi="Times New Roman" w:cs="Times New Roman"/>
          <w:color w:val="000000" w:themeColor="text1"/>
          <w:sz w:val="28"/>
          <w:szCs w:val="28"/>
          <w:lang w:val="kk-KZ"/>
        </w:rPr>
        <w:t>әзірлеу</w:t>
      </w:r>
      <w:r w:rsidRPr="00457CE9">
        <w:rPr>
          <w:rFonts w:ascii="Times New Roman" w:hAnsi="Times New Roman" w:cs="Times New Roman"/>
          <w:color w:val="000000" w:themeColor="text1"/>
          <w:sz w:val="28"/>
          <w:szCs w:val="28"/>
          <w:lang w:val="kk-KZ"/>
        </w:rPr>
        <w:t xml:space="preserve"> кезінде пайдаланылған мәліметтер көздері мен алынған нәтижелері келтірілген.</w:t>
      </w:r>
    </w:p>
    <w:p w14:paraId="1FFEE3A0" w14:textId="2812EB5D" w:rsidR="00A83E71" w:rsidRPr="00457CE9" w:rsidRDefault="00A83E71" w:rsidP="00457CE9">
      <w:pPr>
        <w:spacing w:after="0" w:line="240" w:lineRule="auto"/>
        <w:ind w:firstLine="709"/>
        <w:jc w:val="both"/>
        <w:rPr>
          <w:rFonts w:ascii="Times New Roman" w:hAnsi="Times New Roman"/>
          <w:b/>
          <w:sz w:val="28"/>
          <w:szCs w:val="28"/>
          <w:lang w:val="kk-KZ"/>
        </w:rPr>
      </w:pPr>
      <w:r w:rsidRPr="00457CE9">
        <w:rPr>
          <w:rFonts w:ascii="Times New Roman" w:hAnsi="Times New Roman" w:cs="Times New Roman"/>
          <w:b/>
          <w:sz w:val="28"/>
          <w:szCs w:val="28"/>
          <w:lang w:val="kk-KZ"/>
        </w:rPr>
        <w:t xml:space="preserve">1 </w:t>
      </w:r>
      <w:r w:rsidR="00457CE9" w:rsidRPr="00457CE9">
        <w:rPr>
          <w:rStyle w:val="a4"/>
          <w:b/>
          <w:color w:val="auto"/>
          <w:sz w:val="28"/>
          <w:szCs w:val="28"/>
          <w:u w:val="none"/>
          <w:lang w:val="kk-KZ"/>
        </w:rPr>
        <w:t>АГРОӨНЕРКӘСІП КЕШЕНІН ДАМЫТУҒА БАҒЫТТАЛҒАН БЮДЖЕТ ҚАРАЖАТЫН ПАЙДАЛАНУ ТИІМДІЛІГІ АУДИТІНІҢ</w:t>
      </w:r>
      <w:r w:rsidR="00457CE9" w:rsidRPr="00457CE9">
        <w:rPr>
          <w:rFonts w:ascii="Times New Roman" w:hAnsi="Times New Roman" w:cs="Times New Roman"/>
          <w:b/>
          <w:sz w:val="28"/>
          <w:szCs w:val="28"/>
          <w:lang w:val="kk-KZ"/>
        </w:rPr>
        <w:t xml:space="preserve"> </w:t>
      </w:r>
      <w:r w:rsidR="00457CE9" w:rsidRPr="00457CE9">
        <w:rPr>
          <w:rFonts w:ascii="Times New Roman" w:hAnsi="Times New Roman"/>
          <w:b/>
          <w:sz w:val="28"/>
          <w:szCs w:val="28"/>
          <w:lang w:val="kk-KZ"/>
        </w:rPr>
        <w:t>ТЕОРИЯЛЫҚ-ӘДІСНАМАЛЫҚ АСПЕКТІЛЕРІ</w:t>
      </w:r>
    </w:p>
    <w:p w14:paraId="7F4B7F8F" w14:textId="77777777" w:rsidR="00457CE9" w:rsidRDefault="00457CE9" w:rsidP="00457CE9">
      <w:pPr>
        <w:spacing w:after="0" w:line="240" w:lineRule="auto"/>
        <w:ind w:firstLine="709"/>
        <w:jc w:val="both"/>
        <w:rPr>
          <w:rFonts w:ascii="Times New Roman" w:hAnsi="Times New Roman"/>
          <w:sz w:val="28"/>
          <w:szCs w:val="28"/>
          <w:lang w:val="kk-KZ"/>
        </w:rPr>
      </w:pPr>
    </w:p>
    <w:p w14:paraId="158DDA95" w14:textId="659CB8B4" w:rsidR="00A83E71" w:rsidRPr="00457CE9" w:rsidRDefault="00A83E71" w:rsidP="00457CE9">
      <w:pPr>
        <w:spacing w:after="0" w:line="240" w:lineRule="auto"/>
        <w:ind w:firstLine="709"/>
        <w:jc w:val="both"/>
        <w:rPr>
          <w:rFonts w:ascii="Times New Roman" w:hAnsi="Times New Roman"/>
          <w:b/>
          <w:sz w:val="28"/>
          <w:szCs w:val="28"/>
          <w:lang w:val="kk-KZ"/>
        </w:rPr>
      </w:pPr>
      <w:r w:rsidRPr="00457CE9">
        <w:rPr>
          <w:rFonts w:ascii="Times New Roman" w:hAnsi="Times New Roman"/>
          <w:b/>
          <w:sz w:val="28"/>
          <w:szCs w:val="28"/>
          <w:lang w:val="kk-KZ"/>
        </w:rPr>
        <w:t xml:space="preserve">1.1 </w:t>
      </w:r>
      <w:r w:rsidR="00A135E6" w:rsidRPr="00457CE9">
        <w:rPr>
          <w:rFonts w:ascii="Times New Roman" w:hAnsi="Times New Roman"/>
          <w:b/>
          <w:sz w:val="28"/>
          <w:szCs w:val="28"/>
          <w:lang w:val="kk-KZ"/>
        </w:rPr>
        <w:t>АӨК дамытуға бағытталған бюджет қаражатының тиімділігі аудитінің мәні мен маңызы</w:t>
      </w:r>
    </w:p>
    <w:p w14:paraId="776A7345" w14:textId="0622A7D7" w:rsidR="006C4800" w:rsidRPr="00457CE9" w:rsidRDefault="006C4800"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Мемлекеттік аграрлық саясат ауыл шаруашылығы мен ауылдық аумақтарды тұрақты дамытуға бағытталған мемлекеттік әлеуметтік-экономикалық саясаттың құрамдас бөлігін білдіреді. Ауылдық аумақтардың тұрақты дамуы деп олардың тұрақты әлеуметтік-экономикалық дамуы, ауыл шаруашылығы өнімдерін өндіру көлемінің ұлғаюы, ауыл шаруашылығының тиімділігінің артуы, ауыл халқының толық жұмыспен қамтылуына қол жеткізу және оның өмір сүру деңгейінің артуы, жерді ұтымды пайдалану түсініледі.</w:t>
      </w:r>
    </w:p>
    <w:p w14:paraId="4BC97C64" w14:textId="48603401" w:rsidR="00C57FB3" w:rsidRPr="00334F89" w:rsidRDefault="005A75F5" w:rsidP="00457CE9">
      <w:pPr>
        <w:widowControl w:val="0"/>
        <w:spacing w:after="0" w:line="240" w:lineRule="auto"/>
        <w:ind w:firstLine="709"/>
        <w:jc w:val="both"/>
        <w:rPr>
          <w:rFonts w:ascii="Times New Roman" w:hAnsi="Times New Roman"/>
          <w:sz w:val="28"/>
          <w:szCs w:val="28"/>
          <w:lang w:val="kk-KZ"/>
        </w:rPr>
      </w:pPr>
      <w:r w:rsidRPr="00457CE9">
        <w:rPr>
          <w:rFonts w:ascii="Times New Roman" w:hAnsi="Times New Roman" w:cs="Times New Roman"/>
          <w:sz w:val="28"/>
          <w:szCs w:val="28"/>
          <w:lang w:val="kk-KZ"/>
        </w:rPr>
        <w:t xml:space="preserve">Қазақстан агроиндустриялық ел болып саналады. Қазақстанның ұлттық экономикасында агроөнеркәсіптік кешен жетекші рөл атқарады, ол агроөнеркәсіптік кешен субъектілері қызметінің экономикалық, сондай-ақ нормативтік-құқықтық негіздерін өзгертетін көптеген реформаларға ұшырап келеді. </w:t>
      </w:r>
      <w:r w:rsidR="00830C3E" w:rsidRPr="00457CE9">
        <w:rPr>
          <w:rFonts w:ascii="Times New Roman" w:hAnsi="Times New Roman" w:cs="Times New Roman"/>
          <w:sz w:val="28"/>
          <w:szCs w:val="28"/>
          <w:lang w:val="kk-KZ"/>
        </w:rPr>
        <w:t xml:space="preserve">Қазақстан тәуелсіздік алғаннан бастап АӨК-де өткен реформалар ауыртпалықтармен, дағдарыстармен байланысты болды. АӨК қалыптасу кезеңі ретінде 1991-1999 жж. аралығында болған құрылымдық қайта құрылуын атауға болады, яғни, мемлекеттік меншік нысанынан </w:t>
      </w:r>
      <w:r w:rsidR="006A275E" w:rsidRPr="00457CE9">
        <w:rPr>
          <w:rFonts w:ascii="Times New Roman" w:hAnsi="Times New Roman" w:cs="Times New Roman"/>
          <w:sz w:val="28"/>
          <w:szCs w:val="28"/>
          <w:lang w:val="kk-KZ"/>
        </w:rPr>
        <w:t xml:space="preserve">әр түрлі жеке меншік нысанының пайда болуы, </w:t>
      </w:r>
      <w:r w:rsidR="00830C3E" w:rsidRPr="00457CE9">
        <w:rPr>
          <w:rFonts w:ascii="Times New Roman" w:hAnsi="Times New Roman" w:cs="Times New Roman"/>
          <w:sz w:val="28"/>
          <w:szCs w:val="28"/>
          <w:lang w:val="kk-KZ"/>
        </w:rPr>
        <w:t>нарықтық қатынастарға өтуі</w:t>
      </w:r>
      <w:r w:rsidR="006A275E" w:rsidRPr="00457CE9">
        <w:rPr>
          <w:rFonts w:ascii="Times New Roman" w:hAnsi="Times New Roman" w:cs="Times New Roman"/>
          <w:sz w:val="28"/>
          <w:szCs w:val="28"/>
          <w:lang w:val="kk-KZ"/>
        </w:rPr>
        <w:t xml:space="preserve"> жүзеге асырылды. Реформалар ауыл экономикасына капиталдың күрт төмендеуіне, өндіріс көлемінің қысқарып, ауыл жағдайының нашарлауына алып келді. </w:t>
      </w:r>
      <w:r w:rsidR="00C57FB3" w:rsidRPr="00457CE9">
        <w:rPr>
          <w:rFonts w:ascii="Times New Roman" w:hAnsi="Times New Roman" w:cs="Times New Roman"/>
          <w:sz w:val="28"/>
          <w:szCs w:val="28"/>
          <w:lang w:val="kk-KZ"/>
        </w:rPr>
        <w:t>1993</w:t>
      </w:r>
      <w:r w:rsidR="006A275E" w:rsidRPr="00457CE9">
        <w:rPr>
          <w:rFonts w:ascii="Times New Roman" w:hAnsi="Times New Roman" w:cs="Times New Roman"/>
          <w:sz w:val="28"/>
          <w:szCs w:val="28"/>
          <w:lang w:val="kk-KZ"/>
        </w:rPr>
        <w:t xml:space="preserve"> жылдан бастап</w:t>
      </w:r>
      <w:r w:rsidR="00830C3E" w:rsidRPr="00457CE9">
        <w:rPr>
          <w:rFonts w:ascii="Times New Roman" w:hAnsi="Times New Roman" w:cs="Times New Roman"/>
          <w:sz w:val="28"/>
          <w:szCs w:val="28"/>
          <w:lang w:val="kk-KZ"/>
        </w:rPr>
        <w:t xml:space="preserve"> </w:t>
      </w:r>
      <w:r w:rsidR="00C57FB3" w:rsidRPr="00457CE9">
        <w:rPr>
          <w:rFonts w:ascii="Times New Roman" w:hAnsi="Times New Roman" w:cs="Times New Roman"/>
          <w:sz w:val="28"/>
          <w:szCs w:val="28"/>
          <w:lang w:val="kk-KZ"/>
        </w:rPr>
        <w:t xml:space="preserve">ауыл шаруашылығын көтерудің әр түрлі нысаналы бағдарламалары іске асырылып, бірізді мемлекеттік саясаты біртіндеп АӨК өсу кезеңіне жетеледі. Ауыл шаруашылығындағы түбегейлі өзгерістерге мемлекеттік қолдауды үнемі өсіру және іске асырылған қаржы саясаты арқылы қол жеткізілді. 1997 жылы экономикаға салынған күрделі салымдардың жалпы көлемінің 1,5 пайызы ғана ауыл шаруашылығы өндірісіне тиесілі </w:t>
      </w:r>
      <w:r w:rsidR="00312473" w:rsidRPr="00457CE9">
        <w:rPr>
          <w:rFonts w:ascii="Times New Roman" w:hAnsi="Times New Roman" w:cs="Times New Roman"/>
          <w:sz w:val="28"/>
          <w:szCs w:val="28"/>
          <w:lang w:val="kk-KZ"/>
        </w:rPr>
        <w:t>болса, 2020 жылы 2003 жылмен салыстырғанда инвестициялар ағыны 22 есеге</w:t>
      </w:r>
      <w:r w:rsidR="005C7515" w:rsidRPr="00457CE9">
        <w:rPr>
          <w:rFonts w:ascii="Times New Roman" w:hAnsi="Times New Roman" w:cs="Times New Roman"/>
          <w:sz w:val="28"/>
          <w:szCs w:val="28"/>
          <w:lang w:val="kk-KZ"/>
        </w:rPr>
        <w:t>, ауыл шаруашылығы өнімінің жалпы көлемі 2020 жылы 2000 жылмен салыстырғанда 15 есеге өскен</w:t>
      </w:r>
      <w:r w:rsidR="00C57FB3" w:rsidRPr="00457CE9">
        <w:rPr>
          <w:rFonts w:ascii="Times New Roman" w:hAnsi="Times New Roman" w:cs="Times New Roman"/>
          <w:sz w:val="28"/>
          <w:szCs w:val="28"/>
          <w:lang w:val="kk-KZ"/>
        </w:rPr>
        <w:t xml:space="preserve"> </w:t>
      </w:r>
      <w:r w:rsidRPr="00457CE9">
        <w:rPr>
          <w:rFonts w:ascii="Times New Roman" w:hAnsi="Times New Roman"/>
          <w:sz w:val="28"/>
          <w:szCs w:val="28"/>
          <w:lang w:val="kk-KZ"/>
        </w:rPr>
        <w:t>[</w:t>
      </w:r>
      <w:r w:rsidR="00100FAE">
        <w:rPr>
          <w:rFonts w:ascii="Times New Roman" w:hAnsi="Times New Roman"/>
          <w:sz w:val="28"/>
          <w:szCs w:val="28"/>
          <w:lang w:val="kk-KZ"/>
        </w:rPr>
        <w:t>6</w:t>
      </w:r>
      <w:r w:rsidRPr="00457CE9">
        <w:rPr>
          <w:rFonts w:ascii="Times New Roman" w:hAnsi="Times New Roman"/>
          <w:sz w:val="28"/>
          <w:szCs w:val="28"/>
          <w:lang w:val="kk-KZ"/>
        </w:rPr>
        <w:t>].</w:t>
      </w:r>
      <w:r w:rsidR="005C7515" w:rsidRPr="00457CE9">
        <w:rPr>
          <w:rFonts w:ascii="Times New Roman" w:hAnsi="Times New Roman"/>
          <w:sz w:val="28"/>
          <w:szCs w:val="28"/>
          <w:lang w:val="kk-KZ"/>
        </w:rPr>
        <w:t xml:space="preserve"> Дегенмен АӨК дамытуға жұмсалған бюджет қаражатының көлемі қомақты болғандықтан оны максималды тиімді пайдалану жолдарын анықтау өзекті болып қала береді.</w:t>
      </w:r>
      <w:r w:rsidRPr="00457CE9">
        <w:rPr>
          <w:rFonts w:ascii="Times New Roman" w:hAnsi="Times New Roman"/>
          <w:sz w:val="28"/>
          <w:szCs w:val="28"/>
          <w:lang w:val="kk-KZ"/>
        </w:rPr>
        <w:t xml:space="preserve"> </w:t>
      </w:r>
    </w:p>
    <w:p w14:paraId="0DACA933" w14:textId="0141E182" w:rsidR="005A75F5" w:rsidRPr="00457CE9" w:rsidRDefault="005A75F5" w:rsidP="00457CE9">
      <w:pPr>
        <w:widowControl w:val="0"/>
        <w:spacing w:after="0" w:line="240" w:lineRule="auto"/>
        <w:ind w:firstLine="709"/>
        <w:jc w:val="both"/>
        <w:rPr>
          <w:rFonts w:ascii="Times New Roman" w:hAnsi="Times New Roman"/>
          <w:sz w:val="28"/>
          <w:szCs w:val="28"/>
          <w:lang w:val="kk-KZ"/>
        </w:rPr>
      </w:pPr>
      <w:r w:rsidRPr="00334F89">
        <w:rPr>
          <w:rFonts w:ascii="Times New Roman" w:hAnsi="Times New Roman"/>
          <w:sz w:val="28"/>
          <w:szCs w:val="28"/>
          <w:lang w:val="kk-KZ"/>
        </w:rPr>
        <w:t>Қазақстан Республикасының жалпы ішкі өнімі 20</w:t>
      </w:r>
      <w:r w:rsidR="00972833" w:rsidRPr="00334F89">
        <w:rPr>
          <w:rFonts w:ascii="Times New Roman" w:hAnsi="Times New Roman"/>
          <w:sz w:val="28"/>
          <w:szCs w:val="28"/>
          <w:lang w:val="kk-KZ"/>
        </w:rPr>
        <w:t>20</w:t>
      </w:r>
      <w:r w:rsidRPr="00334F89">
        <w:rPr>
          <w:rFonts w:ascii="Times New Roman" w:hAnsi="Times New Roman"/>
          <w:sz w:val="28"/>
          <w:szCs w:val="28"/>
          <w:lang w:val="kk-KZ"/>
        </w:rPr>
        <w:t xml:space="preserve"> жылы </w:t>
      </w:r>
      <w:r w:rsidR="00972833" w:rsidRPr="00334F89">
        <w:rPr>
          <w:rFonts w:ascii="Times New Roman" w:hAnsi="Times New Roman"/>
          <w:sz w:val="28"/>
          <w:szCs w:val="28"/>
          <w:lang w:val="kk-KZ"/>
        </w:rPr>
        <w:t>70714</w:t>
      </w:r>
      <w:r w:rsidRPr="00334F89">
        <w:rPr>
          <w:rFonts w:ascii="Times New Roman" w:hAnsi="Times New Roman"/>
          <w:sz w:val="28"/>
          <w:szCs w:val="28"/>
          <w:lang w:val="kk-KZ"/>
        </w:rPr>
        <w:t>,</w:t>
      </w:r>
      <w:r w:rsidR="00972833" w:rsidRPr="00334F89">
        <w:rPr>
          <w:rFonts w:ascii="Times New Roman" w:hAnsi="Times New Roman"/>
          <w:sz w:val="28"/>
          <w:szCs w:val="28"/>
          <w:lang w:val="kk-KZ"/>
        </w:rPr>
        <w:t>1</w:t>
      </w:r>
      <w:r w:rsidRPr="00334F89">
        <w:rPr>
          <w:rFonts w:ascii="Times New Roman" w:hAnsi="Times New Roman"/>
          <w:sz w:val="28"/>
          <w:szCs w:val="28"/>
          <w:lang w:val="kk-KZ"/>
        </w:rPr>
        <w:t xml:space="preserve"> млрд. теңгені,</w:t>
      </w:r>
      <w:r w:rsidR="005C7515" w:rsidRPr="00334F89">
        <w:rPr>
          <w:rFonts w:ascii="Times New Roman" w:hAnsi="Times New Roman"/>
          <w:sz w:val="28"/>
          <w:szCs w:val="28"/>
          <w:lang w:val="kk-KZ"/>
        </w:rPr>
        <w:t xml:space="preserve"> ал</w:t>
      </w:r>
      <w:r w:rsidRPr="00334F89">
        <w:rPr>
          <w:rFonts w:ascii="Times New Roman" w:hAnsi="Times New Roman"/>
          <w:sz w:val="28"/>
          <w:szCs w:val="28"/>
          <w:lang w:val="kk-KZ"/>
        </w:rPr>
        <w:t xml:space="preserve"> ауыл шаруашылық жалпы өнім шығарылымы сәйкес жылы </w:t>
      </w:r>
      <w:r w:rsidR="00972833" w:rsidRPr="00334F89">
        <w:rPr>
          <w:rFonts w:ascii="Times New Roman" w:hAnsi="Times New Roman"/>
          <w:sz w:val="28"/>
          <w:szCs w:val="28"/>
          <w:lang w:val="kk-KZ"/>
        </w:rPr>
        <w:t>6244</w:t>
      </w:r>
      <w:r w:rsidRPr="00334F89">
        <w:rPr>
          <w:rFonts w:ascii="Times New Roman" w:hAnsi="Times New Roman"/>
          <w:sz w:val="28"/>
          <w:szCs w:val="28"/>
          <w:lang w:val="kk-KZ"/>
        </w:rPr>
        <w:t>,</w:t>
      </w:r>
      <w:r w:rsidR="00972833" w:rsidRPr="00334F89">
        <w:rPr>
          <w:rFonts w:ascii="Times New Roman" w:hAnsi="Times New Roman"/>
          <w:sz w:val="28"/>
          <w:szCs w:val="28"/>
          <w:lang w:val="kk-KZ"/>
        </w:rPr>
        <w:t>3</w:t>
      </w:r>
      <w:r w:rsidRPr="00334F89">
        <w:rPr>
          <w:rFonts w:ascii="Times New Roman" w:hAnsi="Times New Roman"/>
          <w:sz w:val="28"/>
          <w:szCs w:val="28"/>
          <w:lang w:val="kk-KZ"/>
        </w:rPr>
        <w:t xml:space="preserve">  млрд. теңгені құраған, </w:t>
      </w:r>
      <w:r w:rsidR="003E4D6C" w:rsidRPr="00334F89">
        <w:rPr>
          <w:rFonts w:ascii="Times New Roman" w:hAnsi="Times New Roman"/>
          <w:sz w:val="28"/>
          <w:szCs w:val="28"/>
          <w:lang w:val="kk-KZ"/>
        </w:rPr>
        <w:t xml:space="preserve">алдын ала мәліметтер бойынша </w:t>
      </w:r>
      <w:r w:rsidRPr="00334F89">
        <w:rPr>
          <w:rFonts w:ascii="Times New Roman" w:hAnsi="Times New Roman"/>
          <w:sz w:val="28"/>
          <w:szCs w:val="28"/>
          <w:lang w:val="kk-KZ"/>
        </w:rPr>
        <w:t xml:space="preserve">бұл ЖІӨ-нің </w:t>
      </w:r>
      <w:r w:rsidR="003E4D6C" w:rsidRPr="00334F89">
        <w:rPr>
          <w:rFonts w:ascii="Times New Roman" w:hAnsi="Times New Roman"/>
          <w:sz w:val="28"/>
          <w:szCs w:val="28"/>
          <w:lang w:val="kk-KZ"/>
        </w:rPr>
        <w:t>5</w:t>
      </w:r>
      <w:r w:rsidRPr="00334F89">
        <w:rPr>
          <w:rFonts w:ascii="Times New Roman" w:hAnsi="Times New Roman"/>
          <w:sz w:val="28"/>
          <w:szCs w:val="28"/>
          <w:lang w:val="kk-KZ"/>
        </w:rPr>
        <w:t>,</w:t>
      </w:r>
      <w:r w:rsidR="003E4D6C" w:rsidRPr="00334F89">
        <w:rPr>
          <w:rFonts w:ascii="Times New Roman" w:hAnsi="Times New Roman"/>
          <w:sz w:val="28"/>
          <w:szCs w:val="28"/>
          <w:lang w:val="kk-KZ"/>
        </w:rPr>
        <w:t>3</w:t>
      </w:r>
      <w:r w:rsidRPr="00334F89">
        <w:rPr>
          <w:rFonts w:ascii="Times New Roman" w:hAnsi="Times New Roman"/>
          <w:sz w:val="28"/>
          <w:szCs w:val="28"/>
          <w:lang w:val="kk-KZ"/>
        </w:rPr>
        <w:t>%-ын құрап отыр. Жұмыспен қамтылған халық 20</w:t>
      </w:r>
      <w:r w:rsidR="005757C9" w:rsidRPr="00334F89">
        <w:rPr>
          <w:rFonts w:ascii="Times New Roman" w:hAnsi="Times New Roman"/>
          <w:sz w:val="28"/>
          <w:szCs w:val="28"/>
          <w:lang w:val="kk-KZ"/>
        </w:rPr>
        <w:t>20</w:t>
      </w:r>
      <w:r w:rsidRPr="00334F89">
        <w:rPr>
          <w:rFonts w:ascii="Times New Roman" w:hAnsi="Times New Roman"/>
          <w:sz w:val="28"/>
          <w:szCs w:val="28"/>
          <w:lang w:val="kk-KZ"/>
        </w:rPr>
        <w:t xml:space="preserve"> жылы 87</w:t>
      </w:r>
      <w:r w:rsidR="005757C9" w:rsidRPr="00334F89">
        <w:rPr>
          <w:rFonts w:ascii="Times New Roman" w:hAnsi="Times New Roman"/>
          <w:sz w:val="28"/>
          <w:szCs w:val="28"/>
          <w:lang w:val="kk-KZ"/>
        </w:rPr>
        <w:t>32</w:t>
      </w:r>
      <w:r w:rsidRPr="00334F89">
        <w:rPr>
          <w:rFonts w:ascii="Times New Roman" w:hAnsi="Times New Roman"/>
          <w:sz w:val="28"/>
          <w:szCs w:val="28"/>
          <w:lang w:val="kk-KZ"/>
        </w:rPr>
        <w:t>,</w:t>
      </w:r>
      <w:r w:rsidR="005757C9" w:rsidRPr="00334F89">
        <w:rPr>
          <w:rFonts w:ascii="Times New Roman" w:hAnsi="Times New Roman"/>
          <w:sz w:val="28"/>
          <w:szCs w:val="28"/>
          <w:lang w:val="kk-KZ"/>
        </w:rPr>
        <w:t>0</w:t>
      </w:r>
      <w:r w:rsidRPr="00334F89">
        <w:rPr>
          <w:rFonts w:ascii="Times New Roman" w:hAnsi="Times New Roman"/>
          <w:sz w:val="28"/>
          <w:szCs w:val="28"/>
          <w:lang w:val="kk-KZ"/>
        </w:rPr>
        <w:t xml:space="preserve"> мың адам болса, соның ішінде ауыл, орман және балық шаруашылығында жұмыспен қамтылған халық саны 11</w:t>
      </w:r>
      <w:r w:rsidR="005757C9" w:rsidRPr="00334F89">
        <w:rPr>
          <w:rFonts w:ascii="Times New Roman" w:hAnsi="Times New Roman"/>
          <w:sz w:val="28"/>
          <w:szCs w:val="28"/>
          <w:lang w:val="kk-KZ"/>
        </w:rPr>
        <w:t>75</w:t>
      </w:r>
      <w:r w:rsidRPr="00334F89">
        <w:rPr>
          <w:rFonts w:ascii="Times New Roman" w:hAnsi="Times New Roman"/>
          <w:sz w:val="28"/>
          <w:szCs w:val="28"/>
          <w:lang w:val="kk-KZ"/>
        </w:rPr>
        <w:t>,</w:t>
      </w:r>
      <w:r w:rsidR="005757C9" w:rsidRPr="00334F89">
        <w:rPr>
          <w:rFonts w:ascii="Times New Roman" w:hAnsi="Times New Roman"/>
          <w:sz w:val="28"/>
          <w:szCs w:val="28"/>
          <w:lang w:val="kk-KZ"/>
        </w:rPr>
        <w:t>4</w:t>
      </w:r>
      <w:r w:rsidRPr="00334F89">
        <w:rPr>
          <w:rFonts w:ascii="Times New Roman" w:hAnsi="Times New Roman"/>
          <w:sz w:val="28"/>
          <w:szCs w:val="28"/>
          <w:lang w:val="kk-KZ"/>
        </w:rPr>
        <w:t xml:space="preserve"> мың адамды, яғни, 13,5%-ды құрап отыр. Ал адам басына шаққандағы еңбек өнімділігі</w:t>
      </w:r>
      <w:r w:rsidR="005757C9" w:rsidRPr="00334F89">
        <w:rPr>
          <w:rFonts w:ascii="Times New Roman" w:hAnsi="Times New Roman"/>
          <w:sz w:val="28"/>
          <w:szCs w:val="28"/>
          <w:lang w:val="kk-KZ"/>
        </w:rPr>
        <w:t xml:space="preserve"> </w:t>
      </w:r>
      <w:r w:rsidRPr="00334F89">
        <w:rPr>
          <w:rFonts w:ascii="Times New Roman" w:hAnsi="Times New Roman"/>
          <w:sz w:val="28"/>
          <w:szCs w:val="28"/>
          <w:lang w:val="kk-KZ"/>
        </w:rPr>
        <w:t xml:space="preserve"> </w:t>
      </w:r>
      <w:r w:rsidR="005757C9" w:rsidRPr="00334F89">
        <w:rPr>
          <w:rFonts w:ascii="Times New Roman" w:hAnsi="Times New Roman"/>
          <w:sz w:val="28"/>
          <w:szCs w:val="28"/>
          <w:lang w:val="kk-KZ"/>
        </w:rPr>
        <w:t>2020 жылы 3000,4 мың теңгені, 2021 жылы 3334,8 мың теңгені</w:t>
      </w:r>
      <w:r w:rsidRPr="00334F89">
        <w:rPr>
          <w:rFonts w:ascii="Times New Roman" w:hAnsi="Times New Roman"/>
          <w:sz w:val="28"/>
          <w:szCs w:val="28"/>
          <w:lang w:val="kk-KZ"/>
        </w:rPr>
        <w:t xml:space="preserve"> құрап отыр</w:t>
      </w:r>
      <w:r w:rsidR="006C58E1" w:rsidRPr="00334F89">
        <w:rPr>
          <w:rFonts w:ascii="Times New Roman" w:hAnsi="Times New Roman"/>
          <w:sz w:val="28"/>
          <w:szCs w:val="28"/>
          <w:lang w:val="kk-KZ"/>
        </w:rPr>
        <w:t xml:space="preserve"> [</w:t>
      </w:r>
      <w:r w:rsidR="00100FAE">
        <w:rPr>
          <w:rFonts w:ascii="Times New Roman" w:hAnsi="Times New Roman"/>
          <w:sz w:val="28"/>
          <w:szCs w:val="28"/>
          <w:lang w:val="kk-KZ"/>
        </w:rPr>
        <w:t>7</w:t>
      </w:r>
      <w:r w:rsidR="006C58E1" w:rsidRPr="00334F89">
        <w:rPr>
          <w:rFonts w:ascii="Times New Roman" w:hAnsi="Times New Roman"/>
          <w:sz w:val="28"/>
          <w:szCs w:val="28"/>
          <w:lang w:val="kk-KZ"/>
        </w:rPr>
        <w:t>]</w:t>
      </w:r>
      <w:r w:rsidRPr="00334F89">
        <w:rPr>
          <w:rFonts w:ascii="Times New Roman" w:hAnsi="Times New Roman"/>
          <w:sz w:val="28"/>
          <w:szCs w:val="28"/>
          <w:lang w:val="kk-KZ"/>
        </w:rPr>
        <w:t xml:space="preserve">. Осыған орай агроөнеркәсіп </w:t>
      </w:r>
      <w:r w:rsidRPr="00457CE9">
        <w:rPr>
          <w:rFonts w:ascii="Times New Roman" w:hAnsi="Times New Roman"/>
          <w:sz w:val="28"/>
          <w:szCs w:val="28"/>
          <w:lang w:val="kk-KZ"/>
        </w:rPr>
        <w:t>кешенінің ұлттық экономикадағы орны маңызды деген қорытынды жасауға болады.</w:t>
      </w:r>
    </w:p>
    <w:p w14:paraId="44C078F5" w14:textId="22D7FF68" w:rsidR="005A75F5" w:rsidRPr="00457CE9" w:rsidRDefault="005A75F5"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Қазақстан Республикасында агроөнеркәсіптік кешен төрт саланы қамтиды деуге болады: </w:t>
      </w:r>
    </w:p>
    <w:p w14:paraId="26ED2D57" w14:textId="39EFEDC7" w:rsidR="005A75F5" w:rsidRPr="00457CE9" w:rsidRDefault="005A75F5" w:rsidP="0097172E">
      <w:pPr>
        <w:pStyle w:val="a5"/>
        <w:numPr>
          <w:ilvl w:val="0"/>
          <w:numId w:val="17"/>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ауыл шаруашылығы </w:t>
      </w:r>
      <w:r w:rsidR="00457CE9">
        <w:rPr>
          <w:rFonts w:ascii="Times New Roman" w:hAnsi="Times New Roman"/>
          <w:sz w:val="28"/>
          <w:szCs w:val="28"/>
          <w:lang w:val="kk-KZ"/>
        </w:rPr>
        <w:t>–</w:t>
      </w:r>
      <w:r w:rsidRPr="00457CE9">
        <w:rPr>
          <w:rFonts w:ascii="Times New Roman" w:hAnsi="Times New Roman"/>
          <w:sz w:val="28"/>
          <w:szCs w:val="28"/>
          <w:lang w:val="kk-KZ"/>
        </w:rPr>
        <w:t xml:space="preserve"> өсімдік шаруашылығы, мал шаруашылығы, фермерлік шаруашылықтар, жеке қ</w:t>
      </w:r>
      <w:r w:rsidR="00B919B2">
        <w:rPr>
          <w:rFonts w:ascii="Times New Roman" w:hAnsi="Times New Roman"/>
          <w:sz w:val="28"/>
          <w:szCs w:val="28"/>
          <w:lang w:val="kk-KZ"/>
        </w:rPr>
        <w:t>осалқы шаруашылықтар және т.</w:t>
      </w:r>
      <w:r w:rsidRPr="00457CE9">
        <w:rPr>
          <w:rFonts w:ascii="Times New Roman" w:hAnsi="Times New Roman"/>
          <w:sz w:val="28"/>
          <w:szCs w:val="28"/>
          <w:lang w:val="kk-KZ"/>
        </w:rPr>
        <w:t>б.;</w:t>
      </w:r>
    </w:p>
    <w:p w14:paraId="73F13061" w14:textId="4E8D7D87" w:rsidR="005A75F5" w:rsidRPr="00457CE9" w:rsidRDefault="005A75F5" w:rsidP="0097172E">
      <w:pPr>
        <w:pStyle w:val="a5"/>
        <w:numPr>
          <w:ilvl w:val="0"/>
          <w:numId w:val="17"/>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шаруашылығын өндіріс құралдарымен және материалдық ресурстармен қамтамасыз ететін салалар мен қызметтер: трактор және ауыл шаруашылығы машиналарын жасау, минералдық тыңайтқы</w:t>
      </w:r>
      <w:r w:rsidR="00457CE9">
        <w:rPr>
          <w:rFonts w:ascii="Times New Roman" w:hAnsi="Times New Roman"/>
          <w:sz w:val="28"/>
          <w:szCs w:val="28"/>
          <w:lang w:val="kk-KZ"/>
        </w:rPr>
        <w:t>штар, химикаттар өндіру және т.</w:t>
      </w:r>
      <w:r w:rsidRPr="00457CE9">
        <w:rPr>
          <w:rFonts w:ascii="Times New Roman" w:hAnsi="Times New Roman"/>
          <w:sz w:val="28"/>
          <w:szCs w:val="28"/>
          <w:lang w:val="kk-KZ"/>
        </w:rPr>
        <w:t>б.;</w:t>
      </w:r>
    </w:p>
    <w:p w14:paraId="06D9E7E9" w14:textId="77777777" w:rsidR="005A75F5" w:rsidRPr="00457CE9" w:rsidRDefault="005A75F5" w:rsidP="0097172E">
      <w:pPr>
        <w:pStyle w:val="a5"/>
        <w:numPr>
          <w:ilvl w:val="0"/>
          <w:numId w:val="17"/>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шаруашылығы шикізатын өңдеумен айналысатын салалар: тамақ өнеркәсібі, жеңіл өнеркәсіп үшін шикізатты бастапқы өңдеу жөніндегі салалар;</w:t>
      </w:r>
    </w:p>
    <w:p w14:paraId="70A2940F" w14:textId="213F8B16" w:rsidR="005A75F5" w:rsidRPr="00457CE9" w:rsidRDefault="005A75F5" w:rsidP="0097172E">
      <w:pPr>
        <w:pStyle w:val="a5"/>
        <w:numPr>
          <w:ilvl w:val="0"/>
          <w:numId w:val="17"/>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шаруашылығы шикізатын дайындаумен, тасымалдаумен, сақтаумен, тұтыну тауарларын сатумен, ауыл шаруашылығы үшін кадрлар даярлауды</w:t>
      </w:r>
      <w:r w:rsidR="00143B02" w:rsidRPr="00457CE9">
        <w:rPr>
          <w:rFonts w:ascii="Times New Roman" w:hAnsi="Times New Roman"/>
          <w:sz w:val="28"/>
          <w:szCs w:val="28"/>
          <w:lang w:val="kk-KZ"/>
        </w:rPr>
        <w:t>, АӨК салаларында құрылыс салумен</w:t>
      </w:r>
      <w:r w:rsidRPr="00457CE9">
        <w:rPr>
          <w:rFonts w:ascii="Times New Roman" w:hAnsi="Times New Roman"/>
          <w:sz w:val="28"/>
          <w:szCs w:val="28"/>
          <w:lang w:val="kk-KZ"/>
        </w:rPr>
        <w:t xml:space="preserve"> айналысатын өндіріс</w:t>
      </w:r>
      <w:r w:rsidR="00CD2351" w:rsidRPr="00457CE9">
        <w:rPr>
          <w:rFonts w:ascii="Times New Roman" w:hAnsi="Times New Roman"/>
          <w:sz w:val="28"/>
          <w:szCs w:val="28"/>
          <w:lang w:val="kk-KZ"/>
        </w:rPr>
        <w:t xml:space="preserve"> [</w:t>
      </w:r>
      <w:r w:rsidR="00100FAE">
        <w:rPr>
          <w:rFonts w:ascii="Times New Roman" w:hAnsi="Times New Roman"/>
          <w:sz w:val="28"/>
          <w:szCs w:val="28"/>
          <w:lang w:val="kk-KZ"/>
        </w:rPr>
        <w:t>8</w:t>
      </w:r>
      <w:r w:rsidR="00CD2351" w:rsidRPr="00457CE9">
        <w:rPr>
          <w:rFonts w:ascii="Times New Roman" w:hAnsi="Times New Roman"/>
          <w:sz w:val="28"/>
          <w:szCs w:val="28"/>
          <w:lang w:val="kk-KZ"/>
        </w:rPr>
        <w:t>]</w:t>
      </w:r>
      <w:r w:rsidRPr="00457CE9">
        <w:rPr>
          <w:rFonts w:ascii="Times New Roman" w:hAnsi="Times New Roman"/>
          <w:sz w:val="28"/>
          <w:szCs w:val="28"/>
          <w:lang w:val="kk-KZ"/>
        </w:rPr>
        <w:t>.</w:t>
      </w:r>
    </w:p>
    <w:p w14:paraId="2816E90E" w14:textId="0DA40138" w:rsidR="005A75F5" w:rsidRPr="00C561FE" w:rsidRDefault="005A75F5"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Агроөнеркәсіп кешені қазіргі заманғы дамуының өзекті міндеті – оның барлық буындарының теңгерімділігі. Қайта өңдеу өндірісін дамытудағы артта қалу, сақтау қоймаларының жетіспеушілігі жиналған астықтың</w:t>
      </w:r>
      <w:r w:rsidR="008333EB"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ауыл шаруашылығы өнімдерінің үлкен шығынына алып келеді. Экономикалық реформалар және агроөнеркәсіп кешені ұзақ дағдарыстық дамуы жағдайында туындаған дамудың өткір проблемасы – өндіріс құралдары нарығының дамымауы. Бұл жабдықтың үдемелі тозуына, минералды тыңайтқыштарды пайдаланудың төмендеуіне ықпал етті. </w:t>
      </w:r>
      <w:r w:rsidR="005A5AB2" w:rsidRPr="00457CE9">
        <w:rPr>
          <w:rFonts w:ascii="Times New Roman" w:hAnsi="Times New Roman" w:cs="Times New Roman"/>
          <w:sz w:val="28"/>
          <w:szCs w:val="28"/>
          <w:lang w:val="kk-KZ"/>
        </w:rPr>
        <w:t xml:space="preserve">Сондықтан агроөнеркәсіп кешенін мемлекет тарапынан реттеу және қаражаттар бөлу арқылы қолдау әрқашан да кез келген мемлекеттің басты назарында. </w:t>
      </w:r>
      <w:r w:rsidRPr="00457CE9">
        <w:rPr>
          <w:rFonts w:ascii="Times New Roman" w:hAnsi="Times New Roman" w:cs="Times New Roman"/>
          <w:sz w:val="28"/>
          <w:szCs w:val="28"/>
          <w:lang w:val="kk-KZ"/>
        </w:rPr>
        <w:t xml:space="preserve">Осыған орай агроөнеркәсіп кешенін дамытуға бағытталған бюджет қаражаттарының </w:t>
      </w:r>
      <w:r w:rsidR="005A5AB2" w:rsidRPr="00457CE9">
        <w:rPr>
          <w:rFonts w:ascii="Times New Roman" w:hAnsi="Times New Roman" w:cs="Times New Roman"/>
          <w:sz w:val="28"/>
          <w:szCs w:val="28"/>
          <w:lang w:val="kk-KZ"/>
        </w:rPr>
        <w:t xml:space="preserve">мақсатқа сәйкес және тиімді жұмсалуын бақылауда </w:t>
      </w:r>
      <w:r w:rsidRPr="00457CE9">
        <w:rPr>
          <w:rFonts w:ascii="Times New Roman" w:hAnsi="Times New Roman" w:cs="Times New Roman"/>
          <w:sz w:val="28"/>
          <w:szCs w:val="28"/>
          <w:lang w:val="kk-KZ"/>
        </w:rPr>
        <w:t xml:space="preserve">тиімділік аудитінің </w:t>
      </w:r>
      <w:r w:rsidR="005A5AB2" w:rsidRPr="00457CE9">
        <w:rPr>
          <w:rFonts w:ascii="Times New Roman" w:hAnsi="Times New Roman" w:cs="Times New Roman"/>
          <w:sz w:val="28"/>
          <w:szCs w:val="28"/>
          <w:lang w:val="kk-KZ"/>
        </w:rPr>
        <w:t xml:space="preserve">маңызы зор және бұл елімізде мемлекеттік қаржылық бақылаудың жаңа нысаны болғандықтан оның </w:t>
      </w:r>
      <w:r w:rsidRPr="00457CE9">
        <w:rPr>
          <w:rFonts w:ascii="Times New Roman" w:hAnsi="Times New Roman" w:cs="Times New Roman"/>
          <w:sz w:val="28"/>
          <w:szCs w:val="28"/>
          <w:lang w:val="kk-KZ"/>
        </w:rPr>
        <w:t xml:space="preserve">әдіснамасын жетілдіру өзекті мәселелердің бірі болып </w:t>
      </w:r>
      <w:r w:rsidRPr="00C561FE">
        <w:rPr>
          <w:rFonts w:ascii="Times New Roman" w:hAnsi="Times New Roman" w:cs="Times New Roman"/>
          <w:sz w:val="28"/>
          <w:szCs w:val="28"/>
          <w:lang w:val="kk-KZ"/>
        </w:rPr>
        <w:t>табылады</w:t>
      </w:r>
      <w:r w:rsidR="00C561FE">
        <w:rPr>
          <w:rFonts w:ascii="Times New Roman" w:hAnsi="Times New Roman" w:cs="Times New Roman"/>
          <w:sz w:val="28"/>
          <w:szCs w:val="28"/>
          <w:lang w:val="kk-KZ"/>
        </w:rPr>
        <w:t xml:space="preserve"> </w:t>
      </w:r>
      <w:r w:rsidR="00C561FE" w:rsidRPr="00C561FE">
        <w:rPr>
          <w:rFonts w:ascii="Times New Roman" w:hAnsi="Times New Roman" w:cs="Times New Roman"/>
          <w:sz w:val="28"/>
          <w:szCs w:val="28"/>
          <w:lang w:val="kk-KZ"/>
        </w:rPr>
        <w:t>[</w:t>
      </w:r>
      <w:r w:rsidR="00100FAE">
        <w:rPr>
          <w:rFonts w:ascii="Times New Roman" w:hAnsi="Times New Roman" w:cs="Times New Roman"/>
          <w:sz w:val="28"/>
          <w:szCs w:val="28"/>
          <w:lang w:val="kk-KZ"/>
        </w:rPr>
        <w:t>8</w:t>
      </w:r>
      <w:r w:rsidR="00C561FE" w:rsidRPr="00C561FE">
        <w:rPr>
          <w:rFonts w:ascii="Times New Roman" w:hAnsi="Times New Roman" w:cs="Times New Roman"/>
          <w:sz w:val="28"/>
          <w:szCs w:val="28"/>
          <w:lang w:val="kk-KZ"/>
        </w:rPr>
        <w:t>]</w:t>
      </w:r>
      <w:r w:rsidRPr="00C561FE">
        <w:rPr>
          <w:rFonts w:ascii="Times New Roman" w:hAnsi="Times New Roman" w:cs="Times New Roman"/>
          <w:sz w:val="28"/>
          <w:szCs w:val="28"/>
          <w:lang w:val="kk-KZ"/>
        </w:rPr>
        <w:t>.</w:t>
      </w:r>
    </w:p>
    <w:p w14:paraId="2C514CAB" w14:textId="77777777" w:rsidR="00AC53E9" w:rsidRPr="00457CE9" w:rsidRDefault="00AC53E9" w:rsidP="00457CE9">
      <w:pPr>
        <w:widowControl w:val="0"/>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Агроөнеркәсіп кешеніне жұмсалған бюджет қаражаттарының тиімділік аудитін жоғары деңгейде өткізуді ұйымдастырудың өзектілігі кейіннен Қазақстанның аграрлық және агроөнеркәсіптік секторларында болып жатқан барлық үрдістерге бюджет қаражатын пайдалану тиімділігінің осындай аудиті көрсететін елеулі ықпалға байланысты. Тиімділік аудитін дұрыс жүргізу оны жүргізуге жауапты мемлекеттік органдардың қызметі үшін жауапкершілікті, ашықтықты, сондай-ақ есептілікті арттыруға ықпал етеді.</w:t>
      </w:r>
    </w:p>
    <w:p w14:paraId="11F77D41" w14:textId="20B1DD20" w:rsidR="005A75F5" w:rsidRPr="00457CE9" w:rsidRDefault="005A75F5"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Ең біріншіден отандық ғалымдардың агроөнеркәсіп кешенін дамытуға бағытталған бюджет қаражатының тиімділік аудитін ұйымдастыру мәселелеріне қаншалықты көңіл бөлгендігіне шолу жасау қажет.</w:t>
      </w:r>
      <w:r w:rsidR="005A5AB2" w:rsidRPr="00457CE9">
        <w:rPr>
          <w:rFonts w:ascii="Times New Roman" w:hAnsi="Times New Roman" w:cs="Times New Roman"/>
          <w:sz w:val="28"/>
          <w:szCs w:val="28"/>
          <w:lang w:val="kk-KZ"/>
        </w:rPr>
        <w:t xml:space="preserve"> Содан кейін агроөнеркәсіп кешені экономиканың маңызды саласы ретінде дамыған шетелдік тәжірибені зерттеу және оны мемлекеттік реттеу мен қолдауға бөлінген қаражаты</w:t>
      </w:r>
      <w:r w:rsidR="00553D4C">
        <w:rPr>
          <w:rFonts w:ascii="Times New Roman" w:hAnsi="Times New Roman" w:cs="Times New Roman"/>
          <w:sz w:val="28"/>
          <w:szCs w:val="28"/>
          <w:lang w:val="kk-KZ"/>
        </w:rPr>
        <w:t>н</w:t>
      </w:r>
      <w:r w:rsidR="005A5AB2" w:rsidRPr="00457CE9">
        <w:rPr>
          <w:rFonts w:ascii="Times New Roman" w:hAnsi="Times New Roman" w:cs="Times New Roman"/>
          <w:sz w:val="28"/>
          <w:szCs w:val="28"/>
          <w:lang w:val="kk-KZ"/>
        </w:rPr>
        <w:t xml:space="preserve"> тиімді жұмсалуын бақылау мақсатында жүргізілетін тиімділік аудитінің мемлекеттің әлеуметтік экономикалық дамуына ықпалын </w:t>
      </w:r>
      <w:r w:rsidR="00553D4C">
        <w:rPr>
          <w:rFonts w:ascii="Times New Roman" w:hAnsi="Times New Roman" w:cs="Times New Roman"/>
          <w:sz w:val="28"/>
          <w:szCs w:val="28"/>
          <w:lang w:val="kk-KZ"/>
        </w:rPr>
        <w:t>зерттеу</w:t>
      </w:r>
      <w:r w:rsidR="005A5AB2" w:rsidRPr="00457CE9">
        <w:rPr>
          <w:rFonts w:ascii="Times New Roman" w:hAnsi="Times New Roman" w:cs="Times New Roman"/>
          <w:sz w:val="28"/>
          <w:szCs w:val="28"/>
          <w:lang w:val="kk-KZ"/>
        </w:rPr>
        <w:t xml:space="preserve"> маңызды.</w:t>
      </w:r>
    </w:p>
    <w:p w14:paraId="5E8CDECF" w14:textId="3CDFE425" w:rsidR="001249D4" w:rsidRPr="00446F9E" w:rsidRDefault="001249D4"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ХХІ ғасырдың басы мемлекеттік қаржыны бақылауды ұйымдастыру тәсілдерінің өзгеруімен ерекшеленді. Ең алдымен, бұл көптеген елдердің жоғары бақылау органдарының өкілеттіктерін жаңарту, оларды мемлекеттік аудит жүргізуге қайта бағдарлау болды. Күн тәртібіне стратегиялық міндеттер – ел ресурстарын пайдаланудың тиімділігін, нәтижелілігін және үнемділігін, сондай-ақ мемлекеттік басқару сапасын </w:t>
      </w:r>
      <w:r w:rsidRPr="00446F9E">
        <w:rPr>
          <w:rFonts w:ascii="Times New Roman" w:hAnsi="Times New Roman" w:cs="Times New Roman"/>
          <w:sz w:val="28"/>
          <w:szCs w:val="28"/>
          <w:lang w:val="kk-KZ"/>
        </w:rPr>
        <w:t xml:space="preserve">анықтау шықты. Тек мемлекеттік мекемелер мен кәсіпорындар ғана емес, сонымен қатар жеке шаруашылық субъектілері кіретін бақылаудағы </w:t>
      </w:r>
      <w:r w:rsidR="00A135E6" w:rsidRPr="00446F9E">
        <w:rPr>
          <w:rFonts w:ascii="Times New Roman" w:hAnsi="Times New Roman" w:cs="Times New Roman"/>
          <w:sz w:val="28"/>
          <w:szCs w:val="28"/>
          <w:lang w:val="kk-KZ"/>
        </w:rPr>
        <w:t>субъектілердің шеңбері кеңейтіл</w:t>
      </w:r>
      <w:r w:rsidRPr="00446F9E">
        <w:rPr>
          <w:rFonts w:ascii="Times New Roman" w:hAnsi="Times New Roman" w:cs="Times New Roman"/>
          <w:sz w:val="28"/>
          <w:szCs w:val="28"/>
          <w:lang w:val="kk-KZ"/>
        </w:rPr>
        <w:t>ді. Сонымен қатар өркениеттің прогрессивті дамуының жаһандық қажеттіліктерін ескере отырып, мемлекеттік</w:t>
      </w:r>
      <w:r w:rsidR="00100FAE">
        <w:rPr>
          <w:rFonts w:ascii="Times New Roman" w:hAnsi="Times New Roman" w:cs="Times New Roman"/>
          <w:sz w:val="28"/>
          <w:szCs w:val="28"/>
          <w:lang w:val="kk-KZ"/>
        </w:rPr>
        <w:t xml:space="preserve"> аудит және</w:t>
      </w:r>
      <w:r w:rsidRPr="00446F9E">
        <w:rPr>
          <w:rFonts w:ascii="Times New Roman" w:hAnsi="Times New Roman" w:cs="Times New Roman"/>
          <w:sz w:val="28"/>
          <w:szCs w:val="28"/>
          <w:lang w:val="kk-KZ"/>
        </w:rPr>
        <w:t xml:space="preserve"> қаржы</w:t>
      </w:r>
      <w:r w:rsidR="00100FAE">
        <w:rPr>
          <w:rFonts w:ascii="Times New Roman" w:hAnsi="Times New Roman" w:cs="Times New Roman"/>
          <w:sz w:val="28"/>
          <w:szCs w:val="28"/>
          <w:lang w:val="kk-KZ"/>
        </w:rPr>
        <w:t>лық бақылау</w:t>
      </w:r>
      <w:r w:rsidRPr="00446F9E">
        <w:rPr>
          <w:rFonts w:ascii="Times New Roman" w:hAnsi="Times New Roman" w:cs="Times New Roman"/>
          <w:sz w:val="28"/>
          <w:szCs w:val="28"/>
          <w:lang w:val="kk-KZ"/>
        </w:rPr>
        <w:t xml:space="preserve"> стандарттарын әзірлеу мәселелері өзекті болды. </w:t>
      </w:r>
    </w:p>
    <w:p w14:paraId="5D4C8DE1" w14:textId="7636092E" w:rsidR="001E7FF0" w:rsidRPr="00446F9E" w:rsidRDefault="001E7FF0" w:rsidP="00457CE9">
      <w:pPr>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Бүгінгі күні мемлекеттік бюджет саясатының </w:t>
      </w:r>
      <w:r w:rsidRPr="00457CE9">
        <w:rPr>
          <w:rFonts w:ascii="Times New Roman" w:hAnsi="Times New Roman" w:cs="Times New Roman"/>
          <w:sz w:val="28"/>
          <w:szCs w:val="28"/>
          <w:lang w:val="kk-KZ"/>
        </w:rPr>
        <w:t>тұжырымдамасы шығындарды басқарудан нәтижелерді басқаруға көшуге бағытталған. Коммерциялық сектормен салыстырғанда мемлекеттің бюджет-қаржы саясатында осындай тәсілді енгізудің қиындығы экономикалық тиімділіктен басқа, мемлекеттік қаражатты жұмсау тиімділігінің көптеген әлеуметтік, ғылыми, экологиялық және басқа да компоненттерін бағалау қажет екендігі анықталды. Бұл проблемалар мемлекеттік қаражаттың пайдаланылуын бақылауды жүзеге асыру кезінде мәселелерге біртіндеп ауысады. Егер бұрын әр түрлі деңгейдегі бюджеттерден қаражат алатын ұйымдар тексеру</w:t>
      </w:r>
      <w:r w:rsidR="001C1A24" w:rsidRPr="00457CE9">
        <w:rPr>
          <w:rFonts w:ascii="Times New Roman" w:hAnsi="Times New Roman" w:cs="Times New Roman"/>
          <w:sz w:val="28"/>
          <w:szCs w:val="28"/>
          <w:lang w:val="kk-KZ"/>
        </w:rPr>
        <w:t>ге</w:t>
      </w:r>
      <w:r w:rsidRPr="00457CE9">
        <w:rPr>
          <w:rFonts w:ascii="Times New Roman" w:hAnsi="Times New Roman" w:cs="Times New Roman"/>
          <w:sz w:val="28"/>
          <w:szCs w:val="28"/>
          <w:lang w:val="kk-KZ"/>
        </w:rPr>
        <w:t xml:space="preserve"> </w:t>
      </w:r>
      <w:r w:rsidR="00A135E6" w:rsidRPr="00457CE9">
        <w:rPr>
          <w:rFonts w:ascii="Times New Roman" w:hAnsi="Times New Roman" w:cs="Times New Roman"/>
          <w:sz w:val="28"/>
          <w:szCs w:val="28"/>
          <w:lang w:val="kk-KZ"/>
        </w:rPr>
        <w:t xml:space="preserve">(ревизия) </w:t>
      </w:r>
      <w:r w:rsidRPr="00457CE9">
        <w:rPr>
          <w:rFonts w:ascii="Times New Roman" w:hAnsi="Times New Roman" w:cs="Times New Roman"/>
          <w:sz w:val="28"/>
          <w:szCs w:val="28"/>
          <w:lang w:val="kk-KZ"/>
        </w:rPr>
        <w:t>ұшыраса, бүгінгі күні бақылау-тексеру жұмысының тәсілдері мен әдістері қаржылық бақылаудың қазіргі заманғы қажеттіліктерін қанағаттандырмайды.</w:t>
      </w:r>
      <w:r w:rsidR="00E448E4"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Бұл бақылаудың жаңа </w:t>
      </w:r>
      <w:r w:rsidRPr="00446F9E">
        <w:rPr>
          <w:rFonts w:ascii="Times New Roman" w:hAnsi="Times New Roman" w:cs="Times New Roman"/>
          <w:sz w:val="28"/>
          <w:szCs w:val="28"/>
          <w:lang w:val="kk-KZ"/>
        </w:rPr>
        <w:t>құралы – мемлекеттік қаражатты пайдалану тиімділігі аудитінің дамуына алып келді</w:t>
      </w:r>
      <w:r w:rsidR="00B251FF" w:rsidRPr="00446F9E">
        <w:rPr>
          <w:rFonts w:ascii="Times New Roman" w:hAnsi="Times New Roman" w:cs="Times New Roman"/>
          <w:sz w:val="28"/>
          <w:szCs w:val="28"/>
          <w:lang w:val="kk-KZ"/>
        </w:rPr>
        <w:t xml:space="preserve"> [</w:t>
      </w:r>
      <w:r w:rsidR="00100FAE">
        <w:rPr>
          <w:rFonts w:ascii="Times New Roman" w:hAnsi="Times New Roman" w:cs="Times New Roman"/>
          <w:sz w:val="28"/>
          <w:szCs w:val="28"/>
          <w:lang w:val="kk-KZ"/>
        </w:rPr>
        <w:t>9</w:t>
      </w:r>
      <w:r w:rsidR="00F44F16" w:rsidRPr="00446F9E">
        <w:rPr>
          <w:rFonts w:ascii="Times New Roman" w:hAnsi="Times New Roman" w:cs="Times New Roman"/>
          <w:sz w:val="28"/>
          <w:szCs w:val="28"/>
          <w:lang w:val="kk-KZ"/>
        </w:rPr>
        <w:t>, б. 69</w:t>
      </w:r>
      <w:r w:rsidR="00B251FF"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 xml:space="preserve">. Ол шетелдік тәжірибеде кеңінен қолданылады, бірақ Қазақстан үшін – бұл мемлекеттік аудит және қаржылық бақылау үшін қызметтің жаңа саласы болып табылады. </w:t>
      </w:r>
    </w:p>
    <w:p w14:paraId="5CEBD30B" w14:textId="66B0225F" w:rsidR="003D2DED" w:rsidRPr="00457CE9" w:rsidRDefault="00553D4C" w:rsidP="00457C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Ең алдымен с</w:t>
      </w:r>
      <w:r w:rsidR="00A135E6" w:rsidRPr="00446F9E">
        <w:rPr>
          <w:rFonts w:ascii="Times New Roman" w:hAnsi="Times New Roman" w:cs="Times New Roman"/>
          <w:sz w:val="28"/>
          <w:szCs w:val="28"/>
          <w:lang w:val="kk-KZ"/>
        </w:rPr>
        <w:t xml:space="preserve">ыртқы мемлекеттік аудит және қаржылық </w:t>
      </w:r>
      <w:r w:rsidR="001E7FF0" w:rsidRPr="00446F9E">
        <w:rPr>
          <w:rFonts w:ascii="Times New Roman" w:hAnsi="Times New Roman" w:cs="Times New Roman"/>
          <w:sz w:val="28"/>
          <w:szCs w:val="28"/>
          <w:lang w:val="kk-KZ"/>
        </w:rPr>
        <w:t>бақылау</w:t>
      </w:r>
      <w:r w:rsidR="00A135E6" w:rsidRPr="00446F9E">
        <w:rPr>
          <w:rFonts w:ascii="Times New Roman" w:hAnsi="Times New Roman" w:cs="Times New Roman"/>
          <w:sz w:val="28"/>
          <w:szCs w:val="28"/>
          <w:lang w:val="kk-KZ"/>
        </w:rPr>
        <w:t xml:space="preserve"> типі ретінде</w:t>
      </w:r>
      <w:r w:rsidR="001E7FF0" w:rsidRPr="00446F9E">
        <w:rPr>
          <w:rFonts w:ascii="Times New Roman" w:hAnsi="Times New Roman" w:cs="Times New Roman"/>
          <w:sz w:val="28"/>
          <w:szCs w:val="28"/>
          <w:lang w:val="kk-KZ"/>
        </w:rPr>
        <w:t xml:space="preserve"> </w:t>
      </w:r>
      <w:r w:rsidR="003C56BE" w:rsidRPr="00446F9E">
        <w:rPr>
          <w:rFonts w:ascii="Times New Roman" w:hAnsi="Times New Roman" w:cs="Times New Roman"/>
          <w:sz w:val="28"/>
          <w:szCs w:val="28"/>
          <w:lang w:val="kk-KZ"/>
        </w:rPr>
        <w:t>«</w:t>
      </w:r>
      <w:r w:rsidR="001E7FF0" w:rsidRPr="00446F9E">
        <w:rPr>
          <w:rFonts w:ascii="Times New Roman" w:hAnsi="Times New Roman" w:cs="Times New Roman"/>
          <w:sz w:val="28"/>
          <w:szCs w:val="28"/>
          <w:lang w:val="kk-KZ"/>
        </w:rPr>
        <w:t>тиімділік аудиті</w:t>
      </w:r>
      <w:r w:rsidR="003C56BE" w:rsidRPr="00446F9E">
        <w:rPr>
          <w:rFonts w:ascii="Times New Roman" w:hAnsi="Times New Roman" w:cs="Times New Roman"/>
          <w:sz w:val="28"/>
          <w:szCs w:val="28"/>
          <w:lang w:val="kk-KZ"/>
        </w:rPr>
        <w:t>»</w:t>
      </w:r>
      <w:r w:rsidR="001E7FF0" w:rsidRPr="00446F9E">
        <w:rPr>
          <w:rFonts w:ascii="Times New Roman" w:hAnsi="Times New Roman" w:cs="Times New Roman"/>
          <w:sz w:val="28"/>
          <w:szCs w:val="28"/>
          <w:lang w:val="kk-KZ"/>
        </w:rPr>
        <w:t xml:space="preserve"> бекітілді</w:t>
      </w:r>
      <w:r w:rsidR="00320F5A" w:rsidRPr="00446F9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320F5A" w:rsidRPr="00446F9E">
        <w:rPr>
          <w:rFonts w:ascii="Times New Roman" w:hAnsi="Times New Roman" w:cs="Times New Roman"/>
          <w:sz w:val="28"/>
          <w:szCs w:val="28"/>
          <w:lang w:val="kk-KZ"/>
        </w:rPr>
        <w:t xml:space="preserve"> «Сыртқы мемлекеттік аудит және қаржылық бақылаудың рәсімдік стандарттарын бекіту туралы»</w:t>
      </w:r>
      <w:r w:rsidR="009F33B4" w:rsidRPr="00446F9E">
        <w:rPr>
          <w:rFonts w:ascii="Times New Roman" w:hAnsi="Times New Roman" w:cs="Times New Roman"/>
          <w:sz w:val="28"/>
          <w:szCs w:val="28"/>
          <w:lang w:val="kk-KZ"/>
        </w:rPr>
        <w:t xml:space="preserve"> нормативтік қаулыға</w:t>
      </w:r>
      <w:r w:rsidR="00320F5A" w:rsidRPr="00446F9E">
        <w:rPr>
          <w:rFonts w:ascii="Times New Roman" w:hAnsi="Times New Roman" w:cs="Times New Roman"/>
          <w:sz w:val="28"/>
          <w:szCs w:val="28"/>
          <w:lang w:val="kk-KZ"/>
        </w:rPr>
        <w:t xml:space="preserve"> </w:t>
      </w:r>
      <w:r w:rsidR="009F33B4" w:rsidRPr="00446F9E">
        <w:rPr>
          <w:rFonts w:ascii="Times New Roman" w:hAnsi="Times New Roman" w:cs="Times New Roman"/>
          <w:sz w:val="28"/>
          <w:szCs w:val="28"/>
          <w:lang w:val="kk-KZ"/>
        </w:rPr>
        <w:t xml:space="preserve">100  «Тиімділік аудитін жүргізу бойынша сыртқы мемлекеттік аудиттің және қаржылық бақылаудың рәсімдік стандарты» </w:t>
      </w:r>
      <w:r>
        <w:rPr>
          <w:rFonts w:ascii="Times New Roman" w:hAnsi="Times New Roman" w:cs="Times New Roman"/>
          <w:sz w:val="28"/>
          <w:szCs w:val="28"/>
          <w:lang w:val="kk-KZ"/>
        </w:rPr>
        <w:t xml:space="preserve">әзірленіп, қазіргі таңда </w:t>
      </w:r>
      <w:r w:rsidR="009F33B4" w:rsidRPr="00446F9E">
        <w:rPr>
          <w:rFonts w:ascii="Times New Roman" w:hAnsi="Times New Roman" w:cs="Times New Roman"/>
          <w:sz w:val="28"/>
          <w:szCs w:val="28"/>
          <w:lang w:val="kk-KZ"/>
        </w:rPr>
        <w:t>қолданыста [</w:t>
      </w:r>
      <w:r w:rsidR="00010469" w:rsidRPr="00446F9E">
        <w:rPr>
          <w:rFonts w:ascii="Times New Roman" w:hAnsi="Times New Roman" w:cs="Times New Roman"/>
          <w:sz w:val="28"/>
          <w:szCs w:val="28"/>
          <w:lang w:val="kk-KZ"/>
        </w:rPr>
        <w:t>1</w:t>
      </w:r>
      <w:r w:rsidR="00100FAE">
        <w:rPr>
          <w:rFonts w:ascii="Times New Roman" w:hAnsi="Times New Roman" w:cs="Times New Roman"/>
          <w:sz w:val="28"/>
          <w:szCs w:val="28"/>
          <w:lang w:val="kk-KZ"/>
        </w:rPr>
        <w:t>0</w:t>
      </w:r>
      <w:r w:rsidR="009F33B4" w:rsidRPr="00446F9E">
        <w:rPr>
          <w:rFonts w:ascii="Times New Roman" w:hAnsi="Times New Roman" w:cs="Times New Roman"/>
          <w:sz w:val="28"/>
          <w:szCs w:val="28"/>
          <w:lang w:val="kk-KZ"/>
        </w:rPr>
        <w:t>]</w:t>
      </w:r>
      <w:r w:rsidR="001E7FF0" w:rsidRPr="00446F9E">
        <w:rPr>
          <w:rFonts w:ascii="Times New Roman" w:hAnsi="Times New Roman" w:cs="Times New Roman"/>
          <w:sz w:val="28"/>
          <w:szCs w:val="28"/>
          <w:lang w:val="kk-KZ"/>
        </w:rPr>
        <w:t>. Оның ережелері, әрине, көптеген сұрақтарға жауап береді,</w:t>
      </w:r>
      <w:r w:rsidR="00A135E6" w:rsidRPr="00446F9E">
        <w:rPr>
          <w:rFonts w:ascii="Times New Roman" w:hAnsi="Times New Roman" w:cs="Times New Roman"/>
          <w:sz w:val="28"/>
          <w:szCs w:val="28"/>
          <w:lang w:val="kk-KZ"/>
        </w:rPr>
        <w:t xml:space="preserve"> </w:t>
      </w:r>
      <w:r w:rsidR="001E7FF0" w:rsidRPr="00446F9E">
        <w:rPr>
          <w:rFonts w:ascii="Times New Roman" w:hAnsi="Times New Roman" w:cs="Times New Roman"/>
          <w:sz w:val="28"/>
          <w:szCs w:val="28"/>
          <w:lang w:val="kk-KZ"/>
        </w:rPr>
        <w:t>бірақ оны қолдану тәжірибесінің болмауы</w:t>
      </w:r>
      <w:r w:rsidR="00A135E6" w:rsidRPr="00446F9E">
        <w:rPr>
          <w:rFonts w:ascii="Times New Roman" w:hAnsi="Times New Roman" w:cs="Times New Roman"/>
          <w:sz w:val="28"/>
          <w:szCs w:val="28"/>
          <w:lang w:val="kk-KZ"/>
        </w:rPr>
        <w:t>, соның ішінде АӨК дамытуға бағытталған бюджет қаражатын</w:t>
      </w:r>
      <w:r w:rsidR="001E7FF0" w:rsidRPr="00446F9E">
        <w:rPr>
          <w:rFonts w:ascii="Times New Roman" w:hAnsi="Times New Roman" w:cs="Times New Roman"/>
          <w:sz w:val="28"/>
          <w:szCs w:val="28"/>
          <w:lang w:val="kk-KZ"/>
        </w:rPr>
        <w:t xml:space="preserve"> </w:t>
      </w:r>
      <w:r w:rsidR="00A135E6" w:rsidRPr="00457CE9">
        <w:rPr>
          <w:rFonts w:ascii="Times New Roman" w:hAnsi="Times New Roman" w:cs="Times New Roman"/>
          <w:sz w:val="28"/>
          <w:szCs w:val="28"/>
          <w:lang w:val="kk-KZ"/>
        </w:rPr>
        <w:t>пайдалану тиімділі</w:t>
      </w:r>
      <w:r>
        <w:rPr>
          <w:rFonts w:ascii="Times New Roman" w:hAnsi="Times New Roman" w:cs="Times New Roman"/>
          <w:sz w:val="28"/>
          <w:szCs w:val="28"/>
          <w:lang w:val="kk-KZ"/>
        </w:rPr>
        <w:t>гінің</w:t>
      </w:r>
      <w:r w:rsidR="00A135E6" w:rsidRPr="00457CE9">
        <w:rPr>
          <w:rFonts w:ascii="Times New Roman" w:hAnsi="Times New Roman" w:cs="Times New Roman"/>
          <w:sz w:val="28"/>
          <w:szCs w:val="28"/>
          <w:lang w:val="kk-KZ"/>
        </w:rPr>
        <w:t xml:space="preserve"> аудиті, </w:t>
      </w:r>
      <w:r w:rsidR="001E7FF0" w:rsidRPr="00457CE9">
        <w:rPr>
          <w:rFonts w:ascii="Times New Roman" w:hAnsi="Times New Roman" w:cs="Times New Roman"/>
          <w:sz w:val="28"/>
          <w:szCs w:val="28"/>
          <w:lang w:val="kk-KZ"/>
        </w:rPr>
        <w:t>оларды шешу жолдарын ашып</w:t>
      </w:r>
      <w:r w:rsidR="00A135E6" w:rsidRPr="00457CE9">
        <w:rPr>
          <w:rFonts w:ascii="Times New Roman" w:hAnsi="Times New Roman" w:cs="Times New Roman"/>
          <w:sz w:val="28"/>
          <w:szCs w:val="28"/>
          <w:lang w:val="kk-KZ"/>
        </w:rPr>
        <w:t>,</w:t>
      </w:r>
      <w:r w:rsidR="001E7FF0" w:rsidRPr="00457CE9">
        <w:rPr>
          <w:rFonts w:ascii="Times New Roman" w:hAnsi="Times New Roman" w:cs="Times New Roman"/>
          <w:sz w:val="28"/>
          <w:szCs w:val="28"/>
          <w:lang w:val="kk-KZ"/>
        </w:rPr>
        <w:t xml:space="preserve"> белгілеу қажет бірқатар проблемаларды туындатады.</w:t>
      </w:r>
      <w:r w:rsidR="000717EC" w:rsidRPr="00457CE9">
        <w:rPr>
          <w:rFonts w:ascii="Times New Roman" w:hAnsi="Times New Roman" w:cs="Times New Roman"/>
          <w:sz w:val="28"/>
          <w:szCs w:val="28"/>
          <w:lang w:val="kk-KZ"/>
        </w:rPr>
        <w:t xml:space="preserve"> </w:t>
      </w:r>
    </w:p>
    <w:p w14:paraId="5E0C32D2" w14:textId="64916A7B" w:rsidR="008047D1" w:rsidRPr="00457CE9" w:rsidRDefault="00B67798"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2015 жылы әлем көшбасшылары 2030 жылға дейінгі кезеңге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Трансформациялау үшін біздің әлем</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атты күн тәртібін қабылдады. Бұл күн тәртібінде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17 тұрақты даму мақсаты</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(ТДМ) бекітілген, бұл дамытуға бағытталған мақсаттар әр ел үшін</w:t>
      </w:r>
      <w:r w:rsidR="0005341D" w:rsidRPr="00457CE9">
        <w:rPr>
          <w:rFonts w:ascii="Times New Roman" w:hAnsi="Times New Roman" w:cs="Times New Roman"/>
          <w:sz w:val="28"/>
          <w:szCs w:val="28"/>
          <w:lang w:val="kk-KZ"/>
        </w:rPr>
        <w:t>, соның ішінде Қазақстан Республикасы үшін де</w:t>
      </w:r>
      <w:r w:rsidRPr="00457CE9">
        <w:rPr>
          <w:rFonts w:ascii="Times New Roman" w:hAnsi="Times New Roman" w:cs="Times New Roman"/>
          <w:sz w:val="28"/>
          <w:szCs w:val="28"/>
          <w:lang w:val="kk-KZ"/>
        </w:rPr>
        <w:t xml:space="preserve"> әмбебап болып табылады. </w:t>
      </w:r>
      <w:r w:rsidR="00367E83" w:rsidRPr="00457CE9">
        <w:rPr>
          <w:rFonts w:ascii="Times New Roman" w:hAnsi="Times New Roman" w:cs="Times New Roman"/>
          <w:sz w:val="28"/>
          <w:szCs w:val="28"/>
          <w:lang w:val="kk-KZ"/>
        </w:rPr>
        <w:t>Т</w:t>
      </w:r>
      <w:r w:rsidR="0005341D" w:rsidRPr="00457CE9">
        <w:rPr>
          <w:rFonts w:ascii="Times New Roman" w:hAnsi="Times New Roman" w:cs="Times New Roman"/>
          <w:sz w:val="28"/>
          <w:szCs w:val="28"/>
          <w:lang w:val="kk-KZ"/>
        </w:rPr>
        <w:t>ұрақты даму мақсатын талдаса, ҚР-да агроөнеркәсіп кешенін дамытуға арналған мемлекеттік бағдарламасында</w:t>
      </w:r>
      <w:r w:rsidR="008047D1" w:rsidRPr="00457CE9">
        <w:rPr>
          <w:rFonts w:ascii="Times New Roman" w:hAnsi="Times New Roman" w:cs="Times New Roman"/>
          <w:sz w:val="28"/>
          <w:szCs w:val="28"/>
          <w:lang w:val="kk-KZ"/>
        </w:rPr>
        <w:t xml:space="preserve"> қарастырылуға тиіс бірнеше мақсат бар:</w:t>
      </w:r>
      <w:r w:rsidR="00367E83" w:rsidRPr="00457CE9">
        <w:rPr>
          <w:rFonts w:ascii="Times New Roman" w:hAnsi="Times New Roman" w:cs="Times New Roman"/>
          <w:sz w:val="28"/>
          <w:szCs w:val="28"/>
          <w:lang w:val="kk-KZ"/>
        </w:rPr>
        <w:t xml:space="preserve"> к</w:t>
      </w:r>
      <w:r w:rsidR="008047D1" w:rsidRPr="00457CE9">
        <w:rPr>
          <w:rFonts w:ascii="Times New Roman" w:hAnsi="Times New Roman" w:cs="Times New Roman"/>
          <w:sz w:val="28"/>
          <w:szCs w:val="28"/>
          <w:lang w:val="kk-KZ"/>
        </w:rPr>
        <w:t>едейлікті және оның барлық формалары</w:t>
      </w:r>
      <w:r w:rsidR="00CC6A91" w:rsidRPr="00457CE9">
        <w:rPr>
          <w:rFonts w:ascii="Times New Roman" w:hAnsi="Times New Roman" w:cs="Times New Roman"/>
          <w:sz w:val="28"/>
          <w:szCs w:val="28"/>
          <w:lang w:val="kk-KZ"/>
        </w:rPr>
        <w:t>н</w:t>
      </w:r>
      <w:r w:rsidR="008047D1" w:rsidRPr="00457CE9">
        <w:rPr>
          <w:rFonts w:ascii="Times New Roman" w:hAnsi="Times New Roman" w:cs="Times New Roman"/>
          <w:sz w:val="28"/>
          <w:szCs w:val="28"/>
          <w:lang w:val="kk-KZ"/>
        </w:rPr>
        <w:t xml:space="preserve"> жаппай жою</w:t>
      </w:r>
      <w:r w:rsidR="00367E83" w:rsidRPr="00457CE9">
        <w:rPr>
          <w:rFonts w:ascii="Times New Roman" w:hAnsi="Times New Roman" w:cs="Times New Roman"/>
          <w:sz w:val="28"/>
          <w:szCs w:val="28"/>
          <w:lang w:val="kk-KZ"/>
        </w:rPr>
        <w:t>, а</w:t>
      </w:r>
      <w:r w:rsidR="008047D1" w:rsidRPr="00457CE9">
        <w:rPr>
          <w:rFonts w:ascii="Times New Roman" w:hAnsi="Times New Roman" w:cs="Times New Roman"/>
          <w:sz w:val="28"/>
          <w:szCs w:val="28"/>
          <w:lang w:val="kk-KZ"/>
        </w:rPr>
        <w:t>штықты жою, азық-түлік қауіпсіздігін қамтамасыз ету, тамақтануды жақсарту және ауыл шаруашылығын тұрақты дамуға жәрдемдесу</w:t>
      </w:r>
      <w:r w:rsidR="00367E83" w:rsidRPr="00457CE9">
        <w:rPr>
          <w:rFonts w:ascii="Times New Roman" w:hAnsi="Times New Roman" w:cs="Times New Roman"/>
          <w:sz w:val="28"/>
          <w:szCs w:val="28"/>
          <w:lang w:val="kk-KZ"/>
        </w:rPr>
        <w:t>, с</w:t>
      </w:r>
      <w:r w:rsidR="008047D1" w:rsidRPr="00457CE9">
        <w:rPr>
          <w:rFonts w:ascii="Times New Roman" w:hAnsi="Times New Roman" w:cs="Times New Roman"/>
          <w:sz w:val="28"/>
          <w:szCs w:val="28"/>
          <w:lang w:val="kk-KZ"/>
        </w:rPr>
        <w:t>у ресурстарын ұтымды пайдалану және барлық жерде санитария болуын қамтамасыз ету</w:t>
      </w:r>
      <w:r w:rsidR="000E2D7C" w:rsidRPr="00457CE9">
        <w:rPr>
          <w:rFonts w:ascii="Times New Roman" w:hAnsi="Times New Roman" w:cs="Times New Roman"/>
          <w:sz w:val="28"/>
          <w:szCs w:val="28"/>
          <w:lang w:val="kk-KZ"/>
        </w:rPr>
        <w:t xml:space="preserve"> [</w:t>
      </w:r>
      <w:r w:rsidR="00CD2351" w:rsidRPr="00457CE9">
        <w:rPr>
          <w:rFonts w:ascii="Times New Roman" w:hAnsi="Times New Roman" w:cs="Times New Roman"/>
          <w:sz w:val="28"/>
          <w:szCs w:val="28"/>
          <w:lang w:val="kk-KZ"/>
        </w:rPr>
        <w:t>1</w:t>
      </w:r>
      <w:r w:rsidR="00100FAE">
        <w:rPr>
          <w:rFonts w:ascii="Times New Roman" w:hAnsi="Times New Roman" w:cs="Times New Roman"/>
          <w:sz w:val="28"/>
          <w:szCs w:val="28"/>
          <w:lang w:val="kk-KZ"/>
        </w:rPr>
        <w:t>1</w:t>
      </w:r>
      <w:r w:rsidR="000E2D7C" w:rsidRPr="00457CE9">
        <w:rPr>
          <w:rFonts w:ascii="Times New Roman" w:hAnsi="Times New Roman" w:cs="Times New Roman"/>
          <w:sz w:val="28"/>
          <w:szCs w:val="28"/>
          <w:lang w:val="kk-KZ"/>
        </w:rPr>
        <w:t>]</w:t>
      </w:r>
      <w:r w:rsidR="00367E83" w:rsidRPr="00457CE9">
        <w:rPr>
          <w:rFonts w:ascii="Times New Roman" w:hAnsi="Times New Roman" w:cs="Times New Roman"/>
          <w:sz w:val="28"/>
          <w:szCs w:val="28"/>
          <w:lang w:val="kk-KZ"/>
        </w:rPr>
        <w:t>.</w:t>
      </w:r>
    </w:p>
    <w:p w14:paraId="15069CBA" w14:textId="5A739D82" w:rsidR="006A2384" w:rsidRPr="00457CE9" w:rsidRDefault="006A2384"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Агроөнеркәсіп кешенін дамытуға жұмсалған бюджет қаражатын</w:t>
      </w:r>
      <w:r w:rsidR="00553D4C">
        <w:rPr>
          <w:rFonts w:ascii="Times New Roman" w:hAnsi="Times New Roman" w:cs="Times New Roman"/>
          <w:sz w:val="28"/>
          <w:szCs w:val="28"/>
          <w:lang w:val="kk-KZ"/>
        </w:rPr>
        <w:t xml:space="preserve"> пайдалану</w:t>
      </w:r>
      <w:r w:rsidRPr="00457CE9">
        <w:rPr>
          <w:rFonts w:ascii="Times New Roman" w:hAnsi="Times New Roman" w:cs="Times New Roman"/>
          <w:sz w:val="28"/>
          <w:szCs w:val="28"/>
          <w:lang w:val="kk-KZ"/>
        </w:rPr>
        <w:t xml:space="preserve"> тиімділі</w:t>
      </w:r>
      <w:r w:rsidR="00553D4C">
        <w:rPr>
          <w:rFonts w:ascii="Times New Roman" w:hAnsi="Times New Roman" w:cs="Times New Roman"/>
          <w:sz w:val="28"/>
          <w:szCs w:val="28"/>
          <w:lang w:val="kk-KZ"/>
        </w:rPr>
        <w:t>гі</w:t>
      </w:r>
      <w:r w:rsidRPr="00457CE9">
        <w:rPr>
          <w:rFonts w:ascii="Times New Roman" w:hAnsi="Times New Roman" w:cs="Times New Roman"/>
          <w:sz w:val="28"/>
          <w:szCs w:val="28"/>
          <w:lang w:val="kk-KZ"/>
        </w:rPr>
        <w:t xml:space="preserve"> аудитін жүргізуді</w:t>
      </w:r>
      <w:r w:rsidR="001C1A24" w:rsidRPr="00457CE9">
        <w:rPr>
          <w:rFonts w:ascii="Times New Roman" w:hAnsi="Times New Roman" w:cs="Times New Roman"/>
          <w:sz w:val="28"/>
          <w:szCs w:val="28"/>
          <w:lang w:val="kk-KZ"/>
        </w:rPr>
        <w:t xml:space="preserve"> </w:t>
      </w:r>
      <w:r w:rsidR="00CC6A91" w:rsidRPr="00457CE9">
        <w:rPr>
          <w:rFonts w:ascii="Times New Roman" w:hAnsi="Times New Roman" w:cs="Times New Roman"/>
          <w:sz w:val="28"/>
          <w:szCs w:val="28"/>
          <w:lang w:val="kk-KZ"/>
        </w:rPr>
        <w:t>ұйымдастыруды</w:t>
      </w:r>
      <w:r w:rsidR="001C1A24" w:rsidRPr="00457CE9">
        <w:rPr>
          <w:rFonts w:ascii="Times New Roman" w:hAnsi="Times New Roman" w:cs="Times New Roman"/>
          <w:sz w:val="28"/>
          <w:szCs w:val="28"/>
          <w:lang w:val="kk-KZ"/>
        </w:rPr>
        <w:t xml:space="preserve"> </w:t>
      </w:r>
      <w:r w:rsidR="00CC6A91" w:rsidRPr="00457CE9">
        <w:rPr>
          <w:rFonts w:ascii="Times New Roman" w:hAnsi="Times New Roman" w:cs="Times New Roman"/>
          <w:sz w:val="28"/>
          <w:szCs w:val="28"/>
          <w:lang w:val="kk-KZ"/>
        </w:rPr>
        <w:t xml:space="preserve">және оның нәтижелерінің жалпыға ашық қол жетімді болуын </w:t>
      </w:r>
      <w:r w:rsidR="00FA227A" w:rsidRPr="00457CE9">
        <w:rPr>
          <w:rFonts w:ascii="Times New Roman" w:hAnsi="Times New Roman" w:cs="Times New Roman"/>
          <w:sz w:val="28"/>
          <w:szCs w:val="28"/>
          <w:lang w:val="kk-KZ"/>
        </w:rPr>
        <w:t>жетілдіру</w:t>
      </w:r>
      <w:r w:rsidR="00791881" w:rsidRPr="00457CE9">
        <w:rPr>
          <w:rFonts w:ascii="Times New Roman" w:hAnsi="Times New Roman" w:cs="Times New Roman"/>
          <w:sz w:val="28"/>
          <w:szCs w:val="28"/>
          <w:lang w:val="kk-KZ"/>
        </w:rPr>
        <w:t xml:space="preserve"> өзекті болып отыр. Бұл бекітілген Тұрақты даму мақсаттарының бір мақсаты, яғни жұмсалған бюджет қаражатының ашықтығын қамтамасыз ету мақсатында тиімділік аудиті арқылы жүзеге асыру мүмкін.</w:t>
      </w:r>
      <w:r w:rsidR="001C1A24" w:rsidRPr="00457CE9">
        <w:rPr>
          <w:rFonts w:ascii="Times New Roman" w:hAnsi="Times New Roman" w:cs="Times New Roman"/>
          <w:sz w:val="28"/>
          <w:szCs w:val="28"/>
          <w:lang w:val="kk-KZ"/>
        </w:rPr>
        <w:t xml:space="preserve"> Қазақстанда мемлекеттік аудит және қаржылық бақылау туралы заңы қабылдануы негізінде тиімділік аудитін, соның ішінде АӨК жұмсалған бюджет қаражат</w:t>
      </w:r>
      <w:r w:rsidR="001B4EB0">
        <w:rPr>
          <w:rFonts w:ascii="Times New Roman" w:hAnsi="Times New Roman" w:cs="Times New Roman"/>
          <w:sz w:val="28"/>
          <w:szCs w:val="28"/>
          <w:lang w:val="kk-KZ"/>
        </w:rPr>
        <w:t>ын пайдалану</w:t>
      </w:r>
      <w:r w:rsidR="001C1A24" w:rsidRPr="00457CE9">
        <w:rPr>
          <w:rFonts w:ascii="Times New Roman" w:hAnsi="Times New Roman" w:cs="Times New Roman"/>
          <w:sz w:val="28"/>
          <w:szCs w:val="28"/>
          <w:lang w:val="kk-KZ"/>
        </w:rPr>
        <w:t xml:space="preserve"> тиімділі</w:t>
      </w:r>
      <w:r w:rsidR="001B4EB0">
        <w:rPr>
          <w:rFonts w:ascii="Times New Roman" w:hAnsi="Times New Roman" w:cs="Times New Roman"/>
          <w:sz w:val="28"/>
          <w:szCs w:val="28"/>
          <w:lang w:val="kk-KZ"/>
        </w:rPr>
        <w:t>гі</w:t>
      </w:r>
      <w:r w:rsidR="001C1A24" w:rsidRPr="00457CE9">
        <w:rPr>
          <w:rFonts w:ascii="Times New Roman" w:hAnsi="Times New Roman" w:cs="Times New Roman"/>
          <w:sz w:val="28"/>
          <w:szCs w:val="28"/>
          <w:lang w:val="kk-KZ"/>
        </w:rPr>
        <w:t xml:space="preserve"> аудитін ұйымдастыру бойынша жалпы зерттеулер аз немесе жоқ деуге болады, сондықтан тиімділік аудиті деген ұғымның зерттеуіне шолу жасау арқылы, АӨК жұмсалған бюджет қаражат</w:t>
      </w:r>
      <w:r w:rsidR="001B4EB0">
        <w:rPr>
          <w:rFonts w:ascii="Times New Roman" w:hAnsi="Times New Roman" w:cs="Times New Roman"/>
          <w:sz w:val="28"/>
          <w:szCs w:val="28"/>
          <w:lang w:val="kk-KZ"/>
        </w:rPr>
        <w:t>ын пайдалану</w:t>
      </w:r>
      <w:r w:rsidR="001C1A24" w:rsidRPr="00457CE9">
        <w:rPr>
          <w:rFonts w:ascii="Times New Roman" w:hAnsi="Times New Roman" w:cs="Times New Roman"/>
          <w:sz w:val="28"/>
          <w:szCs w:val="28"/>
          <w:lang w:val="kk-KZ"/>
        </w:rPr>
        <w:t xml:space="preserve"> тиімділі</w:t>
      </w:r>
      <w:r w:rsidR="001B4EB0">
        <w:rPr>
          <w:rFonts w:ascii="Times New Roman" w:hAnsi="Times New Roman" w:cs="Times New Roman"/>
          <w:sz w:val="28"/>
          <w:szCs w:val="28"/>
          <w:lang w:val="kk-KZ"/>
        </w:rPr>
        <w:t>гі</w:t>
      </w:r>
      <w:r w:rsidR="001C1A24" w:rsidRPr="00457CE9">
        <w:rPr>
          <w:rFonts w:ascii="Times New Roman" w:hAnsi="Times New Roman" w:cs="Times New Roman"/>
          <w:sz w:val="28"/>
          <w:szCs w:val="28"/>
          <w:lang w:val="kk-KZ"/>
        </w:rPr>
        <w:t xml:space="preserve"> аудиті ұғымын зерттеудің негізі ретінде қарау қажет.</w:t>
      </w:r>
    </w:p>
    <w:p w14:paraId="44D54E39" w14:textId="0B47C17C" w:rsidR="008F105C" w:rsidRPr="00457CE9" w:rsidRDefault="00DC5DA3"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INTOSAI өңірлік негізде мүше мекемелердің кәсіби және техникалық ынтымақтастығын дамыту мақсатында дербес байланысты ұйымдар ретінде өңірлік жеті ұйым құрған: АФРОСАИ, АРАБОСАИ, АЗОСАИ, КАРОСАИ, ЕВРОСАИ, ОЛАСЕФС, ПАСАИ</w:t>
      </w:r>
      <w:r w:rsidR="00CF08EF" w:rsidRPr="00457CE9">
        <w:rPr>
          <w:rFonts w:ascii="Times New Roman" w:hAnsi="Times New Roman" w:cs="Times New Roman"/>
          <w:sz w:val="28"/>
          <w:szCs w:val="28"/>
          <w:lang w:val="kk-KZ"/>
        </w:rPr>
        <w:t xml:space="preserve"> [1</w:t>
      </w:r>
      <w:r w:rsidR="00100FAE">
        <w:rPr>
          <w:rFonts w:ascii="Times New Roman" w:hAnsi="Times New Roman" w:cs="Times New Roman"/>
          <w:sz w:val="28"/>
          <w:szCs w:val="28"/>
          <w:lang w:val="kk-KZ"/>
        </w:rPr>
        <w:t>2</w:t>
      </w:r>
      <w:r w:rsidR="00CF08EF"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r w:rsidR="00CF08EF" w:rsidRPr="00457CE9">
        <w:rPr>
          <w:rFonts w:ascii="Times New Roman" w:hAnsi="Times New Roman" w:cs="Times New Roman"/>
          <w:sz w:val="28"/>
          <w:szCs w:val="28"/>
          <w:lang w:val="kk-KZ"/>
        </w:rPr>
        <w:t xml:space="preserve"> </w:t>
      </w:r>
      <w:r w:rsidR="008F105C" w:rsidRPr="00457CE9">
        <w:rPr>
          <w:rFonts w:ascii="Times New Roman" w:hAnsi="Times New Roman" w:cs="Times New Roman"/>
          <w:sz w:val="28"/>
          <w:szCs w:val="28"/>
          <w:lang w:val="kk-KZ"/>
        </w:rPr>
        <w:t>Бүгінгі күні жоғары қаржы бақылау органдарының қолданыстағы халықаралық стандартында (The International Standards of Supreme Audit Institutions 3000 Performance auditing) тиімділік аудиті мақсаты аудит объектілерінің қызметін жетілдіру болып табылатын ресурстарды үнемді пайдалану, мемлекеттік кәсіпорындардың, бағдарламалардың</w:t>
      </w:r>
      <w:r w:rsidR="001C1A24" w:rsidRPr="00457CE9">
        <w:rPr>
          <w:rFonts w:ascii="Times New Roman" w:hAnsi="Times New Roman" w:cs="Times New Roman"/>
          <w:sz w:val="28"/>
          <w:szCs w:val="28"/>
          <w:lang w:val="kk-KZ"/>
        </w:rPr>
        <w:t>, жобалардың</w:t>
      </w:r>
      <w:r w:rsidR="008F105C" w:rsidRPr="00457CE9">
        <w:rPr>
          <w:rFonts w:ascii="Times New Roman" w:hAnsi="Times New Roman" w:cs="Times New Roman"/>
          <w:sz w:val="28"/>
          <w:szCs w:val="28"/>
          <w:lang w:val="kk-KZ"/>
        </w:rPr>
        <w:t xml:space="preserve"> тиімділігі мен нәтижелілігінің тәуелсіз сараптамасы ретінде анықталады</w:t>
      </w:r>
      <w:r w:rsidR="00F70882" w:rsidRPr="00457CE9">
        <w:rPr>
          <w:rFonts w:ascii="Times New Roman" w:hAnsi="Times New Roman" w:cs="Times New Roman"/>
          <w:sz w:val="28"/>
          <w:szCs w:val="28"/>
          <w:lang w:val="kk-KZ"/>
        </w:rPr>
        <w:t xml:space="preserve"> [</w:t>
      </w:r>
      <w:r w:rsidR="00DB4D5C" w:rsidRPr="00457CE9">
        <w:rPr>
          <w:rFonts w:ascii="Times New Roman" w:hAnsi="Times New Roman" w:cs="Times New Roman"/>
          <w:sz w:val="28"/>
          <w:szCs w:val="28"/>
          <w:lang w:val="kk-KZ"/>
        </w:rPr>
        <w:t>1</w:t>
      </w:r>
      <w:r w:rsidR="00100FAE">
        <w:rPr>
          <w:rFonts w:ascii="Times New Roman" w:hAnsi="Times New Roman" w:cs="Times New Roman"/>
          <w:sz w:val="28"/>
          <w:szCs w:val="28"/>
          <w:lang w:val="kk-KZ"/>
        </w:rPr>
        <w:t>2</w:t>
      </w:r>
      <w:r w:rsidR="00F70882" w:rsidRPr="00457CE9">
        <w:rPr>
          <w:rFonts w:ascii="Times New Roman" w:hAnsi="Times New Roman" w:cs="Times New Roman"/>
          <w:sz w:val="28"/>
          <w:szCs w:val="28"/>
          <w:lang w:val="kk-KZ"/>
        </w:rPr>
        <w:t>]</w:t>
      </w:r>
      <w:r w:rsidR="008F105C" w:rsidRPr="00457CE9">
        <w:rPr>
          <w:rFonts w:ascii="Times New Roman" w:hAnsi="Times New Roman" w:cs="Times New Roman"/>
          <w:sz w:val="28"/>
          <w:szCs w:val="28"/>
          <w:lang w:val="kk-KZ"/>
        </w:rPr>
        <w:t xml:space="preserve">.  </w:t>
      </w:r>
    </w:p>
    <w:p w14:paraId="4626B873" w14:textId="6D71DDD1" w:rsidR="004F6D4E" w:rsidRPr="00457CE9" w:rsidRDefault="00DE12F1" w:rsidP="00457CE9">
      <w:pPr>
        <w:spacing w:after="0" w:line="240" w:lineRule="auto"/>
        <w:ind w:firstLine="709"/>
        <w:jc w:val="both"/>
        <w:rPr>
          <w:rFonts w:ascii="Times New Roman" w:hAnsi="Times New Roman" w:cs="Times New Roman"/>
          <w:sz w:val="28"/>
          <w:szCs w:val="28"/>
          <w:shd w:val="clear" w:color="auto" w:fill="FFFFFF"/>
          <w:lang w:val="kk-KZ"/>
        </w:rPr>
      </w:pPr>
      <w:r w:rsidRPr="00457CE9">
        <w:rPr>
          <w:rFonts w:ascii="Times New Roman" w:eastAsia="Times New Roman" w:hAnsi="Times New Roman" w:cs="Times New Roman"/>
          <w:kern w:val="36"/>
          <w:sz w:val="28"/>
          <w:szCs w:val="28"/>
          <w:lang w:val="kk-KZ" w:eastAsia="ru-RU"/>
        </w:rPr>
        <w:t>Мемлекеттік аудит және қаржылық бақылау туралы</w:t>
      </w:r>
      <w:r w:rsidR="004F6D4E"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sz w:val="28"/>
          <w:szCs w:val="28"/>
          <w:lang w:val="kk-KZ" w:eastAsia="ru-RU"/>
        </w:rPr>
        <w:t xml:space="preserve">Қазақстан Республикасының </w:t>
      </w:r>
      <w:r w:rsidR="000C067F" w:rsidRPr="00457CE9">
        <w:rPr>
          <w:rFonts w:ascii="Times New Roman" w:eastAsia="Times New Roman" w:hAnsi="Times New Roman" w:cs="Times New Roman"/>
          <w:sz w:val="28"/>
          <w:szCs w:val="28"/>
          <w:lang w:val="kk-KZ" w:eastAsia="ru-RU"/>
        </w:rPr>
        <w:t>2015 жылғы 12 қарашадағы №</w:t>
      </w:r>
      <w:r w:rsidR="00634DD7" w:rsidRPr="00457CE9">
        <w:rPr>
          <w:rFonts w:ascii="Times New Roman" w:eastAsia="Times New Roman" w:hAnsi="Times New Roman" w:cs="Times New Roman"/>
          <w:sz w:val="28"/>
          <w:szCs w:val="28"/>
          <w:lang w:val="kk-KZ" w:eastAsia="ru-RU"/>
        </w:rPr>
        <w:t>392-V ҚР</w:t>
      </w:r>
      <w:r w:rsidR="004F6D4E" w:rsidRPr="00457CE9">
        <w:rPr>
          <w:rFonts w:ascii="Times New Roman" w:eastAsia="Times New Roman" w:hAnsi="Times New Roman" w:cs="Times New Roman"/>
          <w:sz w:val="28"/>
          <w:szCs w:val="28"/>
          <w:lang w:val="kk-KZ" w:eastAsia="ru-RU"/>
        </w:rPr>
        <w:t xml:space="preserve"> </w:t>
      </w:r>
      <w:r w:rsidRPr="00457CE9">
        <w:rPr>
          <w:rFonts w:ascii="Times New Roman" w:eastAsia="Times New Roman" w:hAnsi="Times New Roman" w:cs="Times New Roman"/>
          <w:sz w:val="28"/>
          <w:szCs w:val="28"/>
          <w:lang w:val="kk-KZ" w:eastAsia="ru-RU"/>
        </w:rPr>
        <w:t>Заңы</w:t>
      </w:r>
      <w:r w:rsidR="00633F7C" w:rsidRPr="00457CE9">
        <w:rPr>
          <w:rFonts w:ascii="Times New Roman" w:eastAsia="Times New Roman" w:hAnsi="Times New Roman" w:cs="Times New Roman"/>
          <w:sz w:val="28"/>
          <w:szCs w:val="28"/>
          <w:lang w:val="kk-KZ" w:eastAsia="ru-RU"/>
        </w:rPr>
        <w:t xml:space="preserve">нда: </w:t>
      </w:r>
      <w:r w:rsidR="003C56BE" w:rsidRPr="00457CE9">
        <w:rPr>
          <w:rFonts w:ascii="Times New Roman" w:eastAsia="Times New Roman" w:hAnsi="Times New Roman" w:cs="Times New Roman"/>
          <w:sz w:val="28"/>
          <w:szCs w:val="28"/>
          <w:lang w:val="kk-KZ" w:eastAsia="ru-RU"/>
        </w:rPr>
        <w:t>«</w:t>
      </w:r>
      <w:r w:rsidR="004F6D4E" w:rsidRPr="00457CE9">
        <w:rPr>
          <w:rFonts w:ascii="Times New Roman" w:hAnsi="Times New Roman" w:cs="Times New Roman"/>
          <w:sz w:val="28"/>
          <w:szCs w:val="28"/>
          <w:shd w:val="clear" w:color="auto" w:fill="FFFFFF"/>
          <w:lang w:val="kk-KZ"/>
        </w:rPr>
        <w:t>тиімділік аудиті – мемлекеттік аудит объектісінің қызметін тиімділік, үнемділік, өнімділік және нәтижелілік нысанына бағалау және талдау</w:t>
      </w:r>
      <w:r w:rsidR="003C56BE" w:rsidRPr="00457CE9">
        <w:rPr>
          <w:rFonts w:ascii="Times New Roman" w:hAnsi="Times New Roman" w:cs="Times New Roman"/>
          <w:sz w:val="28"/>
          <w:szCs w:val="28"/>
          <w:shd w:val="clear" w:color="auto" w:fill="FFFFFF"/>
          <w:lang w:val="kk-KZ"/>
        </w:rPr>
        <w:t>»</w:t>
      </w:r>
      <w:r w:rsidR="004F6D4E" w:rsidRPr="00457CE9">
        <w:rPr>
          <w:rFonts w:ascii="Times New Roman" w:hAnsi="Times New Roman" w:cs="Times New Roman"/>
          <w:sz w:val="28"/>
          <w:szCs w:val="28"/>
          <w:shd w:val="clear" w:color="auto" w:fill="FFFFFF"/>
          <w:lang w:val="kk-KZ"/>
        </w:rPr>
        <w:t xml:space="preserve"> деп анықталған</w:t>
      </w:r>
      <w:r w:rsidR="00F70882" w:rsidRPr="00457CE9">
        <w:rPr>
          <w:rFonts w:ascii="Times New Roman" w:hAnsi="Times New Roman" w:cs="Times New Roman"/>
          <w:sz w:val="28"/>
          <w:szCs w:val="28"/>
          <w:shd w:val="clear" w:color="auto" w:fill="FFFFFF"/>
          <w:lang w:val="kk-KZ"/>
        </w:rPr>
        <w:t xml:space="preserve"> [</w:t>
      </w:r>
      <w:r w:rsidR="00DB4D5C" w:rsidRPr="00457CE9">
        <w:rPr>
          <w:rFonts w:ascii="Times New Roman" w:hAnsi="Times New Roman" w:cs="Times New Roman"/>
          <w:sz w:val="28"/>
          <w:szCs w:val="28"/>
          <w:shd w:val="clear" w:color="auto" w:fill="FFFFFF"/>
          <w:lang w:val="kk-KZ"/>
        </w:rPr>
        <w:t>1</w:t>
      </w:r>
      <w:r w:rsidR="00100FAE">
        <w:rPr>
          <w:rFonts w:ascii="Times New Roman" w:hAnsi="Times New Roman" w:cs="Times New Roman"/>
          <w:sz w:val="28"/>
          <w:szCs w:val="28"/>
          <w:shd w:val="clear" w:color="auto" w:fill="FFFFFF"/>
          <w:lang w:val="kk-KZ"/>
        </w:rPr>
        <w:t>3</w:t>
      </w:r>
      <w:r w:rsidR="00F70882" w:rsidRPr="00457CE9">
        <w:rPr>
          <w:rFonts w:ascii="Times New Roman" w:hAnsi="Times New Roman" w:cs="Times New Roman"/>
          <w:sz w:val="28"/>
          <w:szCs w:val="28"/>
          <w:shd w:val="clear" w:color="auto" w:fill="FFFFFF"/>
          <w:lang w:val="kk-KZ"/>
        </w:rPr>
        <w:t>]</w:t>
      </w:r>
      <w:r w:rsidR="004F6D4E" w:rsidRPr="00457CE9">
        <w:rPr>
          <w:rFonts w:ascii="Times New Roman" w:hAnsi="Times New Roman" w:cs="Times New Roman"/>
          <w:sz w:val="28"/>
          <w:szCs w:val="28"/>
          <w:shd w:val="clear" w:color="auto" w:fill="FFFFFF"/>
          <w:lang w:val="kk-KZ"/>
        </w:rPr>
        <w:t>.</w:t>
      </w:r>
    </w:p>
    <w:p w14:paraId="3B84160A" w14:textId="64B81720" w:rsidR="006C03A7" w:rsidRPr="00446F9E" w:rsidRDefault="002E1ED9"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Мемлекеттік шығыстар тиімділігінің аудиті бюджет қаражатының пайдаланылуын мемлекеттік </w:t>
      </w:r>
      <w:r w:rsidR="001B4EB0">
        <w:rPr>
          <w:rFonts w:ascii="Times New Roman" w:hAnsi="Times New Roman" w:cs="Times New Roman"/>
          <w:sz w:val="28"/>
          <w:szCs w:val="28"/>
          <w:lang w:val="kk-KZ"/>
        </w:rPr>
        <w:t xml:space="preserve">аудит және </w:t>
      </w:r>
      <w:r w:rsidRPr="00457CE9">
        <w:rPr>
          <w:rFonts w:ascii="Times New Roman" w:hAnsi="Times New Roman" w:cs="Times New Roman"/>
          <w:sz w:val="28"/>
          <w:szCs w:val="28"/>
          <w:lang w:val="kk-KZ"/>
        </w:rPr>
        <w:t xml:space="preserve">қаржылық бақылаудың ең пәрменді тетіктерінің бірі болып табылады. Бұл мемлекеттік қаражатты пайдаланудың нәтижелілігін талдауға, олардың өсуінің ықтимал резервтерін және жұмсаудың негізділігін бағалауға, барынша оң қоғамдық әсерге қол жеткізу мақсатында нақты </w:t>
      </w:r>
      <w:r w:rsidRPr="00446F9E">
        <w:rPr>
          <w:rFonts w:ascii="Times New Roman" w:hAnsi="Times New Roman" w:cs="Times New Roman"/>
          <w:sz w:val="28"/>
          <w:szCs w:val="28"/>
          <w:lang w:val="kk-KZ"/>
        </w:rPr>
        <w:t>параметрлердің жоспарланған нәтижеден ауытқу себептерін анықтауға бағытталған қызмет. Тиімділік аудитінің пәні қоғамдық қажеттіліктерді қанағаттандыру бойынша мемлекеттік ресурстарды пайдалану нәтижелері болып табылады</w:t>
      </w:r>
      <w:r w:rsidR="00B57B26" w:rsidRPr="00446F9E">
        <w:rPr>
          <w:rFonts w:ascii="Times New Roman" w:hAnsi="Times New Roman" w:cs="Times New Roman"/>
          <w:sz w:val="28"/>
          <w:szCs w:val="28"/>
          <w:lang w:val="kk-KZ"/>
        </w:rPr>
        <w:t xml:space="preserve"> [</w:t>
      </w:r>
      <w:r w:rsidR="001873A3" w:rsidRPr="00446F9E">
        <w:rPr>
          <w:rFonts w:ascii="Times New Roman" w:hAnsi="Times New Roman" w:cs="Times New Roman"/>
          <w:sz w:val="28"/>
          <w:szCs w:val="28"/>
          <w:lang w:val="kk-KZ"/>
        </w:rPr>
        <w:t>1</w:t>
      </w:r>
      <w:r w:rsidR="00100FAE">
        <w:rPr>
          <w:rFonts w:ascii="Times New Roman" w:hAnsi="Times New Roman" w:cs="Times New Roman"/>
          <w:sz w:val="28"/>
          <w:szCs w:val="28"/>
          <w:lang w:val="kk-KZ"/>
        </w:rPr>
        <w:t>4</w:t>
      </w:r>
      <w:r w:rsidR="00B57B26"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 xml:space="preserve">. </w:t>
      </w:r>
    </w:p>
    <w:p w14:paraId="5CB6CBDB" w14:textId="58B7EBA9" w:rsidR="002E1ED9" w:rsidRPr="00457CE9" w:rsidRDefault="002E1ED9"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аудиті мемлекеттік қаражатты пайдалану саласындағы қаржылық бақылаудың бағыты болып табылады және мынадай элементтерді қамтиды: бюджет қаражатын </w:t>
      </w:r>
      <w:r w:rsidR="00F952AD" w:rsidRPr="00457CE9">
        <w:rPr>
          <w:rFonts w:ascii="Times New Roman" w:hAnsi="Times New Roman" w:cs="Times New Roman"/>
          <w:sz w:val="28"/>
          <w:szCs w:val="28"/>
          <w:lang w:val="kk-KZ"/>
        </w:rPr>
        <w:t>пайдалану</w:t>
      </w:r>
      <w:r w:rsidRPr="00457CE9">
        <w:rPr>
          <w:rFonts w:ascii="Times New Roman" w:hAnsi="Times New Roman" w:cs="Times New Roman"/>
          <w:sz w:val="28"/>
          <w:szCs w:val="28"/>
          <w:lang w:val="kk-KZ"/>
        </w:rPr>
        <w:t xml:space="preserve"> тиімділігін арттыру мақсатында </w:t>
      </w:r>
      <w:r w:rsidR="00F952AD" w:rsidRPr="00457CE9">
        <w:rPr>
          <w:rFonts w:ascii="Times New Roman" w:hAnsi="Times New Roman" w:cs="Times New Roman"/>
          <w:sz w:val="28"/>
          <w:szCs w:val="28"/>
          <w:lang w:val="kk-KZ"/>
        </w:rPr>
        <w:t>оны жұмсау</w:t>
      </w:r>
      <w:r w:rsidRPr="00457CE9">
        <w:rPr>
          <w:rFonts w:ascii="Times New Roman" w:hAnsi="Times New Roman" w:cs="Times New Roman"/>
          <w:sz w:val="28"/>
          <w:szCs w:val="28"/>
          <w:lang w:val="kk-KZ"/>
        </w:rPr>
        <w:t xml:space="preserve"> жөніндегі ұйымдардың қызметін талдау, кемшіліктерді ашу және оларды жою жөнінде шешімдер қабылдауға жәрдемдесу. Аудитті жүзеге асыратын мемлекеттік </w:t>
      </w:r>
      <w:r w:rsidR="006D4E84">
        <w:rPr>
          <w:rFonts w:ascii="Times New Roman" w:hAnsi="Times New Roman" w:cs="Times New Roman"/>
          <w:sz w:val="28"/>
          <w:szCs w:val="28"/>
          <w:lang w:val="kk-KZ"/>
        </w:rPr>
        <w:t>аудит ж</w:t>
      </w:r>
      <w:r w:rsidR="006D4E84" w:rsidRPr="006D4E84">
        <w:rPr>
          <w:rFonts w:ascii="Times New Roman" w:hAnsi="Times New Roman" w:cs="Times New Roman"/>
          <w:sz w:val="28"/>
          <w:szCs w:val="28"/>
          <w:lang w:val="kk-KZ"/>
        </w:rPr>
        <w:t>ә</w:t>
      </w:r>
      <w:r w:rsidR="006D4E84">
        <w:rPr>
          <w:rFonts w:ascii="Times New Roman" w:hAnsi="Times New Roman" w:cs="Times New Roman"/>
          <w:sz w:val="28"/>
          <w:szCs w:val="28"/>
          <w:lang w:val="kk-KZ"/>
        </w:rPr>
        <w:t xml:space="preserve">не </w:t>
      </w:r>
      <w:r w:rsidRPr="00457CE9">
        <w:rPr>
          <w:rFonts w:ascii="Times New Roman" w:hAnsi="Times New Roman" w:cs="Times New Roman"/>
          <w:sz w:val="28"/>
          <w:szCs w:val="28"/>
          <w:lang w:val="kk-KZ"/>
        </w:rPr>
        <w:t>қаржылық бақылау органы мемлекеттің мүддесін білдіруі, нақты жағдайды барабар түсіндіруі тиіс.</w:t>
      </w:r>
    </w:p>
    <w:p w14:paraId="6BB77AA8" w14:textId="39C7B2C7" w:rsidR="000A6F01" w:rsidRPr="00446F9E" w:rsidRDefault="000A6F01"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аудитін түсіну үшін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тиімділік</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және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аудит</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ұғымдарын айқындау қажет. Тиімділік – экономикалық ғылымның күрделі санаты. Ол адамның тәжірибелік қызметінің барлық салаларын, қоғамдық өндірістің барлық кезеңдерін қамтиды, қабылданатын шешімдердің құндылығының сандық өлшемдерін құрудың негізі болып табылады, шаруашылық қызметтің материалдық-құрылымдық, функционалдық және жүйелік сипаттамаларын қалыптастыру үшін пайдаланылады. Шаруашылық қызметтің тұтастығы, көпжақты, серпінділігі, көпмәдениеттілігі және оның әр түрлі жақтарының өзара байланысы сияқты неғұрлым маңызды сипаттамалары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тиімділік</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санаты арқылы өзінің барабар көрінісін табады деп айтуға </w:t>
      </w:r>
      <w:r w:rsidRPr="00446F9E">
        <w:rPr>
          <w:rFonts w:ascii="Times New Roman" w:hAnsi="Times New Roman" w:cs="Times New Roman"/>
          <w:sz w:val="28"/>
          <w:szCs w:val="28"/>
          <w:lang w:val="kk-KZ"/>
        </w:rPr>
        <w:t>болады</w:t>
      </w:r>
      <w:r w:rsidR="00DB4D5C" w:rsidRPr="00446F9E">
        <w:rPr>
          <w:rFonts w:ascii="Times New Roman" w:hAnsi="Times New Roman" w:cs="Times New Roman"/>
          <w:sz w:val="28"/>
          <w:szCs w:val="28"/>
          <w:lang w:val="kk-KZ"/>
        </w:rPr>
        <w:t xml:space="preserve"> [1</w:t>
      </w:r>
      <w:r w:rsidR="00100FAE">
        <w:rPr>
          <w:rFonts w:ascii="Times New Roman" w:hAnsi="Times New Roman" w:cs="Times New Roman"/>
          <w:sz w:val="28"/>
          <w:szCs w:val="28"/>
          <w:lang w:val="kk-KZ"/>
        </w:rPr>
        <w:t>5</w:t>
      </w:r>
      <w:r w:rsidR="00DB4D5C"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 xml:space="preserve">. </w:t>
      </w:r>
    </w:p>
    <w:p w14:paraId="274910D9" w14:textId="4737A78A" w:rsidR="00AF3642" w:rsidRDefault="002E1ED9" w:rsidP="00457CE9">
      <w:pPr>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Мемлекеттік бюджет қаражаты республиканың </w:t>
      </w:r>
      <w:r w:rsidRPr="00457CE9">
        <w:rPr>
          <w:rFonts w:ascii="Times New Roman" w:hAnsi="Times New Roman" w:cs="Times New Roman"/>
          <w:sz w:val="28"/>
          <w:szCs w:val="28"/>
          <w:lang w:val="kk-KZ"/>
        </w:rPr>
        <w:t>әлеуметтік-экономикалық дам</w:t>
      </w:r>
      <w:r w:rsidR="006D4E84">
        <w:rPr>
          <w:rFonts w:ascii="Times New Roman" w:hAnsi="Times New Roman" w:cs="Times New Roman"/>
          <w:sz w:val="28"/>
          <w:szCs w:val="28"/>
          <w:lang w:val="kk-KZ"/>
        </w:rPr>
        <w:t>у</w:t>
      </w:r>
      <w:r w:rsidRPr="00457CE9">
        <w:rPr>
          <w:rFonts w:ascii="Times New Roman" w:hAnsi="Times New Roman" w:cs="Times New Roman"/>
          <w:sz w:val="28"/>
          <w:szCs w:val="28"/>
          <w:lang w:val="kk-KZ"/>
        </w:rPr>
        <w:t>ы</w:t>
      </w:r>
      <w:r w:rsidR="006D4E84">
        <w:rPr>
          <w:rFonts w:ascii="Times New Roman" w:hAnsi="Times New Roman" w:cs="Times New Roman"/>
          <w:sz w:val="28"/>
          <w:szCs w:val="28"/>
          <w:lang w:val="kk-KZ"/>
        </w:rPr>
        <w:t>н</w:t>
      </w:r>
      <w:r w:rsidRPr="00457CE9">
        <w:rPr>
          <w:rFonts w:ascii="Times New Roman" w:hAnsi="Times New Roman" w:cs="Times New Roman"/>
          <w:sz w:val="28"/>
          <w:szCs w:val="28"/>
          <w:lang w:val="kk-KZ"/>
        </w:rPr>
        <w:t xml:space="preserve"> қамтамасыз ету мақсатында әр түрлі салаларға жұмса</w:t>
      </w:r>
      <w:r w:rsidR="00F952AD" w:rsidRPr="00457CE9">
        <w:rPr>
          <w:rFonts w:ascii="Times New Roman" w:hAnsi="Times New Roman" w:cs="Times New Roman"/>
          <w:sz w:val="28"/>
          <w:szCs w:val="28"/>
          <w:lang w:val="kk-KZ"/>
        </w:rPr>
        <w:t>ла</w:t>
      </w:r>
      <w:r w:rsidRPr="00457CE9">
        <w:rPr>
          <w:rFonts w:ascii="Times New Roman" w:hAnsi="Times New Roman" w:cs="Times New Roman"/>
          <w:sz w:val="28"/>
          <w:szCs w:val="28"/>
          <w:lang w:val="kk-KZ"/>
        </w:rPr>
        <w:t>ды. Соның ішінде алдыңғы қатарлы бағыттарының бірі АӨК</w:t>
      </w:r>
      <w:r w:rsidR="006D4E84">
        <w:rPr>
          <w:rFonts w:ascii="Times New Roman" w:hAnsi="Times New Roman" w:cs="Times New Roman"/>
          <w:sz w:val="28"/>
          <w:szCs w:val="28"/>
          <w:lang w:val="kk-KZ"/>
        </w:rPr>
        <w:t>-</w:t>
      </w:r>
      <w:r w:rsidRPr="00457CE9">
        <w:rPr>
          <w:rFonts w:ascii="Times New Roman" w:hAnsi="Times New Roman" w:cs="Times New Roman"/>
          <w:sz w:val="28"/>
          <w:szCs w:val="28"/>
          <w:lang w:val="kk-KZ"/>
        </w:rPr>
        <w:t>не жұмсалатын бюджет қаражаты маңызды орынға ие, себебі АӨК дамыту ел</w:t>
      </w:r>
      <w:r w:rsidR="006D4E84">
        <w:rPr>
          <w:rFonts w:ascii="Times New Roman" w:hAnsi="Times New Roman" w:cs="Times New Roman"/>
          <w:sz w:val="28"/>
          <w:szCs w:val="28"/>
          <w:lang w:val="kk-KZ"/>
        </w:rPr>
        <w:t>іміз</w:t>
      </w:r>
      <w:r w:rsidRPr="00457CE9">
        <w:rPr>
          <w:rFonts w:ascii="Times New Roman" w:hAnsi="Times New Roman" w:cs="Times New Roman"/>
          <w:sz w:val="28"/>
          <w:szCs w:val="28"/>
          <w:lang w:val="kk-KZ"/>
        </w:rPr>
        <w:t>дің азық</w:t>
      </w:r>
      <w:r w:rsidR="006D4E84">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түліктік қауіпсіздігін қамтамасыз ететін негізгі саланың бірі болып табылады. </w:t>
      </w:r>
      <w:r w:rsidR="00B372F8" w:rsidRPr="00457CE9">
        <w:rPr>
          <w:rFonts w:ascii="Times New Roman" w:hAnsi="Times New Roman" w:cs="Times New Roman"/>
          <w:sz w:val="28"/>
          <w:szCs w:val="28"/>
          <w:lang w:val="kk-KZ"/>
        </w:rPr>
        <w:t>Бюджет</w:t>
      </w:r>
      <w:r w:rsidR="00345CAF" w:rsidRPr="00457CE9">
        <w:rPr>
          <w:rFonts w:ascii="Times New Roman" w:hAnsi="Times New Roman" w:cs="Times New Roman"/>
          <w:sz w:val="28"/>
          <w:szCs w:val="28"/>
          <w:lang w:val="kk-KZ"/>
        </w:rPr>
        <w:t xml:space="preserve"> қаражат</w:t>
      </w:r>
      <w:r w:rsidR="00645D80" w:rsidRPr="00457CE9">
        <w:rPr>
          <w:rFonts w:ascii="Times New Roman" w:hAnsi="Times New Roman" w:cs="Times New Roman"/>
          <w:sz w:val="28"/>
          <w:szCs w:val="28"/>
          <w:lang w:val="kk-KZ"/>
        </w:rPr>
        <w:t>ы</w:t>
      </w:r>
      <w:r w:rsidR="00B372F8" w:rsidRPr="00457CE9">
        <w:rPr>
          <w:rFonts w:ascii="Times New Roman" w:hAnsi="Times New Roman" w:cs="Times New Roman"/>
          <w:sz w:val="28"/>
          <w:szCs w:val="28"/>
          <w:lang w:val="kk-KZ"/>
        </w:rPr>
        <w:t>н</w:t>
      </w:r>
      <w:r w:rsidR="00345CAF" w:rsidRPr="00457CE9">
        <w:rPr>
          <w:rFonts w:ascii="Times New Roman" w:hAnsi="Times New Roman" w:cs="Times New Roman"/>
          <w:sz w:val="28"/>
          <w:szCs w:val="28"/>
          <w:lang w:val="kk-KZ"/>
        </w:rPr>
        <w:t xml:space="preserve"> пайдаланудың тиімділік аудитінің сұрақтары әртүрлі</w:t>
      </w:r>
      <w:r w:rsidR="000C5E2D" w:rsidRPr="00457CE9">
        <w:rPr>
          <w:rFonts w:ascii="Times New Roman" w:hAnsi="Times New Roman" w:cs="Times New Roman"/>
          <w:sz w:val="28"/>
          <w:szCs w:val="28"/>
          <w:lang w:val="kk-KZ"/>
        </w:rPr>
        <w:t xml:space="preserve"> шетелдік авторлармен қаралды</w:t>
      </w:r>
      <w:r w:rsidR="00345CAF" w:rsidRPr="00457CE9">
        <w:rPr>
          <w:rFonts w:ascii="Times New Roman" w:hAnsi="Times New Roman" w:cs="Times New Roman"/>
          <w:sz w:val="28"/>
          <w:szCs w:val="28"/>
          <w:lang w:val="kk-KZ"/>
        </w:rPr>
        <w:t>.</w:t>
      </w:r>
      <w:r w:rsidR="00B21809">
        <w:rPr>
          <w:rFonts w:ascii="Times New Roman" w:hAnsi="Times New Roman" w:cs="Times New Roman"/>
          <w:sz w:val="28"/>
          <w:szCs w:val="28"/>
          <w:lang w:val="kk-KZ"/>
        </w:rPr>
        <w:t xml:space="preserve"> Олар</w:t>
      </w:r>
      <w:r w:rsidR="00345CAF" w:rsidRPr="00457CE9">
        <w:rPr>
          <w:rFonts w:ascii="Times New Roman" w:hAnsi="Times New Roman" w:cs="Times New Roman"/>
          <w:sz w:val="28"/>
          <w:szCs w:val="28"/>
          <w:lang w:val="kk-KZ"/>
        </w:rPr>
        <w:t xml:space="preserve"> </w:t>
      </w:r>
      <w:r w:rsidR="00B21809">
        <w:rPr>
          <w:rFonts w:ascii="Times New Roman" w:hAnsi="Times New Roman" w:cs="Times New Roman"/>
          <w:sz w:val="28"/>
          <w:szCs w:val="28"/>
          <w:lang w:val="kk-KZ"/>
        </w:rPr>
        <w:t>т</w:t>
      </w:r>
      <w:r w:rsidR="00025E0E" w:rsidRPr="00457CE9">
        <w:rPr>
          <w:rFonts w:ascii="Times New Roman" w:hAnsi="Times New Roman" w:cs="Times New Roman"/>
          <w:sz w:val="28"/>
          <w:szCs w:val="28"/>
          <w:lang w:val="kk-KZ"/>
        </w:rPr>
        <w:t xml:space="preserve">иімділік аудитінің мемлекеттік аудит және қаржылық бақылаудың жаңа тексеру түрі ретінде, мемлекеттік аудит объектісі ретінде анықталған мемлекеттік органдардың бюджет қаражатын пайдалану тиімділігін кешенді бағалауға мүмкіндік беретін, олардың қойылған мақсаттарға үнемді қол жеткізуі, әлеуметтік-экономикалық әсерін анықтау, мемлекеттік органдарға жүктелген міндерттер мен тапсырмаларды орындау деңгейін бағалау, яғни, тиімділік деңгейі туралы және объектіні басқару тиімділігінің деңгейі туралы қорытынды жасауға, бюджет үрдісін жетілдіру бойынша және аудиторлардың жұмысын жақсарту бойынша ұсыныстар әзірлеу деп анықтаған. </w:t>
      </w:r>
    </w:p>
    <w:p w14:paraId="2C2E274F" w14:textId="0D3D8714" w:rsidR="000A6F01" w:rsidRDefault="00025E0E"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А.Н.</w:t>
      </w:r>
      <w:r w:rsidR="00B919B2">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Саунин мемлекеттік қаражаттардың тиімділік аудитінің пайда болуы шетелдерде кеңінен пайдаланылып жатқан мемлекеттің қаржылық </w:t>
      </w:r>
      <w:r w:rsidRPr="00446F9E">
        <w:rPr>
          <w:rFonts w:ascii="Times New Roman" w:hAnsi="Times New Roman" w:cs="Times New Roman"/>
          <w:sz w:val="28"/>
          <w:szCs w:val="28"/>
          <w:lang w:val="kk-KZ"/>
        </w:rPr>
        <w:t>жүйесінің дамуы үрдісінде заңдылық ретінде қалыптасып пайда болғанын атап өткен</w:t>
      </w:r>
      <w:r w:rsidR="00E867C8" w:rsidRPr="00446F9E">
        <w:rPr>
          <w:rFonts w:ascii="Times New Roman" w:hAnsi="Times New Roman" w:cs="Times New Roman"/>
          <w:sz w:val="28"/>
          <w:szCs w:val="28"/>
          <w:lang w:val="kk-KZ"/>
        </w:rPr>
        <w:t xml:space="preserve"> [</w:t>
      </w:r>
      <w:r w:rsidR="00AF3642" w:rsidRPr="00446F9E">
        <w:rPr>
          <w:rFonts w:ascii="Times New Roman" w:hAnsi="Times New Roman" w:cs="Times New Roman"/>
          <w:sz w:val="28"/>
          <w:szCs w:val="28"/>
          <w:lang w:val="kk-KZ"/>
        </w:rPr>
        <w:t>1</w:t>
      </w:r>
      <w:r w:rsidR="00100FAE">
        <w:rPr>
          <w:rFonts w:ascii="Times New Roman" w:hAnsi="Times New Roman" w:cs="Times New Roman"/>
          <w:sz w:val="28"/>
          <w:szCs w:val="28"/>
          <w:lang w:val="kk-KZ"/>
        </w:rPr>
        <w:t>6</w:t>
      </w:r>
      <w:r w:rsidR="00E867C8"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 xml:space="preserve">. </w:t>
      </w:r>
      <w:r w:rsidR="00BB4C20" w:rsidRPr="00457CE9">
        <w:rPr>
          <w:rFonts w:ascii="Times New Roman" w:hAnsi="Times New Roman" w:cs="Times New Roman"/>
          <w:sz w:val="28"/>
          <w:szCs w:val="28"/>
          <w:lang w:val="kk-KZ"/>
        </w:rPr>
        <w:t>Авторлар аудиттің осы түрінің түрлі проблемаларын көтереді, бірақ бұл құралды Қазақстанда АӨК дамытуға жұмсалған бюджет қаража</w:t>
      </w:r>
      <w:r w:rsidR="006D4E84">
        <w:rPr>
          <w:rFonts w:ascii="Times New Roman" w:hAnsi="Times New Roman" w:cs="Times New Roman"/>
          <w:sz w:val="28"/>
          <w:szCs w:val="28"/>
          <w:lang w:val="kk-KZ"/>
        </w:rPr>
        <w:t>т</w:t>
      </w:r>
      <w:r w:rsidR="00BB4C20" w:rsidRPr="00457CE9">
        <w:rPr>
          <w:rFonts w:ascii="Times New Roman" w:hAnsi="Times New Roman" w:cs="Times New Roman"/>
          <w:sz w:val="28"/>
          <w:szCs w:val="28"/>
          <w:lang w:val="kk-KZ"/>
        </w:rPr>
        <w:t>ы</w:t>
      </w:r>
      <w:r w:rsidR="006D4E84">
        <w:rPr>
          <w:rFonts w:ascii="Times New Roman" w:hAnsi="Times New Roman" w:cs="Times New Roman"/>
          <w:sz w:val="28"/>
          <w:szCs w:val="28"/>
          <w:lang w:val="kk-KZ"/>
        </w:rPr>
        <w:t>ның</w:t>
      </w:r>
      <w:r w:rsidR="00BB4C20" w:rsidRPr="00457CE9">
        <w:rPr>
          <w:rFonts w:ascii="Times New Roman" w:hAnsi="Times New Roman" w:cs="Times New Roman"/>
          <w:sz w:val="28"/>
          <w:szCs w:val="28"/>
          <w:lang w:val="kk-KZ"/>
        </w:rPr>
        <w:t xml:space="preserve"> тиімділік аудитін жүргізуі</w:t>
      </w:r>
      <w:r w:rsidR="006D4E84">
        <w:rPr>
          <w:rFonts w:ascii="Times New Roman" w:hAnsi="Times New Roman" w:cs="Times New Roman"/>
          <w:sz w:val="28"/>
          <w:szCs w:val="28"/>
          <w:lang w:val="kk-KZ"/>
        </w:rPr>
        <w:t>н</w:t>
      </w:r>
      <w:r w:rsidR="00BB4C20" w:rsidRPr="00457CE9">
        <w:rPr>
          <w:rFonts w:ascii="Times New Roman" w:hAnsi="Times New Roman" w:cs="Times New Roman"/>
          <w:sz w:val="28"/>
          <w:szCs w:val="28"/>
          <w:lang w:val="kk-KZ"/>
        </w:rPr>
        <w:t xml:space="preserve"> реттейтін нормативтік актілерінің ережелерімен өзара байланыста қарастыру, осыған байланысты туындайтын мәселелерді көтеру және оларды шешу жолдарын белгілеу қажет.</w:t>
      </w:r>
      <w:r w:rsidR="00457CE9">
        <w:rPr>
          <w:rFonts w:ascii="Times New Roman" w:hAnsi="Times New Roman" w:cs="Times New Roman"/>
          <w:sz w:val="28"/>
          <w:szCs w:val="28"/>
          <w:lang w:val="kk-KZ"/>
        </w:rPr>
        <w:t xml:space="preserve"> </w:t>
      </w:r>
      <w:r w:rsidR="007764C5" w:rsidRPr="00457CE9">
        <w:rPr>
          <w:rFonts w:ascii="Times New Roman" w:hAnsi="Times New Roman" w:cs="Times New Roman"/>
          <w:sz w:val="28"/>
          <w:szCs w:val="28"/>
          <w:lang w:val="kk-KZ"/>
        </w:rPr>
        <w:t>1-</w:t>
      </w:r>
      <w:r w:rsidR="003E5F10" w:rsidRPr="00457CE9">
        <w:rPr>
          <w:rFonts w:ascii="Times New Roman" w:hAnsi="Times New Roman" w:cs="Times New Roman"/>
          <w:sz w:val="28"/>
          <w:szCs w:val="28"/>
          <w:lang w:val="kk-KZ"/>
        </w:rPr>
        <w:t>кестеде тиімділік аудиті түсінігіне әр түрлі авторлардың көзқарастары келтірілген.</w:t>
      </w:r>
    </w:p>
    <w:p w14:paraId="28351F75" w14:textId="77777777" w:rsidR="00457CE9" w:rsidRDefault="00457CE9" w:rsidP="00457CE9">
      <w:pPr>
        <w:spacing w:after="0" w:line="240" w:lineRule="auto"/>
        <w:ind w:firstLine="709"/>
        <w:jc w:val="both"/>
        <w:rPr>
          <w:rFonts w:ascii="Times New Roman" w:hAnsi="Times New Roman" w:cs="Times New Roman"/>
          <w:sz w:val="28"/>
          <w:szCs w:val="28"/>
          <w:lang w:val="kk-KZ"/>
        </w:rPr>
      </w:pPr>
    </w:p>
    <w:p w14:paraId="79410ECD" w14:textId="35C280B8" w:rsidR="00C90B3B" w:rsidRDefault="00DC6DD3"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7764C5" w:rsidRPr="00457CE9">
        <w:rPr>
          <w:rFonts w:ascii="Times New Roman" w:hAnsi="Times New Roman" w:cs="Times New Roman"/>
          <w:sz w:val="28"/>
          <w:szCs w:val="28"/>
          <w:lang w:val="kk-KZ"/>
        </w:rPr>
        <w:t>1 –</w:t>
      </w:r>
      <w:r w:rsidR="003E5F10" w:rsidRPr="00457CE9">
        <w:rPr>
          <w:rFonts w:ascii="Times New Roman" w:hAnsi="Times New Roman" w:cs="Times New Roman"/>
          <w:sz w:val="28"/>
          <w:szCs w:val="28"/>
          <w:lang w:val="kk-KZ"/>
        </w:rPr>
        <w:t xml:space="preserve"> </w:t>
      </w:r>
      <w:r w:rsidR="00C90B3B" w:rsidRPr="00457CE9">
        <w:rPr>
          <w:rFonts w:ascii="Times New Roman" w:hAnsi="Times New Roman" w:cs="Times New Roman"/>
          <w:sz w:val="28"/>
          <w:szCs w:val="28"/>
          <w:lang w:val="kk-KZ"/>
        </w:rPr>
        <w:t>Тиімділік аудиті түсінігі</w:t>
      </w:r>
      <w:r w:rsidR="00DF140B" w:rsidRPr="00457CE9">
        <w:rPr>
          <w:rFonts w:ascii="Times New Roman" w:hAnsi="Times New Roman" w:cs="Times New Roman"/>
          <w:sz w:val="28"/>
          <w:szCs w:val="28"/>
          <w:lang w:val="kk-KZ"/>
        </w:rPr>
        <w:t>не берілген авторлық</w:t>
      </w:r>
      <w:r w:rsidR="00C90B3B" w:rsidRPr="00457CE9">
        <w:rPr>
          <w:rFonts w:ascii="Times New Roman" w:hAnsi="Times New Roman" w:cs="Times New Roman"/>
          <w:sz w:val="28"/>
          <w:szCs w:val="28"/>
          <w:lang w:val="kk-KZ"/>
        </w:rPr>
        <w:t xml:space="preserve"> анықтама</w:t>
      </w:r>
      <w:r w:rsidR="00DF140B" w:rsidRPr="00457CE9">
        <w:rPr>
          <w:rFonts w:ascii="Times New Roman" w:hAnsi="Times New Roman" w:cs="Times New Roman"/>
          <w:sz w:val="28"/>
          <w:szCs w:val="28"/>
          <w:lang w:val="kk-KZ"/>
        </w:rPr>
        <w:t xml:space="preserve">лар </w:t>
      </w:r>
    </w:p>
    <w:p w14:paraId="4DB2BE5B" w14:textId="77777777" w:rsidR="00457CE9" w:rsidRPr="00457CE9" w:rsidRDefault="00457CE9" w:rsidP="00457CE9">
      <w:pPr>
        <w:spacing w:after="0" w:line="240" w:lineRule="auto"/>
        <w:jc w:val="right"/>
        <w:rPr>
          <w:rFonts w:ascii="Times New Roman" w:hAnsi="Times New Roman" w:cs="Times New Roman"/>
          <w:sz w:val="16"/>
          <w:szCs w:val="16"/>
          <w:lang w:val="kk-KZ"/>
        </w:rPr>
      </w:pPr>
    </w:p>
    <w:tbl>
      <w:tblPr>
        <w:tblStyle w:val="a3"/>
        <w:tblW w:w="9493" w:type="dxa"/>
        <w:jc w:val="center"/>
        <w:tblLayout w:type="fixed"/>
        <w:tblLook w:val="04A0" w:firstRow="1" w:lastRow="0" w:firstColumn="1" w:lastColumn="0" w:noHBand="0" w:noVBand="1"/>
      </w:tblPr>
      <w:tblGrid>
        <w:gridCol w:w="1842"/>
        <w:gridCol w:w="7651"/>
      </w:tblGrid>
      <w:tr w:rsidR="00457CE9" w:rsidRPr="00457CE9" w14:paraId="6D652826" w14:textId="77777777" w:rsidTr="006D4E84">
        <w:trPr>
          <w:jc w:val="center"/>
        </w:trPr>
        <w:tc>
          <w:tcPr>
            <w:tcW w:w="1842" w:type="dxa"/>
          </w:tcPr>
          <w:p w14:paraId="24B160E9" w14:textId="73C8577F" w:rsidR="00457CE9" w:rsidRPr="00457CE9" w:rsidRDefault="00457CE9" w:rsidP="001D7D7A">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Авторлар</w:t>
            </w:r>
          </w:p>
        </w:tc>
        <w:tc>
          <w:tcPr>
            <w:tcW w:w="7651" w:type="dxa"/>
          </w:tcPr>
          <w:p w14:paraId="43DF9C51" w14:textId="67D193C0" w:rsidR="00457CE9" w:rsidRPr="00457CE9" w:rsidRDefault="00457CE9" w:rsidP="001D7D7A">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Анықтамалар</w:t>
            </w:r>
          </w:p>
        </w:tc>
      </w:tr>
      <w:tr w:rsidR="00457CE9" w:rsidRPr="00457CE9" w14:paraId="1F9B7A62" w14:textId="77777777" w:rsidTr="006D4E84">
        <w:trPr>
          <w:jc w:val="center"/>
        </w:trPr>
        <w:tc>
          <w:tcPr>
            <w:tcW w:w="1842" w:type="dxa"/>
            <w:tcBorders>
              <w:bottom w:val="single" w:sz="4" w:space="0" w:color="auto"/>
            </w:tcBorders>
          </w:tcPr>
          <w:p w14:paraId="621200DE" w14:textId="19DBA404" w:rsidR="00457CE9" w:rsidRPr="00457CE9" w:rsidRDefault="00457CE9" w:rsidP="001D7D7A">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1</w:t>
            </w:r>
          </w:p>
        </w:tc>
        <w:tc>
          <w:tcPr>
            <w:tcW w:w="7651" w:type="dxa"/>
            <w:tcBorders>
              <w:bottom w:val="single" w:sz="4" w:space="0" w:color="auto"/>
            </w:tcBorders>
          </w:tcPr>
          <w:p w14:paraId="67B82CCC" w14:textId="1A2FFD2E" w:rsidR="00457CE9" w:rsidRPr="00457CE9" w:rsidRDefault="00457CE9" w:rsidP="001D7D7A">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2</w:t>
            </w:r>
          </w:p>
        </w:tc>
      </w:tr>
      <w:tr w:rsidR="00457CE9" w:rsidRPr="00B108D0" w14:paraId="36EF9FF7" w14:textId="77777777" w:rsidTr="006D4E84">
        <w:trPr>
          <w:jc w:val="center"/>
        </w:trPr>
        <w:tc>
          <w:tcPr>
            <w:tcW w:w="1842" w:type="dxa"/>
            <w:tcBorders>
              <w:bottom w:val="nil"/>
            </w:tcBorders>
          </w:tcPr>
          <w:p w14:paraId="7158562C" w14:textId="38639915" w:rsidR="00457CE9" w:rsidRPr="00457CE9" w:rsidRDefault="00457CE9" w:rsidP="001D7D7A">
            <w:pPr>
              <w:spacing w:line="228" w:lineRule="auto"/>
              <w:rPr>
                <w:rFonts w:ascii="Times New Roman" w:hAnsi="Times New Roman" w:cs="Times New Roman"/>
                <w:sz w:val="24"/>
                <w:szCs w:val="24"/>
                <w:lang w:val="en-US"/>
              </w:rPr>
            </w:pPr>
            <w:r w:rsidRPr="00457CE9">
              <w:rPr>
                <w:rFonts w:ascii="Times New Roman" w:hAnsi="Times New Roman"/>
                <w:sz w:val="24"/>
                <w:szCs w:val="24"/>
                <w:lang w:val="kk-KZ"/>
              </w:rPr>
              <w:t xml:space="preserve">GUID 5290 </w:t>
            </w:r>
            <w:r w:rsidRPr="00457CE9">
              <w:rPr>
                <w:rFonts w:ascii="Times New Roman" w:hAnsi="Times New Roman" w:cs="Times New Roman"/>
                <w:sz w:val="24"/>
                <w:szCs w:val="24"/>
                <w:lang w:val="kk-KZ"/>
              </w:rPr>
              <w:t xml:space="preserve">INTOSAI </w:t>
            </w:r>
            <w:r w:rsidRPr="00457CE9">
              <w:rPr>
                <w:rFonts w:ascii="Times New Roman" w:hAnsi="Times New Roman"/>
                <w:sz w:val="24"/>
                <w:szCs w:val="24"/>
                <w:lang w:val="kk-KZ"/>
              </w:rPr>
              <w:t>басшылығы</w:t>
            </w:r>
          </w:p>
        </w:tc>
        <w:tc>
          <w:tcPr>
            <w:tcW w:w="7651" w:type="dxa"/>
            <w:tcBorders>
              <w:bottom w:val="nil"/>
            </w:tcBorders>
          </w:tcPr>
          <w:p w14:paraId="64EEC45A" w14:textId="33BFF63A" w:rsidR="00457CE9" w:rsidRPr="00457CE9" w:rsidRDefault="00457CE9" w:rsidP="001D7D7A">
            <w:pPr>
              <w:spacing w:line="228" w:lineRule="auto"/>
              <w:rPr>
                <w:rFonts w:ascii="Times New Roman" w:hAnsi="Times New Roman" w:cs="Times New Roman"/>
                <w:sz w:val="24"/>
                <w:szCs w:val="24"/>
                <w:lang w:val="en-US"/>
              </w:rPr>
            </w:pPr>
            <w:r w:rsidRPr="001D7D7A">
              <w:rPr>
                <w:rFonts w:ascii="Times New Roman" w:hAnsi="Times New Roman"/>
                <w:spacing w:val="-4"/>
                <w:sz w:val="24"/>
                <w:szCs w:val="24"/>
                <w:lang w:val="kk-KZ"/>
              </w:rPr>
              <w:t>Тиімділік аудиті – бұл мемлекеттік бастамалардың, жүйелердің, опера</w:t>
            </w:r>
            <w:r w:rsidR="001D7D7A">
              <w:rPr>
                <w:rFonts w:ascii="Times New Roman" w:hAnsi="Times New Roman"/>
                <w:spacing w:val="-4"/>
                <w:sz w:val="24"/>
                <w:szCs w:val="24"/>
                <w:lang w:val="kk-KZ"/>
              </w:rPr>
              <w:t xml:space="preserve"> </w:t>
            </w:r>
            <w:r w:rsidRPr="001D7D7A">
              <w:rPr>
                <w:rFonts w:ascii="Times New Roman" w:hAnsi="Times New Roman"/>
                <w:spacing w:val="-4"/>
                <w:sz w:val="24"/>
                <w:szCs w:val="24"/>
                <w:lang w:val="kk-KZ"/>
              </w:rPr>
              <w:t>циялардың, бағдарламалардың, іс-шаралардың немесе ұйымдардың үнемділік, өнімділік, нәтижелілік қағидаларына сәйкес және оларды жақ</w:t>
            </w:r>
            <w:r w:rsidR="001D7D7A">
              <w:rPr>
                <w:rFonts w:ascii="Times New Roman" w:hAnsi="Times New Roman"/>
                <w:spacing w:val="-4"/>
                <w:sz w:val="24"/>
                <w:szCs w:val="24"/>
                <w:lang w:val="kk-KZ"/>
              </w:rPr>
              <w:t xml:space="preserve"> </w:t>
            </w:r>
            <w:r w:rsidRPr="001D7D7A">
              <w:rPr>
                <w:rFonts w:ascii="Times New Roman" w:hAnsi="Times New Roman"/>
                <w:spacing w:val="-4"/>
                <w:sz w:val="24"/>
                <w:szCs w:val="24"/>
                <w:lang w:val="kk-KZ"/>
              </w:rPr>
              <w:t>сартуға мүмкіндік бар жоғын тәуелсіз, объективті және сенімді</w:t>
            </w:r>
            <w:r w:rsidRPr="00457CE9">
              <w:rPr>
                <w:rFonts w:ascii="Times New Roman" w:hAnsi="Times New Roman"/>
                <w:sz w:val="24"/>
                <w:szCs w:val="24"/>
                <w:lang w:val="kk-KZ"/>
              </w:rPr>
              <w:t xml:space="preserve"> талдау</w:t>
            </w:r>
            <w:r w:rsidR="00AF3642">
              <w:rPr>
                <w:rFonts w:ascii="Times New Roman" w:hAnsi="Times New Roman"/>
                <w:sz w:val="24"/>
                <w:szCs w:val="24"/>
                <w:lang w:val="kk-KZ"/>
              </w:rPr>
              <w:t xml:space="preserve"> </w:t>
            </w:r>
            <w:r w:rsidR="00AF3642">
              <w:rPr>
                <w:rFonts w:ascii="Times New Roman" w:hAnsi="Times New Roman"/>
                <w:sz w:val="24"/>
                <w:szCs w:val="24"/>
                <w:lang w:val="en-US"/>
              </w:rPr>
              <w:t>[1</w:t>
            </w:r>
            <w:r w:rsidR="00100FAE">
              <w:rPr>
                <w:rFonts w:ascii="Times New Roman" w:hAnsi="Times New Roman"/>
                <w:sz w:val="24"/>
                <w:szCs w:val="24"/>
                <w:lang w:val="kk-KZ"/>
              </w:rPr>
              <w:t>7</w:t>
            </w:r>
            <w:r w:rsidR="00AF3642">
              <w:rPr>
                <w:rFonts w:ascii="Times New Roman" w:hAnsi="Times New Roman"/>
                <w:sz w:val="24"/>
                <w:szCs w:val="24"/>
                <w:lang w:val="en-US"/>
              </w:rPr>
              <w:t>]</w:t>
            </w:r>
            <w:r w:rsidRPr="00457CE9">
              <w:rPr>
                <w:rFonts w:ascii="Times New Roman" w:hAnsi="Times New Roman"/>
                <w:sz w:val="24"/>
                <w:szCs w:val="24"/>
                <w:lang w:val="kk-KZ"/>
              </w:rPr>
              <w:t xml:space="preserve"> </w:t>
            </w:r>
          </w:p>
        </w:tc>
      </w:tr>
      <w:tr w:rsidR="00457CE9" w:rsidRPr="00B108D0" w14:paraId="5E9B4900" w14:textId="77777777" w:rsidTr="006D4E84">
        <w:trPr>
          <w:jc w:val="center"/>
        </w:trPr>
        <w:tc>
          <w:tcPr>
            <w:tcW w:w="1842" w:type="dxa"/>
          </w:tcPr>
          <w:p w14:paraId="1C37E74F" w14:textId="080EAA56" w:rsidR="00457CE9" w:rsidRPr="00457CE9" w:rsidRDefault="00457CE9" w:rsidP="005575C1">
            <w:pPr>
              <w:ind w:left="-56"/>
              <w:rPr>
                <w:rFonts w:ascii="Times New Roman" w:hAnsi="Times New Roman"/>
                <w:color w:val="FF0000"/>
                <w:sz w:val="24"/>
                <w:szCs w:val="24"/>
                <w:lang w:val="kk-KZ"/>
              </w:rPr>
            </w:pPr>
            <w:r w:rsidRPr="005575C1">
              <w:rPr>
                <w:rFonts w:ascii="Times New Roman" w:hAnsi="Times New Roman" w:cs="Times New Roman"/>
                <w:spacing w:val="-4"/>
                <w:sz w:val="24"/>
                <w:szCs w:val="24"/>
                <w:lang w:val="en-US"/>
              </w:rPr>
              <w:t>Umor S., Zakaria Z.</w:t>
            </w:r>
            <w:r w:rsidRPr="00457CE9">
              <w:rPr>
                <w:rFonts w:ascii="Times New Roman" w:hAnsi="Times New Roman" w:cs="Times New Roman"/>
                <w:sz w:val="24"/>
                <w:szCs w:val="24"/>
                <w:lang w:val="kk-KZ"/>
              </w:rPr>
              <w:t xml:space="preserve"> </w:t>
            </w:r>
            <w:r w:rsidRPr="00457CE9">
              <w:rPr>
                <w:rFonts w:ascii="Times New Roman" w:hAnsi="Times New Roman" w:cs="Times New Roman"/>
                <w:sz w:val="24"/>
                <w:szCs w:val="24"/>
                <w:lang w:val="en-US"/>
              </w:rPr>
              <w:t>Sulaiman N.A., Kutty R.M.</w:t>
            </w:r>
            <w:r w:rsidRPr="00457CE9">
              <w:rPr>
                <w:rFonts w:ascii="Times New Roman" w:hAnsi="Times New Roman" w:cs="Times New Roman"/>
                <w:sz w:val="24"/>
                <w:szCs w:val="24"/>
                <w:lang w:val="kk-KZ"/>
              </w:rPr>
              <w:t xml:space="preserve"> </w:t>
            </w:r>
          </w:p>
        </w:tc>
        <w:tc>
          <w:tcPr>
            <w:tcW w:w="7651" w:type="dxa"/>
          </w:tcPr>
          <w:p w14:paraId="27B179D3" w14:textId="45F296A8" w:rsidR="00457CE9" w:rsidRPr="00457CE9" w:rsidRDefault="00457CE9" w:rsidP="00EB67B8">
            <w:pPr>
              <w:rPr>
                <w:rFonts w:ascii="Times New Roman" w:hAnsi="Times New Roman"/>
                <w:color w:val="FF0000"/>
                <w:sz w:val="24"/>
                <w:szCs w:val="24"/>
                <w:lang w:val="kk-KZ"/>
              </w:rPr>
            </w:pPr>
            <w:r w:rsidRPr="00457CE9">
              <w:rPr>
                <w:rFonts w:ascii="Times New Roman" w:hAnsi="Times New Roman" w:cs="Times New Roman"/>
                <w:sz w:val="24"/>
                <w:szCs w:val="24"/>
                <w:lang w:val="kk-KZ"/>
              </w:rPr>
              <w:t>Тиімділік аудиті мемлекеттік қаражатты үнемдеуді, пәрменді және нәтижелі пайдалануды қамтамасыз ету үшін жоғары бақылау органы пайдаланатын қызмет түрлерінің бірі ретінде анықталған</w:t>
            </w:r>
            <w:r w:rsidR="00AF3642" w:rsidRPr="00AF3642">
              <w:rPr>
                <w:rFonts w:ascii="Times New Roman" w:hAnsi="Times New Roman" w:cs="Times New Roman"/>
                <w:sz w:val="24"/>
                <w:szCs w:val="24"/>
                <w:lang w:val="kk-KZ"/>
              </w:rPr>
              <w:t xml:space="preserve"> [1</w:t>
            </w:r>
            <w:r w:rsidR="00100FAE">
              <w:rPr>
                <w:rFonts w:ascii="Times New Roman" w:hAnsi="Times New Roman" w:cs="Times New Roman"/>
                <w:sz w:val="24"/>
                <w:szCs w:val="24"/>
                <w:lang w:val="kk-KZ"/>
              </w:rPr>
              <w:t>8</w:t>
            </w:r>
            <w:r w:rsidR="00AF3642" w:rsidRPr="00AF3642">
              <w:rPr>
                <w:rFonts w:ascii="Times New Roman" w:hAnsi="Times New Roman" w:cs="Times New Roman"/>
                <w:sz w:val="24"/>
                <w:szCs w:val="24"/>
                <w:lang w:val="kk-KZ"/>
              </w:rPr>
              <w:t>]</w:t>
            </w:r>
            <w:r w:rsidRPr="00457CE9">
              <w:rPr>
                <w:rFonts w:ascii="Times New Roman" w:hAnsi="Times New Roman" w:cs="Times New Roman"/>
                <w:sz w:val="24"/>
                <w:szCs w:val="24"/>
                <w:lang w:val="kk-KZ"/>
              </w:rPr>
              <w:t xml:space="preserve"> </w:t>
            </w:r>
          </w:p>
        </w:tc>
      </w:tr>
      <w:tr w:rsidR="00AF3642" w:rsidRPr="00005151" w14:paraId="3CC57B55" w14:textId="77777777" w:rsidTr="006D4E84">
        <w:trPr>
          <w:jc w:val="center"/>
        </w:trPr>
        <w:tc>
          <w:tcPr>
            <w:tcW w:w="1842" w:type="dxa"/>
          </w:tcPr>
          <w:p w14:paraId="68088483" w14:textId="786D372E" w:rsidR="00AF3642" w:rsidRPr="00AF3642" w:rsidRDefault="00AF3642" w:rsidP="00AF3642">
            <w:pPr>
              <w:ind w:left="-56"/>
              <w:rPr>
                <w:rFonts w:ascii="Times New Roman" w:hAnsi="Times New Roman" w:cs="Times New Roman"/>
                <w:spacing w:val="-4"/>
                <w:sz w:val="24"/>
                <w:szCs w:val="24"/>
                <w:lang w:val="en-US"/>
              </w:rPr>
            </w:pPr>
            <w:r w:rsidRPr="00AF3642">
              <w:rPr>
                <w:rFonts w:ascii="Times New Roman" w:hAnsi="Times New Roman" w:cs="Times New Roman"/>
                <w:sz w:val="24"/>
                <w:szCs w:val="24"/>
                <w:lang w:val="en-US"/>
              </w:rPr>
              <w:t>Kells, Stuart</w:t>
            </w:r>
          </w:p>
        </w:tc>
        <w:tc>
          <w:tcPr>
            <w:tcW w:w="7651" w:type="dxa"/>
          </w:tcPr>
          <w:p w14:paraId="29D07281" w14:textId="132829FD" w:rsidR="00AF3642" w:rsidRPr="00AF3642" w:rsidRDefault="00AF3642" w:rsidP="00AF3642">
            <w:pPr>
              <w:rPr>
                <w:rFonts w:ascii="Times New Roman" w:hAnsi="Times New Roman" w:cs="Times New Roman"/>
                <w:sz w:val="24"/>
                <w:szCs w:val="24"/>
                <w:lang w:val="kk-KZ"/>
              </w:rPr>
            </w:pPr>
            <w:r w:rsidRPr="00AF3642">
              <w:rPr>
                <w:rFonts w:ascii="Times New Roman" w:hAnsi="Times New Roman" w:cs="Times New Roman"/>
                <w:color w:val="000000"/>
                <w:sz w:val="24"/>
                <w:szCs w:val="24"/>
              </w:rPr>
              <w:t>Тиімділік</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аудиті</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көптеген</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елдерде</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демократиялық</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басқарудың</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бұрыннан</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келе</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жатқан</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ерекшелігі</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болып</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табылады</w:t>
            </w:r>
            <w:r w:rsidRPr="00AF3642">
              <w:rPr>
                <w:rFonts w:ascii="Times New Roman" w:hAnsi="Times New Roman" w:cs="Times New Roman"/>
                <w:color w:val="000000"/>
                <w:sz w:val="24"/>
                <w:szCs w:val="24"/>
                <w:lang w:val="en-US"/>
              </w:rPr>
              <w:t xml:space="preserve">. </w:t>
            </w:r>
            <w:r w:rsidRPr="00AF3642">
              <w:rPr>
                <w:rFonts w:ascii="Times New Roman" w:hAnsi="Times New Roman" w:cs="Times New Roman"/>
                <w:color w:val="000000"/>
                <w:sz w:val="24"/>
                <w:szCs w:val="24"/>
              </w:rPr>
              <w:t>Ол мемлекеттік сектор ұйымдарының тиімділігін арттыруға бағытталған</w:t>
            </w:r>
            <w:r w:rsidRPr="00AF3642">
              <w:rPr>
                <w:rFonts w:ascii="Times New Roman" w:hAnsi="Times New Roman" w:cs="Times New Roman"/>
                <w:color w:val="000000"/>
                <w:sz w:val="24"/>
                <w:szCs w:val="24"/>
                <w:lang w:val="en-US"/>
              </w:rPr>
              <w:t xml:space="preserve"> [</w:t>
            </w:r>
            <w:r w:rsidR="00100FAE">
              <w:rPr>
                <w:rFonts w:ascii="Times New Roman" w:hAnsi="Times New Roman" w:cs="Times New Roman"/>
                <w:color w:val="000000"/>
                <w:sz w:val="24"/>
                <w:szCs w:val="24"/>
                <w:lang w:val="kk-KZ"/>
              </w:rPr>
              <w:t>19</w:t>
            </w:r>
            <w:r w:rsidRPr="00AF3642">
              <w:rPr>
                <w:rFonts w:ascii="Times New Roman" w:hAnsi="Times New Roman" w:cs="Times New Roman"/>
                <w:color w:val="000000"/>
                <w:sz w:val="24"/>
                <w:szCs w:val="24"/>
                <w:lang w:val="en-US"/>
              </w:rPr>
              <w:t xml:space="preserve">] </w:t>
            </w:r>
          </w:p>
        </w:tc>
      </w:tr>
      <w:tr w:rsidR="00AF3642" w:rsidRPr="00B108D0" w14:paraId="1723A9A1" w14:textId="77777777" w:rsidTr="006D4E84">
        <w:trPr>
          <w:jc w:val="center"/>
        </w:trPr>
        <w:tc>
          <w:tcPr>
            <w:tcW w:w="1842" w:type="dxa"/>
          </w:tcPr>
          <w:p w14:paraId="3C2C6D3E" w14:textId="717C2379" w:rsidR="00AF3642" w:rsidRPr="00AF3642" w:rsidRDefault="00AF3642" w:rsidP="00AF3642">
            <w:pPr>
              <w:ind w:left="-56"/>
              <w:rPr>
                <w:rFonts w:ascii="Times New Roman" w:hAnsi="Times New Roman" w:cs="Times New Roman"/>
                <w:spacing w:val="-4"/>
                <w:sz w:val="24"/>
                <w:szCs w:val="24"/>
                <w:lang w:val="en-US"/>
              </w:rPr>
            </w:pPr>
            <w:r w:rsidRPr="00AF3642">
              <w:rPr>
                <w:rFonts w:ascii="Times New Roman" w:hAnsi="Times New Roman" w:cs="Times New Roman"/>
                <w:color w:val="000000"/>
                <w:sz w:val="24"/>
                <w:szCs w:val="24"/>
                <w:lang w:val="kk-KZ"/>
              </w:rPr>
              <w:t>Barzelay</w:t>
            </w:r>
          </w:p>
        </w:tc>
        <w:tc>
          <w:tcPr>
            <w:tcW w:w="7651" w:type="dxa"/>
          </w:tcPr>
          <w:p w14:paraId="0F67AB4F" w14:textId="466C2638" w:rsidR="00AF3642" w:rsidRPr="00AF3642" w:rsidRDefault="00AF3642" w:rsidP="00AF3642">
            <w:pPr>
              <w:rPr>
                <w:rFonts w:ascii="Times New Roman" w:hAnsi="Times New Roman" w:cs="Times New Roman"/>
                <w:sz w:val="24"/>
                <w:szCs w:val="24"/>
                <w:lang w:val="kk-KZ"/>
              </w:rPr>
            </w:pPr>
            <w:r w:rsidRPr="00AF3642">
              <w:rPr>
                <w:rFonts w:ascii="Times New Roman" w:hAnsi="Times New Roman" w:cs="Times New Roman"/>
                <w:color w:val="000000"/>
                <w:sz w:val="24"/>
                <w:szCs w:val="24"/>
                <w:lang w:val="kk-KZ"/>
              </w:rPr>
              <w:t>VfM аудиті қаржылық аудиттен айырмашылығы оның бейтарап бақылау әдісінен де көп деп санайды</w:t>
            </w:r>
            <w:r w:rsidRPr="00AF3642">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2</w:t>
            </w:r>
            <w:r w:rsidR="00100FAE">
              <w:rPr>
                <w:rFonts w:ascii="Times New Roman" w:hAnsi="Times New Roman" w:cs="Times New Roman"/>
                <w:color w:val="000000"/>
                <w:sz w:val="24"/>
                <w:szCs w:val="24"/>
                <w:lang w:val="kk-KZ"/>
              </w:rPr>
              <w:t>0</w:t>
            </w:r>
            <w:r w:rsidRPr="00AF3642">
              <w:rPr>
                <w:rFonts w:ascii="Times New Roman" w:hAnsi="Times New Roman" w:cs="Times New Roman"/>
                <w:color w:val="000000"/>
                <w:sz w:val="24"/>
                <w:szCs w:val="24"/>
                <w:lang w:val="en-US"/>
              </w:rPr>
              <w:t>]</w:t>
            </w:r>
          </w:p>
        </w:tc>
      </w:tr>
      <w:tr w:rsidR="00AF3642" w:rsidRPr="00B108D0" w14:paraId="07B38176" w14:textId="77777777" w:rsidTr="006D4E84">
        <w:trPr>
          <w:jc w:val="center"/>
        </w:trPr>
        <w:tc>
          <w:tcPr>
            <w:tcW w:w="1842" w:type="dxa"/>
          </w:tcPr>
          <w:p w14:paraId="63EEF07A" w14:textId="492F9E29" w:rsidR="00AF3642" w:rsidRPr="00AF3642" w:rsidRDefault="00AF3642" w:rsidP="00AF3642">
            <w:pPr>
              <w:ind w:left="-56"/>
              <w:rPr>
                <w:rFonts w:ascii="Times New Roman" w:hAnsi="Times New Roman" w:cs="Times New Roman"/>
                <w:spacing w:val="-4"/>
                <w:sz w:val="24"/>
                <w:szCs w:val="24"/>
                <w:lang w:val="en-US"/>
              </w:rPr>
            </w:pPr>
            <w:r w:rsidRPr="00AF3642">
              <w:rPr>
                <w:rFonts w:ascii="Times New Roman" w:hAnsi="Times New Roman" w:cs="Times New Roman"/>
                <w:color w:val="000000"/>
                <w:sz w:val="24"/>
                <w:szCs w:val="24"/>
                <w:lang w:val="en-US"/>
              </w:rPr>
              <w:t>Persi</w:t>
            </w:r>
          </w:p>
        </w:tc>
        <w:tc>
          <w:tcPr>
            <w:tcW w:w="7651" w:type="dxa"/>
          </w:tcPr>
          <w:p w14:paraId="608C76B9" w14:textId="35D6C122" w:rsidR="00AF3642" w:rsidRPr="00AF3642" w:rsidRDefault="00AF3642" w:rsidP="00AF3642">
            <w:pPr>
              <w:rPr>
                <w:rFonts w:ascii="Times New Roman" w:hAnsi="Times New Roman" w:cs="Times New Roman"/>
                <w:sz w:val="24"/>
                <w:szCs w:val="24"/>
                <w:lang w:val="kk-KZ"/>
              </w:rPr>
            </w:pPr>
            <w:r w:rsidRPr="00AF3642">
              <w:rPr>
                <w:rFonts w:ascii="Times New Roman" w:hAnsi="Times New Roman" w:cs="Times New Roman"/>
                <w:color w:val="000000"/>
                <w:sz w:val="24"/>
                <w:szCs w:val="24"/>
                <w:lang w:val="kk-KZ"/>
              </w:rPr>
              <w:t>VfM аудиті</w:t>
            </w:r>
            <w:r w:rsidRPr="00AF3642">
              <w:rPr>
                <w:rFonts w:ascii="Times New Roman" w:hAnsi="Times New Roman" w:cs="Times New Roman"/>
                <w:color w:val="000000"/>
                <w:sz w:val="24"/>
                <w:szCs w:val="24"/>
                <w:lang w:val="en-US"/>
              </w:rPr>
              <w:t xml:space="preserve">y </w:t>
            </w:r>
            <w:r w:rsidRPr="00AF3642">
              <w:rPr>
                <w:rFonts w:ascii="Times New Roman" w:hAnsi="Times New Roman" w:cs="Times New Roman"/>
                <w:color w:val="000000"/>
                <w:sz w:val="24"/>
                <w:szCs w:val="24"/>
                <w:lang w:val="kk-KZ"/>
              </w:rPr>
              <w:t xml:space="preserve">қоғамдық ұйымдар туралы есеп беру үшін тағайындалған аудиторлар өз жұмыстарын тек мемлекеттік сектордың шығындарына деген сенімді сақтау үшін ғана емес сонымен қатар, ұйымдардың </w:t>
            </w:r>
            <w:r w:rsidR="006D4E84" w:rsidRPr="00AF3642">
              <w:rPr>
                <w:rFonts w:ascii="Times New Roman" w:hAnsi="Times New Roman" w:cs="Times New Roman"/>
                <w:color w:val="000000"/>
                <w:sz w:val="24"/>
                <w:szCs w:val="24"/>
                <w:lang w:val="kk-KZ"/>
              </w:rPr>
              <w:t>жақсартуларға қалай қол жеткізе алатындығы туралы есеп беру арқылы</w:t>
            </w:r>
          </w:p>
        </w:tc>
      </w:tr>
      <w:tr w:rsidR="00DD625A" w14:paraId="07220976" w14:textId="77777777" w:rsidTr="00DD625A">
        <w:trPr>
          <w:jc w:val="center"/>
        </w:trPr>
        <w:tc>
          <w:tcPr>
            <w:tcW w:w="9493" w:type="dxa"/>
            <w:gridSpan w:val="2"/>
            <w:tcBorders>
              <w:top w:val="nil"/>
              <w:left w:val="nil"/>
              <w:bottom w:val="single" w:sz="4" w:space="0" w:color="auto"/>
              <w:right w:val="nil"/>
            </w:tcBorders>
          </w:tcPr>
          <w:p w14:paraId="3CD415D1" w14:textId="77777777" w:rsidR="00DD625A" w:rsidRDefault="00DD625A">
            <w:pPr>
              <w:ind w:hanging="126"/>
              <w:rPr>
                <w:rFonts w:ascii="Times New Roman" w:hAnsi="Times New Roman" w:cs="Times New Roman"/>
                <w:sz w:val="28"/>
                <w:szCs w:val="28"/>
                <w:lang w:val="kk-KZ"/>
              </w:rPr>
            </w:pPr>
            <w:r>
              <w:rPr>
                <w:rFonts w:ascii="Times New Roman" w:hAnsi="Times New Roman" w:cs="Times New Roman"/>
                <w:sz w:val="28"/>
                <w:szCs w:val="28"/>
                <w:lang w:val="kk-KZ"/>
              </w:rPr>
              <w:t>1-кестенің жалғасы</w:t>
            </w:r>
          </w:p>
          <w:p w14:paraId="2F55BC35" w14:textId="77777777" w:rsidR="00DD625A" w:rsidRDefault="00DD625A">
            <w:pPr>
              <w:ind w:hanging="126"/>
              <w:rPr>
                <w:rFonts w:ascii="Times New Roman" w:hAnsi="Times New Roman" w:cs="Times New Roman"/>
                <w:sz w:val="16"/>
                <w:szCs w:val="16"/>
                <w:lang w:val="kk-KZ"/>
              </w:rPr>
            </w:pPr>
          </w:p>
        </w:tc>
      </w:tr>
      <w:tr w:rsidR="00DD625A" w14:paraId="6C696A2A" w14:textId="77777777" w:rsidTr="006D4E84">
        <w:trPr>
          <w:jc w:val="center"/>
        </w:trPr>
        <w:tc>
          <w:tcPr>
            <w:tcW w:w="1842" w:type="dxa"/>
            <w:tcBorders>
              <w:top w:val="single" w:sz="4" w:space="0" w:color="auto"/>
              <w:left w:val="single" w:sz="4" w:space="0" w:color="auto"/>
              <w:bottom w:val="single" w:sz="4" w:space="0" w:color="auto"/>
              <w:right w:val="single" w:sz="4" w:space="0" w:color="auto"/>
            </w:tcBorders>
            <w:hideMark/>
          </w:tcPr>
          <w:p w14:paraId="3FD19CEE" w14:textId="77777777" w:rsidR="00DD625A" w:rsidRDefault="00DD625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651" w:type="dxa"/>
            <w:tcBorders>
              <w:top w:val="single" w:sz="4" w:space="0" w:color="auto"/>
              <w:left w:val="single" w:sz="4" w:space="0" w:color="auto"/>
              <w:bottom w:val="single" w:sz="4" w:space="0" w:color="auto"/>
              <w:right w:val="single" w:sz="4" w:space="0" w:color="auto"/>
            </w:tcBorders>
            <w:hideMark/>
          </w:tcPr>
          <w:p w14:paraId="677E1E9D" w14:textId="77777777" w:rsidR="00DD625A" w:rsidRDefault="00DD625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DD625A" w:rsidRPr="00B108D0" w14:paraId="3A6D5871" w14:textId="77777777" w:rsidTr="006D4E84">
        <w:trPr>
          <w:jc w:val="center"/>
        </w:trPr>
        <w:tc>
          <w:tcPr>
            <w:tcW w:w="1842" w:type="dxa"/>
            <w:tcBorders>
              <w:top w:val="single" w:sz="4" w:space="0" w:color="auto"/>
              <w:left w:val="single" w:sz="4" w:space="0" w:color="auto"/>
              <w:bottom w:val="single" w:sz="4" w:space="0" w:color="auto"/>
              <w:right w:val="single" w:sz="4" w:space="0" w:color="auto"/>
            </w:tcBorders>
          </w:tcPr>
          <w:p w14:paraId="5E4669B4" w14:textId="77777777" w:rsidR="00DD625A" w:rsidRDefault="00DD625A">
            <w:pPr>
              <w:jc w:val="center"/>
              <w:rPr>
                <w:rFonts w:ascii="Times New Roman" w:hAnsi="Times New Roman" w:cs="Times New Roman"/>
                <w:sz w:val="24"/>
                <w:szCs w:val="24"/>
                <w:lang w:val="kk-KZ"/>
              </w:rPr>
            </w:pPr>
          </w:p>
        </w:tc>
        <w:tc>
          <w:tcPr>
            <w:tcW w:w="7651" w:type="dxa"/>
            <w:tcBorders>
              <w:top w:val="single" w:sz="4" w:space="0" w:color="auto"/>
              <w:left w:val="single" w:sz="4" w:space="0" w:color="auto"/>
              <w:bottom w:val="single" w:sz="4" w:space="0" w:color="auto"/>
              <w:right w:val="single" w:sz="4" w:space="0" w:color="auto"/>
            </w:tcBorders>
          </w:tcPr>
          <w:p w14:paraId="4E51FD40" w14:textId="0F9A846B" w:rsidR="00DD625A" w:rsidRDefault="00DD625A" w:rsidP="00DD625A">
            <w:pPr>
              <w:rPr>
                <w:rFonts w:ascii="Times New Roman" w:hAnsi="Times New Roman" w:cs="Times New Roman"/>
                <w:sz w:val="24"/>
                <w:szCs w:val="24"/>
                <w:lang w:val="kk-KZ"/>
              </w:rPr>
            </w:pPr>
            <w:r w:rsidRPr="00AF3642">
              <w:rPr>
                <w:rFonts w:ascii="Times New Roman" w:hAnsi="Times New Roman" w:cs="Times New Roman"/>
                <w:color w:val="000000"/>
                <w:sz w:val="24"/>
                <w:szCs w:val="24"/>
                <w:lang w:val="kk-KZ"/>
              </w:rPr>
              <w:t>мемлекеттік қызмет көрсетуде құндылықты арттыруды орындайды деп күтілуде</w:t>
            </w:r>
            <w:r w:rsidRPr="00DD625A">
              <w:rPr>
                <w:rFonts w:ascii="Times New Roman" w:hAnsi="Times New Roman" w:cs="Times New Roman"/>
                <w:color w:val="000000"/>
                <w:sz w:val="24"/>
                <w:szCs w:val="24"/>
                <w:lang w:val="kk-KZ"/>
              </w:rPr>
              <w:t xml:space="preserve"> [2</w:t>
            </w:r>
            <w:r>
              <w:rPr>
                <w:rFonts w:ascii="Times New Roman" w:hAnsi="Times New Roman" w:cs="Times New Roman"/>
                <w:color w:val="000000"/>
                <w:sz w:val="24"/>
                <w:szCs w:val="24"/>
                <w:lang w:val="kk-KZ"/>
              </w:rPr>
              <w:t>1</w:t>
            </w:r>
            <w:r w:rsidRPr="00DD625A">
              <w:rPr>
                <w:rFonts w:ascii="Times New Roman" w:hAnsi="Times New Roman" w:cs="Times New Roman"/>
                <w:color w:val="000000"/>
                <w:sz w:val="24"/>
                <w:szCs w:val="24"/>
                <w:lang w:val="kk-KZ"/>
              </w:rPr>
              <w:t>]</w:t>
            </w:r>
          </w:p>
        </w:tc>
      </w:tr>
      <w:tr w:rsidR="00AF3642" w:rsidRPr="00B108D0" w14:paraId="48482D36" w14:textId="77777777" w:rsidTr="006D4E84">
        <w:trPr>
          <w:jc w:val="center"/>
        </w:trPr>
        <w:tc>
          <w:tcPr>
            <w:tcW w:w="1842" w:type="dxa"/>
          </w:tcPr>
          <w:p w14:paraId="194D5CEE" w14:textId="4965C989" w:rsidR="00AF3642" w:rsidRPr="00AF3642" w:rsidRDefault="00287223" w:rsidP="00AF3642">
            <w:pPr>
              <w:ind w:left="-56"/>
              <w:rPr>
                <w:rFonts w:ascii="Times New Roman" w:hAnsi="Times New Roman" w:cs="Times New Roman"/>
                <w:spacing w:val="-4"/>
                <w:sz w:val="24"/>
                <w:szCs w:val="24"/>
                <w:lang w:val="en-US"/>
              </w:rPr>
            </w:pPr>
            <w:r w:rsidRPr="00AF3642">
              <w:rPr>
                <w:rFonts w:ascii="Times New Roman" w:hAnsi="Times New Roman" w:cs="Times New Roman"/>
                <w:sz w:val="24"/>
                <w:szCs w:val="24"/>
                <w:lang w:val="en-US"/>
              </w:rPr>
              <w:t xml:space="preserve">M. </w:t>
            </w:r>
            <w:r w:rsidR="00AF3642" w:rsidRPr="00AF3642">
              <w:rPr>
                <w:rFonts w:ascii="Times New Roman" w:hAnsi="Times New Roman" w:cs="Times New Roman"/>
                <w:sz w:val="24"/>
                <w:szCs w:val="24"/>
                <w:lang w:val="en-US"/>
              </w:rPr>
              <w:t>Bowerman</w:t>
            </w:r>
            <w:r>
              <w:rPr>
                <w:rFonts w:ascii="Times New Roman" w:hAnsi="Times New Roman" w:cs="Times New Roman"/>
                <w:sz w:val="24"/>
                <w:szCs w:val="24"/>
                <w:lang w:val="kk-KZ"/>
              </w:rPr>
              <w:t>,</w:t>
            </w:r>
            <w:r w:rsidR="00AF3642" w:rsidRPr="00AF3642">
              <w:rPr>
                <w:rFonts w:ascii="Times New Roman" w:hAnsi="Times New Roman" w:cs="Times New Roman"/>
                <w:sz w:val="24"/>
                <w:szCs w:val="24"/>
                <w:lang w:val="en-US"/>
              </w:rPr>
              <w:t xml:space="preserve"> </w:t>
            </w:r>
            <w:r w:rsidRPr="00AF3642">
              <w:rPr>
                <w:rFonts w:ascii="Times New Roman" w:hAnsi="Times New Roman" w:cs="Times New Roman"/>
                <w:sz w:val="24"/>
                <w:szCs w:val="24"/>
                <w:lang w:val="en-US"/>
              </w:rPr>
              <w:t>H.</w:t>
            </w:r>
            <w:r>
              <w:rPr>
                <w:rFonts w:ascii="Times New Roman" w:hAnsi="Times New Roman" w:cs="Times New Roman"/>
                <w:sz w:val="24"/>
                <w:szCs w:val="24"/>
                <w:lang w:val="kk-KZ"/>
              </w:rPr>
              <w:t xml:space="preserve"> </w:t>
            </w:r>
            <w:r w:rsidR="00AF3642" w:rsidRPr="00AF3642">
              <w:rPr>
                <w:rFonts w:ascii="Times New Roman" w:hAnsi="Times New Roman" w:cs="Times New Roman"/>
                <w:sz w:val="24"/>
                <w:szCs w:val="24"/>
                <w:lang w:val="en-US"/>
              </w:rPr>
              <w:t>Raby and Humphrey</w:t>
            </w:r>
            <w:r w:rsidR="00AF3642" w:rsidRPr="00AF3642">
              <w:rPr>
                <w:rFonts w:ascii="Times New Roman" w:hAnsi="Times New Roman" w:cs="Times New Roman"/>
                <w:color w:val="000000"/>
                <w:sz w:val="24"/>
                <w:szCs w:val="24"/>
                <w:lang w:val="kk-KZ"/>
              </w:rPr>
              <w:t xml:space="preserve"> </w:t>
            </w:r>
          </w:p>
        </w:tc>
        <w:tc>
          <w:tcPr>
            <w:tcW w:w="7651" w:type="dxa"/>
          </w:tcPr>
          <w:p w14:paraId="47F2CA50" w14:textId="614333C3" w:rsidR="00AF3642" w:rsidRPr="00AF3642" w:rsidRDefault="00AF3642" w:rsidP="00AF3642">
            <w:pPr>
              <w:rPr>
                <w:rFonts w:ascii="Times New Roman" w:hAnsi="Times New Roman" w:cs="Times New Roman"/>
                <w:sz w:val="24"/>
                <w:szCs w:val="24"/>
                <w:lang w:val="kk-KZ"/>
              </w:rPr>
            </w:pPr>
            <w:r w:rsidRPr="00AF3642">
              <w:rPr>
                <w:rFonts w:ascii="Times New Roman" w:hAnsi="Times New Roman" w:cs="Times New Roman"/>
                <w:color w:val="000000"/>
                <w:sz w:val="24"/>
                <w:szCs w:val="24"/>
                <w:lang w:val="kk-KZ"/>
              </w:rPr>
              <w:t>Тиімділік аудиті маңызды құрал екенін, бірақ мемлекеттік сектор басшылары мен шенеуніктері есеп беру мен жұмыс тиімділігін арттыру үшін пайдаланатын тиімділік пен мониторингті өлшеудің кең ауқымының бірі ғана екенін атап өтті [</w:t>
            </w:r>
            <w:r>
              <w:rPr>
                <w:rFonts w:ascii="Times New Roman" w:hAnsi="Times New Roman" w:cs="Times New Roman"/>
                <w:color w:val="000000"/>
                <w:sz w:val="24"/>
                <w:szCs w:val="24"/>
                <w:lang w:val="en-US"/>
              </w:rPr>
              <w:t>2</w:t>
            </w:r>
            <w:r w:rsidR="00100FAE">
              <w:rPr>
                <w:rFonts w:ascii="Times New Roman" w:hAnsi="Times New Roman" w:cs="Times New Roman"/>
                <w:color w:val="000000"/>
                <w:sz w:val="24"/>
                <w:szCs w:val="24"/>
                <w:lang w:val="kk-KZ"/>
              </w:rPr>
              <w:t>2</w:t>
            </w:r>
            <w:r w:rsidRPr="00AF3642">
              <w:rPr>
                <w:rFonts w:ascii="Times New Roman" w:hAnsi="Times New Roman" w:cs="Times New Roman"/>
                <w:color w:val="000000"/>
                <w:sz w:val="24"/>
                <w:szCs w:val="24"/>
                <w:lang w:val="kk-KZ"/>
              </w:rPr>
              <w:t>]</w:t>
            </w:r>
          </w:p>
        </w:tc>
      </w:tr>
      <w:tr w:rsidR="00457CE9" w:rsidRPr="00B108D0" w14:paraId="16AA9F2A" w14:textId="77777777" w:rsidTr="006D4E84">
        <w:trPr>
          <w:jc w:val="center"/>
        </w:trPr>
        <w:tc>
          <w:tcPr>
            <w:tcW w:w="1842" w:type="dxa"/>
          </w:tcPr>
          <w:p w14:paraId="201BC8CA" w14:textId="77777777"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А.С. Садчиков</w:t>
            </w:r>
          </w:p>
        </w:tc>
        <w:tc>
          <w:tcPr>
            <w:tcW w:w="7651" w:type="dxa"/>
          </w:tcPr>
          <w:p w14:paraId="64F2AEDE" w14:textId="4076EF05" w:rsidR="00457CE9" w:rsidRPr="00457CE9"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Тиімділік аудитімен тұтас алғанда осы объектінің тиімділік деңгейі туралы, сондай-ақ осы объектіні басқару тиімділігінің деңгейі туралы, атап айтқанда әрбір түрі бойынша бөлінген ресурстарды пайдаланудың тиімділігі туралы қорытынды жасауға мүмкіндік беретін бақылау объектісі туралы шынайы деректерді алуға бағытталған бақылау және сараптамалық-талдамалық іс-шаралар кешені түсініледі</w:t>
            </w:r>
            <w:r w:rsidR="00AF3642" w:rsidRPr="00AF3642">
              <w:rPr>
                <w:rFonts w:ascii="Times New Roman" w:hAnsi="Times New Roman" w:cs="Times New Roman"/>
                <w:sz w:val="24"/>
                <w:szCs w:val="24"/>
                <w:lang w:val="kk-KZ"/>
              </w:rPr>
              <w:t xml:space="preserve"> [2</w:t>
            </w:r>
            <w:r w:rsidR="00100FAE">
              <w:rPr>
                <w:rFonts w:ascii="Times New Roman" w:hAnsi="Times New Roman" w:cs="Times New Roman"/>
                <w:sz w:val="24"/>
                <w:szCs w:val="24"/>
                <w:lang w:val="kk-KZ"/>
              </w:rPr>
              <w:t>3</w:t>
            </w:r>
            <w:r w:rsidR="00AF3642" w:rsidRPr="00AF3642">
              <w:rPr>
                <w:rFonts w:ascii="Times New Roman" w:hAnsi="Times New Roman" w:cs="Times New Roman"/>
                <w:sz w:val="24"/>
                <w:szCs w:val="24"/>
                <w:lang w:val="kk-KZ"/>
              </w:rPr>
              <w:t>]</w:t>
            </w:r>
            <w:r w:rsidRPr="00457CE9">
              <w:rPr>
                <w:rFonts w:ascii="Times New Roman" w:hAnsi="Times New Roman" w:cs="Times New Roman"/>
                <w:sz w:val="24"/>
                <w:szCs w:val="24"/>
                <w:lang w:val="kk-KZ"/>
              </w:rPr>
              <w:t xml:space="preserve"> </w:t>
            </w:r>
          </w:p>
        </w:tc>
      </w:tr>
      <w:tr w:rsidR="00457CE9" w:rsidRPr="00B108D0" w14:paraId="7FEE9412" w14:textId="77777777" w:rsidTr="006D4E84">
        <w:trPr>
          <w:jc w:val="center"/>
        </w:trPr>
        <w:tc>
          <w:tcPr>
            <w:tcW w:w="1842" w:type="dxa"/>
          </w:tcPr>
          <w:p w14:paraId="2A1F7850" w14:textId="77777777"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Ю.Б. Слободяник</w:t>
            </w:r>
          </w:p>
        </w:tc>
        <w:tc>
          <w:tcPr>
            <w:tcW w:w="7651" w:type="dxa"/>
          </w:tcPr>
          <w:p w14:paraId="1457502F" w14:textId="306D7D08" w:rsidR="00457CE9" w:rsidRPr="00457CE9"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Тиімділік аудитінің мақсаты – аудиттің негізгі мәселелеріне жауап беру және аудиторлардың жұмысын жақсарту бойынша ұсыныстар енгізу»</w:t>
            </w:r>
            <w:r w:rsidR="006E31AE">
              <w:rPr>
                <w:rFonts w:ascii="Times New Roman" w:hAnsi="Times New Roman" w:cs="Times New Roman"/>
                <w:sz w:val="24"/>
                <w:szCs w:val="24"/>
                <w:lang w:val="kk-KZ"/>
              </w:rPr>
              <w:t xml:space="preserve"> </w:t>
            </w:r>
            <w:r w:rsidR="006E31AE" w:rsidRPr="006E31AE">
              <w:rPr>
                <w:rFonts w:ascii="Times New Roman" w:hAnsi="Times New Roman" w:cs="Times New Roman"/>
                <w:sz w:val="24"/>
                <w:szCs w:val="24"/>
                <w:lang w:val="kk-KZ"/>
              </w:rPr>
              <w:t>[2</w:t>
            </w:r>
            <w:r w:rsidR="00100FAE">
              <w:rPr>
                <w:rFonts w:ascii="Times New Roman" w:hAnsi="Times New Roman" w:cs="Times New Roman"/>
                <w:sz w:val="24"/>
                <w:szCs w:val="24"/>
                <w:lang w:val="kk-KZ"/>
              </w:rPr>
              <w:t>4</w:t>
            </w:r>
            <w:r w:rsidR="006E31AE" w:rsidRPr="006E31AE">
              <w:rPr>
                <w:rFonts w:ascii="Times New Roman" w:hAnsi="Times New Roman" w:cs="Times New Roman"/>
                <w:sz w:val="24"/>
                <w:szCs w:val="24"/>
                <w:lang w:val="kk-KZ"/>
              </w:rPr>
              <w:t>]</w:t>
            </w:r>
            <w:r w:rsidRPr="00457CE9">
              <w:rPr>
                <w:rFonts w:ascii="Times New Roman" w:hAnsi="Times New Roman" w:cs="Times New Roman"/>
                <w:sz w:val="24"/>
                <w:szCs w:val="24"/>
                <w:lang w:val="kk-KZ"/>
              </w:rPr>
              <w:t xml:space="preserve"> </w:t>
            </w:r>
          </w:p>
        </w:tc>
      </w:tr>
      <w:tr w:rsidR="00457CE9" w:rsidRPr="00B108D0" w14:paraId="5374CD12" w14:textId="77777777" w:rsidTr="006D4E84">
        <w:trPr>
          <w:jc w:val="center"/>
        </w:trPr>
        <w:tc>
          <w:tcPr>
            <w:tcW w:w="1842" w:type="dxa"/>
          </w:tcPr>
          <w:p w14:paraId="441EBCF2" w14:textId="6AAB8C70"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А.Н. Саунин</w:t>
            </w:r>
          </w:p>
        </w:tc>
        <w:tc>
          <w:tcPr>
            <w:tcW w:w="7651" w:type="dxa"/>
          </w:tcPr>
          <w:p w14:paraId="6A43670E" w14:textId="22D8F73C" w:rsidR="00457CE9" w:rsidRPr="00AF2FEC"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Мемлекеттік билік органдарының және басқа да мемлекеттік қаражатты иеленушілер мен алушылардың қызметіне тексеру жүргізу жолымен жүзеге асырылатын мемлекеттік қаражатты қаржылық бақылаудың бір түрі» Тиімділік аудитін «өзіне жүктелген функциялар мен қойылған міндеттерді орындау үшін алынған мемлекеттік қаражатты пайдаланудың тиімділігін анықтау </w:t>
            </w:r>
            <w:r w:rsidR="00AF2FEC" w:rsidRPr="00AF2FEC">
              <w:rPr>
                <w:rFonts w:ascii="Times New Roman" w:hAnsi="Times New Roman" w:cs="Times New Roman"/>
                <w:sz w:val="24"/>
                <w:szCs w:val="24"/>
                <w:lang w:val="kk-KZ"/>
              </w:rPr>
              <w:t>[2</w:t>
            </w:r>
            <w:r w:rsidR="00100FAE">
              <w:rPr>
                <w:rFonts w:ascii="Times New Roman" w:hAnsi="Times New Roman" w:cs="Times New Roman"/>
                <w:sz w:val="24"/>
                <w:szCs w:val="24"/>
                <w:lang w:val="kk-KZ"/>
              </w:rPr>
              <w:t>5</w:t>
            </w:r>
            <w:r w:rsidR="00AF2FEC" w:rsidRPr="00AF2FEC">
              <w:rPr>
                <w:rFonts w:ascii="Times New Roman" w:hAnsi="Times New Roman" w:cs="Times New Roman"/>
                <w:sz w:val="24"/>
                <w:szCs w:val="24"/>
                <w:lang w:val="kk-KZ"/>
              </w:rPr>
              <w:t>]</w:t>
            </w:r>
          </w:p>
        </w:tc>
      </w:tr>
      <w:tr w:rsidR="00457CE9" w:rsidRPr="00B108D0" w14:paraId="59B6ADF3" w14:textId="77777777" w:rsidTr="006D4E84">
        <w:trPr>
          <w:trHeight w:val="1190"/>
          <w:jc w:val="center"/>
        </w:trPr>
        <w:tc>
          <w:tcPr>
            <w:tcW w:w="1842" w:type="dxa"/>
          </w:tcPr>
          <w:p w14:paraId="733B300C" w14:textId="3A7B9EFC"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В. А. Жуков</w:t>
            </w:r>
          </w:p>
        </w:tc>
        <w:tc>
          <w:tcPr>
            <w:tcW w:w="7651" w:type="dxa"/>
          </w:tcPr>
          <w:p w14:paraId="40AF2688" w14:textId="7F9CF7F5" w:rsidR="00457CE9" w:rsidRPr="00AF2FEC"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Тиімділік аудиті – қаржылық, материалдық және табиғи ресурстарды пайдалану бойынша бақылау объектілері қызметінің тиімділігін тексеру және анықталған бұзушылықтарды, кемшіліктер мен проблемаларды жою бойынша шаралар жүйесін әзірлеу </w:t>
            </w:r>
            <w:r w:rsidR="00AF2FEC" w:rsidRPr="00AF2FEC">
              <w:rPr>
                <w:rFonts w:ascii="Times New Roman" w:hAnsi="Times New Roman" w:cs="Times New Roman"/>
                <w:sz w:val="24"/>
                <w:szCs w:val="24"/>
                <w:lang w:val="kk-KZ"/>
              </w:rPr>
              <w:t>[2</w:t>
            </w:r>
            <w:r w:rsidR="00100FAE">
              <w:rPr>
                <w:rFonts w:ascii="Times New Roman" w:hAnsi="Times New Roman" w:cs="Times New Roman"/>
                <w:sz w:val="24"/>
                <w:szCs w:val="24"/>
                <w:lang w:val="kk-KZ"/>
              </w:rPr>
              <w:t>6</w:t>
            </w:r>
            <w:r w:rsidR="00AF2FEC" w:rsidRPr="00AF2FEC">
              <w:rPr>
                <w:rFonts w:ascii="Times New Roman" w:hAnsi="Times New Roman" w:cs="Times New Roman"/>
                <w:sz w:val="24"/>
                <w:szCs w:val="24"/>
                <w:lang w:val="kk-KZ"/>
              </w:rPr>
              <w:t>]</w:t>
            </w:r>
          </w:p>
        </w:tc>
      </w:tr>
      <w:tr w:rsidR="00457CE9" w:rsidRPr="00B108D0" w14:paraId="5B14BDFB" w14:textId="77777777" w:rsidTr="006D4E84">
        <w:trPr>
          <w:trHeight w:val="1272"/>
          <w:jc w:val="center"/>
        </w:trPr>
        <w:tc>
          <w:tcPr>
            <w:tcW w:w="1842" w:type="dxa"/>
          </w:tcPr>
          <w:p w14:paraId="3157A9FB" w14:textId="728433B0" w:rsidR="00457CE9" w:rsidRPr="00457CE9" w:rsidRDefault="006C6AFF" w:rsidP="00457CE9">
            <w:pPr>
              <w:rPr>
                <w:rFonts w:ascii="Times New Roman" w:hAnsi="Times New Roman" w:cs="Times New Roman"/>
                <w:sz w:val="24"/>
                <w:szCs w:val="24"/>
                <w:lang w:val="kk-KZ"/>
              </w:rPr>
            </w:pPr>
            <w:r>
              <w:rPr>
                <w:rFonts w:ascii="Times New Roman" w:hAnsi="Times New Roman" w:cs="Times New Roman"/>
                <w:sz w:val="24"/>
                <w:szCs w:val="24"/>
                <w:lang w:val="kk-KZ"/>
              </w:rPr>
              <w:t>Л.Г</w:t>
            </w:r>
            <w:r w:rsidR="00457CE9" w:rsidRPr="00457CE9">
              <w:rPr>
                <w:rFonts w:ascii="Times New Roman" w:hAnsi="Times New Roman" w:cs="Times New Roman"/>
                <w:sz w:val="24"/>
                <w:szCs w:val="24"/>
                <w:lang w:val="kk-KZ"/>
              </w:rPr>
              <w:t>.</w:t>
            </w:r>
            <w:r>
              <w:rPr>
                <w:rFonts w:ascii="Times New Roman" w:hAnsi="Times New Roman" w:cs="Times New Roman"/>
                <w:sz w:val="24"/>
                <w:szCs w:val="24"/>
                <w:lang w:val="kk-KZ"/>
              </w:rPr>
              <w:t xml:space="preserve"> Макарова</w:t>
            </w:r>
            <w:r w:rsidR="00457CE9" w:rsidRPr="00457CE9">
              <w:rPr>
                <w:rFonts w:ascii="Times New Roman" w:hAnsi="Times New Roman" w:cs="Times New Roman"/>
                <w:sz w:val="24"/>
                <w:szCs w:val="24"/>
                <w:lang w:val="kk-KZ"/>
              </w:rPr>
              <w:t xml:space="preserve"> </w:t>
            </w:r>
          </w:p>
        </w:tc>
        <w:tc>
          <w:tcPr>
            <w:tcW w:w="7651" w:type="dxa"/>
          </w:tcPr>
          <w:p w14:paraId="0B20C732" w14:textId="3B7126CB" w:rsidR="00457CE9" w:rsidRPr="006C6AFF" w:rsidRDefault="006C6AFF" w:rsidP="00EB67B8">
            <w:pPr>
              <w:rPr>
                <w:rFonts w:ascii="Times New Roman" w:hAnsi="Times New Roman" w:cs="Times New Roman"/>
                <w:sz w:val="24"/>
                <w:szCs w:val="24"/>
                <w:lang w:val="kk-KZ"/>
              </w:rPr>
            </w:pPr>
            <w:r w:rsidRPr="006C6AFF">
              <w:rPr>
                <w:rFonts w:ascii="Times New Roman" w:hAnsi="Times New Roman" w:cs="Times New Roman"/>
                <w:color w:val="000000"/>
                <w:sz w:val="24"/>
                <w:szCs w:val="24"/>
                <w:lang w:val="kk-KZ"/>
              </w:rPr>
              <w:t>Тиімділік аудиті-бұл шетелде кеңінен таралған және біздің елімізде аудитордың пікірін білдіруге бағытталған аудиторлық қызметтің түрі мемлекеттік және жеке секторлардағы қаржылық шаруашылық процестердің, басқару процестерінің және қызмет бағдарламаларының үнемділігі, өнімділігі мен нәтижелілігі</w:t>
            </w:r>
            <w:r w:rsidRPr="006C6AFF">
              <w:rPr>
                <w:rFonts w:ascii="Times New Roman" w:hAnsi="Times New Roman" w:cs="Times New Roman"/>
                <w:sz w:val="24"/>
                <w:szCs w:val="24"/>
                <w:lang w:val="kk-KZ"/>
              </w:rPr>
              <w:t xml:space="preserve"> </w:t>
            </w:r>
            <w:r w:rsidR="00AF2FEC" w:rsidRPr="006C6AFF">
              <w:rPr>
                <w:rFonts w:ascii="Times New Roman" w:hAnsi="Times New Roman" w:cs="Times New Roman"/>
                <w:sz w:val="24"/>
                <w:szCs w:val="24"/>
                <w:lang w:val="kk-KZ"/>
              </w:rPr>
              <w:t>[2</w:t>
            </w:r>
            <w:r w:rsidR="00100FAE">
              <w:rPr>
                <w:rFonts w:ascii="Times New Roman" w:hAnsi="Times New Roman" w:cs="Times New Roman"/>
                <w:sz w:val="24"/>
                <w:szCs w:val="24"/>
                <w:lang w:val="kk-KZ"/>
              </w:rPr>
              <w:t>7</w:t>
            </w:r>
            <w:r w:rsidR="00AF2FEC" w:rsidRPr="006C6AFF">
              <w:rPr>
                <w:rFonts w:ascii="Times New Roman" w:hAnsi="Times New Roman" w:cs="Times New Roman"/>
                <w:sz w:val="24"/>
                <w:szCs w:val="24"/>
                <w:lang w:val="kk-KZ"/>
              </w:rPr>
              <w:t>]</w:t>
            </w:r>
          </w:p>
        </w:tc>
      </w:tr>
      <w:tr w:rsidR="00457CE9" w:rsidRPr="00B108D0" w14:paraId="40924801" w14:textId="77777777" w:rsidTr="006D4E84">
        <w:trPr>
          <w:trHeight w:val="869"/>
          <w:jc w:val="center"/>
        </w:trPr>
        <w:tc>
          <w:tcPr>
            <w:tcW w:w="1842" w:type="dxa"/>
            <w:tcBorders>
              <w:bottom w:val="single" w:sz="4" w:space="0" w:color="auto"/>
            </w:tcBorders>
          </w:tcPr>
          <w:p w14:paraId="79C49396" w14:textId="3CC03C63" w:rsidR="00457CE9" w:rsidRPr="00457CE9" w:rsidRDefault="005575C1" w:rsidP="00457CE9">
            <w:pPr>
              <w:rPr>
                <w:rFonts w:ascii="Times New Roman" w:hAnsi="Times New Roman" w:cs="Times New Roman"/>
                <w:sz w:val="24"/>
                <w:szCs w:val="24"/>
                <w:lang w:val="kk-KZ"/>
              </w:rPr>
            </w:pPr>
            <w:r>
              <w:rPr>
                <w:rFonts w:ascii="Times New Roman" w:hAnsi="Times New Roman" w:cs="Times New Roman"/>
                <w:sz w:val="24"/>
                <w:szCs w:val="24"/>
                <w:lang w:val="kk-KZ"/>
              </w:rPr>
              <w:t>О.</w:t>
            </w:r>
            <w:r w:rsidR="00457CE9" w:rsidRPr="00457CE9">
              <w:rPr>
                <w:rFonts w:ascii="Times New Roman" w:hAnsi="Times New Roman" w:cs="Times New Roman"/>
                <w:sz w:val="24"/>
                <w:szCs w:val="24"/>
                <w:lang w:val="kk-KZ"/>
              </w:rPr>
              <w:t>И. Карепина</w:t>
            </w:r>
          </w:p>
        </w:tc>
        <w:tc>
          <w:tcPr>
            <w:tcW w:w="7651" w:type="dxa"/>
            <w:tcBorders>
              <w:bottom w:val="single" w:sz="4" w:space="0" w:color="auto"/>
            </w:tcBorders>
          </w:tcPr>
          <w:p w14:paraId="055EE419" w14:textId="75125241" w:rsidR="00457CE9" w:rsidRPr="00AF2FEC"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Тиімділік аудиті деп мемлекеттік қаржылық бақылаудың жаңа әдісін түсінеді. Оның пікірінше, тиімділіктің өлшемдік көрсеткіштерімен жиынтығында аудиттің осы түрі қаржы ресурстары мен мемлекеттік </w:t>
            </w:r>
            <w:r w:rsidR="00AF2FEC" w:rsidRPr="00457CE9">
              <w:rPr>
                <w:rFonts w:ascii="Times New Roman" w:hAnsi="Times New Roman" w:cs="Times New Roman"/>
                <w:sz w:val="24"/>
                <w:szCs w:val="24"/>
                <w:lang w:val="kk-KZ"/>
              </w:rPr>
              <w:t>меншікті басқарудың тиімділігін бағалауға мүмкіндік береді. Сондай-ақ тиімділік параметрлерін талдау негізінде мақсаты мемлекеттік қаржы ресурстарын пайдаланудан экономикалық және әлеуметтік нәтиже алу болып табылатын іс-шараларды өткізу бойынша ұсыныстар әзірленуі тиіс деп атап өтті</w:t>
            </w:r>
            <w:r w:rsidR="00AF2FEC" w:rsidRPr="00AF2FEC">
              <w:rPr>
                <w:rFonts w:ascii="Times New Roman" w:hAnsi="Times New Roman" w:cs="Times New Roman"/>
                <w:sz w:val="24"/>
                <w:szCs w:val="24"/>
                <w:lang w:val="kk-KZ"/>
              </w:rPr>
              <w:t xml:space="preserve"> [2</w:t>
            </w:r>
            <w:r w:rsidR="00100FAE">
              <w:rPr>
                <w:rFonts w:ascii="Times New Roman" w:hAnsi="Times New Roman" w:cs="Times New Roman"/>
                <w:sz w:val="24"/>
                <w:szCs w:val="24"/>
                <w:lang w:val="kk-KZ"/>
              </w:rPr>
              <w:t>8</w:t>
            </w:r>
            <w:r w:rsidR="00AF2FEC" w:rsidRPr="00AF2FEC">
              <w:rPr>
                <w:rFonts w:ascii="Times New Roman" w:hAnsi="Times New Roman" w:cs="Times New Roman"/>
                <w:sz w:val="24"/>
                <w:szCs w:val="24"/>
                <w:lang w:val="kk-KZ"/>
              </w:rPr>
              <w:t>]</w:t>
            </w:r>
          </w:p>
        </w:tc>
      </w:tr>
      <w:tr w:rsidR="00457CE9" w:rsidRPr="00B108D0" w14:paraId="4A68FCB3" w14:textId="77777777" w:rsidTr="006D4E84">
        <w:trPr>
          <w:jc w:val="center"/>
        </w:trPr>
        <w:tc>
          <w:tcPr>
            <w:tcW w:w="1842" w:type="dxa"/>
            <w:tcBorders>
              <w:top w:val="single" w:sz="4" w:space="0" w:color="auto"/>
              <w:bottom w:val="single" w:sz="4" w:space="0" w:color="auto"/>
            </w:tcBorders>
          </w:tcPr>
          <w:p w14:paraId="46406B07" w14:textId="0B6ABD1A"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rPr>
              <w:t>О.А.Фролова</w:t>
            </w:r>
          </w:p>
        </w:tc>
        <w:tc>
          <w:tcPr>
            <w:tcW w:w="7651" w:type="dxa"/>
            <w:tcBorders>
              <w:top w:val="single" w:sz="4" w:space="0" w:color="auto"/>
              <w:bottom w:val="single" w:sz="4" w:space="0" w:color="auto"/>
            </w:tcBorders>
          </w:tcPr>
          <w:p w14:paraId="3056D32C" w14:textId="560E76FF" w:rsidR="00457CE9" w:rsidRPr="00AF2FEC"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Бұл бюджеттің қалыптастырумен және атқарылуын, онда қаражатты жоспарлау, бөлу және жұмсау мемлекеттік саясаттың мақсаттары мен міндеттеріне сәйкес жүзеге асырылатынын және алушылардың белгіленген</w:t>
            </w:r>
            <w:r w:rsidR="00AF2FEC" w:rsidRPr="00AF2FEC">
              <w:rPr>
                <w:rFonts w:ascii="Times New Roman" w:hAnsi="Times New Roman" w:cs="Times New Roman"/>
                <w:sz w:val="24"/>
                <w:szCs w:val="24"/>
                <w:lang w:val="kk-KZ"/>
              </w:rPr>
              <w:t xml:space="preserve"> </w:t>
            </w:r>
            <w:r w:rsidR="00AF2FEC" w:rsidRPr="00457CE9">
              <w:rPr>
                <w:rFonts w:ascii="Times New Roman" w:hAnsi="Times New Roman" w:cs="Times New Roman"/>
                <w:sz w:val="24"/>
                <w:szCs w:val="24"/>
                <w:lang w:val="kk-KZ"/>
              </w:rPr>
              <w:t xml:space="preserve">түпкілікті әлеуметтік экономикалық нәтижелерге қол жеткізуін, сондай-ақ оларға жүктелген міндеттер мен функцияларды </w:t>
            </w:r>
            <w:r w:rsidR="00DD625A" w:rsidRPr="00457CE9">
              <w:rPr>
                <w:rFonts w:ascii="Times New Roman" w:hAnsi="Times New Roman" w:cs="Times New Roman"/>
                <w:sz w:val="24"/>
                <w:szCs w:val="24"/>
                <w:lang w:val="kk-KZ"/>
              </w:rPr>
              <w:t>орындауын қамтамасыз етуге тиіс мемлекеттік қаржылық бақылаудың бір түрі. Сонымен қатар, қойылған мақсаттарға байланысты тиімділік аудиті бір немесе бірнеше өзара байланысты элементтерді қамтуы мүмкін немесе бір элемент аясында мамандандырылған бағытқа ие болуы мүмкін, мысалы, ұйымның тек еңбек ресурстарын пайдалану</w:t>
            </w:r>
            <w:r w:rsidR="006D4E84" w:rsidRPr="00457CE9">
              <w:rPr>
                <w:rFonts w:ascii="Times New Roman" w:hAnsi="Times New Roman" w:cs="Times New Roman"/>
                <w:sz w:val="24"/>
                <w:szCs w:val="24"/>
                <w:lang w:val="kk-KZ"/>
              </w:rPr>
              <w:t xml:space="preserve"> өнімділігін тексеру</w:t>
            </w:r>
            <w:r w:rsidR="006D4E84" w:rsidRPr="00AF2FEC">
              <w:rPr>
                <w:rFonts w:ascii="Times New Roman" w:hAnsi="Times New Roman" w:cs="Times New Roman"/>
                <w:sz w:val="24"/>
                <w:szCs w:val="24"/>
                <w:lang w:val="kk-KZ"/>
              </w:rPr>
              <w:t xml:space="preserve"> [</w:t>
            </w:r>
            <w:r w:rsidR="006D4E84">
              <w:rPr>
                <w:rFonts w:ascii="Times New Roman" w:hAnsi="Times New Roman" w:cs="Times New Roman"/>
                <w:sz w:val="24"/>
                <w:szCs w:val="24"/>
                <w:lang w:val="kk-KZ"/>
              </w:rPr>
              <w:t>29</w:t>
            </w:r>
            <w:r w:rsidR="006D4E84" w:rsidRPr="00AF2FEC">
              <w:rPr>
                <w:rFonts w:ascii="Times New Roman" w:hAnsi="Times New Roman" w:cs="Times New Roman"/>
                <w:sz w:val="24"/>
                <w:szCs w:val="24"/>
                <w:lang w:val="kk-KZ"/>
              </w:rPr>
              <w:t>]</w:t>
            </w:r>
          </w:p>
        </w:tc>
      </w:tr>
      <w:tr w:rsidR="000163F6" w14:paraId="1EDD221C" w14:textId="77777777" w:rsidTr="00DD625A">
        <w:trPr>
          <w:jc w:val="center"/>
        </w:trPr>
        <w:tc>
          <w:tcPr>
            <w:tcW w:w="9493" w:type="dxa"/>
            <w:gridSpan w:val="2"/>
            <w:tcBorders>
              <w:top w:val="nil"/>
              <w:left w:val="nil"/>
              <w:bottom w:val="single" w:sz="4" w:space="0" w:color="auto"/>
              <w:right w:val="nil"/>
            </w:tcBorders>
          </w:tcPr>
          <w:p w14:paraId="703B9BB2" w14:textId="77777777" w:rsidR="000163F6" w:rsidRDefault="000163F6">
            <w:pPr>
              <w:ind w:hanging="126"/>
              <w:rPr>
                <w:rFonts w:ascii="Times New Roman" w:hAnsi="Times New Roman" w:cs="Times New Roman"/>
                <w:sz w:val="28"/>
                <w:szCs w:val="28"/>
                <w:lang w:val="kk-KZ"/>
              </w:rPr>
            </w:pPr>
            <w:r>
              <w:rPr>
                <w:rFonts w:ascii="Times New Roman" w:hAnsi="Times New Roman" w:cs="Times New Roman"/>
                <w:sz w:val="28"/>
                <w:szCs w:val="28"/>
                <w:lang w:val="kk-KZ"/>
              </w:rPr>
              <w:t>1-кестенің жалғасы</w:t>
            </w:r>
          </w:p>
          <w:p w14:paraId="39D0EB3C" w14:textId="77777777" w:rsidR="000163F6" w:rsidRDefault="000163F6">
            <w:pPr>
              <w:ind w:hanging="126"/>
              <w:rPr>
                <w:rFonts w:ascii="Times New Roman" w:hAnsi="Times New Roman" w:cs="Times New Roman"/>
                <w:sz w:val="16"/>
                <w:szCs w:val="16"/>
                <w:lang w:val="kk-KZ"/>
              </w:rPr>
            </w:pPr>
          </w:p>
        </w:tc>
      </w:tr>
      <w:tr w:rsidR="000163F6" w14:paraId="67D9CD39" w14:textId="77777777" w:rsidTr="006D4E84">
        <w:trPr>
          <w:jc w:val="center"/>
        </w:trPr>
        <w:tc>
          <w:tcPr>
            <w:tcW w:w="1842" w:type="dxa"/>
            <w:tcBorders>
              <w:top w:val="single" w:sz="4" w:space="0" w:color="auto"/>
              <w:left w:val="single" w:sz="4" w:space="0" w:color="auto"/>
              <w:bottom w:val="single" w:sz="4" w:space="0" w:color="auto"/>
              <w:right w:val="single" w:sz="4" w:space="0" w:color="auto"/>
            </w:tcBorders>
            <w:hideMark/>
          </w:tcPr>
          <w:p w14:paraId="24724053" w14:textId="77777777" w:rsidR="000163F6" w:rsidRDefault="000163F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651" w:type="dxa"/>
            <w:tcBorders>
              <w:top w:val="single" w:sz="4" w:space="0" w:color="auto"/>
              <w:left w:val="single" w:sz="4" w:space="0" w:color="auto"/>
              <w:bottom w:val="single" w:sz="4" w:space="0" w:color="auto"/>
              <w:right w:val="single" w:sz="4" w:space="0" w:color="auto"/>
            </w:tcBorders>
            <w:hideMark/>
          </w:tcPr>
          <w:p w14:paraId="4E1A73D0" w14:textId="77777777" w:rsidR="000163F6" w:rsidRDefault="000163F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57CE9" w:rsidRPr="00B108D0" w14:paraId="4C3BD1AB" w14:textId="77777777" w:rsidTr="006D4E84">
        <w:trPr>
          <w:jc w:val="center"/>
        </w:trPr>
        <w:tc>
          <w:tcPr>
            <w:tcW w:w="1842" w:type="dxa"/>
            <w:tcBorders>
              <w:top w:val="single" w:sz="4" w:space="0" w:color="auto"/>
              <w:left w:val="single" w:sz="4" w:space="0" w:color="auto"/>
              <w:bottom w:val="single" w:sz="4" w:space="0" w:color="auto"/>
              <w:right w:val="single" w:sz="4" w:space="0" w:color="auto"/>
            </w:tcBorders>
          </w:tcPr>
          <w:p w14:paraId="683BFEA9" w14:textId="4A7B9DB1"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М.В. Васильева </w:t>
            </w:r>
          </w:p>
        </w:tc>
        <w:tc>
          <w:tcPr>
            <w:tcW w:w="7651" w:type="dxa"/>
            <w:tcBorders>
              <w:top w:val="single" w:sz="4" w:space="0" w:color="auto"/>
              <w:left w:val="single" w:sz="4" w:space="0" w:color="auto"/>
              <w:bottom w:val="single" w:sz="4" w:space="0" w:color="auto"/>
              <w:right w:val="single" w:sz="4" w:space="0" w:color="auto"/>
            </w:tcBorders>
          </w:tcPr>
          <w:p w14:paraId="60A59B18" w14:textId="2CA3E773" w:rsidR="00457CE9" w:rsidRPr="00AF2FEC"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Тиімділік аудиті мемлекеттік қаражатты пайдаланудың тиімділігін анықтау үшін билік органдары мен мемлекеттік ақша алушылардың қызметін тексеруді білдіреді, қойылған мақсаттарға байланысты тиімділік аудиті бір немесе бірнеше өзара байланысты элементтерді қамтуы мүмкін немесе бір элемент аясында мамандандырылған бағытқа ие болуы мүмкін, мысалы, ұйымның тек еңбек ресурстарын пайдалану өнімділігін тексеру </w:t>
            </w:r>
            <w:r w:rsidR="00AF2FEC" w:rsidRPr="00AF2FEC">
              <w:rPr>
                <w:rFonts w:ascii="Times New Roman" w:hAnsi="Times New Roman" w:cs="Times New Roman"/>
                <w:sz w:val="24"/>
                <w:szCs w:val="24"/>
                <w:lang w:val="kk-KZ"/>
              </w:rPr>
              <w:t>[3</w:t>
            </w:r>
            <w:r w:rsidR="00100FAE">
              <w:rPr>
                <w:rFonts w:ascii="Times New Roman" w:hAnsi="Times New Roman" w:cs="Times New Roman"/>
                <w:sz w:val="24"/>
                <w:szCs w:val="24"/>
                <w:lang w:val="kk-KZ"/>
              </w:rPr>
              <w:t>0</w:t>
            </w:r>
            <w:r w:rsidR="00AF2FEC" w:rsidRPr="00AF2FEC">
              <w:rPr>
                <w:rFonts w:ascii="Times New Roman" w:hAnsi="Times New Roman" w:cs="Times New Roman"/>
                <w:sz w:val="24"/>
                <w:szCs w:val="24"/>
                <w:lang w:val="kk-KZ"/>
              </w:rPr>
              <w:t>]</w:t>
            </w:r>
          </w:p>
        </w:tc>
      </w:tr>
      <w:tr w:rsidR="00457CE9" w:rsidRPr="00B108D0" w14:paraId="6E3BE64B" w14:textId="77777777" w:rsidTr="006D4E84">
        <w:trPr>
          <w:jc w:val="center"/>
        </w:trPr>
        <w:tc>
          <w:tcPr>
            <w:tcW w:w="1842" w:type="dxa"/>
          </w:tcPr>
          <w:p w14:paraId="5170AD9A" w14:textId="3065CF89" w:rsidR="00457CE9" w:rsidRPr="000163F6" w:rsidRDefault="000163F6" w:rsidP="00457CE9">
            <w:pPr>
              <w:rPr>
                <w:rFonts w:ascii="Times New Roman" w:hAnsi="Times New Roman" w:cs="Times New Roman"/>
                <w:sz w:val="24"/>
                <w:szCs w:val="24"/>
                <w:lang w:val="en-US"/>
              </w:rPr>
            </w:pPr>
            <w:r w:rsidRPr="000163F6">
              <w:rPr>
                <w:rFonts w:ascii="Times New Roman" w:hAnsi="Times New Roman" w:cs="Times New Roman"/>
                <w:sz w:val="24"/>
                <w:szCs w:val="24"/>
                <w:lang w:val="en-US"/>
              </w:rPr>
              <w:t>Dr. Alexia Nalewaika, Professor Anthony Millsb</w:t>
            </w:r>
          </w:p>
        </w:tc>
        <w:tc>
          <w:tcPr>
            <w:tcW w:w="7651" w:type="dxa"/>
          </w:tcPr>
          <w:p w14:paraId="6AC0BF84" w14:textId="5123F953" w:rsidR="00457CE9" w:rsidRPr="000163F6" w:rsidRDefault="000163F6" w:rsidP="00EB67B8">
            <w:pPr>
              <w:tabs>
                <w:tab w:val="left" w:pos="993"/>
              </w:tabs>
              <w:rPr>
                <w:rFonts w:ascii="Times New Roman" w:hAnsi="Times New Roman" w:cs="Times New Roman"/>
                <w:sz w:val="24"/>
                <w:szCs w:val="24"/>
                <w:lang w:val="en-US"/>
              </w:rPr>
            </w:pPr>
            <w:r w:rsidRPr="000163F6">
              <w:rPr>
                <w:rFonts w:ascii="Times New Roman" w:hAnsi="Times New Roman" w:cs="Times New Roman"/>
                <w:color w:val="000000"/>
                <w:sz w:val="24"/>
                <w:szCs w:val="24"/>
              </w:rPr>
              <w:t>Тиімділікті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талдау</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пәні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соңғы</w:t>
            </w:r>
            <w:r w:rsidRPr="000163F6">
              <w:rPr>
                <w:rFonts w:ascii="Times New Roman" w:hAnsi="Times New Roman" w:cs="Times New Roman"/>
                <w:color w:val="000000"/>
                <w:sz w:val="24"/>
                <w:szCs w:val="24"/>
                <w:lang w:val="en-US"/>
              </w:rPr>
              <w:t xml:space="preserve"> 50 </w:t>
            </w:r>
            <w:r w:rsidRPr="000163F6">
              <w:rPr>
                <w:rFonts w:ascii="Times New Roman" w:hAnsi="Times New Roman" w:cs="Times New Roman"/>
                <w:color w:val="000000"/>
                <w:sz w:val="24"/>
                <w:szCs w:val="24"/>
              </w:rPr>
              <w:t>жыл</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ішінде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қаржылық</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аудит</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пен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ішкі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бақылаудан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асып</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ұйымдық</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тиімділікті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үнемі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жетілдіру</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мен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арттырудың</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құрметті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тетігіне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айналды</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Тиімділік</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аудиттері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департаменттер</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мен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бастамалардың</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жұмысын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жақсарту</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үшін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ондаған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жылдар</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бойы</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мемлекеттік</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секторда</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жүргізілгенімен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тиімділік</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аудитін</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жобаларға</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нақты</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қолдану</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өте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жаңа</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Тиімділік</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аудитінің</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көлемі</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әдетте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мақсаттарға</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жетуге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жақсарту</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мүмкіндіктеріне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және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нәтижелерге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есеп</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беруге</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назар</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аударатындай</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етіп</w:t>
            </w:r>
            <w:r w:rsidRPr="000163F6">
              <w:rPr>
                <w:rFonts w:ascii="Times New Roman" w:hAnsi="Times New Roman" w:cs="Times New Roman"/>
                <w:color w:val="000000"/>
                <w:sz w:val="24"/>
                <w:szCs w:val="24"/>
                <w:lang w:val="en-US"/>
              </w:rPr>
              <w:t xml:space="preserve"> </w:t>
            </w:r>
            <w:r w:rsidRPr="000163F6">
              <w:rPr>
                <w:rFonts w:ascii="Times New Roman" w:hAnsi="Times New Roman" w:cs="Times New Roman"/>
                <w:color w:val="000000"/>
                <w:sz w:val="24"/>
                <w:szCs w:val="24"/>
              </w:rPr>
              <w:t>жасалады</w:t>
            </w:r>
            <w:r w:rsidRPr="000163F6">
              <w:rPr>
                <w:rFonts w:ascii="Times New Roman" w:hAnsi="Times New Roman" w:cs="Times New Roman"/>
                <w:color w:val="000000"/>
                <w:sz w:val="24"/>
                <w:szCs w:val="24"/>
                <w:lang w:val="kk-KZ"/>
              </w:rPr>
              <w:t xml:space="preserve"> </w:t>
            </w:r>
            <w:r w:rsidRPr="000163F6">
              <w:rPr>
                <w:rFonts w:ascii="Times New Roman" w:hAnsi="Times New Roman" w:cs="Times New Roman"/>
                <w:color w:val="000000"/>
                <w:sz w:val="24"/>
                <w:szCs w:val="24"/>
                <w:lang w:val="en-US"/>
              </w:rPr>
              <w:t>[3</w:t>
            </w:r>
            <w:r w:rsidR="00100FAE">
              <w:rPr>
                <w:rFonts w:ascii="Times New Roman" w:hAnsi="Times New Roman" w:cs="Times New Roman"/>
                <w:color w:val="000000"/>
                <w:sz w:val="24"/>
                <w:szCs w:val="24"/>
                <w:lang w:val="kk-KZ"/>
              </w:rPr>
              <w:t>1</w:t>
            </w:r>
            <w:r w:rsidRPr="000163F6">
              <w:rPr>
                <w:rFonts w:ascii="Times New Roman" w:hAnsi="Times New Roman" w:cs="Times New Roman"/>
                <w:color w:val="000000"/>
                <w:sz w:val="24"/>
                <w:szCs w:val="24"/>
                <w:lang w:val="en-US"/>
              </w:rPr>
              <w:t>]</w:t>
            </w:r>
          </w:p>
        </w:tc>
      </w:tr>
      <w:tr w:rsidR="00457CE9" w:rsidRPr="00457CE9" w14:paraId="093AF480" w14:textId="77777777" w:rsidTr="006D4E84">
        <w:trPr>
          <w:jc w:val="center"/>
        </w:trPr>
        <w:tc>
          <w:tcPr>
            <w:tcW w:w="1842" w:type="dxa"/>
          </w:tcPr>
          <w:p w14:paraId="4710CF60" w14:textId="3180C374" w:rsidR="00457CE9" w:rsidRPr="00457CE9" w:rsidRDefault="00457CE9" w:rsidP="00457CE9">
            <w:pPr>
              <w:rPr>
                <w:rFonts w:ascii="Times New Roman" w:hAnsi="Times New Roman" w:cs="Times New Roman"/>
                <w:sz w:val="24"/>
                <w:szCs w:val="24"/>
              </w:rPr>
            </w:pPr>
            <w:r w:rsidRPr="00457CE9">
              <w:rPr>
                <w:rFonts w:ascii="Times New Roman" w:hAnsi="Times New Roman" w:cs="Times New Roman"/>
                <w:sz w:val="24"/>
                <w:szCs w:val="24"/>
                <w:lang w:val="kk-KZ"/>
              </w:rPr>
              <w:t>С.Н. Нугербеков</w:t>
            </w:r>
          </w:p>
        </w:tc>
        <w:tc>
          <w:tcPr>
            <w:tcW w:w="7651" w:type="dxa"/>
          </w:tcPr>
          <w:p w14:paraId="2276AE20" w14:textId="3E1E1586" w:rsidR="00457CE9" w:rsidRPr="00914420" w:rsidRDefault="00457CE9" w:rsidP="00EB67B8">
            <w:pPr>
              <w:rPr>
                <w:rFonts w:ascii="Times New Roman" w:hAnsi="Times New Roman" w:cs="Times New Roman"/>
                <w:sz w:val="24"/>
                <w:szCs w:val="24"/>
              </w:rPr>
            </w:pPr>
            <w:r w:rsidRPr="00457CE9">
              <w:rPr>
                <w:rFonts w:ascii="Times New Roman" w:hAnsi="Times New Roman" w:cs="Times New Roman"/>
                <w:sz w:val="24"/>
                <w:szCs w:val="24"/>
                <w:lang w:val="kk-KZ"/>
              </w:rPr>
              <w:t xml:space="preserve">Әлемдік тәжірибеде бюджетті жоспарлау тиімділігінің аудиті әртүрлі нысандарда жүзеге асырылады, олардың бірі алдын ала аудит болып табылады, оның ерекшелігі жоспарланатын көрсеткіштердің негізділігін, орындылығын және шынайылығын айқындау және болашақта ықтимал қаржылық бұзушылықтардың туындау тәуекелін азайту мақсатында ескерту сипатында болады </w:t>
            </w:r>
            <w:r w:rsidR="00914420" w:rsidRPr="00914420">
              <w:rPr>
                <w:rFonts w:ascii="Times New Roman" w:hAnsi="Times New Roman" w:cs="Times New Roman"/>
                <w:sz w:val="24"/>
                <w:szCs w:val="24"/>
              </w:rPr>
              <w:t>[3</w:t>
            </w:r>
            <w:r w:rsidR="00100FAE">
              <w:rPr>
                <w:rFonts w:ascii="Times New Roman" w:hAnsi="Times New Roman" w:cs="Times New Roman"/>
                <w:sz w:val="24"/>
                <w:szCs w:val="24"/>
                <w:lang w:val="kk-KZ"/>
              </w:rPr>
              <w:t>2</w:t>
            </w:r>
            <w:r w:rsidR="00914420" w:rsidRPr="00914420">
              <w:rPr>
                <w:rFonts w:ascii="Times New Roman" w:hAnsi="Times New Roman" w:cs="Times New Roman"/>
                <w:sz w:val="24"/>
                <w:szCs w:val="24"/>
              </w:rPr>
              <w:t>]</w:t>
            </w:r>
          </w:p>
        </w:tc>
      </w:tr>
      <w:tr w:rsidR="00457CE9" w:rsidRPr="00B108D0" w14:paraId="3202F31D" w14:textId="77777777" w:rsidTr="006D4E84">
        <w:trPr>
          <w:jc w:val="center"/>
        </w:trPr>
        <w:tc>
          <w:tcPr>
            <w:tcW w:w="1842" w:type="dxa"/>
          </w:tcPr>
          <w:p w14:paraId="027DDACA" w14:textId="5D50753C"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Ә.М. Қари, Ғ.А. Құлмурзинова</w:t>
            </w:r>
          </w:p>
        </w:tc>
        <w:tc>
          <w:tcPr>
            <w:tcW w:w="7651" w:type="dxa"/>
          </w:tcPr>
          <w:p w14:paraId="313F2D42" w14:textId="01176125" w:rsidR="00457CE9" w:rsidRPr="00914420"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Тиімділікті бақылаудың тиімділік аудитінен басты ерекшелігі – ол бақылау объектісінің қаражатты тиімсіз пайдалану фактілерін анықтауға бағдарланған. Ал тиімділік аудиті болса, аудиттелетін саладағы қызмет нәтижелерінің мемлекет экономикасына әсерін бағалауды қоса алғанда, аудиттелетін объекті қызметінің тиімділігін (мәнін, үрдісті, проблеманы) кешенді бағалауға бағытталған </w:t>
            </w:r>
            <w:r w:rsidR="00914420" w:rsidRPr="00914420">
              <w:rPr>
                <w:rFonts w:ascii="Times New Roman" w:hAnsi="Times New Roman" w:cs="Times New Roman"/>
                <w:sz w:val="24"/>
                <w:szCs w:val="24"/>
                <w:lang w:val="kk-KZ"/>
              </w:rPr>
              <w:t>[3</w:t>
            </w:r>
            <w:r w:rsidR="00100FAE">
              <w:rPr>
                <w:rFonts w:ascii="Times New Roman" w:hAnsi="Times New Roman" w:cs="Times New Roman"/>
                <w:sz w:val="24"/>
                <w:szCs w:val="24"/>
                <w:lang w:val="kk-KZ"/>
              </w:rPr>
              <w:t>3</w:t>
            </w:r>
            <w:r w:rsidR="00914420" w:rsidRPr="00914420">
              <w:rPr>
                <w:rFonts w:ascii="Times New Roman" w:hAnsi="Times New Roman" w:cs="Times New Roman"/>
                <w:sz w:val="24"/>
                <w:szCs w:val="24"/>
                <w:lang w:val="kk-KZ"/>
              </w:rPr>
              <w:t>]</w:t>
            </w:r>
          </w:p>
        </w:tc>
      </w:tr>
      <w:tr w:rsidR="00457CE9" w:rsidRPr="00B108D0" w14:paraId="19A1DDE2" w14:textId="77777777" w:rsidTr="006D4E84">
        <w:trPr>
          <w:jc w:val="center"/>
        </w:trPr>
        <w:tc>
          <w:tcPr>
            <w:tcW w:w="1842" w:type="dxa"/>
          </w:tcPr>
          <w:p w14:paraId="677C5BD5" w14:textId="256E782F" w:rsidR="00457CE9" w:rsidRPr="00457CE9" w:rsidRDefault="00457CE9"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А.Т. Молдашев</w:t>
            </w:r>
          </w:p>
        </w:tc>
        <w:tc>
          <w:tcPr>
            <w:tcW w:w="7651" w:type="dxa"/>
          </w:tcPr>
          <w:p w14:paraId="28DBF710" w14:textId="23EE2D2F" w:rsidR="00457CE9" w:rsidRPr="00914420" w:rsidRDefault="00457CE9" w:rsidP="00EB67B8">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Қазақстан үшін мемлекеттік аудит тек қаржылық мәселелерді ғана емес, сондай-ақ тәуекелдерді басқару жөніндегі анықталған кемшіліктер мен ұсыныстар негізінде пәрменді ұсынымдарды ұсына отырып, олардың қызметінің барлық бағыттарын қамтитын аудит объектілері қызметінің тиімділігін тұтас және тәуелсіз бағалау ретінде көрінеді </w:t>
            </w:r>
            <w:r w:rsidR="00914420" w:rsidRPr="00914420">
              <w:rPr>
                <w:rFonts w:ascii="Times New Roman" w:hAnsi="Times New Roman" w:cs="Times New Roman"/>
                <w:sz w:val="24"/>
                <w:szCs w:val="24"/>
                <w:lang w:val="kk-KZ"/>
              </w:rPr>
              <w:t>[3</w:t>
            </w:r>
            <w:r w:rsidR="00100FAE">
              <w:rPr>
                <w:rFonts w:ascii="Times New Roman" w:hAnsi="Times New Roman" w:cs="Times New Roman"/>
                <w:sz w:val="24"/>
                <w:szCs w:val="24"/>
                <w:lang w:val="kk-KZ"/>
              </w:rPr>
              <w:t>4</w:t>
            </w:r>
            <w:r w:rsidR="00914420" w:rsidRPr="00914420">
              <w:rPr>
                <w:rFonts w:ascii="Times New Roman" w:hAnsi="Times New Roman" w:cs="Times New Roman"/>
                <w:sz w:val="24"/>
                <w:szCs w:val="24"/>
                <w:lang w:val="kk-KZ"/>
              </w:rPr>
              <w:t>]</w:t>
            </w:r>
          </w:p>
        </w:tc>
      </w:tr>
      <w:tr w:rsidR="00457CE9" w:rsidRPr="00457CE9" w14:paraId="655F9ACF" w14:textId="77777777" w:rsidTr="00DD625A">
        <w:trPr>
          <w:jc w:val="center"/>
        </w:trPr>
        <w:tc>
          <w:tcPr>
            <w:tcW w:w="9493" w:type="dxa"/>
            <w:gridSpan w:val="2"/>
          </w:tcPr>
          <w:p w14:paraId="667659CA" w14:textId="7EBD8BED" w:rsidR="00457CE9" w:rsidRPr="00457CE9" w:rsidRDefault="00457CE9" w:rsidP="00B919B2">
            <w:pPr>
              <w:ind w:firstLine="527"/>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EB67B8" w:rsidRPr="00457CE9">
              <w:rPr>
                <w:rFonts w:ascii="Times New Roman" w:hAnsi="Times New Roman" w:cs="Times New Roman"/>
                <w:sz w:val="24"/>
                <w:szCs w:val="24"/>
                <w:lang w:val="kk-KZ"/>
              </w:rPr>
              <w:t>[</w:t>
            </w:r>
            <w:r w:rsidR="00914420" w:rsidRPr="00914420">
              <w:rPr>
                <w:rFonts w:ascii="Times New Roman" w:hAnsi="Times New Roman" w:cs="Times New Roman"/>
                <w:sz w:val="24"/>
                <w:szCs w:val="24"/>
              </w:rPr>
              <w:t>1</w:t>
            </w:r>
            <w:r w:rsidR="00100FAE">
              <w:rPr>
                <w:rFonts w:ascii="Times New Roman" w:hAnsi="Times New Roman" w:cs="Times New Roman"/>
                <w:sz w:val="24"/>
                <w:szCs w:val="24"/>
                <w:lang w:val="kk-KZ"/>
              </w:rPr>
              <w:t>7</w:t>
            </w:r>
            <w:r w:rsidR="00914420" w:rsidRPr="00914420">
              <w:rPr>
                <w:rFonts w:ascii="Times New Roman" w:hAnsi="Times New Roman" w:cs="Times New Roman"/>
                <w:sz w:val="24"/>
                <w:szCs w:val="24"/>
              </w:rPr>
              <w:t>-3</w:t>
            </w:r>
            <w:r w:rsidR="00100FAE">
              <w:rPr>
                <w:rFonts w:ascii="Times New Roman" w:hAnsi="Times New Roman" w:cs="Times New Roman"/>
                <w:sz w:val="24"/>
                <w:szCs w:val="24"/>
                <w:lang w:val="kk-KZ"/>
              </w:rPr>
              <w:t>4</w:t>
            </w:r>
            <w:r w:rsidR="00EB67B8" w:rsidRPr="00457CE9">
              <w:rPr>
                <w:rFonts w:ascii="Times New Roman" w:hAnsi="Times New Roman" w:cs="Times New Roman"/>
                <w:sz w:val="24"/>
                <w:szCs w:val="24"/>
                <w:lang w:val="kk-KZ"/>
              </w:rPr>
              <w:t xml:space="preserve">] </w:t>
            </w:r>
            <w:r w:rsidR="00EB67B8" w:rsidRPr="00B919B2">
              <w:rPr>
                <w:rFonts w:ascii="Times New Roman" w:hAnsi="Times New Roman" w:cs="Times New Roman"/>
                <w:color w:val="FF0000"/>
                <w:sz w:val="24"/>
                <w:szCs w:val="24"/>
                <w:lang w:val="kk-KZ"/>
              </w:rPr>
              <w:t xml:space="preserve"> </w:t>
            </w:r>
          </w:p>
        </w:tc>
      </w:tr>
    </w:tbl>
    <w:p w14:paraId="48BBB5F1" w14:textId="77777777" w:rsidR="005575C1" w:rsidRDefault="005575C1" w:rsidP="00457CE9">
      <w:pPr>
        <w:spacing w:after="0" w:line="240" w:lineRule="auto"/>
        <w:ind w:firstLine="709"/>
        <w:jc w:val="both"/>
        <w:rPr>
          <w:rFonts w:ascii="Times New Roman" w:hAnsi="Times New Roman" w:cs="Times New Roman"/>
          <w:sz w:val="28"/>
          <w:szCs w:val="28"/>
          <w:lang w:val="kk-KZ"/>
        </w:rPr>
      </w:pPr>
    </w:p>
    <w:p w14:paraId="22954CC8" w14:textId="5362617E" w:rsidR="00400F8A" w:rsidRDefault="00400F8A" w:rsidP="00400F8A">
      <w:pPr>
        <w:widowControl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Швецияда </w:t>
      </w:r>
      <w:r>
        <w:rPr>
          <w:rFonts w:ascii="Times New Roman" w:hAnsi="Times New Roman" w:cs="Times New Roman"/>
          <w:sz w:val="28"/>
          <w:szCs w:val="28"/>
          <w:lang w:val="kk-KZ"/>
        </w:rPr>
        <w:t>Grönlund et al.</w:t>
      </w:r>
      <w:r>
        <w:rPr>
          <w:rFonts w:ascii="Times New Roman" w:hAnsi="Times New Roman" w:cs="Times New Roman"/>
          <w:color w:val="000000"/>
          <w:sz w:val="28"/>
          <w:szCs w:val="28"/>
          <w:lang w:val="kk-KZ"/>
        </w:rPr>
        <w:t xml:space="preserve"> тиімділік аудиті үкіметтің немесе орталық мекемелердің өз мандаттарын қалай орындайтынын, сондай-ақ үкімет пен онымен байланысты мекемелердің заңнаманы, ережелер мен саясатты (дұрыс немесе бұрыс) қалай ұстанатынын бағалауға көмектеседі деген қорытындыға келген. Авторлар кейбір жағдайларда Швецияның мемлекеттік бақылау басқармасы сәйкестік аудитін тиімділік аудитіне теңестіретінін атап өтті. Бұл осындай аудиттерге қойылатын талаптардың жалпы күрделілігінің көрсеткіші және оларды қалай түсіндіруге болатынында [3</w:t>
      </w:r>
      <w:r w:rsidR="00100FAE">
        <w:rPr>
          <w:rFonts w:ascii="Times New Roman" w:hAnsi="Times New Roman" w:cs="Times New Roman"/>
          <w:color w:val="000000"/>
          <w:sz w:val="28"/>
          <w:szCs w:val="28"/>
          <w:lang w:val="kk-KZ"/>
        </w:rPr>
        <w:t>5</w:t>
      </w:r>
      <w:r>
        <w:rPr>
          <w:rFonts w:ascii="Times New Roman" w:hAnsi="Times New Roman" w:cs="Times New Roman"/>
          <w:color w:val="000000"/>
          <w:sz w:val="28"/>
          <w:szCs w:val="28"/>
          <w:lang w:val="kk-KZ"/>
        </w:rPr>
        <w:t>].</w:t>
      </w:r>
    </w:p>
    <w:p w14:paraId="54AF4DD3" w14:textId="02F67657" w:rsidR="00400F8A" w:rsidRDefault="00400F8A" w:rsidP="00400F8A">
      <w:pPr>
        <w:widowControl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Lonsdale</w:t>
      </w:r>
      <w:r w:rsidR="00BC6C8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ерте кезден бастап VfM аудитінің тарихи дамуы туралы эссесінде 1980-2009 жылдар аралығында VfM аудит әдістеріне бірқатар өзгерістер енгізілді. 1980-1990 жылдар аралығында сауалнамалар мен сұраулар кеңінен қолданылды. Содан кейін, 2000 жылдардың басында фокус-топтар, жағдайлық зерттеулер, халықаралық салыстырулар және әдебиеттерге шолулар сияқты жаңа әдістер пайда бола бастады. Соңғы ғылыми зерттеулер VFM аудитінде зерттеуге қосымша әдістерді енгізді, оның ішінде объектілерге бару, сараптамалық топтар және талқылауға арналған фокус-топтар. VFM аудитінің контексті өзі қоршаған ортадағы әкімшілік мәселелер, зияткерлік және технологиялық әзірлемелер өзгерістері тұрғысынан сияқты қалыптасқан және анықталған. Осындай әртүрлі әдістерді қолдану VfM аудиті бай және терең деректерді пайдалануға қол жеткізуге болатындығын көрсетті. Бұл сонымен қатар аудиторлар бұрын қолданылғаннан әлдеқайда көп білім мен дағдыларға ие болуы керек дегенді білдіреді деп жазған [3</w:t>
      </w:r>
      <w:r w:rsidR="00100FAE">
        <w:rPr>
          <w:rFonts w:ascii="Times New Roman" w:hAnsi="Times New Roman" w:cs="Times New Roman"/>
          <w:color w:val="000000"/>
          <w:sz w:val="28"/>
          <w:szCs w:val="28"/>
          <w:lang w:val="kk-KZ"/>
        </w:rPr>
        <w:t>6</w:t>
      </w:r>
      <w:r>
        <w:rPr>
          <w:rFonts w:ascii="Times New Roman" w:hAnsi="Times New Roman" w:cs="Times New Roman"/>
          <w:color w:val="000000"/>
          <w:sz w:val="28"/>
          <w:szCs w:val="28"/>
          <w:lang w:val="kk-KZ"/>
        </w:rPr>
        <w:t>].</w:t>
      </w:r>
    </w:p>
    <w:p w14:paraId="64498831" w14:textId="54AE7802" w:rsidR="00400F8A" w:rsidRDefault="00400F8A" w:rsidP="00400F8A">
      <w:pPr>
        <w:widowControl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Bowerman және басқалар тиімділік аудитін өнімділікті өлшеу және бақылау құралдарының кең спектрінің элементтерінің бірі, мысалы, өзін-өзі бағалау немесе инспекция, мемлекеттік сектордың басшылары мен лауазымды тұлғалары жұмыстың есептілігі мен тиімділігін арттыру үшін пайдаланатын деп санауға болады деген [2</w:t>
      </w:r>
      <w:r w:rsidR="00DB48D2">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p>
    <w:p w14:paraId="586D8C39" w14:textId="35FF13E7" w:rsidR="00291706" w:rsidRPr="00446F9E" w:rsidRDefault="00400F8A" w:rsidP="00400F8A">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Glynn және басқалар 1980 жылдардың басында VfM аудит процесі кеңейтіліп, «3e» қамтылды, атап айтқанда, бұл ақша мен персонал сияқты кіріс ресурстарын өлшеуден нәтижелерді бағалауға, яғни мұндай кіріс ресурстарының неге ықпал еткенін қызығушылықтың өзгеруін бастады деп жазған. 1983 жылы Ұлыбритания үкіметі VFM аудитін Тексеру комиссиясының (the Audit Comission) заңды міндеттерінің бөлігі ретінде енгізді. Заң Ұлыбританияның мемлекеттік секторындағы аудитордың рөлін кеңейтуді мақұлдады, өйткені ол бақылаушы мен бас аудиторға «саяси мақсаттардың маңыздылығына күмән келтірмеу шартымен департаменттердің немесе басқа да белгілі бір органдардың өз функцияларын орындау кезінде өз ресурстарын пайдалануының үнемділігін, өнімділігі мен нәтижелілігін тексеруге» өкілеттік </w:t>
      </w:r>
      <w:r w:rsidRPr="00446F9E">
        <w:rPr>
          <w:rFonts w:ascii="Times New Roman" w:hAnsi="Times New Roman" w:cs="Times New Roman"/>
          <w:sz w:val="28"/>
          <w:szCs w:val="28"/>
          <w:lang w:val="kk-KZ"/>
        </w:rPr>
        <w:t>берді [3</w:t>
      </w:r>
      <w:r w:rsidR="00DB48D2">
        <w:rPr>
          <w:rFonts w:ascii="Times New Roman" w:hAnsi="Times New Roman" w:cs="Times New Roman"/>
          <w:sz w:val="28"/>
          <w:szCs w:val="28"/>
          <w:lang w:val="kk-KZ"/>
        </w:rPr>
        <w:t>7</w:t>
      </w:r>
      <w:r w:rsidRPr="00446F9E">
        <w:rPr>
          <w:rFonts w:ascii="Times New Roman" w:hAnsi="Times New Roman" w:cs="Times New Roman"/>
          <w:sz w:val="28"/>
          <w:szCs w:val="28"/>
          <w:lang w:val="kk-KZ"/>
        </w:rPr>
        <w:t xml:space="preserve">]. </w:t>
      </w:r>
    </w:p>
    <w:p w14:paraId="73FAB942" w14:textId="663779FF" w:rsidR="00400F8A" w:rsidRDefault="00400F8A" w:rsidP="00400F8A">
      <w:pPr>
        <w:widowControl w:val="0"/>
        <w:spacing w:after="0" w:line="240" w:lineRule="auto"/>
        <w:ind w:firstLine="709"/>
        <w:jc w:val="both"/>
        <w:rPr>
          <w:rFonts w:ascii="Times New Roman" w:hAnsi="Times New Roman" w:cs="Times New Roman"/>
          <w:color w:val="000000"/>
          <w:sz w:val="28"/>
          <w:szCs w:val="28"/>
          <w:lang w:val="kk-KZ"/>
        </w:rPr>
      </w:pPr>
      <w:r w:rsidRPr="00446F9E">
        <w:rPr>
          <w:rFonts w:ascii="Times New Roman" w:hAnsi="Times New Roman" w:cs="Times New Roman"/>
          <w:sz w:val="28"/>
          <w:szCs w:val="28"/>
          <w:lang w:val="kk-KZ"/>
        </w:rPr>
        <w:t xml:space="preserve">Осылайша, мемлекеттік сектор аудитінің жүйелілікке дәстүрлі </w:t>
      </w:r>
      <w:r>
        <w:rPr>
          <w:rFonts w:ascii="Times New Roman" w:hAnsi="Times New Roman" w:cs="Times New Roman"/>
          <w:color w:val="000000"/>
          <w:sz w:val="28"/>
          <w:szCs w:val="28"/>
          <w:lang w:val="kk-KZ"/>
        </w:rPr>
        <w:t>шоғырлануы аудиторларға мемлекеттік ресурстарды тиімді пайдалануды қамтамасыз ету және қоғамдық қызмет көрсету ұйымдарының қаржылық мүмкіндіктерін арттыру үшін тиісті тетіктердің болуын тексеру міндеттерін жүктеумен ауыстырылды. Мұны тексеру комиссиясының аудиторлар өз есептерінде тексерілетін органдардың тиімділіктің үш өлшеміне сәйкес келетіндігін нақты анықтауға міндетті екендігі туралы мәлімдемесі дәлелдейді: тиімділік (шығындарды басқару және өндіріс көлемін ұлғайту мүмкіндігі); өнімділік (өнімді болу мүмкіндігі); және үнемділік (қызмет көрсету шығындарын азайту мүмкіндігі). Демек, VfM аудиті мемлекеттік сектор институттарын реформалаудың қуатты құралына айналды [3</w:t>
      </w:r>
      <w:r w:rsidR="00DB48D2">
        <w:rPr>
          <w:rFonts w:ascii="Times New Roman" w:hAnsi="Times New Roman" w:cs="Times New Roman"/>
          <w:color w:val="000000"/>
          <w:sz w:val="28"/>
          <w:szCs w:val="28"/>
          <w:lang w:val="kk-KZ"/>
        </w:rPr>
        <w:t>7</w:t>
      </w:r>
      <w:r>
        <w:rPr>
          <w:rFonts w:ascii="Times New Roman" w:hAnsi="Times New Roman" w:cs="Times New Roman"/>
          <w:color w:val="000000"/>
          <w:sz w:val="28"/>
          <w:szCs w:val="28"/>
          <w:lang w:val="kk-KZ"/>
        </w:rPr>
        <w:t>].</w:t>
      </w:r>
    </w:p>
    <w:p w14:paraId="74A203AC" w14:textId="1227BA5E" w:rsidR="00400F8A" w:rsidRPr="00446F9E" w:rsidRDefault="00400F8A" w:rsidP="00400F8A">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Ұлыбритания үкіметі VFM аудитін мемлекеттік ресурстарды пайдаланудан максималды нәтижеге жету үшін қоғамдық ұйымдардың басшылығына қысым жасау құралы ретінде енгізді сонымен бірге мемлекеттік шығындарды мүмкін деңгейде минимумға дейін қысқартты. VfM аудитінің үздіксіз дамуы сыртқы аудитор рөлінің кеңеюіне әкелді, өйткені аудиторлар біреуіне толық сәйкес келмейтін бірнеше функцияларды орындауы керек. Мемлекеттік секторда тиімділікті немесе өнімді шығаруды бағалау одан да қиын болады, өйткені оның тиімділігін бір параметр бойынша бағалау мүмкін емес. Мемлекеттік сектордың аудиторлық ауқымы қаржылық есептілік аудитіне қолданылатын стандарттар мен </w:t>
      </w:r>
      <w:r w:rsidRPr="00446F9E">
        <w:rPr>
          <w:rFonts w:ascii="Times New Roman" w:hAnsi="Times New Roman" w:cs="Times New Roman"/>
          <w:sz w:val="28"/>
          <w:szCs w:val="28"/>
          <w:lang w:val="kk-KZ"/>
        </w:rPr>
        <w:t>процедуралардан асып, басқа функцияларды қамтуы керек деп санайды. Олар қамтуы керек [3</w:t>
      </w:r>
      <w:r w:rsidR="00DB48D2">
        <w:rPr>
          <w:rFonts w:ascii="Times New Roman" w:hAnsi="Times New Roman" w:cs="Times New Roman"/>
          <w:sz w:val="28"/>
          <w:szCs w:val="28"/>
          <w:lang w:val="kk-KZ"/>
        </w:rPr>
        <w:t>7</w:t>
      </w:r>
      <w:r w:rsidRPr="00446F9E">
        <w:rPr>
          <w:rFonts w:ascii="Times New Roman" w:hAnsi="Times New Roman" w:cs="Times New Roman"/>
          <w:sz w:val="28"/>
          <w:szCs w:val="28"/>
          <w:lang w:val="kk-KZ"/>
        </w:rPr>
        <w:t xml:space="preserve">]: </w:t>
      </w:r>
    </w:p>
    <w:p w14:paraId="0673D081" w14:textId="77777777" w:rsidR="00400F8A" w:rsidRDefault="00400F8A" w:rsidP="0097172E">
      <w:pPr>
        <w:pStyle w:val="a5"/>
        <w:widowControl w:val="0"/>
        <w:numPr>
          <w:ilvl w:val="0"/>
          <w:numId w:val="50"/>
        </w:numPr>
        <w:tabs>
          <w:tab w:val="left" w:pos="851"/>
          <w:tab w:val="left" w:pos="993"/>
        </w:tabs>
        <w:spacing w:after="0" w:line="240" w:lineRule="auto"/>
        <w:ind w:left="0" w:firstLine="709"/>
        <w:jc w:val="both"/>
        <w:rPr>
          <w:rFonts w:ascii="Times New Roman" w:hAnsi="Times New Roman"/>
          <w:color w:val="000000"/>
          <w:sz w:val="28"/>
          <w:szCs w:val="28"/>
          <w:lang w:val="kk-KZ"/>
        </w:rPr>
      </w:pPr>
      <w:r w:rsidRPr="00446F9E">
        <w:rPr>
          <w:rFonts w:ascii="Times New Roman" w:hAnsi="Times New Roman"/>
          <w:sz w:val="28"/>
          <w:szCs w:val="28"/>
          <w:lang w:val="kk-KZ"/>
        </w:rPr>
        <w:t xml:space="preserve">қаржылық операциялардың заңдар мен ережелерге </w:t>
      </w:r>
      <w:r>
        <w:rPr>
          <w:rFonts w:ascii="Times New Roman" w:hAnsi="Times New Roman"/>
          <w:color w:val="000000"/>
          <w:sz w:val="28"/>
          <w:szCs w:val="28"/>
          <w:lang w:val="kk-KZ"/>
        </w:rPr>
        <w:t xml:space="preserve">сәйкестігі, әділдігі және сәйкестігі туралы түсініктеме беру; </w:t>
      </w:r>
    </w:p>
    <w:p w14:paraId="24129173" w14:textId="77777777" w:rsidR="00400F8A" w:rsidRDefault="00400F8A" w:rsidP="0097172E">
      <w:pPr>
        <w:pStyle w:val="a5"/>
        <w:widowControl w:val="0"/>
        <w:numPr>
          <w:ilvl w:val="0"/>
          <w:numId w:val="50"/>
        </w:numPr>
        <w:tabs>
          <w:tab w:val="left" w:pos="851"/>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қоғамдық ұйымдардың өз ресурстарын үнемді және тиімді басқаратынын анықтау; және </w:t>
      </w:r>
    </w:p>
    <w:p w14:paraId="77629F2C" w14:textId="77777777" w:rsidR="00400F8A" w:rsidRDefault="00400F8A" w:rsidP="0097172E">
      <w:pPr>
        <w:pStyle w:val="a5"/>
        <w:widowControl w:val="0"/>
        <w:numPr>
          <w:ilvl w:val="0"/>
          <w:numId w:val="50"/>
        </w:numPr>
        <w:tabs>
          <w:tab w:val="left" w:pos="851"/>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қажетті нәтижелерге қол жеткізілгенін, белгіленген мақсаттарға қол жеткізілгенін және қоғамдық ұйымдардың қажеттілігін қарастырғанын анықтау минималды шығындармен балама қажетті нәтиже бере алар ма еді.</w:t>
      </w:r>
    </w:p>
    <w:p w14:paraId="1D81563E" w14:textId="77777777" w:rsidR="00400F8A" w:rsidRDefault="00400F8A" w:rsidP="00400F8A">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біздің ойымызша зерделенуге және қол жеткізуге тиіс негіз қалаушы қағидаттар – бұл ең алдымен нәтижелілік, бұдан әрі үнемділік және тиісінше мемлекеттік қаржылық және материалдық ресурстарды пайдаланудың өнімділігі. Мемлекеттік бюджет қаражатын пайдалану тиімділігі аудитінің құрамына  мыналар енгізілуі тиіс: үнемділік, өнімділік және нәтижелілік аудиті. Бұл ретте үнемділік мемлекеттік бағдарламаларды, жобаларды іске асыруға арналған шығындарды азайтумен, өнімділік берілген ресурстар кезінде өнімнің немесе қызметтердің ең көп көлемін алумен байланысты, сондай-ақ нәтижелілік-мемлекеттік бағдарлама жобасында жоспарланған қойылған міндеттерге қол жеткізумен байланысты деуге болады.</w:t>
      </w:r>
    </w:p>
    <w:p w14:paraId="3322D0B4" w14:textId="4CAE32F7" w:rsidR="00BE3A57" w:rsidRPr="00446F9E" w:rsidRDefault="00B57B26"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INTOSAI</w:t>
      </w:r>
      <w:r w:rsidR="00BE3A57" w:rsidRPr="00457CE9">
        <w:rPr>
          <w:rFonts w:ascii="Times New Roman" w:hAnsi="Times New Roman" w:cs="Times New Roman"/>
          <w:sz w:val="28"/>
          <w:szCs w:val="28"/>
          <w:lang w:val="kk-KZ"/>
        </w:rPr>
        <w:t xml:space="preserve"> стандарттарына сәйкес мемлекеттік қаржылық бақылау органы тиімділікке тексеру жүргізіп, мемлекет қызметінің белгілі бір салаларына қатысты тексерудің осы түріне заңмен белгіленген құқық болған кезде бюджет қаражатының тиімсіз жұмсалуы туралы қорытынды жасай алады. Бұл ретте қойылған мақсаттарға байланысты тиімділік аудиті бір немесе бірнеше өзара байланысты элементтерді қамтуы не бір элемент шеңберінде неғұрлым мамандандырылған бағыты болуы мүмкін, мысалы, ұйымның тек еңбек ресурстарын пайдалану өнімділігін тексеру. Тиімділік аудитін жүргізу кезінде тексеру үрдісінде тексерілетін мемлекеттік билік органы немесе мемлекеттік қаражатты алушы жұмысының </w:t>
      </w:r>
      <w:r w:rsidR="00BE3A57" w:rsidRPr="00446F9E">
        <w:rPr>
          <w:rFonts w:ascii="Times New Roman" w:hAnsi="Times New Roman" w:cs="Times New Roman"/>
          <w:sz w:val="28"/>
          <w:szCs w:val="28"/>
          <w:lang w:val="kk-KZ"/>
        </w:rPr>
        <w:t>тиімділігіне жалпы баға беру міндеті қойылмайтынын басшылыққа алу керек</w:t>
      </w:r>
      <w:r w:rsidR="00DB4D5C" w:rsidRPr="00446F9E">
        <w:rPr>
          <w:rFonts w:ascii="Times New Roman" w:hAnsi="Times New Roman" w:cs="Times New Roman"/>
          <w:sz w:val="28"/>
          <w:szCs w:val="28"/>
          <w:lang w:val="kk-KZ"/>
        </w:rPr>
        <w:t xml:space="preserve"> [</w:t>
      </w:r>
      <w:r w:rsidR="009E2E61" w:rsidRPr="00446F9E">
        <w:rPr>
          <w:rFonts w:ascii="Times New Roman" w:hAnsi="Times New Roman" w:cs="Times New Roman"/>
          <w:sz w:val="28"/>
          <w:szCs w:val="28"/>
          <w:lang w:val="kk-KZ"/>
        </w:rPr>
        <w:t>1</w:t>
      </w:r>
      <w:r w:rsidR="00DB48D2">
        <w:rPr>
          <w:rFonts w:ascii="Times New Roman" w:hAnsi="Times New Roman" w:cs="Times New Roman"/>
          <w:sz w:val="28"/>
          <w:szCs w:val="28"/>
          <w:lang w:val="kk-KZ"/>
        </w:rPr>
        <w:t>2</w:t>
      </w:r>
      <w:r w:rsidR="00B919B2" w:rsidRPr="00446F9E">
        <w:rPr>
          <w:rFonts w:ascii="Times New Roman" w:hAnsi="Times New Roman" w:cs="Times New Roman"/>
          <w:sz w:val="28"/>
          <w:szCs w:val="28"/>
          <w:lang w:val="kk-KZ"/>
        </w:rPr>
        <w:t xml:space="preserve">, </w:t>
      </w:r>
      <w:r w:rsidR="009E2E61" w:rsidRPr="00446F9E">
        <w:rPr>
          <w:rFonts w:ascii="Times New Roman" w:hAnsi="Times New Roman" w:cs="Times New Roman"/>
          <w:sz w:val="28"/>
          <w:szCs w:val="28"/>
          <w:lang w:val="kk-KZ"/>
        </w:rPr>
        <w:t>р</w:t>
      </w:r>
      <w:r w:rsidR="00B919B2" w:rsidRPr="00446F9E">
        <w:rPr>
          <w:rFonts w:ascii="Times New Roman" w:hAnsi="Times New Roman" w:cs="Times New Roman"/>
          <w:sz w:val="28"/>
          <w:szCs w:val="28"/>
          <w:lang w:val="kk-KZ"/>
        </w:rPr>
        <w:t>.</w:t>
      </w:r>
      <w:r w:rsidR="009E2E61" w:rsidRPr="00446F9E">
        <w:rPr>
          <w:rFonts w:ascii="Times New Roman" w:hAnsi="Times New Roman" w:cs="Times New Roman"/>
          <w:sz w:val="28"/>
          <w:szCs w:val="28"/>
          <w:lang w:val="kk-KZ"/>
        </w:rPr>
        <w:t>72</w:t>
      </w:r>
      <w:r w:rsidR="00DB4D5C" w:rsidRPr="00446F9E">
        <w:rPr>
          <w:rFonts w:ascii="Times New Roman" w:hAnsi="Times New Roman" w:cs="Times New Roman"/>
          <w:sz w:val="28"/>
          <w:szCs w:val="28"/>
          <w:lang w:val="kk-KZ"/>
        </w:rPr>
        <w:t>]</w:t>
      </w:r>
      <w:r w:rsidR="00BE3A57" w:rsidRPr="00446F9E">
        <w:rPr>
          <w:rFonts w:ascii="Times New Roman" w:hAnsi="Times New Roman" w:cs="Times New Roman"/>
          <w:sz w:val="28"/>
          <w:szCs w:val="28"/>
          <w:lang w:val="kk-KZ"/>
        </w:rPr>
        <w:t xml:space="preserve">. </w:t>
      </w:r>
    </w:p>
    <w:p w14:paraId="59AD6733" w14:textId="77777777" w:rsidR="00BE3A57" w:rsidRPr="00446F9E" w:rsidRDefault="00BE3A57"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Біріншіден, қызмет салаларының күрделілігі мен әртүрлілігіне байланысты осындай бағалаудың қолайлы тәсілін табу іс жүзінде мүмкін емес. </w:t>
      </w:r>
    </w:p>
    <w:p w14:paraId="6C5CF940" w14:textId="77777777" w:rsidR="00BE3A57" w:rsidRPr="00446F9E" w:rsidRDefault="00BE3A57"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Екіншіден, тексеру, әдетте, қойылған мақсаттарға сәйкес нақты учаскелер мен жұмыс аспектілері тексеріледі. </w:t>
      </w:r>
    </w:p>
    <w:p w14:paraId="45D2F167" w14:textId="02A4DA5B" w:rsidR="00BE3A57" w:rsidRPr="00446F9E" w:rsidRDefault="00BE3A57" w:rsidP="00457CE9">
      <w:pPr>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Үшіншіден, тиімділік аудиті оның нәтижелері бойынша қорытынды жасауға және тексерілетін ұйымдардың бюджет қаражатын пайдалану нәтижелілігін арттыру бойынша нақты ұсыныстар ұсынуға болатындай бағытталуы тиіс [</w:t>
      </w:r>
      <w:r w:rsidR="009E2E61" w:rsidRPr="00446F9E">
        <w:rPr>
          <w:rFonts w:ascii="Times New Roman" w:hAnsi="Times New Roman" w:cs="Times New Roman"/>
          <w:sz w:val="28"/>
          <w:szCs w:val="28"/>
          <w:lang w:val="kk-KZ"/>
        </w:rPr>
        <w:t>1</w:t>
      </w:r>
      <w:r w:rsidR="00DB48D2">
        <w:rPr>
          <w:rFonts w:ascii="Times New Roman" w:hAnsi="Times New Roman" w:cs="Times New Roman"/>
          <w:sz w:val="28"/>
          <w:szCs w:val="28"/>
          <w:lang w:val="kk-KZ"/>
        </w:rPr>
        <w:t>2</w:t>
      </w:r>
      <w:r w:rsidR="00B919B2" w:rsidRPr="00446F9E">
        <w:rPr>
          <w:rFonts w:ascii="Times New Roman" w:hAnsi="Times New Roman" w:cs="Times New Roman"/>
          <w:sz w:val="28"/>
          <w:szCs w:val="28"/>
          <w:lang w:val="kk-KZ"/>
        </w:rPr>
        <w:t xml:space="preserve">, </w:t>
      </w:r>
      <w:r w:rsidR="009E2E61" w:rsidRPr="00446F9E">
        <w:rPr>
          <w:rFonts w:ascii="Times New Roman" w:hAnsi="Times New Roman" w:cs="Times New Roman"/>
          <w:sz w:val="28"/>
          <w:szCs w:val="28"/>
          <w:lang w:val="kk-KZ"/>
        </w:rPr>
        <w:t>р. 73</w:t>
      </w:r>
      <w:r w:rsidR="00B919B2"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 xml:space="preserve">]. </w:t>
      </w:r>
    </w:p>
    <w:p w14:paraId="53083CE4" w14:textId="087181AA" w:rsidR="00FF279F" w:rsidRPr="00446F9E" w:rsidRDefault="00FF279F" w:rsidP="00457CE9">
      <w:pPr>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Umor S., Zakaria Z. </w:t>
      </w:r>
      <w:r w:rsidR="0070767A">
        <w:rPr>
          <w:rFonts w:ascii="Times New Roman" w:hAnsi="Times New Roman" w:cs="Times New Roman"/>
          <w:sz w:val="28"/>
          <w:szCs w:val="28"/>
          <w:lang w:val="kk-KZ"/>
        </w:rPr>
        <w:t>ж</w:t>
      </w:r>
      <w:r w:rsidRPr="00446F9E">
        <w:rPr>
          <w:rFonts w:ascii="Times New Roman" w:hAnsi="Times New Roman" w:cs="Times New Roman"/>
          <w:sz w:val="28"/>
          <w:szCs w:val="28"/>
          <w:lang w:val="kk-KZ"/>
        </w:rPr>
        <w:t xml:space="preserve">әне басқалар өз мақаласында </w:t>
      </w:r>
      <w:r w:rsidRPr="00457CE9">
        <w:rPr>
          <w:rFonts w:ascii="Times New Roman" w:hAnsi="Times New Roman" w:cs="Times New Roman"/>
          <w:sz w:val="28"/>
          <w:szCs w:val="28"/>
          <w:lang w:val="kk-KZ"/>
        </w:rPr>
        <w:t xml:space="preserve">былай деген: «мемлекеттік бюджет тапшылығының қазіргі кезеңдерінің шындығы мемлекеттік үкімшіліктерді тиімділік аудитінің негізгі тұжырымдамаларында сипатталғандай, өз мақсаттарына неғұрлым үнемді, өнімді және нәтижелі түрде қол жеткізуге итермелейді. ISSAI 3000 сәйкес кез келген тиімділік аудиті іс-шарасының бөлігі болып табылатын бақылау бақылауы да маңызды. Тиімсіздік көздерін анықтау арқылы аудит ұсынымдарының дұрыс орындалуын қамтамасыз ету үшін шаралар қажет. Сондықтан қоғамдық ұйымдардың жұмысын жақсарту үшін тиісті шаралар қабылдануы мүмкін. Тиімділік аудитінің кейінгі әрекеттері </w:t>
      </w:r>
      <w:r w:rsidRPr="00446F9E">
        <w:rPr>
          <w:rFonts w:ascii="Times New Roman" w:hAnsi="Times New Roman" w:cs="Times New Roman"/>
          <w:sz w:val="28"/>
          <w:szCs w:val="28"/>
          <w:lang w:val="kk-KZ"/>
        </w:rPr>
        <w:t>мемлекеттік қаражатты дұрыс пайдаланбауға қатысты әртүрлі көтерілген мәселелер бойынша аудит ұсыныстарына реакцияны қайта тексеру үшін маңызды болып көрінеді»</w:t>
      </w:r>
      <w:r w:rsidR="00237DE0" w:rsidRPr="00446F9E">
        <w:rPr>
          <w:rFonts w:ascii="Times New Roman" w:hAnsi="Times New Roman" w:cs="Times New Roman"/>
          <w:sz w:val="28"/>
          <w:szCs w:val="28"/>
          <w:lang w:val="kk-KZ"/>
        </w:rPr>
        <w:t xml:space="preserve"> [</w:t>
      </w:r>
      <w:r w:rsidR="009E2E61" w:rsidRPr="00446F9E">
        <w:rPr>
          <w:rFonts w:ascii="Times New Roman" w:hAnsi="Times New Roman" w:cs="Times New Roman"/>
          <w:sz w:val="28"/>
          <w:szCs w:val="28"/>
          <w:lang w:val="kk-KZ"/>
        </w:rPr>
        <w:t>1</w:t>
      </w:r>
      <w:r w:rsidR="00DB48D2">
        <w:rPr>
          <w:rFonts w:ascii="Times New Roman" w:hAnsi="Times New Roman" w:cs="Times New Roman"/>
          <w:sz w:val="28"/>
          <w:szCs w:val="28"/>
          <w:lang w:val="kk-KZ"/>
        </w:rPr>
        <w:t>8</w:t>
      </w:r>
      <w:r w:rsidR="00B919B2" w:rsidRPr="00446F9E">
        <w:rPr>
          <w:rFonts w:ascii="Times New Roman" w:hAnsi="Times New Roman" w:cs="Times New Roman"/>
          <w:sz w:val="28"/>
          <w:szCs w:val="28"/>
          <w:lang w:val="kk-KZ"/>
        </w:rPr>
        <w:t>, р.</w:t>
      </w:r>
      <w:r w:rsidR="009E2E61" w:rsidRPr="00446F9E">
        <w:rPr>
          <w:rFonts w:ascii="Times New Roman" w:hAnsi="Times New Roman" w:cs="Times New Roman"/>
          <w:sz w:val="28"/>
          <w:szCs w:val="28"/>
          <w:lang w:val="kk-KZ"/>
        </w:rPr>
        <w:t xml:space="preserve"> 125</w:t>
      </w:r>
      <w:r w:rsidR="00237DE0"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w:t>
      </w:r>
    </w:p>
    <w:p w14:paraId="48223199" w14:textId="09513B29" w:rsidR="00CA211F" w:rsidRPr="00446F9E" w:rsidRDefault="00CA211F" w:rsidP="00457CE9">
      <w:pPr>
        <w:tabs>
          <w:tab w:val="left" w:pos="993"/>
        </w:tabs>
        <w:spacing w:after="0" w:line="240" w:lineRule="auto"/>
        <w:ind w:firstLine="709"/>
        <w:jc w:val="both"/>
        <w:rPr>
          <w:rFonts w:ascii="Times New Roman" w:hAnsi="Times New Roman" w:cs="Times New Roman"/>
          <w:sz w:val="28"/>
          <w:szCs w:val="28"/>
          <w:lang w:val="kk-KZ"/>
        </w:rPr>
      </w:pPr>
      <w:bookmarkStart w:id="5" w:name="_Hlk86133982"/>
      <w:r w:rsidRPr="00446F9E">
        <w:rPr>
          <w:rFonts w:ascii="Times New Roman" w:hAnsi="Times New Roman" w:cs="Times New Roman"/>
          <w:sz w:val="28"/>
          <w:szCs w:val="28"/>
          <w:lang w:val="kk-KZ"/>
        </w:rPr>
        <w:t xml:space="preserve">Raudla R., және басқалар еңбегінде былай делінген: «тиімділік аудит нәтижелері саясатта немесе ұйымды тәжірибеде нақты өзгерістерге әкелмесе де тексерушілер тиімділік аудитін пайдалы деп қабылдайды. </w:t>
      </w:r>
      <w:r w:rsidR="005C10C6" w:rsidRPr="00446F9E">
        <w:rPr>
          <w:rFonts w:ascii="Times New Roman" w:hAnsi="Times New Roman" w:cs="Times New Roman"/>
          <w:sz w:val="28"/>
          <w:szCs w:val="28"/>
          <w:lang w:val="kk-KZ"/>
        </w:rPr>
        <w:t>Т</w:t>
      </w:r>
      <w:r w:rsidRPr="00446F9E">
        <w:rPr>
          <w:rFonts w:ascii="Times New Roman" w:hAnsi="Times New Roman" w:cs="Times New Roman"/>
          <w:sz w:val="28"/>
          <w:szCs w:val="28"/>
          <w:lang w:val="kk-KZ"/>
        </w:rPr>
        <w:t>иімділік аудиті тексерілетін ұйымды өз әрекеттері үшін жауапкершілікке тарту үшін пайдаланылды деп есептеді. Аудиторлық процестің ішкі факторлары, соның ішінде аудиторларды</w:t>
      </w:r>
      <w:r w:rsidR="005C10C6" w:rsidRPr="00446F9E">
        <w:rPr>
          <w:rFonts w:ascii="Times New Roman" w:hAnsi="Times New Roman" w:cs="Times New Roman"/>
          <w:sz w:val="28"/>
          <w:szCs w:val="28"/>
          <w:lang w:val="kk-KZ"/>
        </w:rPr>
        <w:t>ң</w:t>
      </w:r>
      <w:r w:rsidRPr="00446F9E">
        <w:rPr>
          <w:rFonts w:ascii="Times New Roman" w:hAnsi="Times New Roman" w:cs="Times New Roman"/>
          <w:sz w:val="28"/>
          <w:szCs w:val="28"/>
          <w:lang w:val="kk-KZ"/>
        </w:rPr>
        <w:t xml:space="preserve"> болжамды тәжірибесі, олардың тексерілетін адамдармен диалогқа ашықтығы және аудиторлық есептің сапасы аудиттің болжамды пайдалылығына әсер еткенімен, олар тексерілетін ұйымдардың өзгерістерді қабылдауына аз әсер етті. Зерттеу көрсеткендей, парламентшілер тиімділік аудитіне назар аударғанда және бұқаралық ақпарат құралдарының назары саяси пікірталас</w:t>
      </w:r>
      <w:r w:rsidR="005170A3" w:rsidRPr="00446F9E">
        <w:rPr>
          <w:rFonts w:ascii="Times New Roman" w:hAnsi="Times New Roman" w:cs="Times New Roman"/>
          <w:sz w:val="28"/>
          <w:szCs w:val="28"/>
          <w:lang w:val="kk-KZ"/>
        </w:rPr>
        <w:t>қ</w:t>
      </w:r>
      <w:r w:rsidRPr="00446F9E">
        <w:rPr>
          <w:rFonts w:ascii="Times New Roman" w:hAnsi="Times New Roman" w:cs="Times New Roman"/>
          <w:sz w:val="28"/>
          <w:szCs w:val="28"/>
          <w:lang w:val="kk-KZ"/>
        </w:rPr>
        <w:t xml:space="preserve">а </w:t>
      </w:r>
      <w:r w:rsidR="005170A3" w:rsidRPr="00446F9E">
        <w:rPr>
          <w:rFonts w:ascii="Times New Roman" w:hAnsi="Times New Roman" w:cs="Times New Roman"/>
          <w:sz w:val="28"/>
          <w:szCs w:val="28"/>
          <w:lang w:val="kk-KZ"/>
        </w:rPr>
        <w:t>ә</w:t>
      </w:r>
      <w:r w:rsidRPr="00446F9E">
        <w:rPr>
          <w:rFonts w:ascii="Times New Roman" w:hAnsi="Times New Roman" w:cs="Times New Roman"/>
          <w:sz w:val="28"/>
          <w:szCs w:val="28"/>
          <w:lang w:val="kk-KZ"/>
        </w:rPr>
        <w:t xml:space="preserve">келгенде, тиімділік аудиті туралы есепте </w:t>
      </w:r>
      <w:r w:rsidR="005170A3" w:rsidRPr="00446F9E">
        <w:rPr>
          <w:rFonts w:ascii="Times New Roman" w:hAnsi="Times New Roman" w:cs="Times New Roman"/>
          <w:sz w:val="28"/>
          <w:szCs w:val="28"/>
          <w:lang w:val="kk-KZ"/>
        </w:rPr>
        <w:t>ұ</w:t>
      </w:r>
      <w:r w:rsidRPr="00446F9E">
        <w:rPr>
          <w:rFonts w:ascii="Times New Roman" w:hAnsi="Times New Roman" w:cs="Times New Roman"/>
          <w:sz w:val="28"/>
          <w:szCs w:val="28"/>
          <w:lang w:val="kk-KZ"/>
        </w:rPr>
        <w:t>сыныл</w:t>
      </w:r>
      <w:r w:rsidR="005170A3" w:rsidRPr="00446F9E">
        <w:rPr>
          <w:rFonts w:ascii="Times New Roman" w:hAnsi="Times New Roman" w:cs="Times New Roman"/>
          <w:sz w:val="28"/>
          <w:szCs w:val="28"/>
          <w:lang w:val="kk-KZ"/>
        </w:rPr>
        <w:t>ғ</w:t>
      </w:r>
      <w:r w:rsidRPr="00446F9E">
        <w:rPr>
          <w:rFonts w:ascii="Times New Roman" w:hAnsi="Times New Roman" w:cs="Times New Roman"/>
          <w:sz w:val="28"/>
          <w:szCs w:val="28"/>
          <w:lang w:val="kk-KZ"/>
        </w:rPr>
        <w:t xml:space="preserve">ан </w:t>
      </w:r>
      <w:r w:rsidR="005170A3" w:rsidRPr="00446F9E">
        <w:rPr>
          <w:rFonts w:ascii="Times New Roman" w:hAnsi="Times New Roman" w:cs="Times New Roman"/>
          <w:sz w:val="28"/>
          <w:szCs w:val="28"/>
          <w:lang w:val="kk-KZ"/>
        </w:rPr>
        <w:t>ө</w:t>
      </w:r>
      <w:r w:rsidRPr="00446F9E">
        <w:rPr>
          <w:rFonts w:ascii="Times New Roman" w:hAnsi="Times New Roman" w:cs="Times New Roman"/>
          <w:sz w:val="28"/>
          <w:szCs w:val="28"/>
          <w:lang w:val="kk-KZ"/>
        </w:rPr>
        <w:t xml:space="preserve">згерістерді </w:t>
      </w:r>
      <w:r w:rsidR="005170A3" w:rsidRPr="00446F9E">
        <w:rPr>
          <w:rFonts w:ascii="Times New Roman" w:hAnsi="Times New Roman" w:cs="Times New Roman"/>
          <w:sz w:val="28"/>
          <w:szCs w:val="28"/>
          <w:lang w:val="kk-KZ"/>
        </w:rPr>
        <w:t>қ</w:t>
      </w:r>
      <w:r w:rsidRPr="00446F9E">
        <w:rPr>
          <w:rFonts w:ascii="Times New Roman" w:hAnsi="Times New Roman" w:cs="Times New Roman"/>
          <w:sz w:val="28"/>
          <w:szCs w:val="28"/>
          <w:lang w:val="kk-KZ"/>
        </w:rPr>
        <w:t>абылдау ы</w:t>
      </w:r>
      <w:r w:rsidR="005170A3" w:rsidRPr="00446F9E">
        <w:rPr>
          <w:rFonts w:ascii="Times New Roman" w:hAnsi="Times New Roman" w:cs="Times New Roman"/>
          <w:sz w:val="28"/>
          <w:szCs w:val="28"/>
          <w:lang w:val="kk-KZ"/>
        </w:rPr>
        <w:t>қ</w:t>
      </w:r>
      <w:r w:rsidRPr="00446F9E">
        <w:rPr>
          <w:rFonts w:ascii="Times New Roman" w:hAnsi="Times New Roman" w:cs="Times New Roman"/>
          <w:sz w:val="28"/>
          <w:szCs w:val="28"/>
          <w:lang w:val="kk-KZ"/>
        </w:rPr>
        <w:t>тималды</w:t>
      </w:r>
      <w:r w:rsidR="005170A3" w:rsidRPr="00446F9E">
        <w:rPr>
          <w:rFonts w:ascii="Times New Roman" w:hAnsi="Times New Roman" w:cs="Times New Roman"/>
          <w:sz w:val="28"/>
          <w:szCs w:val="28"/>
          <w:lang w:val="kk-KZ"/>
        </w:rPr>
        <w:t>ғ</w:t>
      </w:r>
      <w:r w:rsidRPr="00446F9E">
        <w:rPr>
          <w:rFonts w:ascii="Times New Roman" w:hAnsi="Times New Roman" w:cs="Times New Roman"/>
          <w:sz w:val="28"/>
          <w:szCs w:val="28"/>
          <w:lang w:val="kk-KZ"/>
        </w:rPr>
        <w:t>ы жо</w:t>
      </w:r>
      <w:r w:rsidR="005170A3" w:rsidRPr="00446F9E">
        <w:rPr>
          <w:rFonts w:ascii="Times New Roman" w:hAnsi="Times New Roman" w:cs="Times New Roman"/>
          <w:sz w:val="28"/>
          <w:szCs w:val="28"/>
          <w:lang w:val="kk-KZ"/>
        </w:rPr>
        <w:t>ғ</w:t>
      </w:r>
      <w:r w:rsidRPr="00446F9E">
        <w:rPr>
          <w:rFonts w:ascii="Times New Roman" w:hAnsi="Times New Roman" w:cs="Times New Roman"/>
          <w:sz w:val="28"/>
          <w:szCs w:val="28"/>
          <w:lang w:val="kk-KZ"/>
        </w:rPr>
        <w:t>ары</w:t>
      </w:r>
      <w:r w:rsidR="005170A3" w:rsidRPr="00446F9E">
        <w:rPr>
          <w:rFonts w:ascii="Times New Roman" w:hAnsi="Times New Roman" w:cs="Times New Roman"/>
          <w:sz w:val="28"/>
          <w:szCs w:val="28"/>
          <w:lang w:val="kk-KZ"/>
        </w:rPr>
        <w:t>» делінген</w:t>
      </w:r>
      <w:r w:rsidR="006B759E" w:rsidRPr="00446F9E">
        <w:rPr>
          <w:rFonts w:ascii="Times New Roman" w:hAnsi="Times New Roman" w:cs="Times New Roman"/>
          <w:sz w:val="28"/>
          <w:szCs w:val="28"/>
          <w:lang w:val="kk-KZ"/>
        </w:rPr>
        <w:t xml:space="preserve"> [3</w:t>
      </w:r>
      <w:r w:rsidR="00DB48D2">
        <w:rPr>
          <w:rFonts w:ascii="Times New Roman" w:hAnsi="Times New Roman" w:cs="Times New Roman"/>
          <w:sz w:val="28"/>
          <w:szCs w:val="28"/>
          <w:lang w:val="kk-KZ"/>
        </w:rPr>
        <w:t>8</w:t>
      </w:r>
      <w:r w:rsidR="00B919B2" w:rsidRPr="00446F9E">
        <w:rPr>
          <w:rFonts w:ascii="Times New Roman" w:hAnsi="Times New Roman" w:cs="Times New Roman"/>
          <w:sz w:val="28"/>
          <w:szCs w:val="28"/>
          <w:lang w:val="kk-KZ"/>
        </w:rPr>
        <w:t>, р.</w:t>
      </w:r>
      <w:r w:rsidR="009E2E61" w:rsidRPr="00446F9E">
        <w:rPr>
          <w:rFonts w:ascii="Times New Roman" w:hAnsi="Times New Roman" w:cs="Times New Roman"/>
          <w:sz w:val="28"/>
          <w:szCs w:val="28"/>
          <w:lang w:val="kk-KZ"/>
        </w:rPr>
        <w:t xml:space="preserve"> 218</w:t>
      </w:r>
      <w:r w:rsidR="006B759E" w:rsidRPr="00446F9E">
        <w:rPr>
          <w:rFonts w:ascii="Times New Roman" w:hAnsi="Times New Roman" w:cs="Times New Roman"/>
          <w:sz w:val="28"/>
          <w:szCs w:val="28"/>
          <w:lang w:val="kk-KZ"/>
        </w:rPr>
        <w:t>]</w:t>
      </w:r>
      <w:r w:rsidR="005170A3" w:rsidRPr="00446F9E">
        <w:rPr>
          <w:rFonts w:ascii="Times New Roman" w:hAnsi="Times New Roman" w:cs="Times New Roman"/>
          <w:sz w:val="28"/>
          <w:szCs w:val="28"/>
          <w:lang w:val="kk-KZ"/>
        </w:rPr>
        <w:t>.</w:t>
      </w:r>
    </w:p>
    <w:bookmarkEnd w:id="5"/>
    <w:p w14:paraId="0433F6DB" w14:textId="50782008" w:rsidR="00400F8A" w:rsidRPr="00446F9E" w:rsidRDefault="00291706" w:rsidP="00400F8A">
      <w:pPr>
        <w:widowControl w:val="0"/>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Ke</w:t>
      </w:r>
      <w:r w:rsidR="00400F8A" w:rsidRPr="00446F9E">
        <w:rPr>
          <w:rFonts w:ascii="Times New Roman" w:hAnsi="Times New Roman" w:cs="Times New Roman"/>
          <w:sz w:val="28"/>
          <w:szCs w:val="28"/>
          <w:lang w:val="kk-KZ"/>
        </w:rPr>
        <w:t>lls, Stuart құжатта сын-ескертпелер барлық жағдайларда әділ бола бермейді, бірақ тиімділік аудиті бағдарламаларын және олармен байланысты институционалдық тетіктерді әзірлеу кезінде басқарылуы қажет тәуекелдерді жіктеуге қызмет етеді деген қорытынды жасаған [</w:t>
      </w:r>
      <w:r w:rsidR="00DB48D2">
        <w:rPr>
          <w:rFonts w:ascii="Times New Roman" w:hAnsi="Times New Roman" w:cs="Times New Roman"/>
          <w:sz w:val="28"/>
          <w:szCs w:val="28"/>
          <w:lang w:val="kk-KZ"/>
        </w:rPr>
        <w:t>19</w:t>
      </w:r>
      <w:r w:rsidRPr="00446F9E">
        <w:rPr>
          <w:rFonts w:ascii="Times New Roman" w:hAnsi="Times New Roman" w:cs="Times New Roman"/>
          <w:sz w:val="28"/>
          <w:szCs w:val="28"/>
          <w:lang w:val="kk-KZ"/>
        </w:rPr>
        <w:t>, p. 384</w:t>
      </w:r>
      <w:r w:rsidR="00400F8A" w:rsidRPr="00446F9E">
        <w:rPr>
          <w:rFonts w:ascii="Times New Roman" w:hAnsi="Times New Roman" w:cs="Times New Roman"/>
          <w:sz w:val="28"/>
          <w:szCs w:val="28"/>
          <w:lang w:val="kk-KZ"/>
        </w:rPr>
        <w:t>].</w:t>
      </w:r>
    </w:p>
    <w:p w14:paraId="5891F28B" w14:textId="3B39BA2C" w:rsidR="00400F8A" w:rsidRPr="00446F9E" w:rsidRDefault="00400F8A" w:rsidP="00400F8A">
      <w:pPr>
        <w:widowControl w:val="0"/>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Dingzu Zhang, Xingjie Shen and Cong Peng «Мемлекеттік аудит, бұқаралық ақпарат құралдарының назары </w:t>
      </w:r>
      <w:r w:rsidRPr="00446F9E">
        <w:rPr>
          <w:rFonts w:ascii="Times New Roman" w:hAnsi="Times New Roman" w:cs="Times New Roman"/>
          <w:color w:val="000000"/>
          <w:sz w:val="28"/>
          <w:szCs w:val="28"/>
          <w:lang w:val="kk-KZ"/>
        </w:rPr>
        <w:t>және жергілікті бюджет шығындарының</w:t>
      </w:r>
      <w:r>
        <w:rPr>
          <w:rFonts w:ascii="Times New Roman" w:hAnsi="Times New Roman" w:cs="Times New Roman"/>
          <w:color w:val="000000"/>
          <w:sz w:val="28"/>
          <w:szCs w:val="28"/>
          <w:lang w:val="kk-KZ"/>
        </w:rPr>
        <w:t xml:space="preserve"> тиімділігі</w:t>
      </w:r>
      <w:r w:rsidR="0070767A">
        <w:rPr>
          <w:rFonts w:ascii="Times New Roman" w:hAnsi="Times New Roman" w:cs="Times New Roman"/>
          <w:color w:val="000000"/>
          <w:sz w:val="28"/>
          <w:szCs w:val="28"/>
          <w:lang w:val="kk-KZ"/>
        </w:rPr>
        <w:t>» деген еңбегінде</w:t>
      </w:r>
      <w:r>
        <w:rPr>
          <w:rFonts w:ascii="Times New Roman" w:hAnsi="Times New Roman" w:cs="Times New Roman"/>
          <w:color w:val="000000"/>
          <w:sz w:val="28"/>
          <w:szCs w:val="28"/>
          <w:lang w:val="kk-KZ"/>
        </w:rPr>
        <w:t>: Қытай провинцияларының панельдік деректеріне негізделген кеңістіктік эконометрикалық талдау</w:t>
      </w:r>
      <w:r>
        <w:rPr>
          <w:rFonts w:ascii="Times New Roman" w:hAnsi="Times New Roman" w:cs="Times New Roman"/>
          <w:sz w:val="28"/>
          <w:szCs w:val="28"/>
          <w:lang w:val="kk-KZ"/>
        </w:rPr>
        <w:t xml:space="preserve">» деген мақаласында мемлекеттік аудиттің бюджет шығындарын пайдалану тиімділігін жоғарылатуға ықпалын зерттеген. Және нәтижесінде келесідей бірнеше гипотезаны анықтаған: </w:t>
      </w:r>
      <w:r>
        <w:rPr>
          <w:rFonts w:ascii="Times New Roman" w:hAnsi="Times New Roman" w:cs="Times New Roman"/>
          <w:color w:val="000000"/>
          <w:sz w:val="28"/>
          <w:szCs w:val="28"/>
          <w:lang w:val="kk-KZ"/>
        </w:rPr>
        <w:t xml:space="preserve">1) бюджеттік шығыстардың тиімділігі ұлттық аудитпен ақпаратты ашу функциясының күшеюіне қарай артады; 2) ұлттық аудиттің қарсы іс-қимыл функциясы күшейген сайын бюджет шығындарының тиімділігі артады; 3) мемлекеттік аудиттің кемшіліктердің алдын алу функциясы күшейген сайын бюджет шығындарының тиімділігі артады; 4) </w:t>
      </w:r>
      <w:r w:rsidRPr="00446F9E">
        <w:rPr>
          <w:rFonts w:ascii="Times New Roman" w:hAnsi="Times New Roman" w:cs="Times New Roman"/>
          <w:sz w:val="28"/>
          <w:szCs w:val="28"/>
          <w:lang w:val="kk-KZ"/>
        </w:rPr>
        <w:t>бұқаралық ақпарат құралдарының назары ұлттық аудит процесінде аралық рөл атқарады [</w:t>
      </w:r>
      <w:r w:rsidR="00DB48D2">
        <w:rPr>
          <w:rFonts w:ascii="Times New Roman" w:hAnsi="Times New Roman" w:cs="Times New Roman"/>
          <w:sz w:val="28"/>
          <w:szCs w:val="28"/>
          <w:lang w:val="kk-KZ"/>
        </w:rPr>
        <w:t>39</w:t>
      </w:r>
      <w:r w:rsidRPr="00446F9E">
        <w:rPr>
          <w:rFonts w:ascii="Times New Roman" w:hAnsi="Times New Roman" w:cs="Times New Roman"/>
          <w:sz w:val="28"/>
          <w:szCs w:val="28"/>
          <w:lang w:val="kk-KZ"/>
        </w:rPr>
        <w:t xml:space="preserve">]. </w:t>
      </w:r>
    </w:p>
    <w:p w14:paraId="05BAC636" w14:textId="751547D6" w:rsidR="000608AA" w:rsidRPr="00457CE9" w:rsidRDefault="00B95CDB" w:rsidP="00457CE9">
      <w:pPr>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Е.</w:t>
      </w:r>
      <w:r w:rsidR="000608AA" w:rsidRPr="00446F9E">
        <w:rPr>
          <w:rFonts w:ascii="Times New Roman" w:hAnsi="Times New Roman" w:cs="Times New Roman"/>
          <w:sz w:val="28"/>
          <w:szCs w:val="28"/>
          <w:lang w:val="kk-KZ"/>
        </w:rPr>
        <w:t>Ю.</w:t>
      </w:r>
      <w:r w:rsidR="00BE0434" w:rsidRPr="00446F9E">
        <w:rPr>
          <w:rFonts w:ascii="Times New Roman" w:hAnsi="Times New Roman" w:cs="Times New Roman"/>
          <w:sz w:val="28"/>
          <w:szCs w:val="28"/>
          <w:lang w:val="kk-KZ"/>
        </w:rPr>
        <w:t xml:space="preserve"> </w:t>
      </w:r>
      <w:r w:rsidR="000608AA" w:rsidRPr="00446F9E">
        <w:rPr>
          <w:rFonts w:ascii="Times New Roman" w:hAnsi="Times New Roman" w:cs="Times New Roman"/>
          <w:sz w:val="28"/>
          <w:szCs w:val="28"/>
          <w:lang w:val="kk-KZ"/>
        </w:rPr>
        <w:t>Грачева тиімділік аудитін бақылау-талдау іс-ша</w:t>
      </w:r>
      <w:r w:rsidR="000608AA" w:rsidRPr="00457CE9">
        <w:rPr>
          <w:rFonts w:ascii="Times New Roman" w:hAnsi="Times New Roman" w:cs="Times New Roman"/>
          <w:sz w:val="28"/>
          <w:szCs w:val="28"/>
          <w:lang w:val="kk-KZ"/>
        </w:rPr>
        <w:t xml:space="preserve">раларына жатқызады. Автордың пікірінше, аудиттің бұл түрі мемлекеттік меншікті әкімшілендіруді ұйымдастыруды, бюджет қаражатын жұмсауды, оларды үнемдеуді жетілдіруге бағытталған. Тиімділік аудиті қол жеткізілген нәтиженің шығындық дәрежесін, сондай-ақ оның уақытша параметрлерін анықтауға мүмкіндік беретін бюджет қаражатын алушының </w:t>
      </w:r>
      <w:r w:rsidR="006114CA" w:rsidRPr="00457CE9">
        <w:rPr>
          <w:rFonts w:ascii="Times New Roman" w:hAnsi="Times New Roman" w:cs="Times New Roman"/>
          <w:sz w:val="28"/>
          <w:szCs w:val="28"/>
          <w:lang w:val="kk-KZ"/>
        </w:rPr>
        <w:t>қ</w:t>
      </w:r>
      <w:r w:rsidR="000608AA" w:rsidRPr="00457CE9">
        <w:rPr>
          <w:rFonts w:ascii="Times New Roman" w:hAnsi="Times New Roman" w:cs="Times New Roman"/>
          <w:sz w:val="28"/>
          <w:szCs w:val="28"/>
          <w:lang w:val="kk-KZ"/>
        </w:rPr>
        <w:t>аржы-шаруашылық қызметіне жүйелі талдау болып табылады</w:t>
      </w:r>
      <w:r w:rsidR="00B27C0F" w:rsidRPr="00457CE9">
        <w:rPr>
          <w:rFonts w:ascii="Times New Roman" w:hAnsi="Times New Roman" w:cs="Times New Roman"/>
          <w:sz w:val="28"/>
          <w:szCs w:val="28"/>
          <w:lang w:val="kk-KZ"/>
        </w:rPr>
        <w:t xml:space="preserve"> </w:t>
      </w:r>
      <w:r w:rsidR="000608AA" w:rsidRPr="00457CE9">
        <w:rPr>
          <w:rFonts w:ascii="Times New Roman" w:hAnsi="Times New Roman" w:cs="Times New Roman"/>
          <w:sz w:val="28"/>
          <w:szCs w:val="28"/>
          <w:lang w:val="kk-KZ"/>
        </w:rPr>
        <w:t>[</w:t>
      </w:r>
      <w:r w:rsidR="006E66BB" w:rsidRPr="00457CE9">
        <w:rPr>
          <w:rFonts w:ascii="Times New Roman" w:hAnsi="Times New Roman" w:cs="Times New Roman"/>
          <w:sz w:val="28"/>
          <w:szCs w:val="28"/>
          <w:lang w:val="kk-KZ"/>
        </w:rPr>
        <w:t>4</w:t>
      </w:r>
      <w:r w:rsidR="00DB48D2">
        <w:rPr>
          <w:rFonts w:ascii="Times New Roman" w:hAnsi="Times New Roman" w:cs="Times New Roman"/>
          <w:sz w:val="28"/>
          <w:szCs w:val="28"/>
          <w:lang w:val="kk-KZ"/>
        </w:rPr>
        <w:t>0</w:t>
      </w:r>
      <w:r w:rsidR="000608AA" w:rsidRPr="00457CE9">
        <w:rPr>
          <w:rFonts w:ascii="Times New Roman" w:hAnsi="Times New Roman" w:cs="Times New Roman"/>
          <w:sz w:val="28"/>
          <w:szCs w:val="28"/>
          <w:lang w:val="kk-KZ"/>
        </w:rPr>
        <w:t xml:space="preserve">]. </w:t>
      </w:r>
    </w:p>
    <w:p w14:paraId="419B2C84" w14:textId="46334D4D" w:rsidR="00B401BB" w:rsidRPr="00446F9E" w:rsidRDefault="00B401BB" w:rsidP="00457CE9">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М.В.</w:t>
      </w:r>
      <w:r w:rsidR="00BE0434"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Васильева өзінің мақаласында тиімділік аудиті</w:t>
      </w:r>
      <w:r w:rsidR="00163F40" w:rsidRPr="00457CE9">
        <w:rPr>
          <w:rFonts w:ascii="Times New Roman" w:hAnsi="Times New Roman" w:cs="Times New Roman"/>
          <w:sz w:val="28"/>
          <w:szCs w:val="28"/>
          <w:lang w:val="kk-KZ"/>
        </w:rPr>
        <w:t xml:space="preserve"> қаржылық аудиттен ерекшеленеді, және оның басты мақсаты қаржылық бұзушылықтарды анықтау емес, министрліктердің, ведомстволардың, ұйымдардың мемлекеттік қаражаттарды пайдалану тиімділігін бағалау болып табылады деген. </w:t>
      </w:r>
      <w:r w:rsidR="00B25236" w:rsidRPr="00457CE9">
        <w:rPr>
          <w:rFonts w:ascii="Times New Roman" w:hAnsi="Times New Roman" w:cs="Times New Roman"/>
          <w:sz w:val="28"/>
          <w:szCs w:val="28"/>
          <w:lang w:val="kk-KZ"/>
        </w:rPr>
        <w:t xml:space="preserve">Яғни, аудиторлық тексерістерде оның тиімділігін анықтау </w:t>
      </w:r>
      <w:r w:rsidR="00B25236" w:rsidRPr="00446F9E">
        <w:rPr>
          <w:rFonts w:ascii="Times New Roman" w:hAnsi="Times New Roman" w:cs="Times New Roman"/>
          <w:sz w:val="28"/>
          <w:szCs w:val="28"/>
          <w:lang w:val="kk-KZ"/>
        </w:rPr>
        <w:t>арқылы жүргізу барысында бюджет үрдістерін жетілдіруге, жалпы мемлекеттік қаражаттардың қаржылық тәртібін нығайтатынын ресей тәжірибесі көрсетіп отыр</w:t>
      </w:r>
      <w:r w:rsidR="00640E21" w:rsidRPr="00446F9E">
        <w:rPr>
          <w:rFonts w:ascii="Times New Roman" w:hAnsi="Times New Roman" w:cs="Times New Roman"/>
          <w:sz w:val="28"/>
          <w:szCs w:val="28"/>
          <w:lang w:val="kk-KZ"/>
        </w:rPr>
        <w:t xml:space="preserve"> деп жазған</w:t>
      </w:r>
      <w:r w:rsidR="00DB4D5C" w:rsidRPr="00446F9E">
        <w:rPr>
          <w:rFonts w:ascii="Times New Roman" w:hAnsi="Times New Roman" w:cs="Times New Roman"/>
          <w:sz w:val="28"/>
          <w:szCs w:val="28"/>
          <w:lang w:val="kk-KZ"/>
        </w:rPr>
        <w:t xml:space="preserve"> [3</w:t>
      </w:r>
      <w:r w:rsidR="00DB48D2">
        <w:rPr>
          <w:rFonts w:ascii="Times New Roman" w:hAnsi="Times New Roman" w:cs="Times New Roman"/>
          <w:sz w:val="28"/>
          <w:szCs w:val="28"/>
          <w:lang w:val="kk-KZ"/>
        </w:rPr>
        <w:t>0</w:t>
      </w:r>
      <w:r w:rsidR="00B919B2" w:rsidRPr="00446F9E">
        <w:rPr>
          <w:rFonts w:ascii="Times New Roman" w:hAnsi="Times New Roman" w:cs="Times New Roman"/>
          <w:sz w:val="28"/>
          <w:szCs w:val="28"/>
          <w:lang w:val="kk-KZ"/>
        </w:rPr>
        <w:t>, с.</w:t>
      </w:r>
      <w:r w:rsidR="00551C35" w:rsidRPr="00446F9E">
        <w:rPr>
          <w:rFonts w:ascii="Times New Roman" w:hAnsi="Times New Roman" w:cs="Times New Roman"/>
          <w:sz w:val="28"/>
          <w:szCs w:val="28"/>
          <w:lang w:val="kk-KZ"/>
        </w:rPr>
        <w:t xml:space="preserve"> 55</w:t>
      </w:r>
      <w:r w:rsidR="00DB4D5C" w:rsidRPr="00446F9E">
        <w:rPr>
          <w:rFonts w:ascii="Times New Roman" w:hAnsi="Times New Roman" w:cs="Times New Roman"/>
          <w:sz w:val="28"/>
          <w:szCs w:val="28"/>
          <w:lang w:val="kk-KZ"/>
        </w:rPr>
        <w:t>]</w:t>
      </w:r>
      <w:r w:rsidR="00640E21" w:rsidRPr="00446F9E">
        <w:rPr>
          <w:rFonts w:ascii="Times New Roman" w:hAnsi="Times New Roman" w:cs="Times New Roman"/>
          <w:sz w:val="28"/>
          <w:szCs w:val="28"/>
          <w:lang w:val="kk-KZ"/>
        </w:rPr>
        <w:t>.</w:t>
      </w:r>
      <w:r w:rsidR="00B25236" w:rsidRPr="00446F9E">
        <w:rPr>
          <w:rFonts w:ascii="Times New Roman" w:hAnsi="Times New Roman" w:cs="Times New Roman"/>
          <w:sz w:val="28"/>
          <w:szCs w:val="28"/>
          <w:lang w:val="kk-KZ"/>
        </w:rPr>
        <w:t xml:space="preserve"> </w:t>
      </w:r>
    </w:p>
    <w:p w14:paraId="6952BD49" w14:textId="01EBD3F9" w:rsidR="005D6809" w:rsidRPr="00446F9E" w:rsidRDefault="00640E21" w:rsidP="00457CE9">
      <w:pPr>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В.В. </w:t>
      </w:r>
      <w:r w:rsidR="005D6809" w:rsidRPr="00446F9E">
        <w:rPr>
          <w:rFonts w:ascii="Times New Roman" w:hAnsi="Times New Roman" w:cs="Times New Roman"/>
          <w:sz w:val="28"/>
          <w:szCs w:val="28"/>
          <w:lang w:val="kk-KZ"/>
        </w:rPr>
        <w:t xml:space="preserve">Филлипова өз зерттеулерінде тиімділік аудитін мемлекеттік қаржылық бақылаудың жеке бағыты ретінде мемлекеттік қаржылық бақылау органдарының </w:t>
      </w:r>
      <w:r w:rsidR="00BD6CDB" w:rsidRPr="00446F9E">
        <w:rPr>
          <w:rFonts w:ascii="Times New Roman" w:hAnsi="Times New Roman" w:cs="Times New Roman"/>
          <w:sz w:val="28"/>
          <w:szCs w:val="28"/>
          <w:lang w:val="kk-KZ"/>
        </w:rPr>
        <w:t xml:space="preserve">мақсаты </w:t>
      </w:r>
      <w:r w:rsidR="005D6809" w:rsidRPr="00446F9E">
        <w:rPr>
          <w:rFonts w:ascii="Times New Roman" w:hAnsi="Times New Roman" w:cs="Times New Roman"/>
          <w:sz w:val="28"/>
          <w:szCs w:val="28"/>
          <w:lang w:val="kk-KZ"/>
        </w:rPr>
        <w:t>мемлекеттік билік пен басқаруды, басқа да шарушылық етуші субъектілердің басқару қызметінің үнемділі</w:t>
      </w:r>
      <w:r w:rsidR="00BD6CDB" w:rsidRPr="00446F9E">
        <w:rPr>
          <w:rFonts w:ascii="Times New Roman" w:hAnsi="Times New Roman" w:cs="Times New Roman"/>
          <w:sz w:val="28"/>
          <w:szCs w:val="28"/>
          <w:lang w:val="kk-KZ"/>
        </w:rPr>
        <w:t>гін</w:t>
      </w:r>
      <w:r w:rsidR="005D6809" w:rsidRPr="00446F9E">
        <w:rPr>
          <w:rFonts w:ascii="Times New Roman" w:hAnsi="Times New Roman" w:cs="Times New Roman"/>
          <w:sz w:val="28"/>
          <w:szCs w:val="28"/>
          <w:lang w:val="kk-KZ"/>
        </w:rPr>
        <w:t>, тиімділі</w:t>
      </w:r>
      <w:r w:rsidR="00BD6CDB" w:rsidRPr="00446F9E">
        <w:rPr>
          <w:rFonts w:ascii="Times New Roman" w:hAnsi="Times New Roman" w:cs="Times New Roman"/>
          <w:sz w:val="28"/>
          <w:szCs w:val="28"/>
          <w:lang w:val="kk-KZ"/>
        </w:rPr>
        <w:t>гін</w:t>
      </w:r>
      <w:r w:rsidR="005D6809" w:rsidRPr="00446F9E">
        <w:rPr>
          <w:rFonts w:ascii="Times New Roman" w:hAnsi="Times New Roman" w:cs="Times New Roman"/>
          <w:sz w:val="28"/>
          <w:szCs w:val="28"/>
          <w:lang w:val="kk-KZ"/>
        </w:rPr>
        <w:t xml:space="preserve"> және нәтижелілі</w:t>
      </w:r>
      <w:r w:rsidR="00BD6CDB" w:rsidRPr="00446F9E">
        <w:rPr>
          <w:rFonts w:ascii="Times New Roman" w:hAnsi="Times New Roman" w:cs="Times New Roman"/>
          <w:sz w:val="28"/>
          <w:szCs w:val="28"/>
          <w:lang w:val="kk-KZ"/>
        </w:rPr>
        <w:t>гін тексеру</w:t>
      </w:r>
      <w:r w:rsidR="005D6809" w:rsidRPr="00446F9E">
        <w:rPr>
          <w:rFonts w:ascii="Times New Roman" w:hAnsi="Times New Roman" w:cs="Times New Roman"/>
          <w:sz w:val="28"/>
          <w:szCs w:val="28"/>
          <w:lang w:val="kk-KZ"/>
        </w:rPr>
        <w:t xml:space="preserve"> сұрақтары бойынша</w:t>
      </w:r>
      <w:r w:rsidR="00BD6CDB" w:rsidRPr="00446F9E">
        <w:rPr>
          <w:rFonts w:ascii="Times New Roman" w:hAnsi="Times New Roman" w:cs="Times New Roman"/>
          <w:sz w:val="28"/>
          <w:szCs w:val="28"/>
          <w:lang w:val="kk-KZ"/>
        </w:rPr>
        <w:t xml:space="preserve">, сонымен қатар олардың қызметі әр түрлі қоғамдық қатынастар мен қоршаған ортаға әсерін бағалауды анықтау деп </w:t>
      </w:r>
      <w:r w:rsidRPr="00446F9E">
        <w:rPr>
          <w:rFonts w:ascii="Times New Roman" w:hAnsi="Times New Roman" w:cs="Times New Roman"/>
          <w:sz w:val="28"/>
          <w:szCs w:val="28"/>
          <w:lang w:val="kk-KZ"/>
        </w:rPr>
        <w:t>сипатт</w:t>
      </w:r>
      <w:r w:rsidR="00BD6CDB" w:rsidRPr="00446F9E">
        <w:rPr>
          <w:rFonts w:ascii="Times New Roman" w:hAnsi="Times New Roman" w:cs="Times New Roman"/>
          <w:sz w:val="28"/>
          <w:szCs w:val="28"/>
          <w:lang w:val="kk-KZ"/>
        </w:rPr>
        <w:t>аған</w:t>
      </w:r>
      <w:r w:rsidR="00DB4D5C" w:rsidRPr="00446F9E">
        <w:rPr>
          <w:rFonts w:ascii="Times New Roman" w:hAnsi="Times New Roman" w:cs="Times New Roman"/>
          <w:sz w:val="28"/>
          <w:szCs w:val="28"/>
          <w:lang w:val="kk-KZ"/>
        </w:rPr>
        <w:t xml:space="preserve"> [</w:t>
      </w:r>
      <w:r w:rsidR="00551C35" w:rsidRPr="00446F9E">
        <w:rPr>
          <w:rFonts w:ascii="Times New Roman" w:hAnsi="Times New Roman" w:cs="Times New Roman"/>
          <w:sz w:val="28"/>
          <w:szCs w:val="28"/>
          <w:lang w:val="kk-KZ"/>
        </w:rPr>
        <w:t>4</w:t>
      </w:r>
      <w:r w:rsidR="00DB48D2">
        <w:rPr>
          <w:rFonts w:ascii="Times New Roman" w:hAnsi="Times New Roman" w:cs="Times New Roman"/>
          <w:sz w:val="28"/>
          <w:szCs w:val="28"/>
          <w:lang w:val="kk-KZ"/>
        </w:rPr>
        <w:t>1</w:t>
      </w:r>
      <w:r w:rsidR="00DB4D5C" w:rsidRPr="00446F9E">
        <w:rPr>
          <w:rFonts w:ascii="Times New Roman" w:hAnsi="Times New Roman" w:cs="Times New Roman"/>
          <w:sz w:val="28"/>
          <w:szCs w:val="28"/>
          <w:lang w:val="kk-KZ"/>
        </w:rPr>
        <w:t>]</w:t>
      </w:r>
      <w:r w:rsidR="00BD6CDB" w:rsidRPr="00446F9E">
        <w:rPr>
          <w:rFonts w:ascii="Times New Roman" w:hAnsi="Times New Roman" w:cs="Times New Roman"/>
          <w:sz w:val="28"/>
          <w:szCs w:val="28"/>
          <w:lang w:val="kk-KZ"/>
        </w:rPr>
        <w:t>.</w:t>
      </w:r>
    </w:p>
    <w:p w14:paraId="6C08E2BE" w14:textId="72308AD5" w:rsidR="00780A9B" w:rsidRPr="00446F9E" w:rsidRDefault="00AE7B1C" w:rsidP="00457CE9">
      <w:pPr>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А.Н. Саунин тиімділік аудитінің қаржылық аудиттен айырмашылығы оны ұйымдастыру мен жүргізу, яғни, </w:t>
      </w:r>
      <w:r w:rsidR="00D75DF1" w:rsidRPr="00446F9E">
        <w:rPr>
          <w:rFonts w:ascii="Times New Roman" w:hAnsi="Times New Roman" w:cs="Times New Roman"/>
          <w:sz w:val="28"/>
          <w:szCs w:val="28"/>
          <w:lang w:val="kk-KZ"/>
        </w:rPr>
        <w:t>ж</w:t>
      </w:r>
      <w:r w:rsidRPr="00446F9E">
        <w:rPr>
          <w:rFonts w:ascii="Times New Roman" w:hAnsi="Times New Roman" w:cs="Times New Roman"/>
          <w:sz w:val="28"/>
          <w:szCs w:val="28"/>
          <w:lang w:val="kk-KZ"/>
        </w:rPr>
        <w:t>оспарлаудан бастап нәтижелерін рәсімдеумен байланысты әдіснамасының күрделілігінде деп жазған</w:t>
      </w:r>
      <w:r w:rsidR="00DB4D5C" w:rsidRPr="00446F9E">
        <w:rPr>
          <w:rFonts w:ascii="Times New Roman" w:hAnsi="Times New Roman" w:cs="Times New Roman"/>
          <w:sz w:val="28"/>
          <w:szCs w:val="28"/>
          <w:lang w:val="kk-KZ"/>
        </w:rPr>
        <w:t xml:space="preserve"> [</w:t>
      </w:r>
      <w:r w:rsidR="00551C35" w:rsidRPr="00446F9E">
        <w:rPr>
          <w:rFonts w:ascii="Times New Roman" w:hAnsi="Times New Roman" w:cs="Times New Roman"/>
          <w:sz w:val="28"/>
          <w:szCs w:val="28"/>
          <w:lang w:val="kk-KZ"/>
        </w:rPr>
        <w:t>4</w:t>
      </w:r>
      <w:r w:rsidR="00DB48D2">
        <w:rPr>
          <w:rFonts w:ascii="Times New Roman" w:hAnsi="Times New Roman" w:cs="Times New Roman"/>
          <w:sz w:val="28"/>
          <w:szCs w:val="28"/>
          <w:lang w:val="kk-KZ"/>
        </w:rPr>
        <w:t>2</w:t>
      </w:r>
      <w:r w:rsidR="00DB4D5C" w:rsidRPr="00446F9E">
        <w:rPr>
          <w:rFonts w:ascii="Times New Roman" w:hAnsi="Times New Roman" w:cs="Times New Roman"/>
          <w:sz w:val="28"/>
          <w:szCs w:val="28"/>
          <w:lang w:val="kk-KZ"/>
        </w:rPr>
        <w:t>]</w:t>
      </w:r>
      <w:r w:rsidRPr="00446F9E">
        <w:rPr>
          <w:rFonts w:ascii="Times New Roman" w:hAnsi="Times New Roman" w:cs="Times New Roman"/>
          <w:sz w:val="28"/>
          <w:szCs w:val="28"/>
          <w:lang w:val="kk-KZ"/>
        </w:rPr>
        <w:t>.</w:t>
      </w:r>
      <w:r w:rsidR="00D75DF1" w:rsidRPr="00446F9E">
        <w:rPr>
          <w:rFonts w:ascii="Times New Roman" w:hAnsi="Times New Roman" w:cs="Times New Roman"/>
          <w:sz w:val="28"/>
          <w:szCs w:val="28"/>
          <w:lang w:val="kk-KZ"/>
        </w:rPr>
        <w:t xml:space="preserve"> </w:t>
      </w:r>
    </w:p>
    <w:p w14:paraId="26349826" w14:textId="187A68B5" w:rsidR="00D55495" w:rsidRPr="00DB48D2" w:rsidRDefault="00D75DF1"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Тиімділік аудитін жүргізу кезінде көптеген бақылау, талдау және </w:t>
      </w:r>
      <w:r w:rsidRPr="00457CE9">
        <w:rPr>
          <w:rFonts w:ascii="Times New Roman" w:hAnsi="Times New Roman" w:cs="Times New Roman"/>
          <w:sz w:val="28"/>
          <w:szCs w:val="28"/>
          <w:lang w:val="kk-KZ"/>
        </w:rPr>
        <w:t>бағалау әдістері мен рәсімдері қолданылатыны, дәлелдемелер қалыптастыру үшін әртүрлі мұқият дайындалған сұраулар мен сауалнамалар жүргізу қажеттігі, оны жүргізу кезінде маңызды еңбек және қаржылық шығындары шығатыны сөзсіз.</w:t>
      </w:r>
      <w:r w:rsidR="00C6280E" w:rsidRPr="00457CE9">
        <w:rPr>
          <w:rFonts w:ascii="Times New Roman" w:hAnsi="Times New Roman" w:cs="Times New Roman"/>
          <w:sz w:val="28"/>
          <w:szCs w:val="28"/>
          <w:lang w:val="kk-KZ"/>
        </w:rPr>
        <w:t xml:space="preserve"> </w:t>
      </w:r>
      <w:r w:rsidR="00D55495" w:rsidRPr="00457CE9">
        <w:rPr>
          <w:rFonts w:ascii="Times New Roman" w:hAnsi="Times New Roman" w:cs="Times New Roman"/>
          <w:sz w:val="28"/>
          <w:szCs w:val="28"/>
          <w:lang w:val="kk-KZ"/>
        </w:rPr>
        <w:t xml:space="preserve">Тиімділік аудиті шешім қабылдайтын </w:t>
      </w:r>
      <w:r w:rsidR="009071C3" w:rsidRPr="00457CE9">
        <w:rPr>
          <w:rFonts w:ascii="Times New Roman" w:hAnsi="Times New Roman" w:cs="Times New Roman"/>
          <w:sz w:val="28"/>
          <w:szCs w:val="28"/>
          <w:lang w:val="kk-KZ"/>
        </w:rPr>
        <w:t>мемлекеттік</w:t>
      </w:r>
      <w:r w:rsidR="00D55495" w:rsidRPr="00457CE9">
        <w:rPr>
          <w:rFonts w:ascii="Times New Roman" w:hAnsi="Times New Roman" w:cs="Times New Roman"/>
          <w:sz w:val="28"/>
          <w:szCs w:val="28"/>
          <w:lang w:val="kk-KZ"/>
        </w:rPr>
        <w:t xml:space="preserve"> </w:t>
      </w:r>
      <w:r w:rsidR="009071C3" w:rsidRPr="00457CE9">
        <w:rPr>
          <w:rFonts w:ascii="Times New Roman" w:hAnsi="Times New Roman" w:cs="Times New Roman"/>
          <w:sz w:val="28"/>
          <w:szCs w:val="28"/>
          <w:lang w:val="kk-KZ"/>
        </w:rPr>
        <w:t xml:space="preserve">органдарға </w:t>
      </w:r>
      <w:r w:rsidR="00D55495" w:rsidRPr="00457CE9">
        <w:rPr>
          <w:rFonts w:ascii="Times New Roman" w:hAnsi="Times New Roman" w:cs="Times New Roman"/>
          <w:sz w:val="28"/>
          <w:szCs w:val="28"/>
          <w:lang w:val="kk-KZ"/>
        </w:rPr>
        <w:t xml:space="preserve">осы неғұрлым күрделі және өзара байланысты ортаға ден қою үшін қажетті ақпаратты, талдау мен ұсынымдарды беруде маңызды рөл атқарады. 21-ші ғасырдың </w:t>
      </w:r>
      <w:r w:rsidR="009358EE" w:rsidRPr="00457CE9">
        <w:rPr>
          <w:rFonts w:ascii="Times New Roman" w:hAnsi="Times New Roman" w:cs="Times New Roman"/>
          <w:sz w:val="28"/>
          <w:szCs w:val="28"/>
          <w:lang w:val="kk-KZ"/>
        </w:rPr>
        <w:t>ү</w:t>
      </w:r>
      <w:r w:rsidR="00D55495" w:rsidRPr="00457CE9">
        <w:rPr>
          <w:rFonts w:ascii="Times New Roman" w:hAnsi="Times New Roman" w:cs="Times New Roman"/>
          <w:sz w:val="28"/>
          <w:szCs w:val="28"/>
          <w:lang w:val="kk-KZ"/>
        </w:rPr>
        <w:t xml:space="preserve">кімет жұмысының іргелі жақсаруына барынша </w:t>
      </w:r>
      <w:r w:rsidR="00D55495" w:rsidRPr="00446F9E">
        <w:rPr>
          <w:rFonts w:ascii="Times New Roman" w:hAnsi="Times New Roman" w:cs="Times New Roman"/>
          <w:sz w:val="28"/>
          <w:szCs w:val="28"/>
          <w:lang w:val="kk-KZ"/>
        </w:rPr>
        <w:t xml:space="preserve">тиімді ықпал ету үшін </w:t>
      </w:r>
      <w:r w:rsidR="00367E83" w:rsidRPr="00446F9E">
        <w:rPr>
          <w:rFonts w:ascii="Times New Roman" w:hAnsi="Times New Roman" w:cs="Times New Roman"/>
          <w:sz w:val="28"/>
          <w:szCs w:val="28"/>
          <w:lang w:val="kk-KZ"/>
        </w:rPr>
        <w:t xml:space="preserve">мемлекеттік </w:t>
      </w:r>
      <w:r w:rsidR="00D55495" w:rsidRPr="00446F9E">
        <w:rPr>
          <w:rFonts w:ascii="Times New Roman" w:hAnsi="Times New Roman" w:cs="Times New Roman"/>
          <w:sz w:val="28"/>
          <w:szCs w:val="28"/>
          <w:lang w:val="kk-KZ"/>
        </w:rPr>
        <w:t>аудиторлар басқаруда</w:t>
      </w:r>
      <w:r w:rsidR="009358EE" w:rsidRPr="00446F9E">
        <w:rPr>
          <w:rFonts w:ascii="Times New Roman" w:hAnsi="Times New Roman" w:cs="Times New Roman"/>
          <w:sz w:val="28"/>
          <w:szCs w:val="28"/>
          <w:lang w:val="kk-KZ"/>
        </w:rPr>
        <w:t xml:space="preserve">, </w:t>
      </w:r>
      <w:r w:rsidR="00D55495" w:rsidRPr="00446F9E">
        <w:rPr>
          <w:rFonts w:ascii="Times New Roman" w:hAnsi="Times New Roman" w:cs="Times New Roman"/>
          <w:sz w:val="28"/>
          <w:szCs w:val="28"/>
          <w:lang w:val="kk-KZ"/>
        </w:rPr>
        <w:t>яғни</w:t>
      </w:r>
      <w:r w:rsidR="009358EE" w:rsidRPr="00446F9E">
        <w:rPr>
          <w:rFonts w:ascii="Times New Roman" w:hAnsi="Times New Roman" w:cs="Times New Roman"/>
          <w:sz w:val="28"/>
          <w:szCs w:val="28"/>
          <w:lang w:val="kk-KZ"/>
        </w:rPr>
        <w:t>,</w:t>
      </w:r>
      <w:r w:rsidR="00D55495" w:rsidRPr="00446F9E">
        <w:rPr>
          <w:rFonts w:ascii="Times New Roman" w:hAnsi="Times New Roman" w:cs="Times New Roman"/>
          <w:sz w:val="28"/>
          <w:szCs w:val="28"/>
          <w:lang w:val="kk-KZ"/>
        </w:rPr>
        <w:t xml:space="preserve"> ұйымдар, басқару деңгейлері, секторлар мен саясат құралдары арасындағы байланыстарды бағалау мен жақсартуға көбірек назар </w:t>
      </w:r>
      <w:r w:rsidR="009358EE" w:rsidRPr="00446F9E">
        <w:rPr>
          <w:rFonts w:ascii="Times New Roman" w:hAnsi="Times New Roman" w:cs="Times New Roman"/>
          <w:sz w:val="28"/>
          <w:szCs w:val="28"/>
          <w:lang w:val="kk-KZ"/>
        </w:rPr>
        <w:t>аударылуы тиіс екені анықталады</w:t>
      </w:r>
      <w:r w:rsidR="00D55495" w:rsidRPr="00446F9E">
        <w:rPr>
          <w:rFonts w:ascii="Times New Roman" w:hAnsi="Times New Roman" w:cs="Times New Roman"/>
          <w:sz w:val="28"/>
          <w:szCs w:val="28"/>
          <w:lang w:val="kk-KZ"/>
        </w:rPr>
        <w:t xml:space="preserve">. Іс жүзінде бұл </w:t>
      </w:r>
      <w:r w:rsidR="009358EE" w:rsidRPr="00446F9E">
        <w:rPr>
          <w:rFonts w:ascii="Times New Roman" w:hAnsi="Times New Roman" w:cs="Times New Roman"/>
          <w:sz w:val="28"/>
          <w:szCs w:val="28"/>
          <w:lang w:val="kk-KZ"/>
        </w:rPr>
        <w:t>аудиторлар жұмысын</w:t>
      </w:r>
      <w:r w:rsidR="00D55495" w:rsidRPr="00446F9E">
        <w:rPr>
          <w:rFonts w:ascii="Times New Roman" w:hAnsi="Times New Roman" w:cs="Times New Roman"/>
          <w:sz w:val="28"/>
          <w:szCs w:val="28"/>
          <w:lang w:val="kk-KZ"/>
        </w:rPr>
        <w:t>ың тұтастай бағытталуы үшін және тиімділікті тексеру үшін, атап айтқанда, бірқатар маңызды салдарға ие. Осы салд</w:t>
      </w:r>
      <w:r w:rsidR="009358EE" w:rsidRPr="00446F9E">
        <w:rPr>
          <w:rFonts w:ascii="Times New Roman" w:hAnsi="Times New Roman" w:cs="Times New Roman"/>
          <w:sz w:val="28"/>
          <w:szCs w:val="28"/>
          <w:lang w:val="kk-KZ"/>
        </w:rPr>
        <w:t xml:space="preserve">ардың қатарына мыналар </w:t>
      </w:r>
      <w:r w:rsidR="009358EE" w:rsidRPr="00DB48D2">
        <w:rPr>
          <w:rFonts w:ascii="Times New Roman" w:hAnsi="Times New Roman" w:cs="Times New Roman"/>
          <w:sz w:val="28"/>
          <w:szCs w:val="28"/>
          <w:lang w:val="kk-KZ"/>
        </w:rPr>
        <w:t>жатады</w:t>
      </w:r>
      <w:r w:rsidR="005B2719" w:rsidRPr="00DB48D2">
        <w:rPr>
          <w:rFonts w:ascii="Times New Roman" w:hAnsi="Times New Roman" w:cs="Times New Roman"/>
          <w:sz w:val="28"/>
          <w:szCs w:val="28"/>
          <w:lang w:val="kk-KZ"/>
        </w:rPr>
        <w:t xml:space="preserve"> </w:t>
      </w:r>
      <w:r w:rsidR="005B2719" w:rsidRPr="00DB48D2">
        <w:rPr>
          <w:rFonts w:ascii="Times New Roman" w:hAnsi="Times New Roman" w:cs="Times New Roman"/>
          <w:sz w:val="28"/>
          <w:szCs w:val="28"/>
          <w:lang w:val="en-US"/>
        </w:rPr>
        <w:t>[</w:t>
      </w:r>
      <w:r w:rsidR="00551C35" w:rsidRPr="00DB48D2">
        <w:rPr>
          <w:rFonts w:ascii="Times New Roman" w:hAnsi="Times New Roman" w:cs="Times New Roman"/>
          <w:sz w:val="28"/>
          <w:szCs w:val="28"/>
          <w:lang w:val="en-US"/>
        </w:rPr>
        <w:t>4</w:t>
      </w:r>
      <w:r w:rsidR="00DB48D2" w:rsidRPr="00DB48D2">
        <w:rPr>
          <w:rFonts w:ascii="Times New Roman" w:hAnsi="Times New Roman" w:cs="Times New Roman"/>
          <w:sz w:val="28"/>
          <w:szCs w:val="28"/>
          <w:lang w:val="kk-KZ"/>
        </w:rPr>
        <w:t>3</w:t>
      </w:r>
      <w:r w:rsidR="005B2719" w:rsidRPr="00DB48D2">
        <w:rPr>
          <w:rFonts w:ascii="Times New Roman" w:hAnsi="Times New Roman" w:cs="Times New Roman"/>
          <w:sz w:val="28"/>
          <w:szCs w:val="28"/>
          <w:lang w:val="en-US"/>
        </w:rPr>
        <w:t>]</w:t>
      </w:r>
      <w:r w:rsidR="009358EE" w:rsidRPr="00DB48D2">
        <w:rPr>
          <w:rFonts w:ascii="Times New Roman" w:hAnsi="Times New Roman" w:cs="Times New Roman"/>
          <w:sz w:val="28"/>
          <w:szCs w:val="28"/>
          <w:lang w:val="kk-KZ"/>
        </w:rPr>
        <w:t>:</w:t>
      </w:r>
      <w:r w:rsidR="00D55495" w:rsidRPr="00DB48D2">
        <w:rPr>
          <w:rFonts w:ascii="Times New Roman" w:hAnsi="Times New Roman" w:cs="Times New Roman"/>
          <w:sz w:val="28"/>
          <w:szCs w:val="28"/>
          <w:lang w:val="kk-KZ"/>
        </w:rPr>
        <w:t xml:space="preserve"> </w:t>
      </w:r>
    </w:p>
    <w:p w14:paraId="4ABDC298" w14:textId="48B89364" w:rsidR="00D55495" w:rsidRPr="00446F9E" w:rsidRDefault="009358EE" w:rsidP="0097172E">
      <w:pPr>
        <w:pStyle w:val="a5"/>
        <w:widowControl w:val="0"/>
        <w:numPr>
          <w:ilvl w:val="0"/>
          <w:numId w:val="4"/>
        </w:numPr>
        <w:tabs>
          <w:tab w:val="left" w:pos="709"/>
          <w:tab w:val="left" w:pos="851"/>
          <w:tab w:val="left" w:pos="993"/>
        </w:tabs>
        <w:spacing w:after="0" w:line="240" w:lineRule="auto"/>
        <w:ind w:left="0" w:firstLine="709"/>
        <w:jc w:val="both"/>
        <w:rPr>
          <w:rFonts w:ascii="Times New Roman" w:hAnsi="Times New Roman"/>
          <w:sz w:val="28"/>
          <w:szCs w:val="28"/>
          <w:lang w:val="kk-KZ"/>
        </w:rPr>
      </w:pPr>
      <w:r w:rsidRPr="00446F9E">
        <w:rPr>
          <w:rFonts w:ascii="Times New Roman" w:hAnsi="Times New Roman"/>
          <w:sz w:val="28"/>
          <w:szCs w:val="28"/>
          <w:lang w:val="kk-KZ"/>
        </w:rPr>
        <w:t>ү</w:t>
      </w:r>
      <w:r w:rsidR="00D55495" w:rsidRPr="00446F9E">
        <w:rPr>
          <w:rFonts w:ascii="Times New Roman" w:hAnsi="Times New Roman"/>
          <w:sz w:val="28"/>
          <w:szCs w:val="28"/>
          <w:lang w:val="kk-KZ"/>
        </w:rPr>
        <w:t xml:space="preserve">кіметтің нәтижелерге бағытталуын талдау, мысалы, </w:t>
      </w:r>
      <w:r w:rsidR="003B2CAF" w:rsidRPr="00446F9E">
        <w:rPr>
          <w:rFonts w:ascii="Times New Roman" w:hAnsi="Times New Roman"/>
          <w:sz w:val="28"/>
          <w:szCs w:val="28"/>
          <w:lang w:val="kk-KZ"/>
        </w:rPr>
        <w:t xml:space="preserve">мемлекеттік </w:t>
      </w:r>
      <w:r w:rsidR="00D55495" w:rsidRPr="00446F9E">
        <w:rPr>
          <w:rFonts w:ascii="Times New Roman" w:hAnsi="Times New Roman"/>
          <w:sz w:val="28"/>
          <w:szCs w:val="28"/>
          <w:lang w:val="kk-KZ"/>
        </w:rPr>
        <w:t xml:space="preserve">мекемелер </w:t>
      </w:r>
      <w:r w:rsidR="003B2CAF" w:rsidRPr="00446F9E">
        <w:rPr>
          <w:rFonts w:ascii="Times New Roman" w:hAnsi="Times New Roman"/>
          <w:sz w:val="28"/>
          <w:szCs w:val="28"/>
          <w:lang w:val="kk-KZ"/>
        </w:rPr>
        <w:t>стратегиялық мақсаттарға жетудің</w:t>
      </w:r>
      <w:r w:rsidR="00D55495" w:rsidRPr="00446F9E">
        <w:rPr>
          <w:rFonts w:ascii="Times New Roman" w:hAnsi="Times New Roman"/>
          <w:sz w:val="28"/>
          <w:szCs w:val="28"/>
          <w:lang w:val="kk-KZ"/>
        </w:rPr>
        <w:t xml:space="preserve"> болжамды нәтижелеріне қол жеткізу үшін ин</w:t>
      </w:r>
      <w:r w:rsidRPr="00446F9E">
        <w:rPr>
          <w:rFonts w:ascii="Times New Roman" w:hAnsi="Times New Roman"/>
          <w:sz w:val="28"/>
          <w:szCs w:val="28"/>
          <w:lang w:val="kk-KZ"/>
        </w:rPr>
        <w:t>новациялық тәсілдерді пайдалану;</w:t>
      </w:r>
      <w:r w:rsidR="00D55495" w:rsidRPr="00446F9E">
        <w:rPr>
          <w:rFonts w:ascii="Times New Roman" w:hAnsi="Times New Roman"/>
          <w:sz w:val="28"/>
          <w:szCs w:val="28"/>
          <w:lang w:val="kk-KZ"/>
        </w:rPr>
        <w:t xml:space="preserve"> </w:t>
      </w:r>
    </w:p>
    <w:p w14:paraId="6CDF246C" w14:textId="4CCA0482" w:rsidR="009358EE" w:rsidRPr="00446F9E" w:rsidRDefault="009358EE" w:rsidP="0097172E">
      <w:pPr>
        <w:pStyle w:val="a5"/>
        <w:numPr>
          <w:ilvl w:val="0"/>
          <w:numId w:val="4"/>
        </w:numPr>
        <w:tabs>
          <w:tab w:val="left" w:pos="709"/>
          <w:tab w:val="left" w:pos="851"/>
          <w:tab w:val="left" w:pos="993"/>
        </w:tabs>
        <w:spacing w:after="0" w:line="240" w:lineRule="auto"/>
        <w:ind w:left="0" w:firstLine="709"/>
        <w:jc w:val="both"/>
        <w:rPr>
          <w:rFonts w:ascii="Times New Roman" w:hAnsi="Times New Roman"/>
          <w:sz w:val="28"/>
          <w:szCs w:val="28"/>
          <w:lang w:val="kk-KZ"/>
        </w:rPr>
      </w:pPr>
      <w:r w:rsidRPr="00446F9E">
        <w:rPr>
          <w:rFonts w:ascii="Times New Roman" w:hAnsi="Times New Roman"/>
          <w:sz w:val="28"/>
          <w:szCs w:val="28"/>
          <w:lang w:val="kk-KZ"/>
        </w:rPr>
        <w:t>м</w:t>
      </w:r>
      <w:r w:rsidR="00D55495" w:rsidRPr="00446F9E">
        <w:rPr>
          <w:rFonts w:ascii="Times New Roman" w:hAnsi="Times New Roman"/>
          <w:sz w:val="28"/>
          <w:szCs w:val="28"/>
          <w:lang w:val="kk-KZ"/>
        </w:rPr>
        <w:t xml:space="preserve">емлекеттік басқарудың барлық деңгейлерінде және басқа да секторлармен мекемелердің күш-жігерін тиімді үйлестіруді қамтамасыз ету бойынша </w:t>
      </w:r>
      <w:r w:rsidR="001B2DF4" w:rsidRPr="00446F9E">
        <w:rPr>
          <w:rFonts w:ascii="Times New Roman" w:hAnsi="Times New Roman"/>
          <w:sz w:val="28"/>
          <w:szCs w:val="28"/>
          <w:lang w:val="kk-KZ"/>
        </w:rPr>
        <w:t>өзара тиімді әрекет ету</w:t>
      </w:r>
      <w:r w:rsidRPr="00446F9E">
        <w:rPr>
          <w:rFonts w:ascii="Times New Roman" w:hAnsi="Times New Roman"/>
          <w:sz w:val="28"/>
          <w:szCs w:val="28"/>
          <w:lang w:val="kk-KZ"/>
        </w:rPr>
        <w:t xml:space="preserve"> тетіктерін бағалау;</w:t>
      </w:r>
      <w:r w:rsidR="00D55495" w:rsidRPr="00446F9E">
        <w:rPr>
          <w:rFonts w:ascii="Times New Roman" w:hAnsi="Times New Roman"/>
          <w:sz w:val="28"/>
          <w:szCs w:val="28"/>
          <w:lang w:val="kk-KZ"/>
        </w:rPr>
        <w:t xml:space="preserve"> </w:t>
      </w:r>
    </w:p>
    <w:p w14:paraId="47852FF5" w14:textId="26C7E1DA" w:rsidR="009358EE" w:rsidRPr="00457CE9" w:rsidRDefault="009358EE" w:rsidP="0097172E">
      <w:pPr>
        <w:pStyle w:val="a5"/>
        <w:widowControl w:val="0"/>
        <w:numPr>
          <w:ilvl w:val="0"/>
          <w:numId w:val="4"/>
        </w:numPr>
        <w:tabs>
          <w:tab w:val="left" w:pos="709"/>
          <w:tab w:val="left" w:pos="851"/>
          <w:tab w:val="left" w:pos="993"/>
        </w:tabs>
        <w:spacing w:after="0" w:line="240" w:lineRule="auto"/>
        <w:ind w:left="0" w:firstLine="709"/>
        <w:jc w:val="both"/>
        <w:rPr>
          <w:rFonts w:ascii="Times New Roman" w:hAnsi="Times New Roman"/>
          <w:sz w:val="28"/>
          <w:szCs w:val="28"/>
          <w:lang w:val="kk-KZ"/>
        </w:rPr>
      </w:pPr>
      <w:r w:rsidRPr="00446F9E">
        <w:rPr>
          <w:rFonts w:ascii="Times New Roman" w:hAnsi="Times New Roman"/>
          <w:sz w:val="28"/>
          <w:szCs w:val="28"/>
          <w:lang w:val="kk-KZ"/>
        </w:rPr>
        <w:t>н</w:t>
      </w:r>
      <w:r w:rsidR="00D55495" w:rsidRPr="00446F9E">
        <w:rPr>
          <w:rFonts w:ascii="Times New Roman" w:hAnsi="Times New Roman"/>
          <w:sz w:val="28"/>
          <w:szCs w:val="28"/>
          <w:lang w:val="kk-KZ"/>
        </w:rPr>
        <w:t xml:space="preserve">әтижелерге қол жеткізу және олардың тиімділігі </w:t>
      </w:r>
      <w:r w:rsidR="00D55495" w:rsidRPr="00457CE9">
        <w:rPr>
          <w:rFonts w:ascii="Times New Roman" w:hAnsi="Times New Roman"/>
          <w:sz w:val="28"/>
          <w:szCs w:val="28"/>
          <w:lang w:val="kk-KZ"/>
        </w:rPr>
        <w:t xml:space="preserve">мен өзара толықтыруын қамтамасыз ету үшін пайдаланылатын </w:t>
      </w:r>
      <w:r w:rsidR="001B2DF4" w:rsidRPr="00457CE9">
        <w:rPr>
          <w:rFonts w:ascii="Times New Roman" w:hAnsi="Times New Roman"/>
          <w:sz w:val="28"/>
          <w:szCs w:val="28"/>
          <w:lang w:val="kk-KZ"/>
        </w:rPr>
        <w:t>трансферттер</w:t>
      </w:r>
      <w:r w:rsidR="00D55495" w:rsidRPr="00457CE9">
        <w:rPr>
          <w:rFonts w:ascii="Times New Roman" w:hAnsi="Times New Roman"/>
          <w:sz w:val="28"/>
          <w:szCs w:val="28"/>
          <w:lang w:val="kk-KZ"/>
        </w:rPr>
        <w:t>,</w:t>
      </w:r>
      <w:r w:rsidR="001B2DF4" w:rsidRPr="00457CE9">
        <w:rPr>
          <w:rFonts w:ascii="Times New Roman" w:hAnsi="Times New Roman"/>
          <w:sz w:val="28"/>
          <w:szCs w:val="28"/>
          <w:lang w:val="kk-KZ"/>
        </w:rPr>
        <w:t xml:space="preserve"> субсидиялар,</w:t>
      </w:r>
      <w:r w:rsidR="00D55495" w:rsidRPr="00457CE9">
        <w:rPr>
          <w:rFonts w:ascii="Times New Roman" w:hAnsi="Times New Roman"/>
          <w:sz w:val="28"/>
          <w:szCs w:val="28"/>
          <w:lang w:val="kk-KZ"/>
        </w:rPr>
        <w:t xml:space="preserve"> келісім</w:t>
      </w:r>
      <w:r w:rsidR="001B2DF4" w:rsidRPr="00457CE9">
        <w:rPr>
          <w:rFonts w:ascii="Times New Roman" w:hAnsi="Times New Roman"/>
          <w:sz w:val="28"/>
          <w:szCs w:val="28"/>
          <w:lang w:val="kk-KZ"/>
        </w:rPr>
        <w:t>-</w:t>
      </w:r>
      <w:r w:rsidR="00D55495" w:rsidRPr="00457CE9">
        <w:rPr>
          <w:rFonts w:ascii="Times New Roman" w:hAnsi="Times New Roman"/>
          <w:sz w:val="28"/>
          <w:szCs w:val="28"/>
          <w:lang w:val="kk-KZ"/>
        </w:rPr>
        <w:t>шарттар, салық шығындары мен нормативтік актілер сияқты мемлекеттік саясаттың түрлі құралда</w:t>
      </w:r>
      <w:r w:rsidRPr="00457CE9">
        <w:rPr>
          <w:rFonts w:ascii="Times New Roman" w:hAnsi="Times New Roman"/>
          <w:sz w:val="28"/>
          <w:szCs w:val="28"/>
          <w:lang w:val="kk-KZ"/>
        </w:rPr>
        <w:t>рының өзара іс-қимылын зерттеу;</w:t>
      </w:r>
      <w:r w:rsidR="00D55495" w:rsidRPr="00457CE9">
        <w:rPr>
          <w:rFonts w:ascii="Times New Roman" w:hAnsi="Times New Roman"/>
          <w:sz w:val="28"/>
          <w:szCs w:val="28"/>
          <w:lang w:val="kk-KZ"/>
        </w:rPr>
        <w:t xml:space="preserve"> </w:t>
      </w:r>
    </w:p>
    <w:p w14:paraId="5B8D930F" w14:textId="77777777" w:rsidR="009358EE" w:rsidRPr="00457CE9" w:rsidRDefault="009358EE" w:rsidP="0097172E">
      <w:pPr>
        <w:pStyle w:val="a5"/>
        <w:widowControl w:val="0"/>
        <w:numPr>
          <w:ilvl w:val="0"/>
          <w:numId w:val="4"/>
        </w:numPr>
        <w:tabs>
          <w:tab w:val="left" w:pos="709"/>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w:t>
      </w:r>
      <w:r w:rsidR="00D55495" w:rsidRPr="00457CE9">
        <w:rPr>
          <w:rFonts w:ascii="Times New Roman" w:hAnsi="Times New Roman"/>
          <w:sz w:val="28"/>
          <w:szCs w:val="28"/>
          <w:lang w:val="kk-KZ"/>
        </w:rPr>
        <w:t>емлекеттік органдардың ашықтығын және жұртшылықтың есептілігін арттыру үшін веб-технологиялар мен әлеуметтік желілер технологияларын п</w:t>
      </w:r>
      <w:r w:rsidRPr="00457CE9">
        <w:rPr>
          <w:rFonts w:ascii="Times New Roman" w:hAnsi="Times New Roman"/>
          <w:sz w:val="28"/>
          <w:szCs w:val="28"/>
          <w:lang w:val="kk-KZ"/>
        </w:rPr>
        <w:t>айдалану мүмкіндіктерін зерттеу;</w:t>
      </w:r>
      <w:r w:rsidR="00D55495" w:rsidRPr="00457CE9">
        <w:rPr>
          <w:rFonts w:ascii="Times New Roman" w:hAnsi="Times New Roman"/>
          <w:sz w:val="28"/>
          <w:szCs w:val="28"/>
          <w:lang w:val="kk-KZ"/>
        </w:rPr>
        <w:t xml:space="preserve"> </w:t>
      </w:r>
    </w:p>
    <w:p w14:paraId="614F841C" w14:textId="6FE01183" w:rsidR="00721AA7" w:rsidRPr="00457CE9" w:rsidRDefault="009358EE" w:rsidP="0097172E">
      <w:pPr>
        <w:pStyle w:val="a5"/>
        <w:widowControl w:val="0"/>
        <w:numPr>
          <w:ilvl w:val="0"/>
          <w:numId w:val="4"/>
        </w:numPr>
        <w:tabs>
          <w:tab w:val="left" w:pos="709"/>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ү</w:t>
      </w:r>
      <w:r w:rsidR="00D55495" w:rsidRPr="00457CE9">
        <w:rPr>
          <w:rFonts w:ascii="Times New Roman" w:hAnsi="Times New Roman"/>
          <w:sz w:val="28"/>
          <w:szCs w:val="28"/>
          <w:lang w:val="kk-KZ"/>
        </w:rPr>
        <w:t xml:space="preserve">кіметтің стратегиялық және бағдарламалық жоспарлауға тәуекелдерді сәйкестендіру мен басқаруды жүйелі интеграциялауды қамтамасыз ету үшін </w:t>
      </w:r>
      <w:r w:rsidR="001B2DF4" w:rsidRPr="00457CE9">
        <w:rPr>
          <w:rFonts w:ascii="Times New Roman" w:hAnsi="Times New Roman"/>
          <w:sz w:val="28"/>
          <w:szCs w:val="28"/>
          <w:lang w:val="kk-KZ"/>
        </w:rPr>
        <w:t>мемлекет әкімшілерінің</w:t>
      </w:r>
      <w:r w:rsidR="00D55495" w:rsidRPr="00457CE9">
        <w:rPr>
          <w:rFonts w:ascii="Times New Roman" w:hAnsi="Times New Roman"/>
          <w:sz w:val="28"/>
          <w:szCs w:val="28"/>
          <w:lang w:val="kk-KZ"/>
        </w:rPr>
        <w:t xml:space="preserve"> тәуекелдерді басқару бағдарламалары сияқты басқару шақырулары</w:t>
      </w:r>
      <w:r w:rsidRPr="00457CE9">
        <w:rPr>
          <w:rFonts w:ascii="Times New Roman" w:hAnsi="Times New Roman"/>
          <w:sz w:val="28"/>
          <w:szCs w:val="28"/>
          <w:lang w:val="kk-KZ"/>
        </w:rPr>
        <w:t>на жауап беру қабілетін бағалау</w:t>
      </w:r>
      <w:r w:rsidR="00D55495" w:rsidRPr="00457CE9">
        <w:rPr>
          <w:rFonts w:ascii="Times New Roman" w:hAnsi="Times New Roman"/>
          <w:sz w:val="28"/>
          <w:szCs w:val="28"/>
          <w:lang w:val="kk-KZ"/>
        </w:rPr>
        <w:t>.</w:t>
      </w:r>
    </w:p>
    <w:p w14:paraId="428C01F6" w14:textId="12AE81FE" w:rsidR="001A5AE5" w:rsidRPr="00457CE9" w:rsidRDefault="001A04F1" w:rsidP="00457CE9">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қазіргі уақытта экономикалық ынтымақтастық және даму ұйымының (ЭЫДҰ) көптеген елдерінде және басқа елдерде ұлттық аудиторлық мекемелер жұмысының жақсы дамыған бөлігі болып табылады. Ол осы елдердің мемлекеттік секторындағы тиімділікті басқарудың жалпы тәсілінің бір бөлігі болып табылады. Оның нәтиже</w:t>
      </w:r>
      <w:r w:rsidR="001B2DF4" w:rsidRPr="00457CE9">
        <w:rPr>
          <w:rFonts w:ascii="Times New Roman" w:hAnsi="Times New Roman" w:cs="Times New Roman"/>
          <w:sz w:val="28"/>
          <w:szCs w:val="28"/>
          <w:lang w:val="kk-KZ"/>
        </w:rPr>
        <w:t>ге бағытталған</w:t>
      </w:r>
      <w:r w:rsidRPr="00457CE9">
        <w:rPr>
          <w:rFonts w:ascii="Times New Roman" w:hAnsi="Times New Roman" w:cs="Times New Roman"/>
          <w:sz w:val="28"/>
          <w:szCs w:val="28"/>
          <w:lang w:val="kk-KZ"/>
        </w:rPr>
        <w:t xml:space="preserve"> бюджетін жасауға деген қатынасы, қамту саласына және </w:t>
      </w:r>
      <w:r w:rsidR="001B2DF4" w:rsidRPr="00457CE9">
        <w:rPr>
          <w:rFonts w:ascii="Times New Roman" w:hAnsi="Times New Roman" w:cs="Times New Roman"/>
          <w:sz w:val="28"/>
          <w:szCs w:val="28"/>
          <w:lang w:val="kk-KZ"/>
        </w:rPr>
        <w:t>тиімді</w:t>
      </w:r>
      <w:r w:rsidRPr="00457CE9">
        <w:rPr>
          <w:rFonts w:ascii="Times New Roman" w:hAnsi="Times New Roman" w:cs="Times New Roman"/>
          <w:sz w:val="28"/>
          <w:szCs w:val="28"/>
          <w:lang w:val="kk-KZ"/>
        </w:rPr>
        <w:t xml:space="preserve">лік аудиті функциясының сипатына, сондай-ақ нәтижелілік бюджетін жасауға байланысты әртүрлі елдерде </w:t>
      </w:r>
      <w:r w:rsidR="001B2DF4" w:rsidRPr="00457CE9">
        <w:rPr>
          <w:rFonts w:ascii="Times New Roman" w:hAnsi="Times New Roman" w:cs="Times New Roman"/>
          <w:sz w:val="28"/>
          <w:szCs w:val="28"/>
          <w:lang w:val="kk-KZ"/>
        </w:rPr>
        <w:t>ерекшеліктері бар</w:t>
      </w:r>
      <w:r w:rsidRPr="00457CE9">
        <w:rPr>
          <w:rFonts w:ascii="Times New Roman" w:hAnsi="Times New Roman" w:cs="Times New Roman"/>
          <w:sz w:val="28"/>
          <w:szCs w:val="28"/>
          <w:lang w:val="kk-KZ"/>
        </w:rPr>
        <w:t xml:space="preserve">. </w:t>
      </w:r>
      <w:r w:rsidR="001B2DF4" w:rsidRPr="00457CE9">
        <w:rPr>
          <w:rFonts w:ascii="Times New Roman" w:hAnsi="Times New Roman" w:cs="Times New Roman"/>
          <w:sz w:val="28"/>
          <w:szCs w:val="28"/>
          <w:lang w:val="kk-KZ"/>
        </w:rPr>
        <w:t>Осы орайда</w:t>
      </w:r>
      <w:r w:rsidRPr="00457CE9">
        <w:rPr>
          <w:rFonts w:ascii="Times New Roman" w:hAnsi="Times New Roman" w:cs="Times New Roman"/>
          <w:sz w:val="28"/>
          <w:szCs w:val="28"/>
          <w:lang w:val="kk-KZ"/>
        </w:rPr>
        <w:t xml:space="preserve"> тиімділік аудиті мен тиімді бюджет</w:t>
      </w:r>
      <w:r w:rsidR="001B2DF4" w:rsidRPr="00457CE9">
        <w:rPr>
          <w:rFonts w:ascii="Times New Roman" w:hAnsi="Times New Roman" w:cs="Times New Roman"/>
          <w:sz w:val="28"/>
          <w:szCs w:val="28"/>
          <w:lang w:val="kk-KZ"/>
        </w:rPr>
        <w:t>ті</w:t>
      </w:r>
      <w:r w:rsidRPr="00457CE9">
        <w:rPr>
          <w:rFonts w:ascii="Times New Roman" w:hAnsi="Times New Roman" w:cs="Times New Roman"/>
          <w:sz w:val="28"/>
          <w:szCs w:val="28"/>
          <w:lang w:val="kk-KZ"/>
        </w:rPr>
        <w:t xml:space="preserve"> </w:t>
      </w:r>
      <w:r w:rsidR="00002003" w:rsidRPr="00457CE9">
        <w:rPr>
          <w:rFonts w:ascii="Times New Roman" w:hAnsi="Times New Roman" w:cs="Times New Roman"/>
          <w:sz w:val="28"/>
          <w:szCs w:val="28"/>
          <w:lang w:val="kk-KZ"/>
        </w:rPr>
        <w:t>жасау арасындағы байланыс айқын</w:t>
      </w:r>
      <w:r w:rsidR="00572D3A" w:rsidRPr="00457CE9">
        <w:rPr>
          <w:rFonts w:ascii="Times New Roman" w:hAnsi="Times New Roman" w:cs="Times New Roman"/>
          <w:sz w:val="28"/>
          <w:szCs w:val="28"/>
          <w:lang w:val="kk-KZ"/>
        </w:rPr>
        <w:t xml:space="preserve"> [</w:t>
      </w:r>
      <w:r w:rsidR="00551C35" w:rsidRPr="00551C35">
        <w:rPr>
          <w:rFonts w:ascii="Times New Roman" w:hAnsi="Times New Roman" w:cs="Times New Roman"/>
          <w:sz w:val="28"/>
          <w:szCs w:val="28"/>
          <w:lang w:val="kk-KZ"/>
        </w:rPr>
        <w:t>4</w:t>
      </w:r>
      <w:r w:rsidR="00DB48D2">
        <w:rPr>
          <w:rFonts w:ascii="Times New Roman" w:hAnsi="Times New Roman" w:cs="Times New Roman"/>
          <w:sz w:val="28"/>
          <w:szCs w:val="28"/>
          <w:lang w:val="kk-KZ"/>
        </w:rPr>
        <w:t>4</w:t>
      </w:r>
      <w:r w:rsidR="00572D3A"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p>
    <w:p w14:paraId="73716CA8" w14:textId="485BEE6D" w:rsidR="00A5416A" w:rsidRPr="00274194" w:rsidRDefault="00A5416A" w:rsidP="00457CE9">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ISSAI 300 «Тиімділік аудитінің қағидаттары» деп аталатын құжатта «тиімділік қағидаты қолда бар ресурстар есебінен максималды нәтиже алуды білдіреді. Ол пайдаланылған ресурстар мен алынған нәтижелер арасындағы сан, сапа және уақыт бойынша байланысты қарастырады» делінген [</w:t>
      </w:r>
      <w:r w:rsidR="00572D3A" w:rsidRPr="00274194">
        <w:rPr>
          <w:rFonts w:ascii="Times New Roman" w:hAnsi="Times New Roman" w:cs="Times New Roman"/>
          <w:sz w:val="28"/>
          <w:szCs w:val="28"/>
          <w:lang w:val="kk-KZ"/>
        </w:rPr>
        <w:t>4</w:t>
      </w:r>
      <w:r w:rsidR="00DB48D2">
        <w:rPr>
          <w:rFonts w:ascii="Times New Roman" w:hAnsi="Times New Roman" w:cs="Times New Roman"/>
          <w:sz w:val="28"/>
          <w:szCs w:val="28"/>
          <w:lang w:val="kk-KZ"/>
        </w:rPr>
        <w:t>5</w:t>
      </w:r>
      <w:r w:rsidRPr="00274194">
        <w:rPr>
          <w:rFonts w:ascii="Times New Roman" w:hAnsi="Times New Roman" w:cs="Times New Roman"/>
          <w:sz w:val="28"/>
          <w:szCs w:val="28"/>
          <w:lang w:val="kk-KZ"/>
        </w:rPr>
        <w:t>].</w:t>
      </w:r>
    </w:p>
    <w:p w14:paraId="10340167" w14:textId="0A36AFA1" w:rsidR="001A5AE5" w:rsidRPr="00457CE9" w:rsidRDefault="001A5AE5" w:rsidP="00457CE9">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Жоғары аудиторлық мекемелерд</w:t>
      </w:r>
      <w:r w:rsidR="003C1C3D" w:rsidRPr="00457CE9">
        <w:rPr>
          <w:rFonts w:ascii="Times New Roman" w:hAnsi="Times New Roman" w:cs="Times New Roman"/>
          <w:sz w:val="28"/>
          <w:szCs w:val="28"/>
          <w:lang w:val="kk-KZ"/>
        </w:rPr>
        <w:t>ің халықаралық ұйымы (INTOSAI)</w:t>
      </w:r>
      <w:r w:rsidRPr="00457CE9">
        <w:rPr>
          <w:rFonts w:ascii="Times New Roman" w:hAnsi="Times New Roman" w:cs="Times New Roman"/>
          <w:sz w:val="28"/>
          <w:szCs w:val="28"/>
          <w:lang w:val="kk-KZ"/>
        </w:rPr>
        <w:t xml:space="preserve"> тиімділік аудитін </w:t>
      </w:r>
      <w:r w:rsidR="006875C0" w:rsidRPr="00457CE9">
        <w:rPr>
          <w:rFonts w:ascii="Times New Roman" w:hAnsi="Times New Roman" w:cs="Times New Roman"/>
          <w:sz w:val="28"/>
          <w:szCs w:val="28"/>
          <w:lang w:val="kk-KZ"/>
        </w:rPr>
        <w:t>нәтижелілік, өнімділік, тиімділік, үнемділік қағидаларын сақтай отырып</w:t>
      </w:r>
      <w:r w:rsidRPr="00457CE9">
        <w:rPr>
          <w:rFonts w:ascii="Times New Roman" w:hAnsi="Times New Roman" w:cs="Times New Roman"/>
          <w:sz w:val="28"/>
          <w:szCs w:val="28"/>
          <w:lang w:val="kk-KZ"/>
        </w:rPr>
        <w:t xml:space="preserve"> </w:t>
      </w:r>
      <w:r w:rsidR="006875C0" w:rsidRPr="00457CE9">
        <w:rPr>
          <w:rFonts w:ascii="Times New Roman" w:hAnsi="Times New Roman" w:cs="Times New Roman"/>
          <w:sz w:val="28"/>
          <w:szCs w:val="28"/>
          <w:lang w:val="kk-KZ"/>
        </w:rPr>
        <w:t xml:space="preserve">ақпараттық жүйелерді, қызмет көрсеткіштері мен мониторинг тетіктерін, сондай-ақ анықталған кемшіліктерді жою үшін аудиттелетін субъектілерге қолданатын рәсімдерді зерделеуді қоса алғанда, кадрлық, қаржылық және өзге де ресурстарды пайдалану тиімділігінің аудиті </w:t>
      </w:r>
      <w:r w:rsidR="003C1C3D" w:rsidRPr="00457CE9">
        <w:rPr>
          <w:rFonts w:ascii="Times New Roman" w:hAnsi="Times New Roman" w:cs="Times New Roman"/>
          <w:sz w:val="28"/>
          <w:szCs w:val="28"/>
          <w:lang w:val="kk-KZ"/>
        </w:rPr>
        <w:t>ретінде айқындайды</w:t>
      </w:r>
      <w:r w:rsidR="00B57B26" w:rsidRPr="00457CE9">
        <w:rPr>
          <w:rFonts w:ascii="Times New Roman" w:hAnsi="Times New Roman" w:cs="Times New Roman"/>
          <w:sz w:val="28"/>
          <w:szCs w:val="28"/>
          <w:lang w:val="kk-KZ"/>
        </w:rPr>
        <w:t xml:space="preserve"> </w:t>
      </w:r>
      <w:r w:rsidR="00DB4D5C" w:rsidRPr="00457CE9">
        <w:rPr>
          <w:rFonts w:ascii="Times New Roman" w:hAnsi="Times New Roman" w:cs="Times New Roman"/>
          <w:sz w:val="28"/>
          <w:szCs w:val="28"/>
          <w:lang w:val="kk-KZ"/>
        </w:rPr>
        <w:t>[</w:t>
      </w:r>
      <w:r w:rsidR="004B251D">
        <w:rPr>
          <w:rFonts w:ascii="Times New Roman" w:hAnsi="Times New Roman" w:cs="Times New Roman"/>
          <w:sz w:val="28"/>
          <w:szCs w:val="28"/>
          <w:lang w:val="kk-KZ"/>
        </w:rPr>
        <w:t>4</w:t>
      </w:r>
      <w:r w:rsidR="00DB48D2">
        <w:rPr>
          <w:rFonts w:ascii="Times New Roman" w:hAnsi="Times New Roman" w:cs="Times New Roman"/>
          <w:sz w:val="28"/>
          <w:szCs w:val="28"/>
          <w:lang w:val="kk-KZ"/>
        </w:rPr>
        <w:t>5</w:t>
      </w:r>
      <w:r w:rsidR="00DB4D5C"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42DFF542" w14:textId="7846958E" w:rsidR="00582229" w:rsidRPr="00457CE9" w:rsidRDefault="00582229" w:rsidP="00457CE9">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 бұл тиімділік және нәтижелілік тұрғысынан</w:t>
      </w:r>
      <w:r w:rsidR="00525979" w:rsidRPr="00457CE9">
        <w:rPr>
          <w:rFonts w:ascii="Times New Roman" w:hAnsi="Times New Roman" w:cs="Times New Roman"/>
          <w:sz w:val="28"/>
          <w:szCs w:val="28"/>
          <w:lang w:val="kk-KZ"/>
        </w:rPr>
        <w:t xml:space="preserve"> үнемдеу</w:t>
      </w:r>
      <w:r w:rsidRPr="00457CE9">
        <w:rPr>
          <w:rFonts w:ascii="Times New Roman" w:hAnsi="Times New Roman" w:cs="Times New Roman"/>
          <w:sz w:val="28"/>
          <w:szCs w:val="28"/>
          <w:lang w:val="kk-KZ"/>
        </w:rPr>
        <w:t>, сондай-ақ қоршаған орта мен әділдік аспектілеріне қатысты жобалардың, бағдарламалардың, іс-шаралар мен функциялардың орындалуына сенімді қамтамасыз ететін тәуелсіз қамтамасыз ету қызметі. Тиімділік аудитінің мақсаты жақсартуға қайда және қалай қол жеткізуге болатын ұсыныстар беру және олар көрсететін ықтимал әсерді анықтау болып табылады.</w:t>
      </w:r>
    </w:p>
    <w:p w14:paraId="24D0B9DF" w14:textId="77777777" w:rsidR="00582229" w:rsidRPr="00457CE9" w:rsidRDefault="00582229"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Мониторинг үрдісі бастапқы деректерді түрлендіру нәтижесінде алынған нәтижелерді үздіксіз және жүйелі түрде қадағалаудан тұрады. Бұл үдерістің нәтижелері сандық бағаланады және қойылған мақсаттарға қол жеткізудегі олқылықтарды жоюға ықпал ететін шараларды барабар қолдану бойынша кері байланысты қалыптастырады.</w:t>
      </w:r>
    </w:p>
    <w:p w14:paraId="76777221" w14:textId="7034B592" w:rsidR="00582229" w:rsidRPr="00457CE9" w:rsidRDefault="00582229"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Ақырында, бағалау – бұл экономика аспектілеріне, тиімділік пен нәтижелілікке, сондай-ақ қоршаған орта мен әділдікке қатысты бағдарламалардың, саясаттың, жобалардың нәтижелерін</w:t>
      </w:r>
      <w:r w:rsidR="00AB29A2" w:rsidRPr="00457CE9">
        <w:rPr>
          <w:rFonts w:ascii="Times New Roman" w:hAnsi="Times New Roman" w:cs="Times New Roman"/>
          <w:sz w:val="28"/>
          <w:szCs w:val="28"/>
          <w:lang w:val="kk-KZ"/>
        </w:rPr>
        <w:t>е</w:t>
      </w:r>
      <w:r w:rsidRPr="00457CE9">
        <w:rPr>
          <w:rFonts w:ascii="Times New Roman" w:hAnsi="Times New Roman" w:cs="Times New Roman"/>
          <w:sz w:val="28"/>
          <w:szCs w:val="28"/>
          <w:lang w:val="kk-KZ"/>
        </w:rPr>
        <w:t xml:space="preserve"> (нәтижелері мен салдарларын) баға</w:t>
      </w:r>
      <w:r w:rsidR="00AB29A2" w:rsidRPr="00457CE9">
        <w:rPr>
          <w:rFonts w:ascii="Times New Roman" w:hAnsi="Times New Roman" w:cs="Times New Roman"/>
          <w:sz w:val="28"/>
          <w:szCs w:val="28"/>
          <w:lang w:val="kk-KZ"/>
        </w:rPr>
        <w:t xml:space="preserve"> беру</w:t>
      </w:r>
      <w:r w:rsidRPr="00457CE9">
        <w:rPr>
          <w:rFonts w:ascii="Times New Roman" w:hAnsi="Times New Roman" w:cs="Times New Roman"/>
          <w:sz w:val="28"/>
          <w:szCs w:val="28"/>
          <w:lang w:val="kk-KZ"/>
        </w:rPr>
        <w:t>.</w:t>
      </w:r>
    </w:p>
    <w:p w14:paraId="5F625F30" w14:textId="6717A018" w:rsidR="00582229" w:rsidRPr="00457CE9" w:rsidRDefault="00582229"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мониторинг және бағалау</w:t>
      </w:r>
      <w:r w:rsidR="00613B7F" w:rsidRPr="00457CE9">
        <w:rPr>
          <w:rFonts w:ascii="Times New Roman" w:hAnsi="Times New Roman" w:cs="Times New Roman"/>
          <w:sz w:val="28"/>
          <w:szCs w:val="28"/>
          <w:lang w:val="kk-KZ"/>
        </w:rPr>
        <w:t xml:space="preserve"> – </w:t>
      </w:r>
      <w:r w:rsidRPr="00457CE9">
        <w:rPr>
          <w:rFonts w:ascii="Times New Roman" w:hAnsi="Times New Roman" w:cs="Times New Roman"/>
          <w:sz w:val="28"/>
          <w:szCs w:val="28"/>
          <w:lang w:val="kk-KZ"/>
        </w:rPr>
        <w:t xml:space="preserve">бұл ұтымды қаржылық басқарудағы барлық </w:t>
      </w:r>
      <w:r w:rsidR="00BD59A2" w:rsidRPr="00457CE9">
        <w:rPr>
          <w:rFonts w:ascii="Times New Roman" w:hAnsi="Times New Roman" w:cs="Times New Roman"/>
          <w:sz w:val="28"/>
          <w:szCs w:val="28"/>
          <w:lang w:val="kk-KZ"/>
        </w:rPr>
        <w:t>әдісте</w:t>
      </w:r>
      <w:r w:rsidRPr="00457CE9">
        <w:rPr>
          <w:rFonts w:ascii="Times New Roman" w:hAnsi="Times New Roman" w:cs="Times New Roman"/>
          <w:sz w:val="28"/>
          <w:szCs w:val="28"/>
          <w:lang w:val="kk-KZ"/>
        </w:rPr>
        <w:t xml:space="preserve">р. Олар бір-біріне ұқсас және толықтырады, бірақ түрлі мәселелерді қамтиды. Қаржылық сау және тұрақты экономикалық мемлекеттік саясат пен жобалар қауымдастықтарға қалай әсер ететінін терең түсінуге және қарауға негізделуі тиіс. </w:t>
      </w:r>
      <w:r w:rsidR="00613B7F" w:rsidRPr="00457CE9">
        <w:rPr>
          <w:rFonts w:ascii="Times New Roman" w:hAnsi="Times New Roman" w:cs="Times New Roman"/>
          <w:sz w:val="28"/>
          <w:szCs w:val="28"/>
          <w:lang w:val="kk-KZ"/>
        </w:rPr>
        <w:t>М</w:t>
      </w:r>
      <w:r w:rsidRPr="00457CE9">
        <w:rPr>
          <w:rFonts w:ascii="Times New Roman" w:hAnsi="Times New Roman" w:cs="Times New Roman"/>
          <w:sz w:val="28"/>
          <w:szCs w:val="28"/>
          <w:lang w:val="kk-KZ"/>
        </w:rPr>
        <w:t xml:space="preserve">емлекеттік органдардың күш-жігерінің әсерін өлшеу үшін тиімді және пәрменді құралдар </w:t>
      </w:r>
      <w:r w:rsidR="00613B7F" w:rsidRPr="00457CE9">
        <w:rPr>
          <w:rFonts w:ascii="Times New Roman" w:hAnsi="Times New Roman" w:cs="Times New Roman"/>
          <w:sz w:val="28"/>
          <w:szCs w:val="28"/>
          <w:lang w:val="kk-KZ"/>
        </w:rPr>
        <w:t>қажет</w:t>
      </w:r>
      <w:r w:rsidRPr="00457CE9">
        <w:rPr>
          <w:rFonts w:ascii="Times New Roman" w:hAnsi="Times New Roman" w:cs="Times New Roman"/>
          <w:sz w:val="28"/>
          <w:szCs w:val="28"/>
          <w:lang w:val="kk-KZ"/>
        </w:rPr>
        <w:t>.</w:t>
      </w:r>
      <w:r w:rsidR="00613B7F" w:rsidRPr="00457CE9">
        <w:rPr>
          <w:rFonts w:ascii="Times New Roman" w:hAnsi="Times New Roman" w:cs="Times New Roman"/>
          <w:sz w:val="28"/>
          <w:szCs w:val="28"/>
          <w:lang w:val="kk-KZ"/>
        </w:rPr>
        <w:t xml:space="preserve"> Ә</w:t>
      </w:r>
      <w:r w:rsidRPr="00457CE9">
        <w:rPr>
          <w:rFonts w:ascii="Times New Roman" w:hAnsi="Times New Roman" w:cs="Times New Roman"/>
          <w:sz w:val="28"/>
          <w:szCs w:val="28"/>
          <w:lang w:val="kk-KZ"/>
        </w:rPr>
        <w:t xml:space="preserve">серді алдын ала бағалау мен бағалауды, орта мерзімді және кейінгі бағалауды, саясатты іске асыру мониторингін және жобалар, ұйымдар мен мекемелер </w:t>
      </w:r>
      <w:r w:rsidR="00613B7F" w:rsidRPr="00457CE9">
        <w:rPr>
          <w:rFonts w:ascii="Times New Roman" w:hAnsi="Times New Roman" w:cs="Times New Roman"/>
          <w:sz w:val="28"/>
          <w:szCs w:val="28"/>
          <w:lang w:val="kk-KZ"/>
        </w:rPr>
        <w:t>тиімділігінің аудитін жүргізу арқылы қол жеткізіледі</w:t>
      </w:r>
      <w:r w:rsidRPr="00457CE9">
        <w:rPr>
          <w:rFonts w:ascii="Times New Roman" w:hAnsi="Times New Roman" w:cs="Times New Roman"/>
          <w:sz w:val="28"/>
          <w:szCs w:val="28"/>
          <w:lang w:val="kk-KZ"/>
        </w:rPr>
        <w:t>.</w:t>
      </w:r>
      <w:r w:rsidR="00613B7F"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Жұмысты аяқтағаннан кейін бағалар қойылған мақсаттарға қол жеткізбегенін талдауға және оларды жақсарту жолдарын белгілеуге көмектеседі</w:t>
      </w:r>
      <w:r w:rsidR="00572D3A" w:rsidRPr="00457CE9">
        <w:rPr>
          <w:rFonts w:ascii="Times New Roman" w:hAnsi="Times New Roman" w:cs="Times New Roman"/>
          <w:sz w:val="28"/>
          <w:szCs w:val="28"/>
          <w:lang w:val="kk-KZ"/>
        </w:rPr>
        <w:t xml:space="preserve"> [</w:t>
      </w:r>
      <w:r w:rsidR="004B251D">
        <w:rPr>
          <w:rFonts w:ascii="Times New Roman" w:hAnsi="Times New Roman" w:cs="Times New Roman"/>
          <w:sz w:val="28"/>
          <w:szCs w:val="28"/>
          <w:lang w:val="kk-KZ"/>
        </w:rPr>
        <w:t>4</w:t>
      </w:r>
      <w:r w:rsidR="00DB48D2">
        <w:rPr>
          <w:rFonts w:ascii="Times New Roman" w:hAnsi="Times New Roman" w:cs="Times New Roman"/>
          <w:sz w:val="28"/>
          <w:szCs w:val="28"/>
          <w:lang w:val="kk-KZ"/>
        </w:rPr>
        <w:t>5</w:t>
      </w:r>
      <w:r w:rsidR="00572D3A"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5BEA9060" w14:textId="4C8540E2" w:rsidR="00694D31" w:rsidRPr="00457CE9" w:rsidRDefault="00694D31" w:rsidP="00457CE9">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О.А. Фролова өзінің ғылыми мақаласында тиімділік аудиті мемлекеттік қаражатты пайдалану тиімділігін анықтау үшін билік органдары мен мемлекеттік ақша алушылардың қызметін тексеруді білдіреді </w:t>
      </w:r>
      <w:r w:rsidR="00A4274D">
        <w:rPr>
          <w:rFonts w:ascii="Times New Roman" w:hAnsi="Times New Roman" w:cs="Times New Roman"/>
          <w:sz w:val="28"/>
          <w:szCs w:val="28"/>
          <w:lang w:val="kk-KZ"/>
        </w:rPr>
        <w:t>және а</w:t>
      </w:r>
      <w:r w:rsidRPr="00457CE9">
        <w:rPr>
          <w:rFonts w:ascii="Times New Roman" w:hAnsi="Times New Roman" w:cs="Times New Roman"/>
          <w:sz w:val="28"/>
          <w:szCs w:val="28"/>
          <w:lang w:val="kk-KZ"/>
        </w:rPr>
        <w:t>удит келесі тексерулерден тұрады</w:t>
      </w:r>
      <w:r w:rsidR="00A4274D" w:rsidRPr="00A4274D">
        <w:rPr>
          <w:rFonts w:ascii="Times New Roman" w:hAnsi="Times New Roman" w:cs="Times New Roman"/>
          <w:sz w:val="28"/>
          <w:szCs w:val="28"/>
          <w:lang w:val="kk-KZ"/>
        </w:rPr>
        <w:t xml:space="preserve"> </w:t>
      </w:r>
      <w:r w:rsidR="00A4274D" w:rsidRPr="00457CE9">
        <w:rPr>
          <w:rFonts w:ascii="Times New Roman" w:hAnsi="Times New Roman" w:cs="Times New Roman"/>
          <w:sz w:val="28"/>
          <w:szCs w:val="28"/>
          <w:lang w:val="kk-KZ"/>
        </w:rPr>
        <w:t>деген</w:t>
      </w:r>
      <w:r w:rsidRPr="00457CE9">
        <w:rPr>
          <w:rFonts w:ascii="Times New Roman" w:hAnsi="Times New Roman" w:cs="Times New Roman"/>
          <w:sz w:val="28"/>
          <w:szCs w:val="28"/>
          <w:lang w:val="kk-KZ"/>
        </w:rPr>
        <w:t xml:space="preserve">: </w:t>
      </w:r>
    </w:p>
    <w:p w14:paraId="50B187D8" w14:textId="77777777" w:rsidR="00694D31" w:rsidRPr="00457CE9" w:rsidRDefault="00694D31" w:rsidP="0097172E">
      <w:pPr>
        <w:pStyle w:val="a5"/>
        <w:numPr>
          <w:ilvl w:val="0"/>
          <w:numId w:val="13"/>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тексерілетін ұйымның қызметінің нақты нәтижелеріне қол жеткізуге жұмсалған мемлекеттік қаражатты пайдалануының үнемділігі; </w:t>
      </w:r>
    </w:p>
    <w:p w14:paraId="45B5428F" w14:textId="77777777" w:rsidR="00694D31" w:rsidRPr="00446F9E" w:rsidRDefault="00694D31" w:rsidP="0097172E">
      <w:pPr>
        <w:pStyle w:val="a5"/>
        <w:widowControl w:val="0"/>
        <w:numPr>
          <w:ilvl w:val="0"/>
          <w:numId w:val="13"/>
        </w:numPr>
        <w:tabs>
          <w:tab w:val="left" w:pos="851"/>
          <w:tab w:val="left" w:pos="993"/>
        </w:tabs>
        <w:spacing w:after="0" w:line="240" w:lineRule="auto"/>
        <w:ind w:left="0" w:firstLine="709"/>
        <w:contextualSpacing w:val="0"/>
        <w:jc w:val="both"/>
        <w:rPr>
          <w:rFonts w:ascii="Times New Roman" w:hAnsi="Times New Roman"/>
          <w:sz w:val="28"/>
          <w:szCs w:val="28"/>
          <w:lang w:val="kk-KZ"/>
        </w:rPr>
      </w:pPr>
      <w:r w:rsidRPr="00457CE9">
        <w:rPr>
          <w:rFonts w:ascii="Times New Roman" w:hAnsi="Times New Roman"/>
          <w:sz w:val="28"/>
          <w:szCs w:val="28"/>
          <w:lang w:val="kk-KZ"/>
        </w:rPr>
        <w:t xml:space="preserve">өндірістік және өзге де қызмет процесінде еңбек, қаржы және өзге де ресурстарды пайдаланудың өнімділігі, сондай-ақ </w:t>
      </w:r>
      <w:r w:rsidR="00AB2E1E" w:rsidRPr="00457CE9">
        <w:rPr>
          <w:rFonts w:ascii="Times New Roman" w:hAnsi="Times New Roman"/>
          <w:sz w:val="28"/>
          <w:szCs w:val="28"/>
          <w:lang w:val="kk-KZ"/>
        </w:rPr>
        <w:t>а</w:t>
      </w:r>
      <w:r w:rsidRPr="00457CE9">
        <w:rPr>
          <w:rFonts w:ascii="Times New Roman" w:hAnsi="Times New Roman"/>
          <w:sz w:val="28"/>
          <w:szCs w:val="28"/>
          <w:lang w:val="kk-KZ"/>
        </w:rPr>
        <w:t xml:space="preserve">қпараттық жүйелер мен технологияларды пайдалану; </w:t>
      </w:r>
    </w:p>
    <w:p w14:paraId="55C740AA" w14:textId="63E05555" w:rsidR="00694D31" w:rsidRPr="00446F9E" w:rsidRDefault="00694D31" w:rsidP="0097172E">
      <w:pPr>
        <w:pStyle w:val="a5"/>
        <w:widowControl w:val="0"/>
        <w:numPr>
          <w:ilvl w:val="0"/>
          <w:numId w:val="13"/>
        </w:numPr>
        <w:tabs>
          <w:tab w:val="left" w:pos="851"/>
          <w:tab w:val="left" w:pos="993"/>
        </w:tabs>
        <w:spacing w:after="0" w:line="240" w:lineRule="auto"/>
        <w:ind w:left="0" w:firstLine="709"/>
        <w:contextualSpacing w:val="0"/>
        <w:jc w:val="both"/>
        <w:rPr>
          <w:rFonts w:ascii="Times New Roman" w:hAnsi="Times New Roman"/>
          <w:sz w:val="28"/>
          <w:szCs w:val="28"/>
          <w:lang w:val="kk-KZ"/>
        </w:rPr>
      </w:pPr>
      <w:r w:rsidRPr="00446F9E">
        <w:rPr>
          <w:rFonts w:ascii="Times New Roman" w:hAnsi="Times New Roman"/>
          <w:sz w:val="28"/>
          <w:szCs w:val="28"/>
          <w:lang w:val="kk-KZ"/>
        </w:rPr>
        <w:t>мекеменің алдына қойылған міндеттерді орындау нәтижелілігі, бөлінген ресурстар көлемін ескере отырып, жоспарлы көрсеткіштермен салыстырғанда нақты нәтижелерге қол жеткізу</w:t>
      </w:r>
      <w:r w:rsidR="00DB4D5C" w:rsidRPr="00446F9E">
        <w:rPr>
          <w:rFonts w:ascii="Times New Roman" w:hAnsi="Times New Roman"/>
          <w:sz w:val="28"/>
          <w:szCs w:val="28"/>
          <w:lang w:val="kk-KZ"/>
        </w:rPr>
        <w:t xml:space="preserve"> [</w:t>
      </w:r>
      <w:r w:rsidR="00DB48D2">
        <w:rPr>
          <w:rFonts w:ascii="Times New Roman" w:hAnsi="Times New Roman"/>
          <w:sz w:val="28"/>
          <w:szCs w:val="28"/>
          <w:lang w:val="kk-KZ"/>
        </w:rPr>
        <w:t>29</w:t>
      </w:r>
      <w:r w:rsidR="00B919B2" w:rsidRPr="00446F9E">
        <w:rPr>
          <w:rFonts w:ascii="Times New Roman" w:hAnsi="Times New Roman"/>
          <w:sz w:val="28"/>
          <w:szCs w:val="28"/>
          <w:lang w:val="kk-KZ"/>
        </w:rPr>
        <w:t>, с.</w:t>
      </w:r>
      <w:r w:rsidR="00A72137" w:rsidRPr="00446F9E">
        <w:rPr>
          <w:rFonts w:ascii="Times New Roman" w:hAnsi="Times New Roman"/>
          <w:sz w:val="28"/>
          <w:szCs w:val="28"/>
          <w:lang w:val="kk-KZ"/>
        </w:rPr>
        <w:t>94</w:t>
      </w:r>
      <w:r w:rsidR="00DB4D5C" w:rsidRPr="00446F9E">
        <w:rPr>
          <w:rFonts w:ascii="Times New Roman" w:hAnsi="Times New Roman"/>
          <w:sz w:val="28"/>
          <w:szCs w:val="28"/>
          <w:lang w:val="kk-KZ"/>
        </w:rPr>
        <w:t>]</w:t>
      </w:r>
      <w:r w:rsidRPr="00446F9E">
        <w:rPr>
          <w:rFonts w:ascii="Times New Roman" w:hAnsi="Times New Roman"/>
          <w:sz w:val="28"/>
          <w:szCs w:val="28"/>
          <w:lang w:val="kk-KZ"/>
        </w:rPr>
        <w:t xml:space="preserve">. </w:t>
      </w:r>
    </w:p>
    <w:p w14:paraId="2E7CA181" w14:textId="24502FBC" w:rsidR="009E5E97" w:rsidRPr="00457CE9" w:rsidRDefault="009E5E97"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аудиті қаржылық бақылаудан ерекшеленеді, мұнда басты мақсат қаржы заңнамасын бұзушылықтарды анықтау емес, министрліктердің, ведомстволардың, ұйымдардың мемлекеттік ресурстарды пайдалану жөніндегі қызметінің тиімділігін бағалау болып табылады. Мысалы, ауыл шаруашылығында тиімділік аудиті шеңберінде жүзеге асырылатын тексерулер таңдалған міндеттер мен мақсаттарға байланысты әр түрлі болуы мүмкін: </w:t>
      </w:r>
    </w:p>
    <w:p w14:paraId="7E4CAC13" w14:textId="77777777" w:rsidR="009E5E97" w:rsidRPr="00457CE9" w:rsidRDefault="009E5E97" w:rsidP="0097172E">
      <w:pPr>
        <w:pStyle w:val="a5"/>
        <w:widowControl w:val="0"/>
        <w:numPr>
          <w:ilvl w:val="0"/>
          <w:numId w:val="14"/>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ауыл шаруашылығында мемлекеттік көмекті пайдаланғаны үшін жауапкершілікті арттыру; </w:t>
      </w:r>
    </w:p>
    <w:p w14:paraId="5E72496A" w14:textId="77777777" w:rsidR="009E5E97" w:rsidRPr="00446F9E" w:rsidRDefault="009E5E97" w:rsidP="0097172E">
      <w:pPr>
        <w:pStyle w:val="a5"/>
        <w:widowControl w:val="0"/>
        <w:numPr>
          <w:ilvl w:val="0"/>
          <w:numId w:val="14"/>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мемлекеттік билік органдары мен ауыл шаруашылығы ұйымдары – мемлекеттік қаражатты алушылар жұмысының, сондай - ақ олардың өзара іс-қимылының </w:t>
      </w:r>
      <w:r w:rsidRPr="00446F9E">
        <w:rPr>
          <w:rFonts w:ascii="Times New Roman" w:hAnsi="Times New Roman"/>
          <w:sz w:val="28"/>
          <w:szCs w:val="28"/>
          <w:lang w:val="kk-KZ"/>
        </w:rPr>
        <w:t xml:space="preserve">тиімділігін арттыру; </w:t>
      </w:r>
    </w:p>
    <w:p w14:paraId="617752BA" w14:textId="6253C332" w:rsidR="009E5E97" w:rsidRPr="00446F9E" w:rsidRDefault="009E5E97" w:rsidP="0097172E">
      <w:pPr>
        <w:pStyle w:val="a5"/>
        <w:widowControl w:val="0"/>
        <w:numPr>
          <w:ilvl w:val="0"/>
          <w:numId w:val="14"/>
        </w:numPr>
        <w:tabs>
          <w:tab w:val="left" w:pos="851"/>
          <w:tab w:val="left" w:pos="993"/>
        </w:tabs>
        <w:spacing w:after="0" w:line="240" w:lineRule="auto"/>
        <w:ind w:left="0" w:firstLine="709"/>
        <w:jc w:val="both"/>
        <w:rPr>
          <w:rFonts w:ascii="Times New Roman" w:hAnsi="Times New Roman"/>
          <w:sz w:val="28"/>
          <w:szCs w:val="28"/>
          <w:lang w:val="kk-KZ"/>
        </w:rPr>
      </w:pPr>
      <w:r w:rsidRPr="00446F9E">
        <w:rPr>
          <w:rFonts w:ascii="Times New Roman" w:hAnsi="Times New Roman"/>
          <w:sz w:val="28"/>
          <w:szCs w:val="28"/>
          <w:lang w:val="kk-KZ"/>
        </w:rPr>
        <w:t>басқа да мақсаттар</w:t>
      </w:r>
      <w:r w:rsidR="00572D3A" w:rsidRPr="00446F9E">
        <w:rPr>
          <w:rFonts w:ascii="Times New Roman" w:hAnsi="Times New Roman"/>
          <w:sz w:val="28"/>
          <w:szCs w:val="28"/>
          <w:lang w:val="kk-KZ"/>
        </w:rPr>
        <w:t xml:space="preserve"> </w:t>
      </w:r>
      <w:r w:rsidR="00572D3A" w:rsidRPr="00446F9E">
        <w:rPr>
          <w:rFonts w:ascii="Times New Roman" w:hAnsi="Times New Roman"/>
          <w:sz w:val="28"/>
          <w:szCs w:val="28"/>
          <w:lang w:val="en-US"/>
        </w:rPr>
        <w:t>[</w:t>
      </w:r>
      <w:r w:rsidR="00DB48D2">
        <w:rPr>
          <w:rFonts w:ascii="Times New Roman" w:hAnsi="Times New Roman"/>
          <w:sz w:val="28"/>
          <w:szCs w:val="28"/>
          <w:lang w:val="kk-KZ"/>
        </w:rPr>
        <w:t>29</w:t>
      </w:r>
      <w:r w:rsidR="00B919B2" w:rsidRPr="00446F9E">
        <w:rPr>
          <w:rFonts w:ascii="Times New Roman" w:hAnsi="Times New Roman"/>
          <w:sz w:val="28"/>
          <w:szCs w:val="28"/>
          <w:lang w:val="kk-KZ"/>
        </w:rPr>
        <w:t>, с.</w:t>
      </w:r>
      <w:r w:rsidR="00A72137" w:rsidRPr="00446F9E">
        <w:rPr>
          <w:rFonts w:ascii="Times New Roman" w:hAnsi="Times New Roman"/>
          <w:sz w:val="28"/>
          <w:szCs w:val="28"/>
          <w:lang w:val="kk-KZ"/>
        </w:rPr>
        <w:t>95</w:t>
      </w:r>
      <w:r w:rsidR="00572D3A" w:rsidRPr="00446F9E">
        <w:rPr>
          <w:rFonts w:ascii="Times New Roman" w:hAnsi="Times New Roman"/>
          <w:sz w:val="28"/>
          <w:szCs w:val="28"/>
          <w:lang w:val="en-US"/>
        </w:rPr>
        <w:t>]</w:t>
      </w:r>
      <w:r w:rsidRPr="00446F9E">
        <w:rPr>
          <w:rFonts w:ascii="Times New Roman" w:hAnsi="Times New Roman"/>
          <w:sz w:val="28"/>
          <w:szCs w:val="28"/>
          <w:lang w:val="kk-KZ"/>
        </w:rPr>
        <w:t xml:space="preserve">. </w:t>
      </w:r>
    </w:p>
    <w:p w14:paraId="39ADA700" w14:textId="0F3B299A" w:rsidR="009E5E97" w:rsidRPr="00446F9E" w:rsidRDefault="00575788" w:rsidP="00457CE9">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АӨК-н</w:t>
      </w:r>
      <w:r w:rsidR="00E855EA" w:rsidRPr="00446F9E">
        <w:rPr>
          <w:rFonts w:ascii="Times New Roman" w:hAnsi="Times New Roman" w:cs="Times New Roman"/>
          <w:sz w:val="28"/>
          <w:szCs w:val="28"/>
          <w:lang w:val="kk-KZ"/>
        </w:rPr>
        <w:t xml:space="preserve"> дамытуға б</w:t>
      </w:r>
      <w:r w:rsidR="00B406DD" w:rsidRPr="00446F9E">
        <w:rPr>
          <w:rFonts w:ascii="Times New Roman" w:hAnsi="Times New Roman" w:cs="Times New Roman"/>
          <w:sz w:val="28"/>
          <w:szCs w:val="28"/>
          <w:lang w:val="kk-KZ"/>
        </w:rPr>
        <w:t>юджет қаражатын</w:t>
      </w:r>
      <w:r w:rsidR="009E5E97" w:rsidRPr="00446F9E">
        <w:rPr>
          <w:rFonts w:ascii="Times New Roman" w:hAnsi="Times New Roman" w:cs="Times New Roman"/>
          <w:sz w:val="28"/>
          <w:szCs w:val="28"/>
          <w:lang w:val="kk-KZ"/>
        </w:rPr>
        <w:t xml:space="preserve"> пайдалану тиімділігінің аудиті – өте күрделі мәселе. Бұл </w:t>
      </w:r>
      <w:r w:rsidR="00B40A86" w:rsidRPr="00446F9E">
        <w:rPr>
          <w:rFonts w:ascii="Times New Roman" w:hAnsi="Times New Roman" w:cs="Times New Roman"/>
          <w:sz w:val="28"/>
          <w:szCs w:val="28"/>
          <w:lang w:val="kk-KZ"/>
        </w:rPr>
        <w:t>мәселені</w:t>
      </w:r>
      <w:r w:rsidR="009E5E97" w:rsidRPr="00446F9E">
        <w:rPr>
          <w:rFonts w:ascii="Times New Roman" w:hAnsi="Times New Roman" w:cs="Times New Roman"/>
          <w:sz w:val="28"/>
          <w:szCs w:val="28"/>
          <w:lang w:val="kk-KZ"/>
        </w:rPr>
        <w:t xml:space="preserve"> әдіснамалық шешу әр түрлі деңгейдегі бюджет қаражатының пайдаланылуын бақылаудың неғұрлым перспективалы бағыты ретінде аудитті іс жүзінде қолдануды қамтамасыз етеді. Сөздің кең мағынасында тиімділік деп белгілі бір материалдық күш-жігердің салдары болып табылатын жұмыстың, әрекеттердің, іс-шаралар жүйесінің жиынтық нәтижелілігін түсіну керек. Экономикалық тиімділік нәтижелерді осы нәтижелерге қол жеткізу үшін қолданылатын ресурстар</w:t>
      </w:r>
      <w:r w:rsidR="00A4274D">
        <w:rPr>
          <w:rFonts w:ascii="Times New Roman" w:hAnsi="Times New Roman" w:cs="Times New Roman"/>
          <w:sz w:val="28"/>
          <w:szCs w:val="28"/>
          <w:lang w:val="kk-KZ"/>
        </w:rPr>
        <w:t>ды</w:t>
      </w:r>
      <w:r w:rsidR="009E5E97" w:rsidRPr="00446F9E">
        <w:rPr>
          <w:rFonts w:ascii="Times New Roman" w:hAnsi="Times New Roman" w:cs="Times New Roman"/>
          <w:sz w:val="28"/>
          <w:szCs w:val="28"/>
          <w:lang w:val="kk-KZ"/>
        </w:rPr>
        <w:t xml:space="preserve"> салыстырумен сипатталады. Ол нәтижелілік пен үнемділік сияқты ұғымдар арқылы ашылады, бірақ олар оны толық сипаттамайды. Ти</w:t>
      </w:r>
      <w:r w:rsidR="00B406DD" w:rsidRPr="00446F9E">
        <w:rPr>
          <w:rFonts w:ascii="Times New Roman" w:hAnsi="Times New Roman" w:cs="Times New Roman"/>
          <w:sz w:val="28"/>
          <w:szCs w:val="28"/>
          <w:lang w:val="kk-KZ"/>
        </w:rPr>
        <w:t>імділік аудиті мыналарды қамтуы тиіс</w:t>
      </w:r>
      <w:r w:rsidR="009E5E97" w:rsidRPr="00446F9E">
        <w:rPr>
          <w:rFonts w:ascii="Times New Roman" w:hAnsi="Times New Roman" w:cs="Times New Roman"/>
          <w:sz w:val="28"/>
          <w:szCs w:val="28"/>
          <w:lang w:val="kk-KZ"/>
        </w:rPr>
        <w:t xml:space="preserve">: </w:t>
      </w:r>
    </w:p>
    <w:p w14:paraId="55EC8763" w14:textId="77777777" w:rsidR="009E5E97" w:rsidRPr="00446F9E" w:rsidRDefault="009E5E97"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46F9E">
        <w:rPr>
          <w:rFonts w:ascii="Times New Roman" w:hAnsi="Times New Roman"/>
          <w:sz w:val="28"/>
          <w:szCs w:val="28"/>
          <w:lang w:val="kk-KZ"/>
        </w:rPr>
        <w:t xml:space="preserve">бюджет қаражатын мақсатты пайдалану аудиті; </w:t>
      </w:r>
    </w:p>
    <w:p w14:paraId="6E12B961" w14:textId="44C7CFE9" w:rsidR="009E5E97" w:rsidRPr="00446F9E" w:rsidRDefault="009E5E97"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46F9E">
        <w:rPr>
          <w:rFonts w:ascii="Times New Roman" w:hAnsi="Times New Roman"/>
          <w:sz w:val="28"/>
          <w:szCs w:val="28"/>
          <w:lang w:val="kk-KZ"/>
        </w:rPr>
        <w:t>бөлінетін қаражатты пайдалану тиімділігін талдау</w:t>
      </w:r>
      <w:r w:rsidR="00572D3A" w:rsidRPr="00446F9E">
        <w:rPr>
          <w:rFonts w:ascii="Times New Roman" w:hAnsi="Times New Roman"/>
          <w:sz w:val="28"/>
          <w:szCs w:val="28"/>
          <w:lang w:val="kk-KZ"/>
        </w:rPr>
        <w:t xml:space="preserve"> [</w:t>
      </w:r>
      <w:r w:rsidR="00DB48D2">
        <w:rPr>
          <w:rFonts w:ascii="Times New Roman" w:hAnsi="Times New Roman"/>
          <w:sz w:val="28"/>
          <w:szCs w:val="28"/>
          <w:lang w:val="kk-KZ"/>
        </w:rPr>
        <w:t>29</w:t>
      </w:r>
      <w:r w:rsidR="00B919B2" w:rsidRPr="00446F9E">
        <w:rPr>
          <w:rFonts w:ascii="Times New Roman" w:hAnsi="Times New Roman"/>
          <w:sz w:val="28"/>
          <w:szCs w:val="28"/>
          <w:lang w:val="kk-KZ"/>
        </w:rPr>
        <w:t>, с.</w:t>
      </w:r>
      <w:r w:rsidR="00A72137" w:rsidRPr="00446F9E">
        <w:rPr>
          <w:rFonts w:ascii="Times New Roman" w:hAnsi="Times New Roman"/>
          <w:sz w:val="28"/>
          <w:szCs w:val="28"/>
          <w:lang w:val="kk-KZ"/>
        </w:rPr>
        <w:t>96</w:t>
      </w:r>
      <w:r w:rsidR="00572D3A" w:rsidRPr="00446F9E">
        <w:rPr>
          <w:rFonts w:ascii="Times New Roman" w:hAnsi="Times New Roman"/>
          <w:sz w:val="28"/>
          <w:szCs w:val="28"/>
          <w:lang w:val="kk-KZ"/>
        </w:rPr>
        <w:t>]</w:t>
      </w:r>
      <w:r w:rsidRPr="00446F9E">
        <w:rPr>
          <w:rFonts w:ascii="Times New Roman" w:hAnsi="Times New Roman"/>
          <w:sz w:val="28"/>
          <w:szCs w:val="28"/>
          <w:lang w:val="kk-KZ"/>
        </w:rPr>
        <w:t xml:space="preserve">. </w:t>
      </w:r>
    </w:p>
    <w:p w14:paraId="4CEB72C5" w14:textId="2959D306" w:rsidR="00035485" w:rsidRPr="00457CE9" w:rsidRDefault="009E5E97"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аудитін жүргізу</w:t>
      </w:r>
      <w:r w:rsidR="00A4274D">
        <w:rPr>
          <w:rFonts w:ascii="Times New Roman" w:hAnsi="Times New Roman" w:cs="Times New Roman"/>
          <w:sz w:val="28"/>
          <w:szCs w:val="28"/>
          <w:lang w:val="kk-KZ"/>
        </w:rPr>
        <w:t xml:space="preserve"> кезінде </w:t>
      </w:r>
      <w:r w:rsidR="00E855EA" w:rsidRPr="00457CE9">
        <w:rPr>
          <w:rFonts w:ascii="Times New Roman" w:hAnsi="Times New Roman" w:cs="Times New Roman"/>
          <w:sz w:val="28"/>
          <w:szCs w:val="28"/>
          <w:lang w:val="kk-KZ"/>
        </w:rPr>
        <w:t>бюджет қаражатын</w:t>
      </w:r>
      <w:r w:rsidRPr="00457CE9">
        <w:rPr>
          <w:rFonts w:ascii="Times New Roman" w:hAnsi="Times New Roman" w:cs="Times New Roman"/>
          <w:sz w:val="28"/>
          <w:szCs w:val="28"/>
          <w:lang w:val="kk-KZ"/>
        </w:rPr>
        <w:t xml:space="preserve"> пайдалану</w:t>
      </w:r>
      <w:r w:rsidR="00D365A9">
        <w:rPr>
          <w:rFonts w:ascii="Times New Roman" w:hAnsi="Times New Roman" w:cs="Times New Roman"/>
          <w:sz w:val="28"/>
          <w:szCs w:val="28"/>
          <w:lang w:val="kk-KZ"/>
        </w:rPr>
        <w:t xml:space="preserve"> тиімділігіне</w:t>
      </w:r>
      <w:r w:rsidR="00A4274D">
        <w:rPr>
          <w:rFonts w:ascii="Times New Roman" w:hAnsi="Times New Roman" w:cs="Times New Roman"/>
          <w:sz w:val="28"/>
          <w:szCs w:val="28"/>
          <w:lang w:val="kk-KZ"/>
        </w:rPr>
        <w:t xml:space="preserve"> экономикалық</w:t>
      </w:r>
      <w:r w:rsidRPr="00457CE9">
        <w:rPr>
          <w:rFonts w:ascii="Times New Roman" w:hAnsi="Times New Roman" w:cs="Times New Roman"/>
          <w:sz w:val="28"/>
          <w:szCs w:val="28"/>
          <w:lang w:val="kk-KZ"/>
        </w:rPr>
        <w:t xml:space="preserve"> талдау</w:t>
      </w:r>
      <w:r w:rsidR="00A4274D">
        <w:rPr>
          <w:rFonts w:ascii="Times New Roman" w:hAnsi="Times New Roman" w:cs="Times New Roman"/>
          <w:sz w:val="28"/>
          <w:szCs w:val="28"/>
          <w:lang w:val="kk-KZ"/>
        </w:rPr>
        <w:t xml:space="preserve"> әдісі </w:t>
      </w:r>
      <w:r w:rsidR="00D365A9">
        <w:rPr>
          <w:rFonts w:ascii="Times New Roman" w:hAnsi="Times New Roman" w:cs="Times New Roman"/>
          <w:sz w:val="28"/>
          <w:szCs w:val="28"/>
          <w:lang w:val="kk-KZ"/>
        </w:rPr>
        <w:t>де пайдаланылады</w:t>
      </w:r>
      <w:r w:rsidRPr="00457CE9">
        <w:rPr>
          <w:rFonts w:ascii="Times New Roman" w:hAnsi="Times New Roman" w:cs="Times New Roman"/>
          <w:sz w:val="28"/>
          <w:szCs w:val="28"/>
          <w:lang w:val="kk-KZ"/>
        </w:rPr>
        <w:t>.</w:t>
      </w:r>
      <w:r w:rsidR="00B83DFC" w:rsidRPr="00457CE9">
        <w:rPr>
          <w:rFonts w:ascii="Times New Roman" w:hAnsi="Times New Roman" w:cs="Times New Roman"/>
          <w:sz w:val="28"/>
          <w:szCs w:val="28"/>
          <w:lang w:val="kk-KZ"/>
        </w:rPr>
        <w:t xml:space="preserve"> Экономикалық талдау әр түрлі факторлардың әсерін анықтаудан тұратын бақылаудың маңызды тәсілдерінің бірі болып табылады. Экономикалық талдау жүргізу нәтижесінде мемлекеттік қаражатты пайдаланудың тиімділігі айқында</w:t>
      </w:r>
      <w:r w:rsidR="00A4274D">
        <w:rPr>
          <w:rFonts w:ascii="Times New Roman" w:hAnsi="Times New Roman" w:cs="Times New Roman"/>
          <w:sz w:val="28"/>
          <w:szCs w:val="28"/>
          <w:lang w:val="kk-KZ"/>
        </w:rPr>
        <w:t>ла</w:t>
      </w:r>
      <w:r w:rsidR="00B83DFC" w:rsidRPr="00457CE9">
        <w:rPr>
          <w:rFonts w:ascii="Times New Roman" w:hAnsi="Times New Roman" w:cs="Times New Roman"/>
          <w:sz w:val="28"/>
          <w:szCs w:val="28"/>
          <w:lang w:val="kk-KZ"/>
        </w:rPr>
        <w:t xml:space="preserve">ды. Талдау нәтижелері кестелермен, </w:t>
      </w:r>
      <w:r w:rsidR="00A4274D">
        <w:rPr>
          <w:rFonts w:ascii="Times New Roman" w:hAnsi="Times New Roman" w:cs="Times New Roman"/>
          <w:sz w:val="28"/>
          <w:szCs w:val="28"/>
          <w:lang w:val="kk-KZ"/>
        </w:rPr>
        <w:t xml:space="preserve">диаграммалармен, </w:t>
      </w:r>
      <w:r w:rsidR="00B83DFC" w:rsidRPr="00457CE9">
        <w:rPr>
          <w:rFonts w:ascii="Times New Roman" w:hAnsi="Times New Roman" w:cs="Times New Roman"/>
          <w:sz w:val="28"/>
          <w:szCs w:val="28"/>
          <w:lang w:val="kk-KZ"/>
        </w:rPr>
        <w:t>формулалармен, мәтіндік сипаттамалармен, ұсынымдармен, әзірлемелермен р</w:t>
      </w:r>
      <w:r w:rsidR="00AB2E1E" w:rsidRPr="00457CE9">
        <w:rPr>
          <w:rFonts w:ascii="Times New Roman" w:hAnsi="Times New Roman" w:cs="Times New Roman"/>
          <w:sz w:val="28"/>
          <w:szCs w:val="28"/>
          <w:lang w:val="kk-KZ"/>
        </w:rPr>
        <w:t>ә</w:t>
      </w:r>
      <w:r w:rsidR="00B83DFC" w:rsidRPr="00457CE9">
        <w:rPr>
          <w:rFonts w:ascii="Times New Roman" w:hAnsi="Times New Roman" w:cs="Times New Roman"/>
          <w:sz w:val="28"/>
          <w:szCs w:val="28"/>
          <w:lang w:val="kk-KZ"/>
        </w:rPr>
        <w:t xml:space="preserve">сімделеді. Мұндай талдауды жүргізу кезінде олардың негізінде мемлекеттік шығыстарды қаржыландыру жүргізілетін негізгі қағидаттарды ескеру қажет (оның ішінде нысаналы бағдарламаларды іске асыруға қаражат бөлу кезінде де). Бұл жағдайда мемлекеттік қаражатты пайдалану тиімділігіне аудит жүргізу үшін инвестициялық жобаларды бағалау үшін пайдаланылатын әдістер қолданылуы мүмкін. </w:t>
      </w:r>
    </w:p>
    <w:p w14:paraId="3898378A" w14:textId="532FFCC2" w:rsidR="002D157E" w:rsidRPr="00457CE9" w:rsidRDefault="003C70C6" w:rsidP="00334F8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Мемлекеттік аудит және қаржылық бақылауға көшкеннен кейін жүргізілген барлық зерттеулерге қарамастан, бюджет қаражатын пайдаланудың тиімділік аудиті алдыңғы қатарлы әлемдік тәжірибе негізінде бюджет жүйесінің ерекшеліктерін ескере отырып, оны ұйымдастыру және жүргізу жөніндегі әдіснаманы терең зерделеуді және әзірлеуді талап ететін бұрын зерттелмеген өзекті мәселе болып табылады. </w:t>
      </w:r>
    </w:p>
    <w:p w14:paraId="3AF332E1" w14:textId="3DDF63EF" w:rsidR="009C0C59" w:rsidRDefault="00B406DD" w:rsidP="009C0C59">
      <w:pPr>
        <w:widowControl w:val="0"/>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cs="Times New Roman"/>
          <w:sz w:val="28"/>
          <w:szCs w:val="28"/>
          <w:lang w:val="kk-KZ"/>
        </w:rPr>
        <w:t xml:space="preserve">Жоғарыда </w:t>
      </w:r>
      <w:r w:rsidR="00A43703" w:rsidRPr="00457CE9">
        <w:rPr>
          <w:rFonts w:ascii="Times New Roman" w:hAnsi="Times New Roman" w:cs="Times New Roman"/>
          <w:sz w:val="28"/>
          <w:szCs w:val="28"/>
          <w:lang w:val="kk-KZ"/>
        </w:rPr>
        <w:t>а</w:t>
      </w:r>
      <w:r w:rsidR="003273FF" w:rsidRPr="00457CE9">
        <w:rPr>
          <w:rFonts w:ascii="Times New Roman" w:hAnsi="Times New Roman" w:cs="Times New Roman"/>
          <w:sz w:val="28"/>
          <w:szCs w:val="28"/>
          <w:lang w:val="kk-KZ"/>
        </w:rPr>
        <w:t>г</w:t>
      </w:r>
      <w:r w:rsidR="00A43703" w:rsidRPr="00457CE9">
        <w:rPr>
          <w:rFonts w:ascii="Times New Roman" w:hAnsi="Times New Roman" w:cs="Times New Roman"/>
          <w:sz w:val="28"/>
          <w:szCs w:val="28"/>
          <w:lang w:val="kk-KZ"/>
        </w:rPr>
        <w:t xml:space="preserve">роөнеркәсіп кешенін дамытуға жұмсалған </w:t>
      </w:r>
      <w:r w:rsidRPr="00457CE9">
        <w:rPr>
          <w:rFonts w:ascii="Times New Roman" w:hAnsi="Times New Roman" w:cs="Times New Roman"/>
          <w:sz w:val="28"/>
          <w:szCs w:val="28"/>
          <w:lang w:val="kk-KZ"/>
        </w:rPr>
        <w:t>бюджет қаражатын пайдалану тиімділі</w:t>
      </w:r>
      <w:r w:rsidR="00D365A9">
        <w:rPr>
          <w:rFonts w:ascii="Times New Roman" w:hAnsi="Times New Roman" w:cs="Times New Roman"/>
          <w:sz w:val="28"/>
          <w:szCs w:val="28"/>
          <w:lang w:val="kk-KZ"/>
        </w:rPr>
        <w:t>гінің</w:t>
      </w:r>
      <w:r w:rsidRPr="00457CE9">
        <w:rPr>
          <w:rFonts w:ascii="Times New Roman" w:hAnsi="Times New Roman" w:cs="Times New Roman"/>
          <w:sz w:val="28"/>
          <w:szCs w:val="28"/>
          <w:lang w:val="kk-KZ"/>
        </w:rPr>
        <w:t xml:space="preserve"> аудиті ұғымын</w:t>
      </w:r>
      <w:r w:rsidR="00A4274D">
        <w:rPr>
          <w:rFonts w:ascii="Times New Roman" w:hAnsi="Times New Roman" w:cs="Times New Roman"/>
          <w:sz w:val="28"/>
          <w:szCs w:val="28"/>
          <w:lang w:val="kk-KZ"/>
        </w:rPr>
        <w:t>а қатысты ақпараттарды</w:t>
      </w:r>
      <w:r w:rsidRPr="00457CE9">
        <w:rPr>
          <w:rFonts w:ascii="Times New Roman" w:hAnsi="Times New Roman" w:cs="Times New Roman"/>
          <w:sz w:val="28"/>
          <w:szCs w:val="28"/>
          <w:lang w:val="kk-KZ"/>
        </w:rPr>
        <w:t xml:space="preserve"> зерттей келе</w:t>
      </w:r>
      <w:r w:rsidR="00A4274D">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 </w:t>
      </w:r>
      <w:r w:rsidR="00A4274D">
        <w:rPr>
          <w:rFonts w:ascii="Times New Roman" w:hAnsi="Times New Roman" w:cs="Times New Roman"/>
          <w:sz w:val="28"/>
          <w:szCs w:val="28"/>
          <w:lang w:val="kk-KZ"/>
        </w:rPr>
        <w:t xml:space="preserve">біздің ойымызша </w:t>
      </w:r>
      <w:r w:rsidR="00D365A9">
        <w:rPr>
          <w:rFonts w:ascii="Times New Roman" w:hAnsi="Times New Roman" w:cs="Times New Roman"/>
          <w:sz w:val="28"/>
          <w:szCs w:val="28"/>
          <w:lang w:val="kk-KZ"/>
        </w:rPr>
        <w:t xml:space="preserve">ең алдымен осы бағыттағы тиімділік аудитінің мақсатын дұрыс түсіну және анықтау, және оның сапасын жалпы жақсарту мақсатында </w:t>
      </w:r>
      <w:r w:rsidR="00A4274D">
        <w:rPr>
          <w:rFonts w:ascii="Times New Roman" w:hAnsi="Times New Roman" w:cs="Times New Roman"/>
          <w:sz w:val="28"/>
          <w:szCs w:val="28"/>
          <w:lang w:val="kk-KZ"/>
        </w:rPr>
        <w:t>келесідей</w:t>
      </w:r>
      <w:r w:rsidRPr="00457CE9">
        <w:rPr>
          <w:rFonts w:ascii="Times New Roman" w:hAnsi="Times New Roman" w:cs="Times New Roman"/>
          <w:sz w:val="28"/>
          <w:szCs w:val="28"/>
          <w:lang w:val="kk-KZ"/>
        </w:rPr>
        <w:t xml:space="preserve"> </w:t>
      </w:r>
      <w:r w:rsidR="000E1E97" w:rsidRPr="00457CE9">
        <w:rPr>
          <w:rFonts w:ascii="Times New Roman" w:hAnsi="Times New Roman" w:cs="Times New Roman"/>
          <w:sz w:val="28"/>
          <w:szCs w:val="28"/>
          <w:lang w:val="kk-KZ"/>
        </w:rPr>
        <w:t>авторлық анықтама бер</w:t>
      </w:r>
      <w:r w:rsidR="00A4274D">
        <w:rPr>
          <w:rFonts w:ascii="Times New Roman" w:hAnsi="Times New Roman" w:cs="Times New Roman"/>
          <w:sz w:val="28"/>
          <w:szCs w:val="28"/>
          <w:lang w:val="kk-KZ"/>
        </w:rPr>
        <w:t xml:space="preserve">у </w:t>
      </w:r>
      <w:r w:rsidR="00D365A9">
        <w:rPr>
          <w:rFonts w:ascii="Times New Roman" w:hAnsi="Times New Roman" w:cs="Times New Roman"/>
          <w:sz w:val="28"/>
          <w:szCs w:val="28"/>
          <w:lang w:val="kk-KZ"/>
        </w:rPr>
        <w:t>дұрыс деп санаймыз</w:t>
      </w:r>
      <w:r w:rsidR="000E1E97" w:rsidRPr="00457CE9">
        <w:rPr>
          <w:rFonts w:ascii="Times New Roman" w:hAnsi="Times New Roman" w:cs="Times New Roman"/>
          <w:sz w:val="28"/>
          <w:szCs w:val="28"/>
          <w:lang w:val="kk-KZ"/>
        </w:rPr>
        <w:t>: «</w:t>
      </w:r>
      <w:r w:rsidR="006E0F72" w:rsidRPr="006E0F72">
        <w:rPr>
          <w:rFonts w:ascii="Times New Roman" w:hAnsi="Times New Roman"/>
          <w:sz w:val="28"/>
          <w:szCs w:val="28"/>
          <w:lang w:val="kk-KZ"/>
        </w:rPr>
        <w:t>Агроөнеркәсіп кешенін дамытуға бағытталған бюджет қаражатын пайдалану тиімділігінің аудиті бұл жауапты мемлекеттік орталық орган қызметінің және бюджет қаражатын алушылардың сала ерекшелігін ескере отырып қабылданған ұлттық жобаға/бағдарлама</w:t>
      </w:r>
      <w:r w:rsidR="00B44C19">
        <w:rPr>
          <w:rFonts w:ascii="Times New Roman" w:hAnsi="Times New Roman"/>
          <w:sz w:val="28"/>
          <w:szCs w:val="28"/>
          <w:lang w:val="kk-KZ"/>
        </w:rPr>
        <w:t>ны іске асыруға</w:t>
      </w:r>
      <w:r w:rsidR="006E0F72" w:rsidRPr="006E0F72">
        <w:rPr>
          <w:rFonts w:ascii="Times New Roman" w:hAnsi="Times New Roman"/>
          <w:sz w:val="28"/>
          <w:szCs w:val="28"/>
          <w:lang w:val="kk-KZ"/>
        </w:rPr>
        <w:t xml:space="preserve"> жұмсалған бюджет қаражатының сәйкестігін, өнімділігін, үнемділігін және нәтижелілігін көпкритериалды талдау арқылы анықтау және осы саланың мемлекеттің әлеуметтік-экономикалық дамуына ықпалын тәуелсіз бағалау және тексеру болып табылады</w:t>
      </w:r>
      <w:r w:rsidR="000E1E97" w:rsidRPr="00457CE9">
        <w:rPr>
          <w:rFonts w:ascii="Times New Roman" w:hAnsi="Times New Roman" w:cs="Times New Roman"/>
          <w:sz w:val="28"/>
          <w:szCs w:val="28"/>
          <w:lang w:val="kk-KZ"/>
        </w:rPr>
        <w:t>».</w:t>
      </w:r>
      <w:r w:rsidR="00777B8D" w:rsidRPr="00457CE9">
        <w:rPr>
          <w:rFonts w:ascii="Times New Roman" w:hAnsi="Times New Roman" w:cs="Times New Roman"/>
          <w:sz w:val="28"/>
          <w:szCs w:val="28"/>
          <w:lang w:val="kk-KZ"/>
        </w:rPr>
        <w:t xml:space="preserve"> </w:t>
      </w:r>
    </w:p>
    <w:p w14:paraId="71B15E55" w14:textId="72277E54" w:rsidR="00FC3F07" w:rsidRPr="009C0C59" w:rsidRDefault="009C0C59" w:rsidP="009C0C59">
      <w:pPr>
        <w:widowControl w:val="0"/>
        <w:tabs>
          <w:tab w:val="left" w:pos="709"/>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АӨК дамытуға бағытталған бюджет қаражатын пайдалану тиімділігі аудитінің </w:t>
      </w:r>
      <w:r w:rsidR="003D5DD8" w:rsidRPr="009C0C59">
        <w:rPr>
          <w:rFonts w:ascii="Times New Roman" w:hAnsi="Times New Roman"/>
          <w:sz w:val="28"/>
          <w:szCs w:val="28"/>
          <w:lang w:val="kk-KZ"/>
        </w:rPr>
        <w:t>кезеңдері</w:t>
      </w:r>
      <w:r w:rsidR="000E1E97" w:rsidRPr="009C0C59">
        <w:rPr>
          <w:rFonts w:ascii="Times New Roman" w:hAnsi="Times New Roman"/>
          <w:sz w:val="28"/>
          <w:szCs w:val="28"/>
          <w:lang w:val="kk-KZ"/>
        </w:rPr>
        <w:t xml:space="preserve"> анықталып, оны жүргізетін мемлекеттік аудит органдары белгіленді (</w:t>
      </w:r>
      <w:r w:rsidR="002D157E" w:rsidRPr="009C0C59">
        <w:rPr>
          <w:rFonts w:ascii="Times New Roman" w:hAnsi="Times New Roman"/>
          <w:sz w:val="28"/>
          <w:szCs w:val="28"/>
          <w:lang w:val="kk-KZ"/>
        </w:rPr>
        <w:t>1-</w:t>
      </w:r>
      <w:r w:rsidR="000E1E97" w:rsidRPr="009C0C59">
        <w:rPr>
          <w:rFonts w:ascii="Times New Roman" w:hAnsi="Times New Roman"/>
          <w:sz w:val="28"/>
          <w:szCs w:val="28"/>
          <w:lang w:val="kk-KZ"/>
        </w:rPr>
        <w:t>сурет)</w:t>
      </w:r>
      <w:r w:rsidR="002D157E" w:rsidRPr="009C0C59">
        <w:rPr>
          <w:rFonts w:ascii="Times New Roman" w:hAnsi="Times New Roman"/>
          <w:sz w:val="28"/>
          <w:szCs w:val="28"/>
          <w:lang w:val="kk-KZ"/>
        </w:rPr>
        <w:t>.</w:t>
      </w:r>
    </w:p>
    <w:p w14:paraId="4F71E4A8" w14:textId="557AB285" w:rsidR="00800CB0" w:rsidRPr="00457CE9" w:rsidRDefault="00800CB0" w:rsidP="00457CE9">
      <w:pPr>
        <w:widowControl w:val="0"/>
        <w:tabs>
          <w:tab w:val="left" w:pos="993"/>
        </w:tabs>
        <w:spacing w:after="0" w:line="240" w:lineRule="auto"/>
        <w:jc w:val="center"/>
        <w:rPr>
          <w:rFonts w:ascii="Times New Roman" w:hAnsi="Times New Roman" w:cs="Times New Roman"/>
          <w:sz w:val="28"/>
          <w:szCs w:val="28"/>
          <w:lang w:val="kk-KZ"/>
        </w:rPr>
      </w:pPr>
      <w:r w:rsidRPr="00457CE9">
        <w:rPr>
          <w:rFonts w:ascii="Times New Roman" w:hAnsi="Times New Roman" w:cs="Times New Roman"/>
          <w:noProof/>
          <w:sz w:val="28"/>
          <w:szCs w:val="28"/>
          <w:lang w:eastAsia="ru-RU"/>
        </w:rPr>
        <w:drawing>
          <wp:inline distT="0" distB="0" distL="0" distR="0" wp14:anchorId="16236633" wp14:editId="3D43D3D9">
            <wp:extent cx="6010275" cy="3000375"/>
            <wp:effectExtent l="0" t="0" r="0" b="9525"/>
            <wp:docPr id="82469172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347AFB8" w14:textId="77777777" w:rsidR="00457CE9" w:rsidRPr="00457CE9" w:rsidRDefault="00457CE9" w:rsidP="00457CE9">
      <w:pPr>
        <w:widowControl w:val="0"/>
        <w:tabs>
          <w:tab w:val="left" w:pos="993"/>
        </w:tabs>
        <w:spacing w:after="0" w:line="240" w:lineRule="auto"/>
        <w:ind w:firstLine="709"/>
        <w:jc w:val="both"/>
        <w:rPr>
          <w:rFonts w:ascii="Times New Roman" w:hAnsi="Times New Roman" w:cs="Times New Roman"/>
          <w:sz w:val="16"/>
          <w:szCs w:val="16"/>
          <w:lang w:val="kk-KZ"/>
        </w:rPr>
      </w:pPr>
    </w:p>
    <w:p w14:paraId="4890F0DD" w14:textId="0264BA60" w:rsidR="00237DE0" w:rsidRPr="00457CE9" w:rsidRDefault="00237DE0" w:rsidP="00457CE9">
      <w:pPr>
        <w:widowControl w:val="0"/>
        <w:tabs>
          <w:tab w:val="left" w:pos="993"/>
        </w:tabs>
        <w:spacing w:after="0" w:line="240" w:lineRule="auto"/>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Сурет 1 </w:t>
      </w:r>
      <w:r w:rsid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АӨК дамытуға жұсалған бюджет қаражатын пайдалану тиімділігі аудитінің кезеңдері</w:t>
      </w:r>
    </w:p>
    <w:p w14:paraId="702CD067" w14:textId="77777777" w:rsidR="00457CE9" w:rsidRDefault="00457CE9" w:rsidP="00457CE9">
      <w:pPr>
        <w:widowControl w:val="0"/>
        <w:tabs>
          <w:tab w:val="left" w:pos="993"/>
        </w:tabs>
        <w:spacing w:after="0" w:line="240" w:lineRule="auto"/>
        <w:jc w:val="center"/>
        <w:rPr>
          <w:rFonts w:ascii="Times New Roman" w:hAnsi="Times New Roman" w:cs="Times New Roman"/>
          <w:sz w:val="24"/>
          <w:szCs w:val="24"/>
          <w:lang w:val="kk-KZ"/>
        </w:rPr>
      </w:pPr>
    </w:p>
    <w:p w14:paraId="45CBEB20" w14:textId="3575D611" w:rsidR="00800CB0" w:rsidRPr="00457CE9" w:rsidRDefault="00237DE0" w:rsidP="00457CE9">
      <w:pPr>
        <w:widowControl w:val="0"/>
        <w:tabs>
          <w:tab w:val="left" w:pos="993"/>
        </w:tabs>
        <w:spacing w:after="0" w:line="240" w:lineRule="auto"/>
        <w:ind w:firstLine="709"/>
        <w:jc w:val="both"/>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Ескерту – зерттеу негізінде автормен құрастырылған </w:t>
      </w:r>
    </w:p>
    <w:p w14:paraId="39A752F9" w14:textId="77777777" w:rsidR="009C0C59" w:rsidRDefault="009C0C59" w:rsidP="009C0C59">
      <w:pPr>
        <w:widowControl w:val="0"/>
        <w:tabs>
          <w:tab w:val="left" w:pos="993"/>
        </w:tabs>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 xml:space="preserve">Сонымен қатар, </w:t>
      </w:r>
      <w:r>
        <w:rPr>
          <w:rFonts w:ascii="Times New Roman" w:hAnsi="Times New Roman"/>
          <w:sz w:val="28"/>
          <w:szCs w:val="28"/>
          <w:lang w:val="kk-KZ"/>
        </w:rPr>
        <w:t>АӨК дамытуға жұмсалған бюджет қаражатын пайдалану тиімділігі аудитін келесі екі бағытта іске асыру керек деп санаймыз:</w:t>
      </w:r>
    </w:p>
    <w:p w14:paraId="6326F785" w14:textId="77777777" w:rsidR="009C0C59" w:rsidRDefault="009C0C59" w:rsidP="0097172E">
      <w:pPr>
        <w:pStyle w:val="a5"/>
        <w:widowControl w:val="0"/>
        <w:numPr>
          <w:ilvl w:val="0"/>
          <w:numId w:val="67"/>
        </w:numPr>
        <w:tabs>
          <w:tab w:val="left" w:pos="709"/>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бюджет қаражатына қажеттілікті жоспарлаушы, үлестіруші, мониторингін іске асырушы – орталық мемлекеттік орган қызметі тиімділігінің аудиті;</w:t>
      </w:r>
    </w:p>
    <w:p w14:paraId="68F28AB9" w14:textId="77777777" w:rsidR="009C0C59" w:rsidRDefault="009C0C59" w:rsidP="0097172E">
      <w:pPr>
        <w:pStyle w:val="a5"/>
        <w:widowControl w:val="0"/>
        <w:numPr>
          <w:ilvl w:val="0"/>
          <w:numId w:val="67"/>
        </w:numPr>
        <w:tabs>
          <w:tab w:val="left" w:pos="709"/>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бюджет қаражатын алушылардың бюджет қаражатын пайдаланудан әсері тиімділігінің аудиті – бұл не жеке аудит түрінде немесе мемлекеттік орган қызметі тиімділігінің аудитін жүргізу барысында бағалау ұсынылады. </w:t>
      </w:r>
    </w:p>
    <w:p w14:paraId="629ED1E9" w14:textId="6243DD53" w:rsidR="00A72137" w:rsidRDefault="00A72137" w:rsidP="00A72137">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Анықтаманы нақтылай келе, агроөнеркәсіп кешенін дамытуға жұмсалған бюджет қаражатын пайдалану тиімділігі аудитін ұйымдастыруды төрт кезеңге бөлуге болады деп есептейміз:</w:t>
      </w:r>
    </w:p>
    <w:p w14:paraId="01E7D142" w14:textId="77777777" w:rsidR="00A72137" w:rsidRDefault="00A72137" w:rsidP="00A72137">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кезең – агроөнеркәсіп кешенін дамытуға арналған </w:t>
      </w:r>
      <w:r w:rsidRPr="00580C40">
        <w:rPr>
          <w:rFonts w:ascii="Times New Roman" w:hAnsi="Times New Roman" w:cs="Times New Roman"/>
          <w:color w:val="FF0000"/>
          <w:sz w:val="28"/>
          <w:szCs w:val="28"/>
          <w:lang w:val="kk-KZ"/>
        </w:rPr>
        <w:t xml:space="preserve">ұлттық </w:t>
      </w:r>
      <w:r>
        <w:rPr>
          <w:rFonts w:ascii="Times New Roman" w:hAnsi="Times New Roman" w:cs="Times New Roman"/>
          <w:sz w:val="28"/>
          <w:szCs w:val="28"/>
          <w:lang w:val="kk-KZ"/>
        </w:rPr>
        <w:t>жобаның тиімділігін алдын ала бағалау;</w:t>
      </w:r>
    </w:p>
    <w:p w14:paraId="35537CE3" w14:textId="77777777" w:rsidR="00A72137" w:rsidRDefault="00A72137" w:rsidP="00A72137">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кезең – қабылданған </w:t>
      </w:r>
      <w:r w:rsidRPr="00580C40">
        <w:rPr>
          <w:rFonts w:ascii="Times New Roman" w:hAnsi="Times New Roman" w:cs="Times New Roman"/>
          <w:color w:val="FF0000"/>
          <w:sz w:val="28"/>
          <w:szCs w:val="28"/>
          <w:lang w:val="kk-KZ"/>
        </w:rPr>
        <w:t>ұлттық</w:t>
      </w:r>
      <w:r>
        <w:rPr>
          <w:rFonts w:ascii="Times New Roman" w:hAnsi="Times New Roman" w:cs="Times New Roman"/>
          <w:sz w:val="28"/>
          <w:szCs w:val="28"/>
          <w:lang w:val="kk-KZ"/>
        </w:rPr>
        <w:t xml:space="preserve"> жобаны орындау барысында ағымдық тексерісті жүргізу.</w:t>
      </w:r>
    </w:p>
    <w:p w14:paraId="5EEAD4E0" w14:textId="77777777" w:rsidR="00A72137" w:rsidRDefault="00A72137" w:rsidP="00A72137">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аталған екі кезең жауапты мемлекеттік орталық органның ішкі аудит қызметтері жүргізу керек, алдын-ала және ағымдағы жүргізілген аудит агроөнеркәсіп кешенін дамытуға бағытталған бюджет қаражатын пайдалану тиімділігін арттыруға ықпалын тигізеді. </w:t>
      </w:r>
    </w:p>
    <w:p w14:paraId="71F57FFF" w14:textId="77777777" w:rsidR="00A72137" w:rsidRDefault="00A72137" w:rsidP="00A72137">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кезең – </w:t>
      </w:r>
      <w:r w:rsidRPr="00580C40">
        <w:rPr>
          <w:rFonts w:ascii="Times New Roman" w:hAnsi="Times New Roman" w:cs="Times New Roman"/>
          <w:color w:val="FF0000"/>
          <w:sz w:val="28"/>
          <w:szCs w:val="28"/>
          <w:lang w:val="kk-KZ"/>
        </w:rPr>
        <w:t>ұлттық</w:t>
      </w:r>
      <w:r>
        <w:rPr>
          <w:rFonts w:ascii="Times New Roman" w:hAnsi="Times New Roman" w:cs="Times New Roman"/>
          <w:sz w:val="28"/>
          <w:szCs w:val="28"/>
          <w:lang w:val="kk-KZ"/>
        </w:rPr>
        <w:t xml:space="preserve"> жобаны жүзеге асырудың қорытынды есептерін талдау, осы бағыттағы мемлекеттік саясаттың тиімділігін бағалау, кемшіліктерін анықтау және ұсыныстар беру;</w:t>
      </w:r>
    </w:p>
    <w:p w14:paraId="723C45AE" w14:textId="5BECAB5E" w:rsidR="00A72137" w:rsidRDefault="00A72137" w:rsidP="00A72137">
      <w:pPr>
        <w:widowControl w:val="0"/>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 кезең – АӨК дамытуға бағытталған бюджет қаражатының игерілінуінің мемлекеттің әлеуметтік-экономикалық дамуына ықпалын талдау және бағалау.</w:t>
      </w:r>
    </w:p>
    <w:p w14:paraId="508E8F5C" w14:textId="52B8D7F0" w:rsidR="00A56CE0" w:rsidRPr="00457CE9" w:rsidRDefault="00694A48" w:rsidP="00457CE9">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Аталған үшінші және </w:t>
      </w:r>
      <w:r w:rsidR="00231669" w:rsidRPr="00457CE9">
        <w:rPr>
          <w:rFonts w:ascii="Times New Roman" w:hAnsi="Times New Roman" w:cs="Times New Roman"/>
          <w:sz w:val="28"/>
          <w:szCs w:val="28"/>
          <w:lang w:val="kk-KZ"/>
        </w:rPr>
        <w:t>тө</w:t>
      </w:r>
      <w:r w:rsidRPr="00457CE9">
        <w:rPr>
          <w:rFonts w:ascii="Times New Roman" w:hAnsi="Times New Roman" w:cs="Times New Roman"/>
          <w:sz w:val="28"/>
          <w:szCs w:val="28"/>
          <w:lang w:val="kk-KZ"/>
        </w:rPr>
        <w:t>ртінші кезеңдер сыртқы аудит органдарымен жүргізіліп қорытынды нәтижелерінде</w:t>
      </w:r>
      <w:r w:rsidR="002D157E"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тиісті ұсыныстар жасалуы керек деп есептейміз. </w:t>
      </w:r>
      <w:r w:rsidR="00A72137">
        <w:rPr>
          <w:rFonts w:ascii="Times New Roman" w:hAnsi="Times New Roman" w:cs="Times New Roman"/>
          <w:sz w:val="28"/>
          <w:szCs w:val="28"/>
          <w:lang w:val="kk-KZ"/>
        </w:rPr>
        <w:t xml:space="preserve"> </w:t>
      </w:r>
    </w:p>
    <w:p w14:paraId="7F49D4D9" w14:textId="77777777" w:rsidR="00457CE9" w:rsidRPr="00457CE9" w:rsidRDefault="00457CE9" w:rsidP="00457CE9">
      <w:pPr>
        <w:tabs>
          <w:tab w:val="left" w:pos="993"/>
        </w:tabs>
        <w:spacing w:after="0" w:line="240" w:lineRule="auto"/>
        <w:ind w:firstLine="709"/>
        <w:jc w:val="both"/>
        <w:rPr>
          <w:rFonts w:ascii="Times New Roman" w:hAnsi="Times New Roman" w:cs="Times New Roman"/>
          <w:sz w:val="28"/>
          <w:szCs w:val="28"/>
          <w:lang w:val="kk-KZ"/>
        </w:rPr>
      </w:pPr>
    </w:p>
    <w:p w14:paraId="74B88193" w14:textId="7EEBF742" w:rsidR="00027502" w:rsidRPr="003D3ECB" w:rsidRDefault="00D869B8" w:rsidP="00C30D2E">
      <w:pPr>
        <w:tabs>
          <w:tab w:val="left" w:pos="993"/>
        </w:tabs>
        <w:spacing w:after="0" w:line="240" w:lineRule="auto"/>
        <w:ind w:firstLine="709"/>
        <w:jc w:val="both"/>
        <w:rPr>
          <w:rFonts w:ascii="Times New Roman" w:hAnsi="Times New Roman"/>
          <w:b/>
          <w:sz w:val="28"/>
          <w:szCs w:val="28"/>
          <w:lang w:val="kk-KZ"/>
        </w:rPr>
      </w:pPr>
      <w:r w:rsidRPr="003D3ECB">
        <w:rPr>
          <w:rFonts w:ascii="Times New Roman" w:hAnsi="Times New Roman" w:cs="Times New Roman"/>
          <w:b/>
          <w:sz w:val="28"/>
          <w:szCs w:val="28"/>
          <w:lang w:val="kk-KZ"/>
        </w:rPr>
        <w:t xml:space="preserve">1.2 </w:t>
      </w:r>
      <w:r w:rsidR="00525979" w:rsidRPr="003D3ECB">
        <w:rPr>
          <w:rFonts w:ascii="Times New Roman" w:hAnsi="Times New Roman"/>
          <w:b/>
          <w:sz w:val="28"/>
          <w:szCs w:val="28"/>
          <w:lang w:val="kk-KZ"/>
        </w:rPr>
        <w:t>АӨК дамытуға бағытталған бюджет қаражатының тиімділігі аудитін ұйымдастырудың әдіснамасы</w:t>
      </w:r>
      <w:r w:rsidR="00027502" w:rsidRPr="003D3ECB">
        <w:rPr>
          <w:rFonts w:ascii="Times New Roman" w:hAnsi="Times New Roman"/>
          <w:b/>
          <w:sz w:val="28"/>
          <w:szCs w:val="28"/>
          <w:lang w:val="kk-KZ"/>
        </w:rPr>
        <w:t xml:space="preserve">  </w:t>
      </w:r>
    </w:p>
    <w:p w14:paraId="665A3F16" w14:textId="09CD1022" w:rsidR="00D9656A" w:rsidRPr="00457CE9" w:rsidRDefault="00525979" w:rsidP="00C30D2E">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Қазақстанда бюджет қаражатын пайдалану тиімділігінің аудитін ұйымдастыру және өткізу тәжірибесі аз,</w:t>
      </w:r>
      <w:r w:rsidR="00333FE0" w:rsidRPr="00457CE9">
        <w:rPr>
          <w:rFonts w:ascii="Times New Roman" w:hAnsi="Times New Roman" w:cs="Times New Roman"/>
          <w:sz w:val="28"/>
          <w:szCs w:val="28"/>
          <w:lang w:val="kk-KZ"/>
        </w:rPr>
        <w:t xml:space="preserve"> себебі аудит типінің</w:t>
      </w:r>
      <w:r w:rsidRPr="00457CE9">
        <w:rPr>
          <w:rFonts w:ascii="Times New Roman" w:hAnsi="Times New Roman" w:cs="Times New Roman"/>
          <w:sz w:val="28"/>
          <w:szCs w:val="28"/>
          <w:lang w:val="kk-KZ"/>
        </w:rPr>
        <w:t xml:space="preserve"> бұл</w:t>
      </w:r>
      <w:r w:rsidR="00333FE0" w:rsidRPr="00457CE9">
        <w:rPr>
          <w:rFonts w:ascii="Times New Roman" w:hAnsi="Times New Roman" w:cs="Times New Roman"/>
          <w:sz w:val="28"/>
          <w:szCs w:val="28"/>
          <w:lang w:val="kk-KZ"/>
        </w:rPr>
        <w:t xml:space="preserve"> түрі тек 2015 жылы «ҚР Мемлекеттік аудит және қаржылық бақылау туралы заңы» негізінде алғаш рет енгізілген</w:t>
      </w:r>
      <w:r w:rsidR="00572D3A" w:rsidRPr="00457CE9">
        <w:rPr>
          <w:rFonts w:ascii="Times New Roman" w:hAnsi="Times New Roman" w:cs="Times New Roman"/>
          <w:sz w:val="28"/>
          <w:szCs w:val="28"/>
          <w:lang w:val="kk-KZ"/>
        </w:rPr>
        <w:t xml:space="preserve"> [1</w:t>
      </w:r>
      <w:r w:rsidR="00DB48D2">
        <w:rPr>
          <w:rFonts w:ascii="Times New Roman" w:hAnsi="Times New Roman" w:cs="Times New Roman"/>
          <w:sz w:val="28"/>
          <w:szCs w:val="28"/>
          <w:lang w:val="kk-KZ"/>
        </w:rPr>
        <w:t>3</w:t>
      </w:r>
      <w:r w:rsidR="00572D3A" w:rsidRPr="00457CE9">
        <w:rPr>
          <w:rFonts w:ascii="Times New Roman" w:hAnsi="Times New Roman" w:cs="Times New Roman"/>
          <w:sz w:val="28"/>
          <w:szCs w:val="28"/>
          <w:lang w:val="kk-KZ"/>
        </w:rPr>
        <w:t>]</w:t>
      </w:r>
      <w:r w:rsidR="00333FE0"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r w:rsidR="00D9656A" w:rsidRPr="00457CE9">
        <w:rPr>
          <w:rFonts w:ascii="Times New Roman" w:hAnsi="Times New Roman" w:cs="Times New Roman"/>
          <w:sz w:val="28"/>
          <w:szCs w:val="28"/>
          <w:lang w:val="kk-KZ"/>
        </w:rPr>
        <w:t xml:space="preserve">Бюджет </w:t>
      </w:r>
      <w:r w:rsidR="00AB3AF3" w:rsidRPr="00457CE9">
        <w:rPr>
          <w:rFonts w:ascii="Times New Roman" w:hAnsi="Times New Roman" w:cs="Times New Roman"/>
          <w:sz w:val="28"/>
          <w:szCs w:val="28"/>
          <w:lang w:val="kk-KZ"/>
        </w:rPr>
        <w:t>қаража</w:t>
      </w:r>
      <w:r w:rsidR="00333FE0" w:rsidRPr="00457CE9">
        <w:rPr>
          <w:rFonts w:ascii="Times New Roman" w:hAnsi="Times New Roman" w:cs="Times New Roman"/>
          <w:sz w:val="28"/>
          <w:szCs w:val="28"/>
          <w:lang w:val="kk-KZ"/>
        </w:rPr>
        <w:t>тын пайдалану</w:t>
      </w:r>
      <w:r w:rsidR="00D9656A" w:rsidRPr="00457CE9">
        <w:rPr>
          <w:rFonts w:ascii="Times New Roman" w:hAnsi="Times New Roman" w:cs="Times New Roman"/>
          <w:sz w:val="28"/>
          <w:szCs w:val="28"/>
          <w:lang w:val="kk-KZ"/>
        </w:rPr>
        <w:t xml:space="preserve"> тиімділігінің аудиті бюджеттік үдерісті бақылауды жандандыру ғана емес бюджеттік шығыстар тиімділігін, орындылығын және нәтижелілігін бағалауды қоса алғанда мемлекеттік қаражатты бөлу және оларды тұтынушыларға жеткізу</w:t>
      </w:r>
      <w:r w:rsidR="00516744" w:rsidRPr="00457CE9">
        <w:rPr>
          <w:rFonts w:ascii="Times New Roman" w:hAnsi="Times New Roman" w:cs="Times New Roman"/>
          <w:sz w:val="28"/>
          <w:szCs w:val="28"/>
          <w:lang w:val="kk-KZ"/>
        </w:rPr>
        <w:t xml:space="preserve"> сапасына баға беру құралы болып табылады</w:t>
      </w:r>
      <w:r w:rsidR="00D9656A" w:rsidRPr="00457CE9">
        <w:rPr>
          <w:rFonts w:ascii="Times New Roman" w:hAnsi="Times New Roman" w:cs="Times New Roman"/>
          <w:sz w:val="28"/>
          <w:szCs w:val="28"/>
          <w:lang w:val="kk-KZ"/>
        </w:rPr>
        <w:t>. Осылайша, экономикалық шешімдер қабылдауды (</w:t>
      </w:r>
      <w:r w:rsidR="00333FE0" w:rsidRPr="00457CE9">
        <w:rPr>
          <w:rFonts w:ascii="Times New Roman" w:hAnsi="Times New Roman" w:cs="Times New Roman"/>
          <w:sz w:val="28"/>
          <w:szCs w:val="28"/>
          <w:lang w:val="kk-KZ"/>
        </w:rPr>
        <w:t xml:space="preserve">бюджеттік, </w:t>
      </w:r>
      <w:r w:rsidR="00D9656A" w:rsidRPr="00457CE9">
        <w:rPr>
          <w:rFonts w:ascii="Times New Roman" w:hAnsi="Times New Roman" w:cs="Times New Roman"/>
          <w:sz w:val="28"/>
          <w:szCs w:val="28"/>
          <w:lang w:val="kk-KZ"/>
        </w:rPr>
        <w:t>қаржылық</w:t>
      </w:r>
      <w:r w:rsidR="00333FE0" w:rsidRPr="00457CE9">
        <w:rPr>
          <w:rFonts w:ascii="Times New Roman" w:hAnsi="Times New Roman" w:cs="Times New Roman"/>
          <w:sz w:val="28"/>
          <w:szCs w:val="28"/>
          <w:lang w:val="kk-KZ"/>
        </w:rPr>
        <w:t>,</w:t>
      </w:r>
      <w:r w:rsidR="00D9656A" w:rsidRPr="00457CE9">
        <w:rPr>
          <w:rFonts w:ascii="Times New Roman" w:hAnsi="Times New Roman" w:cs="Times New Roman"/>
          <w:sz w:val="28"/>
          <w:szCs w:val="28"/>
          <w:lang w:val="kk-KZ"/>
        </w:rPr>
        <w:t xml:space="preserve"> экономикалық</w:t>
      </w:r>
      <w:r w:rsidR="008E2753" w:rsidRPr="00457CE9">
        <w:rPr>
          <w:rFonts w:ascii="Times New Roman" w:hAnsi="Times New Roman" w:cs="Times New Roman"/>
          <w:sz w:val="28"/>
          <w:szCs w:val="28"/>
          <w:lang w:val="kk-KZ"/>
        </w:rPr>
        <w:t>, экологиялық</w:t>
      </w:r>
      <w:r w:rsidR="00D9656A" w:rsidRPr="00457CE9">
        <w:rPr>
          <w:rFonts w:ascii="Times New Roman" w:hAnsi="Times New Roman" w:cs="Times New Roman"/>
          <w:sz w:val="28"/>
          <w:szCs w:val="28"/>
          <w:lang w:val="kk-KZ"/>
        </w:rPr>
        <w:t xml:space="preserve"> саясаттың жеке аспектілері) олардың нәтижелілігі тұрғысынан бақылау қамтамасыз етіледі.</w:t>
      </w:r>
      <w:r w:rsidR="005E3983" w:rsidRPr="00457CE9">
        <w:rPr>
          <w:rFonts w:ascii="Times New Roman" w:hAnsi="Times New Roman" w:cs="Times New Roman"/>
          <w:sz w:val="28"/>
          <w:szCs w:val="28"/>
          <w:lang w:val="kk-KZ"/>
        </w:rPr>
        <w:t xml:space="preserve"> Бюджет қаражатын пайдалану тиімділігі бюджет қаражатын пайдалану нәтижелері мен оларға қол жеткізуге арналған шығындар арасындағы арақатынасты сипаттауға болады.</w:t>
      </w:r>
    </w:p>
    <w:p w14:paraId="21ED91DB" w14:textId="77777777" w:rsidR="00286AB5" w:rsidRPr="00457CE9" w:rsidRDefault="00286AB5"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Ғаламдану заманында Қазақстанның әлемдік экономикалық қоғамдастыққа кіруі қаржылық есептіліктің, аудиттің және мемлекеттік қаржылық бақылаудың ұлттық стандарттарын біріздендіруді, олардың халықаралық талаптарға барынша жақындауын болжайды.</w:t>
      </w:r>
    </w:p>
    <w:p w14:paraId="32013A81" w14:textId="77777777" w:rsidR="00286AB5" w:rsidRPr="00457CE9" w:rsidRDefault="00286AB5" w:rsidP="00C30D2E">
      <w:pPr>
        <w:widowControl w:val="0"/>
        <w:spacing w:after="0" w:line="240" w:lineRule="auto"/>
        <w:ind w:firstLine="709"/>
        <w:jc w:val="both"/>
        <w:rPr>
          <w:rFonts w:ascii="Times New Roman" w:hAnsi="Times New Roman"/>
          <w:sz w:val="28"/>
          <w:szCs w:val="28"/>
          <w:lang w:val="kk-KZ"/>
        </w:rPr>
      </w:pPr>
      <w:r w:rsidRPr="00457CE9">
        <w:rPr>
          <w:rFonts w:ascii="Times New Roman" w:hAnsi="Times New Roman" w:cs="Times New Roman"/>
          <w:sz w:val="28"/>
          <w:szCs w:val="28"/>
          <w:lang w:val="kk-KZ"/>
        </w:rPr>
        <w:t>Мемлекеттік аудиттің халықаралық стандарттарының құрылымын және олардың негізіне алынған іргелі қағидаттарды отандық тәжірибеге одан әрі енгізу мүмкіндігін бағалау мақсатында зерттеу жүргізу бүгінгі таңда өзекті.</w:t>
      </w:r>
    </w:p>
    <w:p w14:paraId="5ABCEA2E" w14:textId="605BE6AA" w:rsidR="00333FE0" w:rsidRPr="00274194" w:rsidRDefault="00153AED"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Жоғары аудит органдарының халықаралық ұйымы (әрі қарай </w:t>
      </w:r>
      <w:r w:rsidR="00C30D2E">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INTOSAI) БҰҰ елдеріндегі жоғары аудит органдарын біріктіретін халықаралық ұйым болып табылады, оның іргетасы 1953 жылы қаланған. Лима декларациясы мемлекеттік бақылау және мемлекеттік аудит саласындағы іргелі доктриналық құжат. Ол мемлекеттік аудит қағидаттарын іске асыру жөніндегі нұсқаулықтармен бірге ұсынады және енгізеді.</w:t>
      </w:r>
      <w:r w:rsidR="00B6653C" w:rsidRPr="00457CE9">
        <w:rPr>
          <w:rFonts w:ascii="Times New Roman" w:hAnsi="Times New Roman" w:cs="Times New Roman"/>
          <w:sz w:val="28"/>
          <w:szCs w:val="28"/>
          <w:lang w:val="kk-KZ"/>
        </w:rPr>
        <w:t xml:space="preserve"> 2019 жылы INTOSAI кәсіби құжаттарының жаңа құрылымын әзірлеп, оларды үш санатқа біріктірген: INTOSAI қағидаттары, жоғары аудит органдарының халықаралық стандарттары (әрі қарай </w:t>
      </w:r>
      <w:r w:rsidR="00C30D2E">
        <w:rPr>
          <w:rFonts w:ascii="Times New Roman" w:hAnsi="Times New Roman" w:cs="Times New Roman"/>
          <w:sz w:val="28"/>
          <w:szCs w:val="28"/>
          <w:lang w:val="kk-KZ"/>
        </w:rPr>
        <w:t xml:space="preserve">– </w:t>
      </w:r>
      <w:r w:rsidR="00B6653C" w:rsidRPr="00457CE9">
        <w:rPr>
          <w:rFonts w:ascii="Times New Roman" w:hAnsi="Times New Roman" w:cs="Times New Roman"/>
          <w:sz w:val="28"/>
          <w:szCs w:val="28"/>
          <w:lang w:val="kk-KZ"/>
        </w:rPr>
        <w:t>ISSAI), INTOSAI басшылығы</w:t>
      </w:r>
      <w:r w:rsidR="00572D3A" w:rsidRPr="00457CE9">
        <w:rPr>
          <w:rFonts w:ascii="Times New Roman" w:hAnsi="Times New Roman" w:cs="Times New Roman"/>
          <w:sz w:val="28"/>
          <w:szCs w:val="28"/>
          <w:lang w:val="kk-KZ"/>
        </w:rPr>
        <w:t xml:space="preserve"> </w:t>
      </w:r>
      <w:r w:rsidR="00572D3A" w:rsidRPr="00274194">
        <w:rPr>
          <w:rFonts w:ascii="Times New Roman" w:hAnsi="Times New Roman" w:cs="Times New Roman"/>
          <w:sz w:val="28"/>
          <w:szCs w:val="28"/>
          <w:lang w:val="kk-KZ"/>
        </w:rPr>
        <w:t>[</w:t>
      </w:r>
      <w:r w:rsidR="00572D3A" w:rsidRPr="0097145C">
        <w:rPr>
          <w:rFonts w:ascii="Times New Roman" w:hAnsi="Times New Roman" w:cs="Times New Roman"/>
          <w:sz w:val="28"/>
          <w:szCs w:val="28"/>
          <w:lang w:val="kk-KZ"/>
        </w:rPr>
        <w:t>4</w:t>
      </w:r>
      <w:r w:rsidR="00415417" w:rsidRPr="00415417">
        <w:rPr>
          <w:rFonts w:ascii="Times New Roman" w:hAnsi="Times New Roman" w:cs="Times New Roman"/>
          <w:sz w:val="28"/>
          <w:szCs w:val="28"/>
          <w:lang w:val="kk-KZ"/>
        </w:rPr>
        <w:t>6</w:t>
      </w:r>
      <w:r w:rsidR="00572D3A" w:rsidRPr="00274194">
        <w:rPr>
          <w:rFonts w:ascii="Times New Roman" w:hAnsi="Times New Roman" w:cs="Times New Roman"/>
          <w:sz w:val="28"/>
          <w:szCs w:val="28"/>
          <w:lang w:val="kk-KZ"/>
        </w:rPr>
        <w:t>]</w:t>
      </w:r>
      <w:r w:rsidR="00B6653C" w:rsidRPr="00274194">
        <w:rPr>
          <w:rFonts w:ascii="Times New Roman" w:hAnsi="Times New Roman" w:cs="Times New Roman"/>
          <w:sz w:val="28"/>
          <w:szCs w:val="28"/>
          <w:lang w:val="kk-KZ"/>
        </w:rPr>
        <w:t>.</w:t>
      </w:r>
      <w:r w:rsidRPr="00274194">
        <w:rPr>
          <w:rFonts w:ascii="Times New Roman" w:hAnsi="Times New Roman" w:cs="Times New Roman"/>
          <w:sz w:val="28"/>
          <w:szCs w:val="28"/>
          <w:lang w:val="kk-KZ"/>
        </w:rPr>
        <w:t xml:space="preserve"> </w:t>
      </w:r>
    </w:p>
    <w:p w14:paraId="72F4EA9C" w14:textId="580F7073" w:rsidR="00B6653C" w:rsidRPr="00457CE9" w:rsidRDefault="00B6653C"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Елімізде АӨК</w:t>
      </w:r>
      <w:r w:rsidR="00575788">
        <w:rPr>
          <w:rFonts w:ascii="Times New Roman" w:hAnsi="Times New Roman" w:cs="Times New Roman"/>
          <w:sz w:val="28"/>
          <w:szCs w:val="28"/>
          <w:lang w:val="kk-KZ"/>
        </w:rPr>
        <w:t>-і</w:t>
      </w:r>
      <w:r w:rsidRPr="00457CE9">
        <w:rPr>
          <w:rFonts w:ascii="Times New Roman" w:hAnsi="Times New Roman" w:cs="Times New Roman"/>
          <w:sz w:val="28"/>
          <w:szCs w:val="28"/>
          <w:lang w:val="kk-KZ"/>
        </w:rPr>
        <w:t xml:space="preserve"> стратегиялық маңызы бар сала болғандықтан, оған жұмсалатын бюджет қаражаты да қомақты, сондықтан оның тиімділік аудитін ұйымдастыру мен өткізудің мемлекеттік аудиттің халықаралық стандарттары негізінде озық тәжірибе</w:t>
      </w:r>
      <w:r w:rsidR="001B4D5D" w:rsidRPr="00457CE9">
        <w:rPr>
          <w:rFonts w:ascii="Times New Roman" w:hAnsi="Times New Roman" w:cs="Times New Roman"/>
          <w:sz w:val="28"/>
          <w:szCs w:val="28"/>
          <w:lang w:val="kk-KZ"/>
        </w:rPr>
        <w:t xml:space="preserve"> негізінде</w:t>
      </w:r>
      <w:r w:rsidRPr="00457CE9">
        <w:rPr>
          <w:rFonts w:ascii="Times New Roman" w:hAnsi="Times New Roman" w:cs="Times New Roman"/>
          <w:sz w:val="28"/>
          <w:szCs w:val="28"/>
          <w:lang w:val="kk-KZ"/>
        </w:rPr>
        <w:t xml:space="preserve"> ұлттық ерекшеліктерді ескере отырып әдіснамасын жетілдіру өзекті болып отыр. </w:t>
      </w:r>
    </w:p>
    <w:p w14:paraId="5D64A4D6" w14:textId="362EAE14" w:rsidR="00286AB5" w:rsidRPr="00457CE9" w:rsidRDefault="00286AB5"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INTOSAI</w:t>
      </w:r>
      <w:r w:rsidR="008E2753"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ға қатысушы елдердің жоғары мемлекеттік аудит органдары арасында ISSAI-дың жылдам тарату жолындағы негізгі кедергілер адами ресурстардың шектеулігінен, қаржылық қиындықтардан және стандарттарды ұлттық тілдерге аудару проблемасынан тұрады. Жоғары мемлекеттік аудит органдарының халықаралық стандарттары INTOSAI кәсіби стандарттары жөніндегі комитет мақұлдаған құжаттардан, оның ішінде аудитті жүргізудің құқықтық, ұйымдастырушылық және кәсіби шарттары жөніндегі ұсынымдарды және мемлекеттік аудиттің жоғары органына жүктелуі мүмкін өзге де міндеттерді қамтиды. Қажет болған жағдайда ISSAI озық тәжірибенің мысалдарын немесе сипаттамасын қамтуы мүмкін. </w:t>
      </w:r>
      <w:r w:rsidR="001B4D5D" w:rsidRPr="00457CE9">
        <w:rPr>
          <w:rFonts w:ascii="Times New Roman" w:hAnsi="Times New Roman" w:cs="Times New Roman"/>
          <w:sz w:val="28"/>
          <w:szCs w:val="28"/>
          <w:lang w:val="kk-KZ"/>
        </w:rPr>
        <w:t xml:space="preserve">Тиімділік аудиті бойынша </w:t>
      </w:r>
      <w:r w:rsidRPr="00457CE9">
        <w:rPr>
          <w:rFonts w:ascii="Times New Roman" w:hAnsi="Times New Roman" w:cs="Times New Roman"/>
          <w:sz w:val="28"/>
          <w:szCs w:val="28"/>
          <w:lang w:val="kk-KZ"/>
        </w:rPr>
        <w:t xml:space="preserve">INTOSAI аудит стандарттары </w:t>
      </w:r>
      <w:r w:rsidR="00905163" w:rsidRPr="00457CE9">
        <w:rPr>
          <w:rFonts w:ascii="Times New Roman" w:hAnsi="Times New Roman" w:cs="Times New Roman"/>
          <w:sz w:val="28"/>
          <w:szCs w:val="28"/>
          <w:lang w:val="kk-KZ"/>
        </w:rPr>
        <w:t>келесідей</w:t>
      </w:r>
      <w:r w:rsidRPr="00457CE9">
        <w:rPr>
          <w:rFonts w:ascii="Times New Roman" w:hAnsi="Times New Roman" w:cs="Times New Roman"/>
          <w:sz w:val="28"/>
          <w:szCs w:val="28"/>
          <w:lang w:val="kk-KZ"/>
        </w:rPr>
        <w:t xml:space="preserve"> негізгі топтарға бөлінген</w:t>
      </w:r>
      <w:r w:rsidR="0097145C">
        <w:rPr>
          <w:rFonts w:ascii="Times New Roman" w:hAnsi="Times New Roman" w:cs="Times New Roman"/>
          <w:sz w:val="28"/>
          <w:szCs w:val="28"/>
          <w:lang w:val="kk-KZ"/>
        </w:rPr>
        <w:t xml:space="preserve"> </w:t>
      </w:r>
      <w:r w:rsidR="0097145C" w:rsidRPr="0097145C">
        <w:rPr>
          <w:rFonts w:ascii="Times New Roman" w:hAnsi="Times New Roman" w:cs="Times New Roman"/>
          <w:sz w:val="28"/>
          <w:szCs w:val="28"/>
          <w:lang w:val="kk-KZ"/>
        </w:rPr>
        <w:t>[4</w:t>
      </w:r>
      <w:r w:rsidR="00DB48D2">
        <w:rPr>
          <w:rFonts w:ascii="Times New Roman" w:hAnsi="Times New Roman" w:cs="Times New Roman"/>
          <w:sz w:val="28"/>
          <w:szCs w:val="28"/>
          <w:lang w:val="kk-KZ"/>
        </w:rPr>
        <w:t>6</w:t>
      </w:r>
      <w:r w:rsidR="0097145C" w:rsidRPr="0097145C">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7914977B" w14:textId="4C9A76D6" w:rsidR="00286AB5"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en-US"/>
        </w:rPr>
        <w:t xml:space="preserve">INTOSAI 1-9 </w:t>
      </w:r>
      <w:r w:rsidRPr="00457CE9">
        <w:rPr>
          <w:rFonts w:ascii="Times New Roman" w:hAnsi="Times New Roman"/>
          <w:sz w:val="28"/>
          <w:szCs w:val="28"/>
          <w:lang w:val="kk-KZ"/>
        </w:rPr>
        <w:t>негізін қалаушы</w:t>
      </w:r>
      <w:r w:rsidR="00286AB5" w:rsidRPr="00457CE9">
        <w:rPr>
          <w:rFonts w:ascii="Times New Roman" w:hAnsi="Times New Roman"/>
          <w:sz w:val="28"/>
          <w:szCs w:val="28"/>
          <w:lang w:val="kk-KZ"/>
        </w:rPr>
        <w:t xml:space="preserve"> қағидаттар</w:t>
      </w:r>
      <w:r w:rsidR="00C30D2E">
        <w:rPr>
          <w:rFonts w:ascii="Times New Roman" w:hAnsi="Times New Roman"/>
          <w:sz w:val="28"/>
          <w:szCs w:val="28"/>
          <w:lang w:val="kk-KZ"/>
        </w:rPr>
        <w:t>.</w:t>
      </w:r>
    </w:p>
    <w:p w14:paraId="772A4BD9" w14:textId="60504D0E" w:rsidR="002B5C1E"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en-US"/>
        </w:rPr>
        <w:t xml:space="preserve">INTOSAI 10-99 </w:t>
      </w:r>
      <w:r w:rsidRPr="00457CE9">
        <w:rPr>
          <w:rFonts w:ascii="Times New Roman" w:hAnsi="Times New Roman"/>
          <w:sz w:val="28"/>
          <w:szCs w:val="28"/>
          <w:lang w:val="kk-KZ"/>
        </w:rPr>
        <w:t>негізгі қағидаттар</w:t>
      </w:r>
      <w:r w:rsidR="00C30D2E">
        <w:rPr>
          <w:rFonts w:ascii="Times New Roman" w:hAnsi="Times New Roman"/>
          <w:sz w:val="28"/>
          <w:szCs w:val="28"/>
          <w:lang w:val="kk-KZ"/>
        </w:rPr>
        <w:t>.</w:t>
      </w:r>
    </w:p>
    <w:p w14:paraId="26043F8C" w14:textId="040DA227" w:rsidR="00286AB5"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 xml:space="preserve">INTOSAI </w:t>
      </w:r>
      <w:r w:rsidR="00286AB5" w:rsidRPr="00457CE9">
        <w:rPr>
          <w:rFonts w:ascii="Times New Roman" w:hAnsi="Times New Roman"/>
          <w:sz w:val="28"/>
          <w:szCs w:val="28"/>
          <w:lang w:val="kk-KZ"/>
        </w:rPr>
        <w:t>стандарттар</w:t>
      </w:r>
      <w:r w:rsidRPr="00457CE9">
        <w:rPr>
          <w:rFonts w:ascii="Times New Roman" w:hAnsi="Times New Roman"/>
          <w:sz w:val="28"/>
          <w:szCs w:val="28"/>
          <w:lang w:val="kk-KZ"/>
        </w:rPr>
        <w:t>ы мемлекеттік сектор аудитінің іргелі қағидаттары ISSAI 100-129</w:t>
      </w:r>
      <w:r w:rsidR="00C30D2E">
        <w:rPr>
          <w:rFonts w:ascii="Times New Roman" w:hAnsi="Times New Roman"/>
          <w:sz w:val="28"/>
          <w:szCs w:val="28"/>
          <w:lang w:val="kk-KZ"/>
        </w:rPr>
        <w:t>.</w:t>
      </w:r>
    </w:p>
    <w:p w14:paraId="0C06AD10" w14:textId="4C0F1C6D" w:rsidR="00286AB5"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INTOSAI стандарттары ұйымдастыру талаптары ЖАО ISSAI 130-199</w:t>
      </w:r>
      <w:r w:rsidR="00C30D2E">
        <w:rPr>
          <w:rFonts w:ascii="Times New Roman" w:hAnsi="Times New Roman"/>
          <w:sz w:val="28"/>
          <w:szCs w:val="28"/>
          <w:lang w:val="kk-KZ"/>
        </w:rPr>
        <w:t>.</w:t>
      </w:r>
    </w:p>
    <w:p w14:paraId="4E780A56" w14:textId="0F9C0DF2" w:rsidR="002B5C1E"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INTOSAI стандарттары тиімділік аудитінің қағидаттары ISSAI 300-399</w:t>
      </w:r>
      <w:r w:rsidR="00C30D2E">
        <w:rPr>
          <w:rFonts w:ascii="Times New Roman" w:hAnsi="Times New Roman"/>
          <w:sz w:val="28"/>
          <w:szCs w:val="28"/>
          <w:lang w:val="kk-KZ"/>
        </w:rPr>
        <w:t>.</w:t>
      </w:r>
    </w:p>
    <w:p w14:paraId="17E15112" w14:textId="6BEAEFC6" w:rsidR="002B5C1E"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INTOSAI стандарттары тиімділік аудитінің стандарттары ISSAI 3000-3899</w:t>
      </w:r>
      <w:r w:rsidR="00C30D2E">
        <w:rPr>
          <w:rFonts w:ascii="Times New Roman" w:hAnsi="Times New Roman"/>
          <w:sz w:val="28"/>
          <w:szCs w:val="28"/>
          <w:lang w:val="kk-KZ"/>
        </w:rPr>
        <w:t>.</w:t>
      </w:r>
    </w:p>
    <w:p w14:paraId="4530DFFF" w14:textId="494043EF" w:rsidR="002B5C1E"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INTOSAI басшылығы GUID ұйымдастыру басшылығы 1900-1999</w:t>
      </w:r>
      <w:r w:rsidR="00C30D2E">
        <w:rPr>
          <w:rFonts w:ascii="Times New Roman" w:hAnsi="Times New Roman"/>
          <w:sz w:val="28"/>
          <w:szCs w:val="28"/>
          <w:lang w:val="kk-KZ"/>
        </w:rPr>
        <w:t>.</w:t>
      </w:r>
    </w:p>
    <w:p w14:paraId="7729F20F" w14:textId="7E9BA42C" w:rsidR="00286AB5" w:rsidRPr="00457CE9" w:rsidRDefault="002B5C1E" w:rsidP="0097172E">
      <w:pPr>
        <w:pStyle w:val="a5"/>
        <w:widowControl w:val="0"/>
        <w:numPr>
          <w:ilvl w:val="0"/>
          <w:numId w:val="44"/>
        </w:num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 xml:space="preserve">INTOSAI басшылығы GUID тиімділік аудиті бойынша қосымша басшылығы </w:t>
      </w:r>
      <w:r w:rsidR="00B56954" w:rsidRPr="00457CE9">
        <w:rPr>
          <w:rFonts w:ascii="Times New Roman" w:hAnsi="Times New Roman"/>
          <w:sz w:val="28"/>
          <w:szCs w:val="28"/>
          <w:lang w:val="kk-KZ"/>
        </w:rPr>
        <w:t>3900-3999</w:t>
      </w:r>
      <w:r w:rsidR="00286AB5" w:rsidRPr="00457CE9">
        <w:rPr>
          <w:rFonts w:ascii="Times New Roman" w:hAnsi="Times New Roman"/>
          <w:sz w:val="28"/>
          <w:szCs w:val="28"/>
          <w:lang w:val="kk-KZ"/>
        </w:rPr>
        <w:t>.</w:t>
      </w:r>
    </w:p>
    <w:p w14:paraId="1F3832F2" w14:textId="77777777" w:rsidR="00286AB5" w:rsidRPr="00457CE9" w:rsidRDefault="00286AB5"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Негізгі қағидаттары бар стандарттарға келесідей талаптар қойылады:</w:t>
      </w:r>
    </w:p>
    <w:p w14:paraId="4A072D61" w14:textId="77777777" w:rsidR="00286AB5" w:rsidRPr="00457CE9" w:rsidRDefault="00286AB5" w:rsidP="0097172E">
      <w:pPr>
        <w:pStyle w:val="a5"/>
        <w:widowControl w:val="0"/>
        <w:numPr>
          <w:ilvl w:val="0"/>
          <w:numId w:val="22"/>
        </w:numPr>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барлық елеулі аспектілерде стандарттарға сәйкестігі;</w:t>
      </w:r>
    </w:p>
    <w:p w14:paraId="1064B650" w14:textId="77777777" w:rsidR="00286AB5" w:rsidRPr="00457CE9" w:rsidRDefault="00286AB5" w:rsidP="0097172E">
      <w:pPr>
        <w:pStyle w:val="a5"/>
        <w:widowControl w:val="0"/>
        <w:numPr>
          <w:ilvl w:val="0"/>
          <w:numId w:val="22"/>
        </w:numPr>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қоғам ресурстарын басқарушы жеке және заңды тұлғалардың есептілігі (бюджет қаражаттарын басқарушыларын бақылау механизмдерін құру);</w:t>
      </w:r>
    </w:p>
    <w:p w14:paraId="02B2C6E6" w14:textId="77777777" w:rsidR="00286AB5" w:rsidRPr="00457CE9" w:rsidRDefault="00286AB5" w:rsidP="0097172E">
      <w:pPr>
        <w:pStyle w:val="a5"/>
        <w:widowControl w:val="0"/>
        <w:numPr>
          <w:ilvl w:val="0"/>
          <w:numId w:val="22"/>
        </w:numPr>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бюджет секторының бухгалтерлік есеп және есептілік стандарттарының болуы;</w:t>
      </w:r>
    </w:p>
    <w:p w14:paraId="1F852300" w14:textId="77777777" w:rsidR="00286AB5" w:rsidRPr="00457CE9" w:rsidRDefault="00286AB5" w:rsidP="0097172E">
      <w:pPr>
        <w:pStyle w:val="a5"/>
        <w:widowControl w:val="0"/>
        <w:numPr>
          <w:ilvl w:val="0"/>
          <w:numId w:val="22"/>
        </w:numPr>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қателіктер мен бұзушылықтар тәуекелдерін минимизациялайтын сәйкес ішкі бақылау жүйесінің болуы;</w:t>
      </w:r>
    </w:p>
    <w:p w14:paraId="519C6861" w14:textId="1C229C1F" w:rsidR="00286AB5" w:rsidRPr="00274194" w:rsidRDefault="00286AB5" w:rsidP="0097172E">
      <w:pPr>
        <w:pStyle w:val="a5"/>
        <w:widowControl w:val="0"/>
        <w:numPr>
          <w:ilvl w:val="0"/>
          <w:numId w:val="22"/>
        </w:numPr>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 xml:space="preserve">сәйкес ақпаратқа қол жетімділік және тексерілетін объектілердің </w:t>
      </w:r>
      <w:r w:rsidRPr="00274194">
        <w:rPr>
          <w:rFonts w:ascii="Times New Roman" w:hAnsi="Times New Roman"/>
          <w:sz w:val="28"/>
          <w:szCs w:val="28"/>
          <w:lang w:val="kk-KZ"/>
        </w:rPr>
        <w:t>аудиторлармен ынтымақтастығын қамтамасыз ететін заңды талаптарының болуы</w:t>
      </w:r>
      <w:r w:rsidR="006501E9" w:rsidRPr="00274194">
        <w:rPr>
          <w:rFonts w:ascii="Times New Roman" w:hAnsi="Times New Roman"/>
          <w:sz w:val="28"/>
          <w:szCs w:val="28"/>
          <w:lang w:val="kk-KZ"/>
        </w:rPr>
        <w:t xml:space="preserve"> [4</w:t>
      </w:r>
      <w:r w:rsidR="00DB48D2">
        <w:rPr>
          <w:rFonts w:ascii="Times New Roman" w:hAnsi="Times New Roman"/>
          <w:sz w:val="28"/>
          <w:szCs w:val="28"/>
          <w:lang w:val="kk-KZ"/>
        </w:rPr>
        <w:t>7</w:t>
      </w:r>
      <w:r w:rsidR="006501E9" w:rsidRPr="00274194">
        <w:rPr>
          <w:rFonts w:ascii="Times New Roman" w:hAnsi="Times New Roman"/>
          <w:sz w:val="28"/>
          <w:szCs w:val="28"/>
          <w:lang w:val="kk-KZ"/>
        </w:rPr>
        <w:t>]</w:t>
      </w:r>
      <w:r w:rsidRPr="00274194">
        <w:rPr>
          <w:rFonts w:ascii="Times New Roman" w:hAnsi="Times New Roman"/>
          <w:sz w:val="28"/>
          <w:szCs w:val="28"/>
          <w:lang w:val="kk-KZ"/>
        </w:rPr>
        <w:t>.</w:t>
      </w:r>
    </w:p>
    <w:p w14:paraId="785D369D" w14:textId="77777777" w:rsidR="00286AB5" w:rsidRPr="00274194" w:rsidRDefault="00286AB5" w:rsidP="00C30D2E">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274194">
        <w:rPr>
          <w:rFonts w:ascii="Times New Roman" w:hAnsi="Times New Roman"/>
          <w:sz w:val="28"/>
          <w:szCs w:val="28"/>
          <w:lang w:val="kk-KZ"/>
        </w:rPr>
        <w:t>INTOSAI жалпы стандарттарының талаптары келесідей:</w:t>
      </w:r>
    </w:p>
    <w:p w14:paraId="2B051C06" w14:textId="77777777" w:rsidR="00286AB5" w:rsidRPr="00274194" w:rsidRDefault="00286AB5" w:rsidP="0097172E">
      <w:pPr>
        <w:pStyle w:val="a5"/>
        <w:widowControl w:val="0"/>
        <w:numPr>
          <w:ilvl w:val="0"/>
          <w:numId w:val="23"/>
        </w:numPr>
        <w:tabs>
          <w:tab w:val="left" w:pos="851"/>
          <w:tab w:val="left" w:pos="993"/>
        </w:tabs>
        <w:spacing w:after="0" w:line="240" w:lineRule="auto"/>
        <w:ind w:firstLine="709"/>
        <w:jc w:val="both"/>
        <w:rPr>
          <w:rFonts w:ascii="Times New Roman" w:hAnsi="Times New Roman"/>
          <w:sz w:val="28"/>
          <w:szCs w:val="28"/>
          <w:lang w:val="kk-KZ"/>
        </w:rPr>
      </w:pPr>
      <w:r w:rsidRPr="00274194">
        <w:rPr>
          <w:rFonts w:ascii="Times New Roman" w:hAnsi="Times New Roman"/>
          <w:sz w:val="28"/>
          <w:szCs w:val="28"/>
          <w:lang w:val="kk-KZ"/>
        </w:rPr>
        <w:t>аудиторлар тәуелсіздігі;</w:t>
      </w:r>
    </w:p>
    <w:p w14:paraId="7E10D6BC" w14:textId="1B12D598" w:rsidR="00286AB5" w:rsidRPr="00274194" w:rsidRDefault="00286AB5" w:rsidP="0097172E">
      <w:pPr>
        <w:pStyle w:val="a5"/>
        <w:widowControl w:val="0"/>
        <w:numPr>
          <w:ilvl w:val="0"/>
          <w:numId w:val="23"/>
        </w:numPr>
        <w:tabs>
          <w:tab w:val="left" w:pos="851"/>
          <w:tab w:val="left" w:pos="993"/>
        </w:tabs>
        <w:spacing w:after="0" w:line="240" w:lineRule="auto"/>
        <w:ind w:firstLine="709"/>
        <w:jc w:val="both"/>
        <w:rPr>
          <w:rFonts w:ascii="Times New Roman" w:hAnsi="Times New Roman"/>
          <w:sz w:val="28"/>
          <w:szCs w:val="28"/>
          <w:lang w:val="kk-KZ"/>
        </w:rPr>
      </w:pPr>
      <w:r w:rsidRPr="00274194">
        <w:rPr>
          <w:rFonts w:ascii="Times New Roman" w:hAnsi="Times New Roman"/>
          <w:sz w:val="28"/>
          <w:szCs w:val="28"/>
          <w:lang w:val="kk-KZ"/>
        </w:rPr>
        <w:t>аудитормен тексерілетін объектілер арасындағы мүдделер қақтығысына жол бермеуі;</w:t>
      </w:r>
    </w:p>
    <w:p w14:paraId="670AF237" w14:textId="77777777" w:rsidR="00286AB5" w:rsidRPr="00274194" w:rsidRDefault="00286AB5" w:rsidP="0097172E">
      <w:pPr>
        <w:pStyle w:val="a5"/>
        <w:widowControl w:val="0"/>
        <w:numPr>
          <w:ilvl w:val="0"/>
          <w:numId w:val="23"/>
        </w:numPr>
        <w:tabs>
          <w:tab w:val="left" w:pos="851"/>
          <w:tab w:val="left" w:pos="993"/>
        </w:tabs>
        <w:spacing w:after="0" w:line="240" w:lineRule="auto"/>
        <w:ind w:firstLine="709"/>
        <w:jc w:val="both"/>
        <w:rPr>
          <w:rFonts w:ascii="Times New Roman" w:hAnsi="Times New Roman"/>
          <w:sz w:val="28"/>
          <w:szCs w:val="28"/>
          <w:lang w:val="kk-KZ"/>
        </w:rPr>
      </w:pPr>
      <w:r w:rsidRPr="00274194">
        <w:rPr>
          <w:rFonts w:ascii="Times New Roman" w:hAnsi="Times New Roman"/>
          <w:sz w:val="28"/>
          <w:szCs w:val="28"/>
          <w:lang w:val="kk-KZ"/>
        </w:rPr>
        <w:t>мемлекеттік сектор мекемелері аудитінде сәйкес біліктілігі бар персоналды пайдалану, оларды оқыту және кәсіби біліктілігін жоғарылату;</w:t>
      </w:r>
    </w:p>
    <w:p w14:paraId="29FB1501" w14:textId="77777777" w:rsidR="00286AB5" w:rsidRPr="00274194" w:rsidRDefault="00286AB5" w:rsidP="0097172E">
      <w:pPr>
        <w:pStyle w:val="a5"/>
        <w:widowControl w:val="0"/>
        <w:numPr>
          <w:ilvl w:val="0"/>
          <w:numId w:val="23"/>
        </w:numPr>
        <w:tabs>
          <w:tab w:val="left" w:pos="851"/>
          <w:tab w:val="left" w:pos="993"/>
        </w:tabs>
        <w:spacing w:after="0" w:line="240" w:lineRule="auto"/>
        <w:ind w:firstLine="709"/>
        <w:jc w:val="both"/>
        <w:rPr>
          <w:rFonts w:ascii="Times New Roman" w:hAnsi="Times New Roman"/>
          <w:sz w:val="28"/>
          <w:szCs w:val="28"/>
          <w:lang w:val="kk-KZ"/>
        </w:rPr>
      </w:pPr>
      <w:r w:rsidRPr="00274194">
        <w:rPr>
          <w:rFonts w:ascii="Times New Roman" w:hAnsi="Times New Roman"/>
          <w:sz w:val="28"/>
          <w:szCs w:val="28"/>
          <w:lang w:val="kk-KZ"/>
        </w:rPr>
        <w:t>персонал білімдерін, дағдыларын және тәжірибесін жоғарылатуға ынталандыру;</w:t>
      </w:r>
    </w:p>
    <w:p w14:paraId="206185DB" w14:textId="77777777" w:rsidR="00286AB5" w:rsidRPr="00274194" w:rsidRDefault="00286AB5" w:rsidP="0097172E">
      <w:pPr>
        <w:pStyle w:val="a5"/>
        <w:widowControl w:val="0"/>
        <w:numPr>
          <w:ilvl w:val="0"/>
          <w:numId w:val="23"/>
        </w:numPr>
        <w:tabs>
          <w:tab w:val="left" w:pos="851"/>
          <w:tab w:val="left" w:pos="993"/>
        </w:tabs>
        <w:spacing w:after="0" w:line="240" w:lineRule="auto"/>
        <w:ind w:firstLine="709"/>
        <w:jc w:val="both"/>
        <w:rPr>
          <w:rFonts w:ascii="Times New Roman" w:hAnsi="Times New Roman"/>
          <w:sz w:val="28"/>
          <w:szCs w:val="28"/>
          <w:lang w:val="kk-KZ"/>
        </w:rPr>
      </w:pPr>
      <w:r w:rsidRPr="00274194">
        <w:rPr>
          <w:rFonts w:ascii="Times New Roman" w:hAnsi="Times New Roman"/>
          <w:sz w:val="28"/>
          <w:szCs w:val="28"/>
          <w:lang w:val="kk-KZ"/>
        </w:rPr>
        <w:t>берілген ішкі бақылау жүйесінің рәсімдері мен стандарттарының тиімділігі мен мақсатқа сәйкестілігін тексеруін жүргізу;</w:t>
      </w:r>
    </w:p>
    <w:p w14:paraId="5858E8C4" w14:textId="0FA46CE2" w:rsidR="00286AB5" w:rsidRPr="00274194" w:rsidRDefault="00286AB5" w:rsidP="0097172E">
      <w:pPr>
        <w:pStyle w:val="a5"/>
        <w:widowControl w:val="0"/>
        <w:numPr>
          <w:ilvl w:val="0"/>
          <w:numId w:val="23"/>
        </w:numPr>
        <w:tabs>
          <w:tab w:val="left" w:pos="851"/>
          <w:tab w:val="left" w:pos="993"/>
        </w:tabs>
        <w:spacing w:after="0" w:line="240" w:lineRule="auto"/>
        <w:ind w:firstLine="709"/>
        <w:jc w:val="both"/>
        <w:rPr>
          <w:rFonts w:ascii="Times New Roman" w:hAnsi="Times New Roman"/>
          <w:sz w:val="28"/>
          <w:szCs w:val="28"/>
          <w:lang w:val="kk-KZ"/>
        </w:rPr>
      </w:pPr>
      <w:r w:rsidRPr="00274194">
        <w:rPr>
          <w:rFonts w:ascii="Times New Roman" w:hAnsi="Times New Roman"/>
          <w:sz w:val="28"/>
          <w:szCs w:val="28"/>
          <w:lang w:val="kk-KZ"/>
        </w:rPr>
        <w:t>аудиторлар аудит стандарттарын сақтай отырып, қажетті құзыреттілігін және тиісті мұқияттылығын көрсетуі қажет</w:t>
      </w:r>
      <w:r w:rsidR="00DB4D5C" w:rsidRPr="00274194">
        <w:rPr>
          <w:rFonts w:ascii="Times New Roman" w:hAnsi="Times New Roman"/>
          <w:sz w:val="28"/>
          <w:szCs w:val="28"/>
          <w:lang w:val="kk-KZ"/>
        </w:rPr>
        <w:t xml:space="preserve"> [</w:t>
      </w:r>
      <w:r w:rsidR="006501E9" w:rsidRPr="00274194">
        <w:rPr>
          <w:rFonts w:ascii="Times New Roman" w:hAnsi="Times New Roman"/>
          <w:sz w:val="28"/>
          <w:szCs w:val="28"/>
          <w:lang w:val="kk-KZ"/>
        </w:rPr>
        <w:t>4</w:t>
      </w:r>
      <w:r w:rsidR="00DB48D2">
        <w:rPr>
          <w:rFonts w:ascii="Times New Roman" w:hAnsi="Times New Roman"/>
          <w:sz w:val="28"/>
          <w:szCs w:val="28"/>
          <w:lang w:val="kk-KZ"/>
        </w:rPr>
        <w:t>7</w:t>
      </w:r>
      <w:r w:rsidR="00DB4D5C" w:rsidRPr="00274194">
        <w:rPr>
          <w:rFonts w:ascii="Times New Roman" w:hAnsi="Times New Roman"/>
          <w:sz w:val="28"/>
          <w:szCs w:val="28"/>
          <w:lang w:val="kk-KZ"/>
        </w:rPr>
        <w:t>]</w:t>
      </w:r>
      <w:r w:rsidRPr="00274194">
        <w:rPr>
          <w:rFonts w:ascii="Times New Roman" w:hAnsi="Times New Roman"/>
          <w:sz w:val="28"/>
          <w:szCs w:val="28"/>
          <w:lang w:val="kk-KZ"/>
        </w:rPr>
        <w:t>.</w:t>
      </w:r>
    </w:p>
    <w:p w14:paraId="65E6889C" w14:textId="77777777" w:rsidR="00286AB5" w:rsidRPr="00457CE9" w:rsidRDefault="00286AB5" w:rsidP="00C30D2E">
      <w:pPr>
        <w:widowControl w:val="0"/>
        <w:spacing w:after="0" w:line="240" w:lineRule="auto"/>
        <w:ind w:firstLine="709"/>
        <w:jc w:val="both"/>
        <w:rPr>
          <w:rFonts w:ascii="Times New Roman" w:hAnsi="Times New Roman" w:cs="Times New Roman"/>
          <w:sz w:val="28"/>
          <w:szCs w:val="28"/>
          <w:lang w:val="kk-KZ"/>
        </w:rPr>
      </w:pPr>
      <w:r w:rsidRPr="00274194">
        <w:rPr>
          <w:rFonts w:ascii="Times New Roman" w:hAnsi="Times New Roman" w:cs="Times New Roman"/>
          <w:sz w:val="28"/>
          <w:szCs w:val="28"/>
          <w:lang w:val="kk-KZ"/>
        </w:rPr>
        <w:t xml:space="preserve">Сонымен жалпы стандарттар аудит кезінде жоғары білікті, өз жұмысын </w:t>
      </w:r>
      <w:r w:rsidRPr="00457CE9">
        <w:rPr>
          <w:rFonts w:ascii="Times New Roman" w:hAnsi="Times New Roman" w:cs="Times New Roman"/>
          <w:sz w:val="28"/>
          <w:szCs w:val="28"/>
          <w:lang w:val="kk-KZ"/>
        </w:rPr>
        <w:t>адал орындайтын мамандарды пайдалануды ең басты деп анықтайды.</w:t>
      </w:r>
    </w:p>
    <w:p w14:paraId="5813A79B" w14:textId="77777777" w:rsidR="00286AB5" w:rsidRPr="00457CE9" w:rsidRDefault="00286AB5" w:rsidP="00C30D2E">
      <w:pPr>
        <w:widowControl w:val="0"/>
        <w:spacing w:after="0" w:line="240" w:lineRule="auto"/>
        <w:ind w:firstLine="709"/>
        <w:jc w:val="both"/>
        <w:rPr>
          <w:rFonts w:ascii="Times New Roman" w:hAnsi="Times New Roman" w:cs="Times New Roman"/>
          <w:sz w:val="28"/>
          <w:szCs w:val="28"/>
          <w:lang w:val="en-US"/>
        </w:rPr>
      </w:pPr>
      <w:r w:rsidRPr="00457CE9">
        <w:rPr>
          <w:rFonts w:ascii="Times New Roman" w:hAnsi="Times New Roman" w:cs="Times New Roman"/>
          <w:sz w:val="28"/>
          <w:szCs w:val="28"/>
          <w:lang w:val="kk-KZ"/>
        </w:rPr>
        <w:t xml:space="preserve">Мемлекеттік аудиттің бекітілген стандарттары тиісті кәсіпқойлықпен, адалдықпен, объективтілікпен және тәуелсіздікпен мемлекеттік аудиторлардың жоғары сапалы жұмысын орындау үшін базаны қамтамасыз етеді. Аудиттің мақсаты мыналарға сенімділік беру болып табылады: </w:t>
      </w:r>
    </w:p>
    <w:p w14:paraId="0511C479" w14:textId="3C98E80F" w:rsidR="00286AB5" w:rsidRPr="00457CE9" w:rsidRDefault="00286AB5" w:rsidP="0097172E">
      <w:pPr>
        <w:pStyle w:val="a5"/>
        <w:widowControl w:val="0"/>
        <w:numPr>
          <w:ilvl w:val="0"/>
          <w:numId w:val="24"/>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мемлекет мемлекеттік ресурстарды басқарады және өз билігін тиісті түрде заңнамалық және нормативтік актілерге сәйкес пайдаланады; </w:t>
      </w:r>
    </w:p>
    <w:p w14:paraId="15AAFD4C" w14:textId="77777777" w:rsidR="00286AB5" w:rsidRPr="00457CE9" w:rsidRDefault="00286AB5" w:rsidP="0097172E">
      <w:pPr>
        <w:pStyle w:val="a5"/>
        <w:widowControl w:val="0"/>
        <w:numPr>
          <w:ilvl w:val="0"/>
          <w:numId w:val="24"/>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мемлекеттік бағдарламаларды іске асыру кезінде қойылған мақсаттар мен жоспарланған нәтижелерге қол жеткізіледі; </w:t>
      </w:r>
    </w:p>
    <w:p w14:paraId="5BC40DF2" w14:textId="77777777" w:rsidR="00286AB5" w:rsidRPr="00457CE9" w:rsidRDefault="00286AB5" w:rsidP="0097172E">
      <w:pPr>
        <w:pStyle w:val="a5"/>
        <w:widowControl w:val="0"/>
        <w:numPr>
          <w:ilvl w:val="0"/>
          <w:numId w:val="24"/>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мемлекеттік қызметтер тиімді, ұтымды, үнемді, этикалық және әділ орындалады; </w:t>
      </w:r>
    </w:p>
    <w:p w14:paraId="0B57E5BE" w14:textId="23D2FF2A" w:rsidR="00286AB5" w:rsidRPr="00274194" w:rsidRDefault="00286AB5" w:rsidP="0097172E">
      <w:pPr>
        <w:pStyle w:val="a5"/>
        <w:widowControl w:val="0"/>
        <w:numPr>
          <w:ilvl w:val="0"/>
          <w:numId w:val="24"/>
        </w:numPr>
        <w:tabs>
          <w:tab w:val="left" w:pos="993"/>
        </w:tabs>
        <w:spacing w:after="0" w:line="240" w:lineRule="auto"/>
        <w:ind w:left="0" w:firstLine="709"/>
        <w:jc w:val="both"/>
        <w:rPr>
          <w:rFonts w:ascii="Times New Roman" w:hAnsi="Times New Roman"/>
          <w:sz w:val="28"/>
          <w:szCs w:val="28"/>
          <w:lang w:val="kk-KZ"/>
        </w:rPr>
      </w:pPr>
      <w:r w:rsidRPr="00274194">
        <w:rPr>
          <w:rFonts w:ascii="Times New Roman" w:hAnsi="Times New Roman"/>
          <w:sz w:val="28"/>
          <w:szCs w:val="28"/>
          <w:lang w:val="kk-KZ"/>
        </w:rPr>
        <w:t>мемлекеттік қызметшілер олардың мемлекеттік ресурстарды пайдаланғаны үшін тиісті түрде есеп береді</w:t>
      </w:r>
      <w:r w:rsidR="00DB4D5C" w:rsidRPr="00274194">
        <w:rPr>
          <w:rFonts w:ascii="Times New Roman" w:hAnsi="Times New Roman"/>
          <w:sz w:val="28"/>
          <w:szCs w:val="28"/>
          <w:lang w:val="kk-KZ"/>
        </w:rPr>
        <w:t xml:space="preserve"> [</w:t>
      </w:r>
      <w:r w:rsidR="00DB4D5C" w:rsidRPr="003E6BA4">
        <w:rPr>
          <w:rFonts w:ascii="Times New Roman" w:hAnsi="Times New Roman"/>
          <w:sz w:val="28"/>
          <w:szCs w:val="28"/>
          <w:lang w:val="kk-KZ"/>
        </w:rPr>
        <w:t>4</w:t>
      </w:r>
      <w:r w:rsidR="00DB48D2">
        <w:rPr>
          <w:rFonts w:ascii="Times New Roman" w:hAnsi="Times New Roman"/>
          <w:sz w:val="28"/>
          <w:szCs w:val="28"/>
          <w:lang w:val="kk-KZ"/>
        </w:rPr>
        <w:t>7</w:t>
      </w:r>
      <w:r w:rsidR="00DB4D5C" w:rsidRPr="00274194">
        <w:rPr>
          <w:rFonts w:ascii="Times New Roman" w:hAnsi="Times New Roman"/>
          <w:sz w:val="28"/>
          <w:szCs w:val="28"/>
          <w:lang w:val="kk-KZ"/>
        </w:rPr>
        <w:t>]</w:t>
      </w:r>
      <w:r w:rsidRPr="00274194">
        <w:rPr>
          <w:rFonts w:ascii="Times New Roman" w:hAnsi="Times New Roman"/>
          <w:sz w:val="28"/>
          <w:szCs w:val="28"/>
          <w:lang w:val="kk-KZ"/>
        </w:rPr>
        <w:t>.</w:t>
      </w:r>
    </w:p>
    <w:p w14:paraId="66C7005C" w14:textId="77777777" w:rsidR="003E6BA4" w:rsidRDefault="00A705F9" w:rsidP="003E6BA4">
      <w:pPr>
        <w:spacing w:after="0" w:line="240" w:lineRule="auto"/>
        <w:ind w:firstLine="709"/>
        <w:jc w:val="both"/>
        <w:rPr>
          <w:rFonts w:ascii="Times New Roman" w:hAnsi="Times New Roman" w:cs="Times New Roman"/>
          <w:sz w:val="28"/>
          <w:szCs w:val="28"/>
          <w:lang w:val="kk-KZ"/>
        </w:rPr>
      </w:pPr>
      <w:r w:rsidRPr="00274194">
        <w:rPr>
          <w:rFonts w:ascii="Times New Roman" w:hAnsi="Times New Roman" w:cs="Times New Roman"/>
          <w:sz w:val="28"/>
          <w:szCs w:val="28"/>
          <w:lang w:val="kk-KZ"/>
        </w:rPr>
        <w:t xml:space="preserve">Тиімділік аудитінің негізгі қағидалары жоғары аудит органдарының стандарттарын қабылдау және әзірлеу үшін негізді қамтамасыз етеді. Олар </w:t>
      </w:r>
      <w:r w:rsidRPr="00457CE9">
        <w:rPr>
          <w:rFonts w:ascii="Times New Roman" w:hAnsi="Times New Roman" w:cs="Times New Roman"/>
          <w:sz w:val="28"/>
          <w:szCs w:val="28"/>
          <w:lang w:val="kk-KZ"/>
        </w:rPr>
        <w:t xml:space="preserve">жоғары аудит органдарының институционалдық ерекшеліктерін, оның ішінде олардың тәуелсіздігін, заңды өкілеттіктерін, этикалық міндеттемелерін,  ескере отырып құрастырылған. Алайда, әрбір елде ұлттық заңнамамен, тарихи тәжірибемен, қолданыстағы дәстүрлермен немесе әдет-ғұрыптармен айқындалатын мемлекеттік қаражатты тексеруді нормативтік реттеу тәртібін іске асыруда өз ерекшеліктері бар. </w:t>
      </w:r>
      <w:r w:rsidR="003E6BA4">
        <w:rPr>
          <w:rFonts w:ascii="Times New Roman" w:hAnsi="Times New Roman" w:cs="Times New Roman"/>
          <w:sz w:val="28"/>
          <w:szCs w:val="28"/>
          <w:lang w:val="kk-KZ"/>
        </w:rPr>
        <w:t xml:space="preserve">Қазақстан Республикасы Президентінің жыл сайынғы жолдауларында бюджет қаражатын мақсатты және тиімді пайдалану қажеттілігін бірнеше рет атап көрсетеді. Тиімділік аудитінің негізгі міндеті мемлекеттік қаражаттың үнемді пайдаланылуын тексеру, өндірістік қызмет процесінде еңбек ресурстарын пайдаланудың өнімділігін тексеру, ақпараттық жүйелер мен технологияларды пайдалану, қойылған міндеттерге қол жеткізу барысында нәтижені тексеру және ақырында нәтижені жұмсалған ресурстармен салыстыру болып табылады. </w:t>
      </w:r>
    </w:p>
    <w:p w14:paraId="633F6AAD" w14:textId="432F3E11" w:rsidR="00A705F9" w:rsidRDefault="00DD625A" w:rsidP="00C30D2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Бюджет қаражаты</w:t>
      </w:r>
      <w:r w:rsidR="00F96902">
        <w:rPr>
          <w:rFonts w:ascii="Times New Roman" w:hAnsi="Times New Roman" w:cs="Times New Roman"/>
          <w:sz w:val="28"/>
          <w:szCs w:val="28"/>
          <w:lang w:val="kk-KZ"/>
        </w:rPr>
        <w:t>н пайдалану</w:t>
      </w:r>
      <w:r>
        <w:rPr>
          <w:rFonts w:ascii="Times New Roman" w:hAnsi="Times New Roman" w:cs="Times New Roman"/>
          <w:sz w:val="28"/>
          <w:szCs w:val="28"/>
          <w:lang w:val="kk-KZ"/>
        </w:rPr>
        <w:t xml:space="preserve"> тиімділігінің аудиті </w:t>
      </w:r>
      <w:r w:rsidR="00F96902">
        <w:rPr>
          <w:rFonts w:ascii="Times New Roman" w:hAnsi="Times New Roman" w:cs="Times New Roman"/>
          <w:sz w:val="28"/>
          <w:szCs w:val="28"/>
          <w:lang w:val="kk-KZ"/>
        </w:rPr>
        <w:t xml:space="preserve">мемлекеттік аудит және </w:t>
      </w:r>
      <w:r>
        <w:rPr>
          <w:rFonts w:ascii="Times New Roman" w:hAnsi="Times New Roman" w:cs="Times New Roman"/>
          <w:sz w:val="28"/>
          <w:szCs w:val="28"/>
          <w:lang w:val="kk-KZ"/>
        </w:rPr>
        <w:t>қаржылық бақылау бағыттарының бірі және мынадай элементтерді қамтиды: ұйымның бюджет қаражатын олардың тиімділігін арттыру мақсатында пайдалану жөніндегі қызметін талдау, кемшіліктерді анықтау және оларды жою жөнінде шешімдер қабылдауға көмек көрсету, сондай-ақ қаржыны неғұрлым тиімді пайдалану резервтерін уақтылы анықтау. Нәтижеге бағытталу, тиімділік аудитінің басты міндеті [4</w:t>
      </w:r>
      <w:r w:rsidR="00415417" w:rsidRPr="00B50D5C">
        <w:rPr>
          <w:rFonts w:ascii="Times New Roman" w:hAnsi="Times New Roman" w:cs="Times New Roman"/>
          <w:sz w:val="28"/>
          <w:szCs w:val="28"/>
          <w:lang w:val="kk-KZ"/>
        </w:rPr>
        <w:t>8</w:t>
      </w:r>
      <w:r>
        <w:rPr>
          <w:rFonts w:ascii="Times New Roman" w:hAnsi="Times New Roman" w:cs="Times New Roman"/>
          <w:sz w:val="28"/>
          <w:szCs w:val="28"/>
          <w:lang w:val="kk-KZ"/>
        </w:rPr>
        <w:t>].</w:t>
      </w:r>
      <w:r w:rsidR="00F96902">
        <w:rPr>
          <w:rFonts w:ascii="Times New Roman" w:hAnsi="Times New Roman" w:cs="Times New Roman"/>
          <w:sz w:val="28"/>
          <w:szCs w:val="28"/>
          <w:lang w:val="kk-KZ"/>
        </w:rPr>
        <w:t xml:space="preserve"> </w:t>
      </w:r>
      <w:r w:rsidR="00A705F9" w:rsidRPr="00457CE9">
        <w:rPr>
          <w:rFonts w:ascii="Times New Roman" w:hAnsi="Times New Roman" w:cs="Times New Roman"/>
          <w:sz w:val="28"/>
          <w:szCs w:val="28"/>
          <w:lang w:val="kk-KZ"/>
        </w:rPr>
        <w:t xml:space="preserve">Тиімділік аудитін ұйымдастыру мен жүргізудің Қазақстан Республикасында құқықтық реттелу деңгейі </w:t>
      </w:r>
      <w:r w:rsidR="00237DE0" w:rsidRPr="00457CE9">
        <w:rPr>
          <w:rFonts w:ascii="Times New Roman" w:hAnsi="Times New Roman" w:cs="Times New Roman"/>
          <w:sz w:val="28"/>
          <w:szCs w:val="28"/>
          <w:lang w:val="kk-KZ"/>
        </w:rPr>
        <w:t>2</w:t>
      </w:r>
      <w:r w:rsidR="00A705F9" w:rsidRPr="00457CE9">
        <w:rPr>
          <w:rFonts w:ascii="Times New Roman" w:hAnsi="Times New Roman" w:cs="Times New Roman"/>
          <w:sz w:val="28"/>
          <w:szCs w:val="28"/>
          <w:lang w:val="kk-KZ"/>
        </w:rPr>
        <w:t>-суретте келтірілген.</w:t>
      </w:r>
    </w:p>
    <w:p w14:paraId="23CC1964" w14:textId="77777777" w:rsidR="00F96902" w:rsidRPr="00F96902" w:rsidRDefault="00F96902" w:rsidP="00C30D2E">
      <w:pPr>
        <w:spacing w:after="0" w:line="240" w:lineRule="auto"/>
        <w:ind w:firstLine="709"/>
        <w:jc w:val="both"/>
        <w:rPr>
          <w:rFonts w:ascii="Times New Roman" w:hAnsi="Times New Roman" w:cs="Times New Roman"/>
          <w:sz w:val="16"/>
          <w:szCs w:val="16"/>
          <w:lang w:val="kk-KZ"/>
        </w:rPr>
      </w:pPr>
    </w:p>
    <w:p w14:paraId="12EC52E1" w14:textId="226A09D4" w:rsidR="00A705F9" w:rsidRPr="00457CE9" w:rsidRDefault="00C30D2E" w:rsidP="00457CE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542976" behindDoc="0" locked="0" layoutInCell="1" allowOverlap="1" wp14:anchorId="5907C2E3" wp14:editId="3E677448">
                <wp:simplePos x="0" y="0"/>
                <wp:positionH relativeFrom="column">
                  <wp:posOffset>379697</wp:posOffset>
                </wp:positionH>
                <wp:positionV relativeFrom="paragraph">
                  <wp:posOffset>50332</wp:posOffset>
                </wp:positionV>
                <wp:extent cx="5522996" cy="4208780"/>
                <wp:effectExtent l="0" t="0" r="20955" b="20320"/>
                <wp:wrapNone/>
                <wp:docPr id="3" name="Группа 3"/>
                <wp:cNvGraphicFramePr/>
                <a:graphic xmlns:a="http://schemas.openxmlformats.org/drawingml/2006/main">
                  <a:graphicData uri="http://schemas.microsoft.com/office/word/2010/wordprocessingGroup">
                    <wpg:wgp>
                      <wpg:cNvGrpSpPr/>
                      <wpg:grpSpPr>
                        <a:xfrm>
                          <a:off x="0" y="0"/>
                          <a:ext cx="5522996" cy="4208780"/>
                          <a:chOff x="-8021" y="0"/>
                          <a:chExt cx="5522996" cy="4208780"/>
                        </a:xfrm>
                      </wpg:grpSpPr>
                      <wps:wsp>
                        <wps:cNvPr id="1959356791" name="Прямоугольник 454"/>
                        <wps:cNvSpPr>
                          <a:spLocks noChangeArrowheads="1"/>
                        </wps:cNvSpPr>
                        <wps:spPr bwMode="auto">
                          <a:xfrm>
                            <a:off x="0" y="0"/>
                            <a:ext cx="742950" cy="464820"/>
                          </a:xfrm>
                          <a:prstGeom prst="rect">
                            <a:avLst/>
                          </a:prstGeom>
                          <a:solidFill>
                            <a:srgbClr val="FFFFFF"/>
                          </a:solidFill>
                          <a:ln w="9525">
                            <a:solidFill>
                              <a:srgbClr val="000000"/>
                            </a:solidFill>
                            <a:miter lim="800000"/>
                            <a:headEnd/>
                            <a:tailEnd/>
                          </a:ln>
                        </wps:spPr>
                        <wps:txbx>
                          <w:txbxContent>
                            <w:p w14:paraId="407C36CA"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Бірінші деңгей</w:t>
                              </w:r>
                            </w:p>
                          </w:txbxContent>
                        </wps:txbx>
                        <wps:bodyPr rot="0" vert="horz" wrap="square" lIns="91440" tIns="45720" rIns="91440" bIns="45720" anchor="t" anchorCtr="0" upright="1">
                          <a:noAutofit/>
                        </wps:bodyPr>
                      </wps:wsp>
                      <wps:wsp>
                        <wps:cNvPr id="1237158596" name="Прямая со стрелкой 453"/>
                        <wps:cNvCnPr>
                          <a:cxnSpLocks noChangeShapeType="1"/>
                        </wps:cNvCnPr>
                        <wps:spPr bwMode="auto">
                          <a:xfrm>
                            <a:off x="742950" y="219075"/>
                            <a:ext cx="400050" cy="0"/>
                          </a:xfrm>
                          <a:prstGeom prst="straightConnector1">
                            <a:avLst/>
                          </a:prstGeom>
                          <a:noFill/>
                          <a:ln w="9525">
                            <a:solidFill>
                              <a:srgbClr val="000000"/>
                            </a:solidFill>
                            <a:round/>
                            <a:headEnd/>
                            <a:tailEnd type="triangle" w="med" len="med"/>
                          </a:ln>
                        </wps:spPr>
                        <wps:bodyPr/>
                      </wps:wsp>
                      <wps:wsp>
                        <wps:cNvPr id="449613761" name="Прямоугольник 452"/>
                        <wps:cNvSpPr>
                          <a:spLocks noChangeArrowheads="1"/>
                        </wps:cNvSpPr>
                        <wps:spPr bwMode="auto">
                          <a:xfrm>
                            <a:off x="1143000" y="0"/>
                            <a:ext cx="4295775" cy="409575"/>
                          </a:xfrm>
                          <a:prstGeom prst="rect">
                            <a:avLst/>
                          </a:prstGeom>
                          <a:solidFill>
                            <a:srgbClr val="FFFFFF"/>
                          </a:solidFill>
                          <a:ln w="9525">
                            <a:solidFill>
                              <a:srgbClr val="000000"/>
                            </a:solidFill>
                            <a:miter lim="800000"/>
                            <a:headEnd/>
                            <a:tailEnd/>
                          </a:ln>
                        </wps:spPr>
                        <wps:txbx>
                          <w:txbxContent>
                            <w:p w14:paraId="784EC589"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Ата Заңы</w:t>
                              </w:r>
                            </w:p>
                          </w:txbxContent>
                        </wps:txbx>
                        <wps:bodyPr rot="0" vert="horz" wrap="square" lIns="91440" tIns="45720" rIns="91440" bIns="45720" anchor="t" anchorCtr="0" upright="1">
                          <a:noAutofit/>
                        </wps:bodyPr>
                      </wps:wsp>
                      <wps:wsp>
                        <wps:cNvPr id="326920126" name="Прямоугольник 451"/>
                        <wps:cNvSpPr>
                          <a:spLocks noChangeArrowheads="1"/>
                        </wps:cNvSpPr>
                        <wps:spPr bwMode="auto">
                          <a:xfrm>
                            <a:off x="0" y="628650"/>
                            <a:ext cx="742950" cy="451485"/>
                          </a:xfrm>
                          <a:prstGeom prst="rect">
                            <a:avLst/>
                          </a:prstGeom>
                          <a:solidFill>
                            <a:srgbClr val="FFFFFF"/>
                          </a:solidFill>
                          <a:ln w="9525">
                            <a:solidFill>
                              <a:srgbClr val="000000"/>
                            </a:solidFill>
                            <a:miter lim="800000"/>
                            <a:headEnd/>
                            <a:tailEnd/>
                          </a:ln>
                        </wps:spPr>
                        <wps:txbx>
                          <w:txbxContent>
                            <w:p w14:paraId="00FD1707"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Екінші деңгей</w:t>
                              </w:r>
                            </w:p>
                          </w:txbxContent>
                        </wps:txbx>
                        <wps:bodyPr rot="0" vert="horz" wrap="square" lIns="91440" tIns="45720" rIns="91440" bIns="45720" anchor="t" anchorCtr="0" upright="1">
                          <a:noAutofit/>
                        </wps:bodyPr>
                      </wps:wsp>
                      <wps:wsp>
                        <wps:cNvPr id="1064324492" name="Прямая со стрелкой 450"/>
                        <wps:cNvCnPr>
                          <a:cxnSpLocks noChangeShapeType="1"/>
                        </wps:cNvCnPr>
                        <wps:spPr bwMode="auto">
                          <a:xfrm>
                            <a:off x="742950" y="838200"/>
                            <a:ext cx="400050" cy="0"/>
                          </a:xfrm>
                          <a:prstGeom prst="straightConnector1">
                            <a:avLst/>
                          </a:prstGeom>
                          <a:noFill/>
                          <a:ln w="9525">
                            <a:solidFill>
                              <a:srgbClr val="000000"/>
                            </a:solidFill>
                            <a:round/>
                            <a:headEnd/>
                            <a:tailEnd type="triangle" w="med" len="med"/>
                          </a:ln>
                        </wps:spPr>
                        <wps:bodyPr/>
                      </wps:wsp>
                      <wps:wsp>
                        <wps:cNvPr id="1319467742" name="Прямая со стрелкой 449"/>
                        <wps:cNvCnPr>
                          <a:cxnSpLocks noChangeShapeType="1"/>
                        </wps:cNvCnPr>
                        <wps:spPr bwMode="auto">
                          <a:xfrm>
                            <a:off x="2714625" y="400050"/>
                            <a:ext cx="0" cy="228600"/>
                          </a:xfrm>
                          <a:prstGeom prst="straightConnector1">
                            <a:avLst/>
                          </a:prstGeom>
                          <a:noFill/>
                          <a:ln w="9525">
                            <a:solidFill>
                              <a:srgbClr val="000000"/>
                            </a:solidFill>
                            <a:round/>
                            <a:headEnd/>
                            <a:tailEnd type="triangle" w="med" len="med"/>
                          </a:ln>
                        </wps:spPr>
                        <wps:bodyPr/>
                      </wps:wsp>
                      <wps:wsp>
                        <wps:cNvPr id="1977903580" name="Прямоугольник 448"/>
                        <wps:cNvSpPr>
                          <a:spLocks noChangeArrowheads="1"/>
                        </wps:cNvSpPr>
                        <wps:spPr bwMode="auto">
                          <a:xfrm>
                            <a:off x="1143000" y="619125"/>
                            <a:ext cx="4295775" cy="419100"/>
                          </a:xfrm>
                          <a:prstGeom prst="rect">
                            <a:avLst/>
                          </a:prstGeom>
                          <a:solidFill>
                            <a:srgbClr val="FFFFFF"/>
                          </a:solidFill>
                          <a:ln w="9525">
                            <a:solidFill>
                              <a:srgbClr val="000000"/>
                            </a:solidFill>
                            <a:miter lim="800000"/>
                            <a:headEnd/>
                            <a:tailEnd/>
                          </a:ln>
                        </wps:spPr>
                        <wps:txbx>
                          <w:txbxContent>
                            <w:p w14:paraId="08691D92"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«Мемлекеттік аудит және қаржылық бақылау туралы» Заңы</w:t>
                              </w:r>
                            </w:p>
                          </w:txbxContent>
                        </wps:txbx>
                        <wps:bodyPr rot="0" vert="horz" wrap="square" lIns="91440" tIns="45720" rIns="91440" bIns="45720" anchor="t" anchorCtr="0" upright="1">
                          <a:noAutofit/>
                        </wps:bodyPr>
                      </wps:wsp>
                      <wps:wsp>
                        <wps:cNvPr id="706961227" name="Прямоугольник 447"/>
                        <wps:cNvSpPr>
                          <a:spLocks noChangeArrowheads="1"/>
                        </wps:cNvSpPr>
                        <wps:spPr bwMode="auto">
                          <a:xfrm>
                            <a:off x="0" y="1228725"/>
                            <a:ext cx="742950" cy="457200"/>
                          </a:xfrm>
                          <a:prstGeom prst="rect">
                            <a:avLst/>
                          </a:prstGeom>
                          <a:solidFill>
                            <a:srgbClr val="FFFFFF"/>
                          </a:solidFill>
                          <a:ln w="9525">
                            <a:solidFill>
                              <a:srgbClr val="000000"/>
                            </a:solidFill>
                            <a:miter lim="800000"/>
                            <a:headEnd/>
                            <a:tailEnd/>
                          </a:ln>
                        </wps:spPr>
                        <wps:txbx>
                          <w:txbxContent>
                            <w:p w14:paraId="43A01C18"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Үшінші деңгей</w:t>
                              </w:r>
                            </w:p>
                          </w:txbxContent>
                        </wps:txbx>
                        <wps:bodyPr rot="0" vert="horz" wrap="square" lIns="91440" tIns="45720" rIns="91440" bIns="45720" anchor="t" anchorCtr="0" upright="1">
                          <a:noAutofit/>
                        </wps:bodyPr>
                      </wps:wsp>
                      <wps:wsp>
                        <wps:cNvPr id="1415141448" name="Прямая со стрелкой 446"/>
                        <wps:cNvCnPr>
                          <a:cxnSpLocks noChangeShapeType="1"/>
                        </wps:cNvCnPr>
                        <wps:spPr bwMode="auto">
                          <a:xfrm>
                            <a:off x="742950" y="1419225"/>
                            <a:ext cx="400050" cy="0"/>
                          </a:xfrm>
                          <a:prstGeom prst="straightConnector1">
                            <a:avLst/>
                          </a:prstGeom>
                          <a:noFill/>
                          <a:ln w="9525">
                            <a:solidFill>
                              <a:srgbClr val="000000"/>
                            </a:solidFill>
                            <a:round/>
                            <a:headEnd/>
                            <a:tailEnd type="triangle" w="med" len="med"/>
                          </a:ln>
                        </wps:spPr>
                        <wps:bodyPr/>
                      </wps:wsp>
                      <wps:wsp>
                        <wps:cNvPr id="536060812" name="Прямоугольник 429"/>
                        <wps:cNvSpPr>
                          <a:spLocks noChangeArrowheads="1"/>
                        </wps:cNvSpPr>
                        <wps:spPr bwMode="auto">
                          <a:xfrm>
                            <a:off x="1143000" y="1228725"/>
                            <a:ext cx="4286250" cy="443865"/>
                          </a:xfrm>
                          <a:prstGeom prst="rect">
                            <a:avLst/>
                          </a:prstGeom>
                          <a:solidFill>
                            <a:srgbClr val="FFFFFF"/>
                          </a:solidFill>
                          <a:ln w="9525">
                            <a:solidFill>
                              <a:srgbClr val="000000"/>
                            </a:solidFill>
                            <a:miter lim="800000"/>
                            <a:headEnd/>
                            <a:tailEnd/>
                          </a:ln>
                        </wps:spPr>
                        <wps:txbx>
                          <w:txbxContent>
                            <w:p w14:paraId="70629095" w14:textId="7945D20D"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Мемлекеттік аудит пен қаржылық бақылаудың  жалпы стандарттары</w:t>
                              </w:r>
                            </w:p>
                          </w:txbxContent>
                        </wps:txbx>
                        <wps:bodyPr rot="0" vert="horz" wrap="square" lIns="91440" tIns="45720" rIns="91440" bIns="45720" anchor="t" anchorCtr="0" upright="1">
                          <a:noAutofit/>
                        </wps:bodyPr>
                      </wps:wsp>
                      <wps:wsp>
                        <wps:cNvPr id="1914259875" name="Прямая со стрелкой 445"/>
                        <wps:cNvCnPr>
                          <a:cxnSpLocks noChangeShapeType="1"/>
                        </wps:cNvCnPr>
                        <wps:spPr bwMode="auto">
                          <a:xfrm>
                            <a:off x="323850" y="1828800"/>
                            <a:ext cx="4676775" cy="0"/>
                          </a:xfrm>
                          <a:prstGeom prst="straightConnector1">
                            <a:avLst/>
                          </a:prstGeom>
                          <a:noFill/>
                          <a:ln w="9525">
                            <a:solidFill>
                              <a:srgbClr val="000000"/>
                            </a:solidFill>
                            <a:round/>
                            <a:headEnd/>
                            <a:tailEnd/>
                          </a:ln>
                        </wps:spPr>
                        <wps:bodyPr/>
                      </wps:wsp>
                      <wps:wsp>
                        <wps:cNvPr id="1597022951" name="Прямая со стрелкой 47"/>
                        <wps:cNvCnPr>
                          <a:cxnSpLocks noChangeShapeType="1"/>
                        </wps:cNvCnPr>
                        <wps:spPr bwMode="auto">
                          <a:xfrm rot="5400000">
                            <a:off x="2695575" y="1743075"/>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833998" name="Прямая со стрелкой 444"/>
                        <wps:cNvCnPr>
                          <a:cxnSpLocks noChangeShapeType="1"/>
                        </wps:cNvCnPr>
                        <wps:spPr bwMode="auto">
                          <a:xfrm>
                            <a:off x="2714625" y="1028700"/>
                            <a:ext cx="0" cy="200025"/>
                          </a:xfrm>
                          <a:prstGeom prst="straightConnector1">
                            <a:avLst/>
                          </a:prstGeom>
                          <a:noFill/>
                          <a:ln w="9525">
                            <a:solidFill>
                              <a:srgbClr val="000000"/>
                            </a:solidFill>
                            <a:round/>
                            <a:headEnd/>
                            <a:tailEnd type="triangle" w="med" len="med"/>
                          </a:ln>
                        </wps:spPr>
                        <wps:bodyPr/>
                      </wps:wsp>
                      <wps:wsp>
                        <wps:cNvPr id="346152401" name="Прямая со стрелкой 443"/>
                        <wps:cNvCnPr>
                          <a:cxnSpLocks noChangeShapeType="1"/>
                        </wps:cNvCnPr>
                        <wps:spPr bwMode="auto">
                          <a:xfrm>
                            <a:off x="323850" y="1828800"/>
                            <a:ext cx="0" cy="238125"/>
                          </a:xfrm>
                          <a:prstGeom prst="straightConnector1">
                            <a:avLst/>
                          </a:prstGeom>
                          <a:noFill/>
                          <a:ln w="9525">
                            <a:solidFill>
                              <a:srgbClr val="000000"/>
                            </a:solidFill>
                            <a:round/>
                            <a:headEnd/>
                            <a:tailEnd type="triangle" w="med" len="med"/>
                          </a:ln>
                        </wps:spPr>
                        <wps:bodyPr/>
                      </wps:wsp>
                      <wps:wsp>
                        <wps:cNvPr id="1515841305" name="Прямая со стрелкой 442"/>
                        <wps:cNvCnPr>
                          <a:cxnSpLocks noChangeShapeType="1"/>
                        </wps:cNvCnPr>
                        <wps:spPr bwMode="auto">
                          <a:xfrm>
                            <a:off x="2581275" y="1828800"/>
                            <a:ext cx="0" cy="238125"/>
                          </a:xfrm>
                          <a:prstGeom prst="straightConnector1">
                            <a:avLst/>
                          </a:prstGeom>
                          <a:noFill/>
                          <a:ln w="9525">
                            <a:solidFill>
                              <a:srgbClr val="000000"/>
                            </a:solidFill>
                            <a:round/>
                            <a:headEnd/>
                            <a:tailEnd type="triangle" w="med" len="med"/>
                          </a:ln>
                        </wps:spPr>
                        <wps:bodyPr/>
                      </wps:wsp>
                      <wps:wsp>
                        <wps:cNvPr id="1562160658" name="Прямая со стрелкой 441"/>
                        <wps:cNvCnPr>
                          <a:cxnSpLocks noChangeShapeType="1"/>
                        </wps:cNvCnPr>
                        <wps:spPr bwMode="auto">
                          <a:xfrm>
                            <a:off x="5000625" y="1828800"/>
                            <a:ext cx="0" cy="238125"/>
                          </a:xfrm>
                          <a:prstGeom prst="straightConnector1">
                            <a:avLst/>
                          </a:prstGeom>
                          <a:noFill/>
                          <a:ln w="9525">
                            <a:solidFill>
                              <a:srgbClr val="000000"/>
                            </a:solidFill>
                            <a:round/>
                            <a:headEnd/>
                            <a:tailEnd type="triangle" w="med" len="med"/>
                          </a:ln>
                        </wps:spPr>
                        <wps:bodyPr/>
                      </wps:wsp>
                      <wps:wsp>
                        <wps:cNvPr id="729206414" name="Прямоугольник 440"/>
                        <wps:cNvSpPr>
                          <a:spLocks noChangeArrowheads="1"/>
                        </wps:cNvSpPr>
                        <wps:spPr bwMode="auto">
                          <a:xfrm>
                            <a:off x="0" y="2066925"/>
                            <a:ext cx="1628775" cy="784860"/>
                          </a:xfrm>
                          <a:prstGeom prst="rect">
                            <a:avLst/>
                          </a:prstGeom>
                          <a:solidFill>
                            <a:srgbClr val="FFFFFF"/>
                          </a:solidFill>
                          <a:ln w="9525">
                            <a:solidFill>
                              <a:srgbClr val="000000"/>
                            </a:solidFill>
                            <a:miter lim="800000"/>
                            <a:headEnd/>
                            <a:tailEnd/>
                          </a:ln>
                        </wps:spPr>
                        <wps:txbx>
                          <w:txbxContent>
                            <w:p w14:paraId="10518DC8"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Сыртқы мемлекеттік аудит пен қаржылық бақылауды жүргізу бойынша стандарт</w:t>
                              </w:r>
                            </w:p>
                          </w:txbxContent>
                        </wps:txbx>
                        <wps:bodyPr rot="0" vert="horz" wrap="square" lIns="91440" tIns="45720" rIns="91440" bIns="45720" anchor="t" anchorCtr="0" upright="1">
                          <a:noAutofit/>
                        </wps:bodyPr>
                      </wps:wsp>
                      <wps:wsp>
                        <wps:cNvPr id="762336777" name="Прямоугольник 439"/>
                        <wps:cNvSpPr>
                          <a:spLocks noChangeArrowheads="1"/>
                        </wps:cNvSpPr>
                        <wps:spPr bwMode="auto">
                          <a:xfrm>
                            <a:off x="1790700" y="2066925"/>
                            <a:ext cx="1724025" cy="777240"/>
                          </a:xfrm>
                          <a:prstGeom prst="rect">
                            <a:avLst/>
                          </a:prstGeom>
                          <a:solidFill>
                            <a:srgbClr val="FFFFFF"/>
                          </a:solidFill>
                          <a:ln w="9525">
                            <a:solidFill>
                              <a:srgbClr val="000000"/>
                            </a:solidFill>
                            <a:miter lim="800000"/>
                            <a:headEnd/>
                            <a:tailEnd/>
                          </a:ln>
                        </wps:spPr>
                        <wps:txbx>
                          <w:txbxContent>
                            <w:p w14:paraId="23B8E9A1"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Ішкі мемлекеттік аудит пен қаржылық бақылауды жүргізу бойынша стандарт</w:t>
                              </w:r>
                            </w:p>
                          </w:txbxContent>
                        </wps:txbx>
                        <wps:bodyPr rot="0" vert="horz" wrap="square" lIns="91440" tIns="45720" rIns="91440" bIns="45720" anchor="t" anchorCtr="0" upright="1">
                          <a:noAutofit/>
                        </wps:bodyPr>
                      </wps:wsp>
                      <wps:wsp>
                        <wps:cNvPr id="1228542074" name="Прямоугольник 438"/>
                        <wps:cNvSpPr>
                          <a:spLocks noChangeArrowheads="1"/>
                        </wps:cNvSpPr>
                        <wps:spPr bwMode="auto">
                          <a:xfrm>
                            <a:off x="3676650" y="2085975"/>
                            <a:ext cx="1838325" cy="777240"/>
                          </a:xfrm>
                          <a:prstGeom prst="rect">
                            <a:avLst/>
                          </a:prstGeom>
                          <a:solidFill>
                            <a:srgbClr val="FFFFFF"/>
                          </a:solidFill>
                          <a:ln w="9525">
                            <a:solidFill>
                              <a:srgbClr val="000000"/>
                            </a:solidFill>
                            <a:miter lim="800000"/>
                            <a:headEnd/>
                            <a:tailEnd/>
                          </a:ln>
                        </wps:spPr>
                        <wps:txbx>
                          <w:txbxContent>
                            <w:p w14:paraId="07E79345"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Республикалы</w:t>
                              </w:r>
                              <w:r>
                                <w:rPr>
                                  <w:rFonts w:ascii="Times New Roman" w:hAnsi="Times New Roman" w:cs="Times New Roman"/>
                                  <w:sz w:val="24"/>
                                  <w:szCs w:val="24"/>
                                  <w:lang w:val="kk-KZ"/>
                                </w:rPr>
                                <w:t>қ бюджетті атқарылуын кейіннен бағалау бойынша стандарт (901)</w:t>
                              </w:r>
                            </w:p>
                          </w:txbxContent>
                        </wps:txbx>
                        <wps:bodyPr rot="0" vert="horz" wrap="square" lIns="91440" tIns="45720" rIns="91440" bIns="45720" anchor="t" anchorCtr="0" upright="1">
                          <a:noAutofit/>
                        </wps:bodyPr>
                      </wps:wsp>
                      <wps:wsp>
                        <wps:cNvPr id="2146029360" name="Прямоугольник 437"/>
                        <wps:cNvSpPr>
                          <a:spLocks noChangeArrowheads="1"/>
                        </wps:cNvSpPr>
                        <wps:spPr bwMode="auto">
                          <a:xfrm>
                            <a:off x="0" y="3038475"/>
                            <a:ext cx="800100" cy="447675"/>
                          </a:xfrm>
                          <a:prstGeom prst="rect">
                            <a:avLst/>
                          </a:prstGeom>
                          <a:solidFill>
                            <a:srgbClr val="FFFFFF"/>
                          </a:solidFill>
                          <a:ln w="9525">
                            <a:solidFill>
                              <a:srgbClr val="000000"/>
                            </a:solidFill>
                            <a:miter lim="800000"/>
                            <a:headEnd/>
                            <a:tailEnd/>
                          </a:ln>
                        </wps:spPr>
                        <wps:txbx>
                          <w:txbxContent>
                            <w:p w14:paraId="5A096002"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Төртінші деңгей</w:t>
                              </w:r>
                            </w:p>
                          </w:txbxContent>
                        </wps:txbx>
                        <wps:bodyPr rot="0" vert="horz" wrap="square" lIns="91440" tIns="45720" rIns="91440" bIns="45720" anchor="t" anchorCtr="0" upright="1">
                          <a:noAutofit/>
                        </wps:bodyPr>
                      </wps:wsp>
                      <wps:wsp>
                        <wps:cNvPr id="1458545395" name="Прямая со стрелкой 436"/>
                        <wps:cNvCnPr>
                          <a:cxnSpLocks noChangeShapeType="1"/>
                        </wps:cNvCnPr>
                        <wps:spPr bwMode="auto">
                          <a:xfrm>
                            <a:off x="800100" y="3276600"/>
                            <a:ext cx="342900" cy="0"/>
                          </a:xfrm>
                          <a:prstGeom prst="straightConnector1">
                            <a:avLst/>
                          </a:prstGeom>
                          <a:noFill/>
                          <a:ln w="9525">
                            <a:solidFill>
                              <a:srgbClr val="000000"/>
                            </a:solidFill>
                            <a:round/>
                            <a:headEnd/>
                            <a:tailEnd type="triangle" w="med" len="med"/>
                          </a:ln>
                        </wps:spPr>
                        <wps:bodyPr/>
                      </wps:wsp>
                      <wps:wsp>
                        <wps:cNvPr id="1963457026" name="Прямоугольник 435"/>
                        <wps:cNvSpPr>
                          <a:spLocks noChangeArrowheads="1"/>
                        </wps:cNvSpPr>
                        <wps:spPr bwMode="auto">
                          <a:xfrm>
                            <a:off x="1142916" y="3038475"/>
                            <a:ext cx="4319420" cy="447675"/>
                          </a:xfrm>
                          <a:prstGeom prst="rect">
                            <a:avLst/>
                          </a:prstGeom>
                          <a:solidFill>
                            <a:srgbClr val="FFFFFF"/>
                          </a:solidFill>
                          <a:ln w="9525">
                            <a:solidFill>
                              <a:srgbClr val="000000"/>
                            </a:solidFill>
                            <a:miter lim="800000"/>
                            <a:headEnd/>
                            <a:tailEnd/>
                          </a:ln>
                        </wps:spPr>
                        <wps:txbx>
                          <w:txbxContent>
                            <w:p w14:paraId="34B5116E"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Тиімділік аудитін жүргізу бойынша рәсімдік стандарттары</w:t>
                              </w:r>
                            </w:p>
                          </w:txbxContent>
                        </wps:txbx>
                        <wps:bodyPr rot="0" vert="horz" wrap="square" lIns="91440" tIns="45720" rIns="91440" bIns="45720" anchor="t" anchorCtr="0" upright="1">
                          <a:noAutofit/>
                        </wps:bodyPr>
                      </wps:wsp>
                      <wps:wsp>
                        <wps:cNvPr id="870662592" name="Прямая со стрелкой 433"/>
                        <wps:cNvCnPr>
                          <a:cxnSpLocks noChangeShapeType="1"/>
                        </wps:cNvCnPr>
                        <wps:spPr bwMode="auto">
                          <a:xfrm>
                            <a:off x="2714625" y="2857500"/>
                            <a:ext cx="0" cy="180975"/>
                          </a:xfrm>
                          <a:prstGeom prst="straightConnector1">
                            <a:avLst/>
                          </a:prstGeom>
                          <a:noFill/>
                          <a:ln w="9525">
                            <a:solidFill>
                              <a:srgbClr val="000000"/>
                            </a:solidFill>
                            <a:round/>
                            <a:headEnd/>
                            <a:tailEnd type="triangle" w="med" len="med"/>
                          </a:ln>
                        </wps:spPr>
                        <wps:bodyPr/>
                      </wps:wsp>
                      <wps:wsp>
                        <wps:cNvPr id="2024637402" name="Прямая со стрелкой 432"/>
                        <wps:cNvCnPr>
                          <a:cxnSpLocks noChangeShapeType="1"/>
                        </wps:cNvCnPr>
                        <wps:spPr bwMode="auto">
                          <a:xfrm>
                            <a:off x="4505325" y="2857500"/>
                            <a:ext cx="0" cy="180975"/>
                          </a:xfrm>
                          <a:prstGeom prst="straightConnector1">
                            <a:avLst/>
                          </a:prstGeom>
                          <a:noFill/>
                          <a:ln w="9525">
                            <a:solidFill>
                              <a:srgbClr val="000000"/>
                            </a:solidFill>
                            <a:round/>
                            <a:headEnd/>
                            <a:tailEnd type="triangle" w="med" len="med"/>
                          </a:ln>
                        </wps:spPr>
                        <wps:bodyPr/>
                      </wps:wsp>
                      <wps:wsp>
                        <wps:cNvPr id="337682145" name="Прямая со стрелкой 431"/>
                        <wps:cNvCnPr>
                          <a:cxnSpLocks noChangeShapeType="1"/>
                        </wps:cNvCnPr>
                        <wps:spPr bwMode="auto">
                          <a:xfrm>
                            <a:off x="3133725" y="3500688"/>
                            <a:ext cx="0" cy="209550"/>
                          </a:xfrm>
                          <a:prstGeom prst="straightConnector1">
                            <a:avLst/>
                          </a:prstGeom>
                          <a:noFill/>
                          <a:ln w="9525">
                            <a:solidFill>
                              <a:srgbClr val="000000"/>
                            </a:solidFill>
                            <a:round/>
                            <a:headEnd/>
                            <a:tailEnd type="triangle" w="med" len="med"/>
                          </a:ln>
                        </wps:spPr>
                        <wps:bodyPr/>
                      </wps:wsp>
                      <wps:wsp>
                        <wps:cNvPr id="1679873" name="Прямоугольник 430"/>
                        <wps:cNvSpPr>
                          <a:spLocks noChangeArrowheads="1"/>
                        </wps:cNvSpPr>
                        <wps:spPr bwMode="auto">
                          <a:xfrm>
                            <a:off x="-8021" y="3733800"/>
                            <a:ext cx="5522611" cy="474980"/>
                          </a:xfrm>
                          <a:prstGeom prst="rect">
                            <a:avLst/>
                          </a:prstGeom>
                          <a:solidFill>
                            <a:srgbClr val="FFFFFF"/>
                          </a:solidFill>
                          <a:ln w="9525">
                            <a:solidFill>
                              <a:srgbClr val="000000"/>
                            </a:solidFill>
                            <a:miter lim="800000"/>
                            <a:headEnd/>
                            <a:tailEnd/>
                          </a:ln>
                        </wps:spPr>
                        <wps:txbx>
                          <w:txbxContent>
                            <w:p w14:paraId="216A8799" w14:textId="21E4D004" w:rsidR="00D05956" w:rsidRPr="00C30D2E" w:rsidRDefault="00D05956" w:rsidP="00C30D2E">
                              <w:pPr>
                                <w:tabs>
                                  <w:tab w:val="left" w:pos="284"/>
                                </w:tabs>
                                <w:spacing w:after="0" w:line="240" w:lineRule="auto"/>
                                <w:jc w:val="center"/>
                                <w:rPr>
                                  <w:rFonts w:ascii="Times New Roman" w:hAnsi="Times New Roman"/>
                                  <w:sz w:val="24"/>
                                  <w:szCs w:val="24"/>
                                </w:rPr>
                              </w:pPr>
                              <w:r w:rsidRPr="00C30D2E">
                                <w:rPr>
                                  <w:rFonts w:ascii="Times New Roman" w:hAnsi="Times New Roman"/>
                                  <w:sz w:val="24"/>
                                  <w:szCs w:val="24"/>
                                </w:rPr>
                                <w:t>100. Тиімділік аудитін жүргізу бойынша сыртқы мемлекеттік аудиттің және қаржылық бақылаудың рәсімдік стандарты</w:t>
                              </w:r>
                            </w:p>
                            <w:p w14:paraId="0EE0BBDF" w14:textId="77777777" w:rsidR="00D05956" w:rsidRDefault="00D05956" w:rsidP="00A705F9">
                              <w:pPr>
                                <w:spacing w:after="0" w:line="240" w:lineRule="auto"/>
                                <w:jc w:val="both"/>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1439162524" name="Прямая со стрелкой 1"/>
                        <wps:cNvCnPr/>
                        <wps:spPr>
                          <a:xfrm>
                            <a:off x="1295400" y="285750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7C2E3" id="Группа 3" o:spid="_x0000_s1027" style="position:absolute;left:0;text-align:left;margin-left:29.9pt;margin-top:3.95pt;width:434.9pt;height:331.4pt;z-index:252542976;mso-width-relative:margin" coordorigin="-80" coordsize="55229,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">
                <v:rect id="Прямоугольник 454" o:spid="_x0000_s1028" style="position:absolute;width:7429;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">
                  <v:textbox>
                    <w:txbxContent>
                      <w:p w14:paraId="407C36CA"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Бірінші деңгей</w:t>
                        </w:r>
                      </w:p>
                    </w:txbxContent>
                  </v:textbox>
                </v:rect>
                <v:shapetype id="_x0000_t32" coordsize="21600,21600" o:spt="32" o:oned="t" path="m,l21600,21600e" filled="f">
                  <v:path arrowok="t" fillok="f" o:connecttype="none"/>
                  <o:lock v:ext="edit" shapetype="t"/>
                </v:shapetype>
                <v:shape id="Прямая со стрелкой 453" o:spid="_x0000_s1029" type="#_x0000_t32" style="position:absolute;left:7429;top:2190;width: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">
                  <v:stroke endarrow="block"/>
                </v:shape>
                <v:rect id="Прямоугольник 452" o:spid="_x0000_s1030" style="position:absolute;left:11430;width:4295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">
                  <v:textbox>
                    <w:txbxContent>
                      <w:p w14:paraId="784EC589"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Ата Заңы</w:t>
                        </w:r>
                      </w:p>
                    </w:txbxContent>
                  </v:textbox>
                </v:rect>
                <v:rect id="Прямоугольник 451" o:spid="_x0000_s1031" style="position:absolute;top:6286;width:742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">
                  <v:textbox>
                    <w:txbxContent>
                      <w:p w14:paraId="00FD1707"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Екінші деңгей</w:t>
                        </w:r>
                      </w:p>
                    </w:txbxContent>
                  </v:textbox>
                </v:rect>
                <v:shape id="Прямая со стрелкой 450" o:spid="_x0000_s1032" type="#_x0000_t32" style="position:absolute;left:7429;top:8382;width: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">
                  <v:stroke endarrow="block"/>
                </v:shape>
                <v:shape id="Прямая со стрелкой 449" o:spid="_x0000_s1033" type="#_x0000_t32" style="position:absolute;left:27146;top:400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">
                  <v:stroke endarrow="block"/>
                </v:shape>
                <v:rect id="Прямоугольник 448" o:spid="_x0000_s1034" style="position:absolute;left:11430;top:6191;width:4295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">
                  <v:textbox>
                    <w:txbxContent>
                      <w:p w14:paraId="08691D92"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«Мемлекеттік аудит және қаржылық бақылау туралы» Заңы</w:t>
                        </w:r>
                      </w:p>
                    </w:txbxContent>
                  </v:textbox>
                </v:rect>
                <v:rect id="Прямоугольник 447" o:spid="_x0000_s1035" style="position:absolute;top:12287;width:7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">
                  <v:textbox>
                    <w:txbxContent>
                      <w:p w14:paraId="43A01C18"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Үшінші деңгей</w:t>
                        </w:r>
                      </w:p>
                    </w:txbxContent>
                  </v:textbox>
                </v:rect>
                <v:shape id="Прямая со стрелкой 446" o:spid="_x0000_s1036" type="#_x0000_t32" style="position:absolute;left:7429;top:14192;width: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">
                  <v:stroke endarrow="block"/>
                </v:shape>
                <v:rect id="Прямоугольник 429" o:spid="_x0000_s1037" style="position:absolute;left:11430;top:12287;width:42862;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">
                  <v:textbox>
                    <w:txbxContent>
                      <w:p w14:paraId="70629095" w14:textId="7945D20D"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Мемлекеттік аудит пен қаржылық бақылаудың  жалпы стандарттары</w:t>
                        </w:r>
                      </w:p>
                    </w:txbxContent>
                  </v:textbox>
                </v:rect>
                <v:shape id="Прямая со стрелкой 445" o:spid="_x0000_s1038" type="#_x0000_t32" style="position:absolute;left:3238;top:18288;width:46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"/>
                <v:shape id="Прямая со стрелкой 47" o:spid="_x0000_s1039" type="#_x0000_t32" style="position:absolute;left:26955;top:17430;width:188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">
                  <v:stroke endarrow="block"/>
                </v:shape>
                <v:shape id="Прямая со стрелкой 444" o:spid="_x0000_s1040" type="#_x0000_t32" style="position:absolute;left:27146;top:10287;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">
                  <v:stroke endarrow="block"/>
                </v:shape>
                <v:shape id="Прямая со стрелкой 443" o:spid="_x0000_s1041" type="#_x0000_t32" style="position:absolute;left:3238;top:18288;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">
                  <v:stroke endarrow="block"/>
                </v:shape>
                <v:shape id="Прямая со стрелкой 442" o:spid="_x0000_s1042" type="#_x0000_t32" style="position:absolute;left:25812;top:18288;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">
                  <v:stroke endarrow="block"/>
                </v:shape>
                <v:shape id="Прямая со стрелкой 441" o:spid="_x0000_s1043" type="#_x0000_t32" style="position:absolute;left:50006;top:18288;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">
                  <v:stroke endarrow="block"/>
                </v:shape>
                <v:rect id="Прямоугольник 440" o:spid="_x0000_s1044" style="position:absolute;top:20669;width:16287;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">
                  <v:textbox>
                    <w:txbxContent>
                      <w:p w14:paraId="10518DC8"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Сыртқы мемлекеттік аудит пен қаржылық бақылауды жүргізу бойынша стандарт</w:t>
                        </w:r>
                      </w:p>
                    </w:txbxContent>
                  </v:textbox>
                </v:rect>
                <v:rect id="Прямоугольник 439" o:spid="_x0000_s1045" style="position:absolute;left:17907;top:20669;width:17240;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">
                  <v:textbox>
                    <w:txbxContent>
                      <w:p w14:paraId="23B8E9A1"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Ішкі мемлекеттік аудит пен қаржылық бақылауды жүргізу бойынша стандарт</w:t>
                        </w:r>
                      </w:p>
                    </w:txbxContent>
                  </v:textbox>
                </v:rect>
                <v:rect id="Прямоугольник 438" o:spid="_x0000_s1046" style="position:absolute;left:36766;top:20859;width:18383;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">
                  <v:textbox>
                    <w:txbxContent>
                      <w:p w14:paraId="07E79345"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Республикалы</w:t>
                        </w:r>
                        <w:r>
                          <w:rPr>
                            <w:rFonts w:ascii="Times New Roman" w:hAnsi="Times New Roman" w:cs="Times New Roman"/>
                            <w:sz w:val="24"/>
                            <w:szCs w:val="24"/>
                            <w:lang w:val="kk-KZ"/>
                          </w:rPr>
                          <w:t>қ бюджетті атқарылуын кейіннен бағалау бойынша стандарт (901)</w:t>
                        </w:r>
                      </w:p>
                    </w:txbxContent>
                  </v:textbox>
                </v:rect>
                <v:rect id="Прямоугольник 437" o:spid="_x0000_s1047" style="position:absolute;top:30384;width:800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">
                  <v:textbox>
                    <w:txbxContent>
                      <w:p w14:paraId="5A096002"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Төртінші деңгей</w:t>
                        </w:r>
                      </w:p>
                    </w:txbxContent>
                  </v:textbox>
                </v:rect>
                <v:shape id="Прямая со стрелкой 436" o:spid="_x0000_s1048" type="#_x0000_t32" style="position:absolute;left:8001;top:32766;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">
                  <v:stroke endarrow="block"/>
                </v:shape>
                <v:rect id="Прямоугольник 435" o:spid="_x0000_s1049" style="position:absolute;left:11429;top:30384;width:4319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">
                  <v:textbox>
                    <w:txbxContent>
                      <w:p w14:paraId="34B5116E" w14:textId="77777777" w:rsidR="00D05956"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Тиімділік аудитін жүргізу бойынша рәсімдік стандарттары</w:t>
                        </w:r>
                      </w:p>
                    </w:txbxContent>
                  </v:textbox>
                </v:rect>
                <v:shape id="Прямая со стрелкой 433" o:spid="_x0000_s1050" type="#_x0000_t32" style="position:absolute;left:27146;top:28575;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">
                  <v:stroke endarrow="block"/>
                </v:shape>
                <v:shape id="Прямая со стрелкой 432" o:spid="_x0000_s1051" type="#_x0000_t32" style="position:absolute;left:45053;top:28575;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">
                  <v:stroke endarrow="block"/>
                </v:shape>
                <v:shape id="Прямая со стрелкой 431" o:spid="_x0000_s1052" type="#_x0000_t32" style="position:absolute;left:31337;top:35006;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">
                  <v:stroke endarrow="block"/>
                </v:shape>
                <v:rect id="Прямоугольник 430" o:spid="_x0000_s1053" style="position:absolute;left:-80;top:37338;width:5522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">
                  <v:textbox>
                    <w:txbxContent>
                      <w:p w14:paraId="216A8799" w14:textId="21E4D004" w:rsidR="00D05956" w:rsidRPr="00C30D2E" w:rsidRDefault="00D05956" w:rsidP="00C30D2E">
                        <w:pPr>
                          <w:tabs>
                            <w:tab w:val="left" w:pos="284"/>
                          </w:tabs>
                          <w:spacing w:after="0" w:line="240" w:lineRule="auto"/>
                          <w:jc w:val="center"/>
                          <w:rPr>
                            <w:rFonts w:ascii="Times New Roman" w:hAnsi="Times New Roman"/>
                            <w:sz w:val="24"/>
                            <w:szCs w:val="24"/>
                          </w:rPr>
                        </w:pPr>
                        <w:r w:rsidRPr="00C30D2E">
                          <w:rPr>
                            <w:rFonts w:ascii="Times New Roman" w:hAnsi="Times New Roman"/>
                            <w:sz w:val="24"/>
                            <w:szCs w:val="24"/>
                          </w:rPr>
                          <w:t>100. Тиімділік аудитін жүргізу бойынша сыртқы мемлекеттік аудиттің және қаржылық бақылаудың рәсімдік стандарты</w:t>
                        </w:r>
                      </w:p>
                      <w:p w14:paraId="0EE0BBDF" w14:textId="77777777" w:rsidR="00D05956" w:rsidRDefault="00D05956" w:rsidP="00A705F9">
                        <w:pPr>
                          <w:spacing w:after="0" w:line="240" w:lineRule="auto"/>
                          <w:jc w:val="both"/>
                          <w:rPr>
                            <w:rFonts w:ascii="Times New Roman" w:hAnsi="Times New Roman" w:cs="Times New Roman"/>
                            <w:sz w:val="24"/>
                            <w:szCs w:val="24"/>
                            <w:lang w:val="kk-KZ"/>
                          </w:rPr>
                        </w:pPr>
                      </w:p>
                    </w:txbxContent>
                  </v:textbox>
                </v:rect>
                <v:shape id="Прямая со стрелкой 1" o:spid="_x0000_s1054" type="#_x0000_t32" style="position:absolute;left:12954;top:2857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" strokecolor="black [3040]">
                  <v:stroke endarrow="block"/>
                </v:shape>
              </v:group>
            </w:pict>
          </mc:Fallback>
        </mc:AlternateContent>
      </w:r>
    </w:p>
    <w:p w14:paraId="0F344806"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63BBD031"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372EC29D" w14:textId="1D71D3E1"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17ECE092"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75700B37"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666B3670" w14:textId="733BD35C"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3A145176"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3885EF7D" w14:textId="0CD72A99"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05415D2A"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379FC410" w14:textId="61D72B65"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07316F4F"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0E87E6D8"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0EAFA857"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03D9CA1B" w14:textId="6C107A9C"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552B1FA3"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72698209"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54AE7A98"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44A205A4"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16BF380D" w14:textId="77777777" w:rsidR="00A705F9" w:rsidRPr="00457CE9" w:rsidRDefault="00A705F9" w:rsidP="00457CE9">
      <w:pPr>
        <w:spacing w:after="0" w:line="240" w:lineRule="auto"/>
        <w:ind w:firstLine="567"/>
        <w:jc w:val="both"/>
        <w:rPr>
          <w:rFonts w:ascii="Times New Roman" w:hAnsi="Times New Roman" w:cs="Times New Roman"/>
          <w:sz w:val="28"/>
          <w:szCs w:val="28"/>
          <w:lang w:val="kk-KZ"/>
        </w:rPr>
      </w:pPr>
    </w:p>
    <w:p w14:paraId="40D60B89" w14:textId="77777777" w:rsidR="00A705F9" w:rsidRPr="00457CE9" w:rsidRDefault="00A705F9" w:rsidP="00457CE9">
      <w:pPr>
        <w:widowControl w:val="0"/>
        <w:spacing w:after="0" w:line="240" w:lineRule="auto"/>
        <w:ind w:firstLine="567"/>
        <w:jc w:val="both"/>
        <w:rPr>
          <w:rFonts w:ascii="Times New Roman" w:hAnsi="Times New Roman" w:cs="Times New Roman"/>
          <w:sz w:val="28"/>
          <w:szCs w:val="28"/>
          <w:lang w:val="kk-KZ"/>
        </w:rPr>
      </w:pPr>
    </w:p>
    <w:p w14:paraId="3E854411" w14:textId="77777777" w:rsidR="00C30D2E" w:rsidRPr="00C30D2E" w:rsidRDefault="00C30D2E" w:rsidP="00457CE9">
      <w:pPr>
        <w:widowControl w:val="0"/>
        <w:spacing w:after="0" w:line="240" w:lineRule="auto"/>
        <w:ind w:firstLine="567"/>
        <w:jc w:val="center"/>
        <w:rPr>
          <w:rFonts w:ascii="Times New Roman" w:hAnsi="Times New Roman" w:cs="Times New Roman"/>
          <w:sz w:val="16"/>
          <w:szCs w:val="16"/>
          <w:lang w:val="kk-KZ"/>
        </w:rPr>
      </w:pPr>
    </w:p>
    <w:p w14:paraId="6E85652D" w14:textId="319ED82C" w:rsidR="00A705F9" w:rsidRPr="00457CE9" w:rsidRDefault="00A705F9" w:rsidP="00457CE9">
      <w:pPr>
        <w:widowControl w:val="0"/>
        <w:spacing w:after="0" w:line="240" w:lineRule="auto"/>
        <w:ind w:firstLine="567"/>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Сурет </w:t>
      </w:r>
      <w:r w:rsidR="00237DE0" w:rsidRPr="00457CE9">
        <w:rPr>
          <w:rFonts w:ascii="Times New Roman" w:hAnsi="Times New Roman" w:cs="Times New Roman"/>
          <w:sz w:val="28"/>
          <w:szCs w:val="28"/>
          <w:lang w:val="kk-KZ"/>
        </w:rPr>
        <w:t>2</w:t>
      </w:r>
      <w:r w:rsidRPr="00457CE9">
        <w:rPr>
          <w:rFonts w:ascii="Times New Roman" w:hAnsi="Times New Roman" w:cs="Times New Roman"/>
          <w:sz w:val="28"/>
          <w:szCs w:val="28"/>
          <w:lang w:val="kk-KZ"/>
        </w:rPr>
        <w:t xml:space="preserve"> </w:t>
      </w:r>
      <w:r w:rsidR="00EB67B8">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Тиімділік аудитін ұйымдастыру мен жүргізудің Қазақстан Республикасында құқықтық реттелу деңгейі</w:t>
      </w:r>
    </w:p>
    <w:p w14:paraId="1F15BBEB" w14:textId="77777777" w:rsidR="00C30D2E" w:rsidRPr="00C30D2E" w:rsidRDefault="00C30D2E" w:rsidP="00457CE9">
      <w:pPr>
        <w:widowControl w:val="0"/>
        <w:spacing w:after="0" w:line="240" w:lineRule="auto"/>
        <w:ind w:firstLine="567"/>
        <w:jc w:val="both"/>
        <w:rPr>
          <w:rFonts w:ascii="Times New Roman" w:hAnsi="Times New Roman" w:cs="Times New Roman"/>
          <w:sz w:val="16"/>
          <w:szCs w:val="16"/>
          <w:lang w:val="kk-KZ"/>
        </w:rPr>
      </w:pPr>
    </w:p>
    <w:p w14:paraId="7C0BCEC3" w14:textId="16733662" w:rsidR="00A705F9" w:rsidRPr="00C14AB8" w:rsidRDefault="00C30D2E" w:rsidP="00457CE9">
      <w:pPr>
        <w:widowControl w:val="0"/>
        <w:spacing w:after="0" w:line="240" w:lineRule="auto"/>
        <w:ind w:firstLine="709"/>
        <w:jc w:val="both"/>
        <w:rPr>
          <w:rFonts w:ascii="Times New Roman" w:hAnsi="Times New Roman" w:cs="Times New Roman"/>
          <w:sz w:val="24"/>
          <w:szCs w:val="24"/>
          <w:lang w:val="kk-KZ"/>
        </w:rPr>
      </w:pPr>
      <w:r w:rsidRPr="00C14AB8">
        <w:rPr>
          <w:rFonts w:ascii="Times New Roman" w:eastAsia="Calibri" w:hAnsi="Times New Roman" w:cs="Times New Roman"/>
          <w:sz w:val="24"/>
          <w:szCs w:val="24"/>
          <w:lang w:val="kk-KZ"/>
        </w:rPr>
        <w:t>Ескерту –</w:t>
      </w:r>
      <w:r w:rsidRPr="00C14AB8">
        <w:rPr>
          <w:rFonts w:ascii="Times New Roman" w:eastAsia="Calibri" w:hAnsi="Times New Roman" w:cs="Times New Roman"/>
          <w:bCs/>
          <w:sz w:val="24"/>
          <w:szCs w:val="24"/>
          <w:lang w:val="kk-KZ"/>
        </w:rPr>
        <w:t xml:space="preserve"> Әдебиет негізінде құралған </w:t>
      </w:r>
      <w:r w:rsidR="00BB4895" w:rsidRPr="00C14AB8">
        <w:rPr>
          <w:rFonts w:ascii="Times New Roman" w:hAnsi="Times New Roman" w:cs="Times New Roman"/>
          <w:sz w:val="24"/>
          <w:szCs w:val="24"/>
          <w:lang w:val="kk-KZ"/>
        </w:rPr>
        <w:t>[1</w:t>
      </w:r>
      <w:r w:rsidR="00DB48D2" w:rsidRPr="00C14AB8">
        <w:rPr>
          <w:rFonts w:ascii="Times New Roman" w:hAnsi="Times New Roman" w:cs="Times New Roman"/>
          <w:sz w:val="24"/>
          <w:szCs w:val="24"/>
          <w:lang w:val="kk-KZ"/>
        </w:rPr>
        <w:t>3</w:t>
      </w:r>
      <w:r w:rsidR="000D7458" w:rsidRPr="00C14AB8">
        <w:rPr>
          <w:rFonts w:ascii="Times New Roman" w:hAnsi="Times New Roman" w:cs="Times New Roman"/>
          <w:sz w:val="24"/>
          <w:szCs w:val="24"/>
          <w:lang w:val="kk-KZ"/>
        </w:rPr>
        <w:t>, 4</w:t>
      </w:r>
      <w:r w:rsidR="00BD0044" w:rsidRPr="00B50D5C">
        <w:rPr>
          <w:rFonts w:ascii="Times New Roman" w:hAnsi="Times New Roman" w:cs="Times New Roman"/>
          <w:sz w:val="24"/>
          <w:szCs w:val="24"/>
          <w:lang w:val="kk-KZ"/>
        </w:rPr>
        <w:t>9</w:t>
      </w:r>
      <w:r w:rsidR="00BB4895" w:rsidRPr="00C14AB8">
        <w:rPr>
          <w:rFonts w:ascii="Times New Roman" w:hAnsi="Times New Roman" w:cs="Times New Roman"/>
          <w:sz w:val="24"/>
          <w:szCs w:val="24"/>
          <w:lang w:val="kk-KZ"/>
        </w:rPr>
        <w:t xml:space="preserve">] </w:t>
      </w:r>
    </w:p>
    <w:p w14:paraId="58E9609D" w14:textId="1C29F8A6" w:rsidR="00C30D2E" w:rsidRDefault="00C30D2E" w:rsidP="00C30D2E">
      <w:pPr>
        <w:widowControl w:val="0"/>
        <w:spacing w:after="0" w:line="240" w:lineRule="auto"/>
        <w:ind w:firstLine="709"/>
        <w:jc w:val="both"/>
        <w:rPr>
          <w:rFonts w:ascii="Times New Roman" w:hAnsi="Times New Roman" w:cs="Times New Roman"/>
          <w:sz w:val="28"/>
          <w:szCs w:val="28"/>
          <w:lang w:val="kk-KZ"/>
        </w:rPr>
      </w:pPr>
      <w:bookmarkStart w:id="6" w:name="_Hlk148126568"/>
    </w:p>
    <w:p w14:paraId="33D374EF" w14:textId="4CC77FA6" w:rsidR="005575C1" w:rsidRDefault="00DD625A" w:rsidP="00580C40">
      <w:pPr>
        <w:spacing w:after="0" w:line="240" w:lineRule="auto"/>
        <w:ind w:firstLine="709"/>
        <w:jc w:val="both"/>
        <w:rPr>
          <w:rFonts w:ascii="Times New Roman" w:hAnsi="Times New Roman" w:cs="Times New Roman"/>
          <w:sz w:val="28"/>
          <w:szCs w:val="28"/>
          <w:lang w:val="kk-KZ"/>
        </w:rPr>
      </w:pPr>
      <w:r w:rsidRPr="00C14AB8">
        <w:rPr>
          <w:rFonts w:ascii="Times New Roman" w:hAnsi="Times New Roman" w:cs="Times New Roman"/>
          <w:sz w:val="28"/>
          <w:szCs w:val="28"/>
          <w:lang w:val="kk-KZ"/>
        </w:rPr>
        <w:t xml:space="preserve">ҚР </w:t>
      </w:r>
      <w:r w:rsidR="00575788">
        <w:rPr>
          <w:rFonts w:ascii="Times New Roman" w:hAnsi="Times New Roman" w:cs="Times New Roman"/>
          <w:sz w:val="28"/>
          <w:szCs w:val="28"/>
          <w:lang w:val="kk-KZ"/>
        </w:rPr>
        <w:t>АӨК-н</w:t>
      </w:r>
      <w:r w:rsidRPr="00C14AB8">
        <w:rPr>
          <w:rFonts w:ascii="Times New Roman" w:hAnsi="Times New Roman" w:cs="Times New Roman"/>
          <w:sz w:val="28"/>
          <w:szCs w:val="28"/>
          <w:lang w:val="kk-KZ"/>
        </w:rPr>
        <w:t xml:space="preserve"> дамытуға бағытталған бюджет қаражатының </w:t>
      </w:r>
      <w:r w:rsidRPr="00457CE9">
        <w:rPr>
          <w:rFonts w:ascii="Times New Roman" w:hAnsi="Times New Roman" w:cs="Times New Roman"/>
          <w:sz w:val="28"/>
          <w:szCs w:val="28"/>
          <w:lang w:val="kk-KZ"/>
        </w:rPr>
        <w:t>көздері,  жоспарлау, басқару, жұмсау, есеп беру, есепті бекітуге  жауапты мемлекеттік органдары және оны пайдалану тиімділігінің аудитін жүргізетін органдар 3-суретте келтірілген.</w:t>
      </w:r>
      <w:r w:rsidR="00580C40">
        <w:rPr>
          <w:rFonts w:ascii="Times New Roman" w:hAnsi="Times New Roman" w:cs="Times New Roman"/>
          <w:sz w:val="28"/>
          <w:szCs w:val="28"/>
          <w:lang w:val="kk-KZ"/>
        </w:rPr>
        <w:t xml:space="preserve"> </w:t>
      </w:r>
    </w:p>
    <w:p w14:paraId="6460FF42" w14:textId="77777777" w:rsidR="00580C40" w:rsidRDefault="00580C40" w:rsidP="00580C40">
      <w:pPr>
        <w:spacing w:after="0" w:line="240" w:lineRule="auto"/>
        <w:ind w:firstLine="709"/>
        <w:jc w:val="both"/>
        <w:rPr>
          <w:rFonts w:ascii="Times New Roman" w:hAnsi="Times New Roman" w:cs="Times New Roman"/>
          <w:sz w:val="28"/>
          <w:szCs w:val="28"/>
          <w:lang w:val="kk-KZ"/>
        </w:rPr>
      </w:pPr>
    </w:p>
    <w:p w14:paraId="71AED76F" w14:textId="172FAED0" w:rsidR="00A705F9" w:rsidRPr="00457CE9" w:rsidRDefault="00C30D2E" w:rsidP="00457CE9">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456960" behindDoc="0" locked="0" layoutInCell="1" allowOverlap="1" wp14:anchorId="1B5223E0" wp14:editId="401ABEF4">
                <wp:simplePos x="0" y="0"/>
                <wp:positionH relativeFrom="column">
                  <wp:posOffset>80755</wp:posOffset>
                </wp:positionH>
                <wp:positionV relativeFrom="paragraph">
                  <wp:posOffset>43235</wp:posOffset>
                </wp:positionV>
                <wp:extent cx="5854065" cy="6944604"/>
                <wp:effectExtent l="0" t="0" r="13335" b="27940"/>
                <wp:wrapNone/>
                <wp:docPr id="4" name="Группа 4"/>
                <wp:cNvGraphicFramePr/>
                <a:graphic xmlns:a="http://schemas.openxmlformats.org/drawingml/2006/main">
                  <a:graphicData uri="http://schemas.microsoft.com/office/word/2010/wordprocessingGroup">
                    <wpg:wgp>
                      <wpg:cNvGrpSpPr/>
                      <wpg:grpSpPr>
                        <a:xfrm>
                          <a:off x="0" y="0"/>
                          <a:ext cx="5854065" cy="6944604"/>
                          <a:chOff x="0" y="0"/>
                          <a:chExt cx="5854065" cy="7120962"/>
                        </a:xfrm>
                      </wpg:grpSpPr>
                      <wps:wsp>
                        <wps:cNvPr id="116254062" name="Rectangle 485"/>
                        <wps:cNvSpPr>
                          <a:spLocks noChangeArrowheads="1"/>
                        </wps:cNvSpPr>
                        <wps:spPr bwMode="auto">
                          <a:xfrm>
                            <a:off x="228600" y="0"/>
                            <a:ext cx="5625465" cy="632460"/>
                          </a:xfrm>
                          <a:prstGeom prst="rect">
                            <a:avLst/>
                          </a:prstGeom>
                          <a:solidFill>
                            <a:srgbClr val="FFFFFF"/>
                          </a:solidFill>
                          <a:ln w="9525">
                            <a:solidFill>
                              <a:srgbClr val="000000"/>
                            </a:solidFill>
                            <a:miter lim="800000"/>
                            <a:headEnd/>
                            <a:tailEnd/>
                          </a:ln>
                        </wps:spPr>
                        <wps:txbx>
                          <w:txbxContent>
                            <w:p w14:paraId="15320460" w14:textId="180C0946" w:rsidR="00D05956" w:rsidRPr="001D2067" w:rsidRDefault="00D05956" w:rsidP="001D2067">
                              <w:pPr>
                                <w:spacing w:after="0" w:line="240" w:lineRule="auto"/>
                                <w:jc w:val="center"/>
                                <w:rPr>
                                  <w:rFonts w:ascii="Times New Roman" w:hAnsi="Times New Roman" w:cs="Times New Roman"/>
                                  <w:color w:val="FF0000"/>
                                  <w:sz w:val="24"/>
                                  <w:szCs w:val="24"/>
                                  <w:lang w:val="kk-KZ"/>
                                </w:rPr>
                              </w:pPr>
                              <w:r w:rsidRPr="00BC751D">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sidRPr="00BC751D">
                                <w:rPr>
                                  <w:rFonts w:ascii="Times New Roman" w:hAnsi="Times New Roman" w:cs="Times New Roman"/>
                                  <w:sz w:val="24"/>
                                  <w:szCs w:val="24"/>
                                  <w:lang w:val="kk-KZ"/>
                                </w:rPr>
                                <w:t xml:space="preserve"> дамытуға бағытталған бюджет қаражатының көздері,  жоспарлау, басқару, жұмсау, есеп беру, есепті бекітуге  жауапты мемлекеттік органдары және оны пайдалану тиімділігінің аудитін жүргізетін органдар</w:t>
                              </w:r>
                            </w:p>
                          </w:txbxContent>
                        </wps:txbx>
                        <wps:bodyPr rot="0" vert="horz" wrap="square" lIns="91440" tIns="45720" rIns="91440" bIns="45720" anchor="t" anchorCtr="0" upright="1">
                          <a:noAutofit/>
                        </wps:bodyPr>
                      </wps:wsp>
                      <wps:wsp>
                        <wps:cNvPr id="1340440958" name="Rectangle 487"/>
                        <wps:cNvSpPr>
                          <a:spLocks noChangeArrowheads="1"/>
                        </wps:cNvSpPr>
                        <wps:spPr bwMode="auto">
                          <a:xfrm>
                            <a:off x="742950" y="885825"/>
                            <a:ext cx="5067300" cy="495300"/>
                          </a:xfrm>
                          <a:prstGeom prst="rect">
                            <a:avLst/>
                          </a:prstGeom>
                          <a:solidFill>
                            <a:srgbClr val="FFFFFF"/>
                          </a:solidFill>
                          <a:ln w="9525">
                            <a:solidFill>
                              <a:srgbClr val="000000"/>
                            </a:solidFill>
                            <a:miter lim="800000"/>
                            <a:headEnd/>
                            <a:tailEnd/>
                          </a:ln>
                        </wps:spPr>
                        <wps:txbx>
                          <w:txbxContent>
                            <w:p w14:paraId="65A49F54" w14:textId="126FEDE2" w:rsidR="00D05956" w:rsidRPr="00A705F9"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АӨК дамытуға бағытталатын б</w:t>
                              </w:r>
                              <w:r w:rsidRPr="00A705F9">
                                <w:rPr>
                                  <w:rFonts w:ascii="Times New Roman" w:hAnsi="Times New Roman" w:cs="Times New Roman"/>
                                  <w:sz w:val="24"/>
                                  <w:szCs w:val="24"/>
                                  <w:lang w:val="kk-KZ"/>
                                </w:rPr>
                                <w:t>юджет қаражатының көздері</w:t>
                              </w:r>
                              <w:r>
                                <w:rPr>
                                  <w:rFonts w:ascii="Times New Roman" w:hAnsi="Times New Roman" w:cs="Times New Roman"/>
                                  <w:sz w:val="24"/>
                                  <w:szCs w:val="24"/>
                                  <w:lang w:val="kk-KZ"/>
                                </w:rPr>
                                <w:t xml:space="preserve"> және деңгейлері</w:t>
                              </w:r>
                            </w:p>
                          </w:txbxContent>
                        </wps:txbx>
                        <wps:bodyPr rot="0" vert="horz" wrap="square" lIns="91440" tIns="45720" rIns="91440" bIns="45720" anchor="t" anchorCtr="0" upright="1">
                          <a:noAutofit/>
                        </wps:bodyPr>
                      </wps:wsp>
                      <wps:wsp>
                        <wps:cNvPr id="1309320860" name="Rectangle 492"/>
                        <wps:cNvSpPr>
                          <a:spLocks noChangeArrowheads="1"/>
                        </wps:cNvSpPr>
                        <wps:spPr bwMode="auto">
                          <a:xfrm>
                            <a:off x="628650" y="5500487"/>
                            <a:ext cx="5128260" cy="472440"/>
                          </a:xfrm>
                          <a:prstGeom prst="rect">
                            <a:avLst/>
                          </a:prstGeom>
                          <a:solidFill>
                            <a:srgbClr val="FFFFFF"/>
                          </a:solidFill>
                          <a:ln w="9525">
                            <a:solidFill>
                              <a:srgbClr val="000000"/>
                            </a:solidFill>
                            <a:miter lim="800000"/>
                            <a:headEnd/>
                            <a:tailEnd/>
                          </a:ln>
                        </wps:spPr>
                        <wps:txbx>
                          <w:txbxContent>
                            <w:p w14:paraId="3A81C466" w14:textId="1BA17824" w:rsidR="00D05956" w:rsidRDefault="00D05956" w:rsidP="00DF2104">
                              <w:pPr>
                                <w:spacing w:after="0" w:line="240" w:lineRule="auto"/>
                                <w:jc w:val="center"/>
                                <w:rPr>
                                  <w:rFonts w:ascii="Times New Roman" w:hAnsi="Times New Roman" w:cs="Times New Roman"/>
                                  <w:sz w:val="24"/>
                                  <w:szCs w:val="24"/>
                                  <w:lang w:val="kk-KZ"/>
                                </w:rPr>
                              </w:pPr>
                              <w:r w:rsidRPr="001F7C2B">
                                <w:rPr>
                                  <w:rFonts w:ascii="Times New Roman" w:hAnsi="Times New Roman" w:cs="Times New Roman"/>
                                  <w:sz w:val="24"/>
                                  <w:szCs w:val="24"/>
                                  <w:lang w:val="kk-KZ"/>
                                </w:rPr>
                                <w:t>ҚР АӨК дамытуға бағытталған бюджет қаражатын пайдалану тиімділігінің аудитін жүргізетін органдар</w:t>
                              </w:r>
                              <w:r>
                                <w:rPr>
                                  <w:rFonts w:ascii="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wps:wsp>
                        <wps:cNvPr id="1343958893" name="Rectangle 493"/>
                        <wps:cNvSpPr>
                          <a:spLocks noChangeArrowheads="1"/>
                        </wps:cNvSpPr>
                        <wps:spPr bwMode="auto">
                          <a:xfrm>
                            <a:off x="571500" y="6640900"/>
                            <a:ext cx="1219200" cy="480060"/>
                          </a:xfrm>
                          <a:prstGeom prst="rect">
                            <a:avLst/>
                          </a:prstGeom>
                          <a:solidFill>
                            <a:srgbClr val="FFFFFF"/>
                          </a:solidFill>
                          <a:ln w="9525">
                            <a:solidFill>
                              <a:srgbClr val="000000"/>
                            </a:solidFill>
                            <a:miter lim="800000"/>
                            <a:headEnd/>
                            <a:tailEnd/>
                          </a:ln>
                        </wps:spPr>
                        <wps:txbx>
                          <w:txbxContent>
                            <w:p w14:paraId="1B980A63" w14:textId="4B7BFCCD"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 палатасы</w:t>
                              </w:r>
                            </w:p>
                          </w:txbxContent>
                        </wps:txbx>
                        <wps:bodyPr rot="0" vert="horz" wrap="square" lIns="91440" tIns="45720" rIns="91440" bIns="45720" anchor="t" anchorCtr="0" upright="1">
                          <a:noAutofit/>
                        </wps:bodyPr>
                      </wps:wsp>
                      <wps:wsp>
                        <wps:cNvPr id="556036980" name="Rectangle 494"/>
                        <wps:cNvSpPr>
                          <a:spLocks noChangeArrowheads="1"/>
                        </wps:cNvSpPr>
                        <wps:spPr bwMode="auto">
                          <a:xfrm>
                            <a:off x="2112893" y="6640902"/>
                            <a:ext cx="1935480" cy="480060"/>
                          </a:xfrm>
                          <a:prstGeom prst="rect">
                            <a:avLst/>
                          </a:prstGeom>
                          <a:solidFill>
                            <a:srgbClr val="FFFFFF"/>
                          </a:solidFill>
                          <a:ln w="9525">
                            <a:solidFill>
                              <a:srgbClr val="000000"/>
                            </a:solidFill>
                            <a:miter lim="800000"/>
                            <a:headEnd/>
                            <a:tailEnd/>
                          </a:ln>
                        </wps:spPr>
                        <wps:txbx>
                          <w:txbxContent>
                            <w:p w14:paraId="4781AA8F" w14:textId="305740F3"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Ревизиялық тексеру комиссиялары</w:t>
                              </w:r>
                            </w:p>
                          </w:txbxContent>
                        </wps:txbx>
                        <wps:bodyPr rot="0" vert="horz" wrap="square" lIns="91440" tIns="45720" rIns="91440" bIns="45720" anchor="t" anchorCtr="0" upright="1">
                          <a:noAutofit/>
                        </wps:bodyPr>
                      </wps:wsp>
                      <wps:wsp>
                        <wps:cNvPr id="1369792619" name="Rectangle 496"/>
                        <wps:cNvSpPr>
                          <a:spLocks noChangeArrowheads="1"/>
                        </wps:cNvSpPr>
                        <wps:spPr bwMode="auto">
                          <a:xfrm>
                            <a:off x="276225" y="1825626"/>
                            <a:ext cx="952500" cy="798830"/>
                          </a:xfrm>
                          <a:prstGeom prst="rect">
                            <a:avLst/>
                          </a:prstGeom>
                          <a:solidFill>
                            <a:srgbClr val="FFFFFF"/>
                          </a:solidFill>
                          <a:ln w="9525">
                            <a:solidFill>
                              <a:srgbClr val="000000"/>
                            </a:solidFill>
                            <a:miter lim="800000"/>
                            <a:headEnd/>
                            <a:tailEnd/>
                          </a:ln>
                        </wps:spPr>
                        <wps:txbx>
                          <w:txbxContent>
                            <w:p w14:paraId="0729A68C" w14:textId="3F05865E"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бюджет, Ұлттық қор</w:t>
                              </w:r>
                            </w:p>
                          </w:txbxContent>
                        </wps:txbx>
                        <wps:bodyPr rot="0" vert="horz" wrap="square" lIns="91440" tIns="45720" rIns="91440" bIns="45720" anchor="t" anchorCtr="0" upright="1">
                          <a:noAutofit/>
                        </wps:bodyPr>
                      </wps:wsp>
                      <wps:wsp>
                        <wps:cNvPr id="940457849" name="Rectangle 497"/>
                        <wps:cNvSpPr>
                          <a:spLocks noChangeArrowheads="1"/>
                        </wps:cNvSpPr>
                        <wps:spPr bwMode="auto">
                          <a:xfrm>
                            <a:off x="1333500" y="1838325"/>
                            <a:ext cx="1771650" cy="784860"/>
                          </a:xfrm>
                          <a:prstGeom prst="rect">
                            <a:avLst/>
                          </a:prstGeom>
                          <a:solidFill>
                            <a:srgbClr val="FFFFFF"/>
                          </a:solidFill>
                          <a:ln w="9525">
                            <a:solidFill>
                              <a:srgbClr val="000000"/>
                            </a:solidFill>
                            <a:miter lim="800000"/>
                            <a:headEnd/>
                            <a:tailEnd/>
                          </a:ln>
                        </wps:spPr>
                        <wps:txbx>
                          <w:txbxContent>
                            <w:p w14:paraId="755D37CF" w14:textId="75694A03"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бюджет, республикалық маңызы бар қала бюджеті, астана бюджеті</w:t>
                              </w:r>
                            </w:p>
                          </w:txbxContent>
                        </wps:txbx>
                        <wps:bodyPr rot="0" vert="horz" wrap="square" lIns="91440" tIns="45720" rIns="91440" bIns="45720" anchor="t" anchorCtr="0" upright="1">
                          <a:noAutofit/>
                        </wps:bodyPr>
                      </wps:wsp>
                      <wps:wsp>
                        <wps:cNvPr id="1476484808" name="Rectangle 498"/>
                        <wps:cNvSpPr>
                          <a:spLocks noChangeArrowheads="1"/>
                        </wps:cNvSpPr>
                        <wps:spPr bwMode="auto">
                          <a:xfrm>
                            <a:off x="3171825" y="1838325"/>
                            <a:ext cx="1196340" cy="784860"/>
                          </a:xfrm>
                          <a:prstGeom prst="rect">
                            <a:avLst/>
                          </a:prstGeom>
                          <a:solidFill>
                            <a:srgbClr val="FFFFFF"/>
                          </a:solidFill>
                          <a:ln w="9525">
                            <a:solidFill>
                              <a:srgbClr val="000000"/>
                            </a:solidFill>
                            <a:miter lim="800000"/>
                            <a:headEnd/>
                            <a:tailEnd/>
                          </a:ln>
                        </wps:spPr>
                        <wps:txbx>
                          <w:txbxContent>
                            <w:p w14:paraId="6F88F071" w14:textId="5C231CAD"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(облыстық маңызы бар қала) бюджет</w:t>
                              </w:r>
                            </w:p>
                          </w:txbxContent>
                        </wps:txbx>
                        <wps:bodyPr rot="0" vert="horz" wrap="square" lIns="91440" tIns="45720" rIns="91440" bIns="45720" anchor="t" anchorCtr="0" upright="1">
                          <a:noAutofit/>
                        </wps:bodyPr>
                      </wps:wsp>
                      <wps:wsp>
                        <wps:cNvPr id="10176487" name="Rectangle 499"/>
                        <wps:cNvSpPr>
                          <a:spLocks noChangeArrowheads="1"/>
                        </wps:cNvSpPr>
                        <wps:spPr bwMode="auto">
                          <a:xfrm>
                            <a:off x="4438650" y="1838325"/>
                            <a:ext cx="1409700" cy="800100"/>
                          </a:xfrm>
                          <a:prstGeom prst="rect">
                            <a:avLst/>
                          </a:prstGeom>
                          <a:solidFill>
                            <a:srgbClr val="FFFFFF"/>
                          </a:solidFill>
                          <a:ln w="9525">
                            <a:solidFill>
                              <a:srgbClr val="000000"/>
                            </a:solidFill>
                            <a:miter lim="800000"/>
                            <a:headEnd/>
                            <a:tailEnd/>
                          </a:ln>
                        </wps:spPr>
                        <wps:txbx>
                          <w:txbxContent>
                            <w:p w14:paraId="2A941D78" w14:textId="0C2D1443" w:rsidR="00D05956" w:rsidRDefault="00D05956" w:rsidP="004B0E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Аудандық маңызы бар қала, ауыл, кент ауылдық  округі бюджеті </w:t>
                              </w:r>
                            </w:p>
                          </w:txbxContent>
                        </wps:txbx>
                        <wps:bodyPr rot="0" vert="horz" wrap="square" lIns="91440" tIns="45720" rIns="91440" bIns="45720" anchor="t" anchorCtr="0" upright="1">
                          <a:noAutofit/>
                        </wps:bodyPr>
                      </wps:wsp>
                      <wps:wsp>
                        <wps:cNvPr id="1174230238" name="AutoShape 500"/>
                        <wps:cNvCnPr>
                          <a:cxnSpLocks noChangeShapeType="1"/>
                        </wps:cNvCnPr>
                        <wps:spPr bwMode="auto">
                          <a:xfrm>
                            <a:off x="952500" y="1590675"/>
                            <a:ext cx="451866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78248246" name="AutoShape 502"/>
                        <wps:cNvCnPr>
                          <a:cxnSpLocks noChangeShapeType="1"/>
                        </wps:cNvCnPr>
                        <wps:spPr bwMode="auto">
                          <a:xfrm>
                            <a:off x="952500" y="1590675"/>
                            <a:ext cx="0" cy="2349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7806837" name="AutoShape 503"/>
                        <wps:cNvCnPr>
                          <a:cxnSpLocks noChangeShapeType="1"/>
                        </wps:cNvCnPr>
                        <wps:spPr bwMode="auto">
                          <a:xfrm>
                            <a:off x="2257425" y="1590675"/>
                            <a:ext cx="0" cy="2501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384776212" name="AutoShape 504"/>
                        <wps:cNvCnPr>
                          <a:cxnSpLocks noChangeShapeType="1"/>
                        </wps:cNvCnPr>
                        <wps:spPr bwMode="auto">
                          <a:xfrm>
                            <a:off x="3933825" y="1609725"/>
                            <a:ext cx="0"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58639944" name="AutoShape 505"/>
                        <wps:cNvCnPr>
                          <a:cxnSpLocks noChangeShapeType="1"/>
                        </wps:cNvCnPr>
                        <wps:spPr bwMode="auto">
                          <a:xfrm>
                            <a:off x="5486400" y="1590675"/>
                            <a:ext cx="7620" cy="2425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94080305" name="Rectangle 506"/>
                        <wps:cNvSpPr>
                          <a:spLocks noChangeArrowheads="1"/>
                        </wps:cNvSpPr>
                        <wps:spPr bwMode="auto">
                          <a:xfrm>
                            <a:off x="704850" y="3143250"/>
                            <a:ext cx="5103495" cy="626745"/>
                          </a:xfrm>
                          <a:prstGeom prst="rect">
                            <a:avLst/>
                          </a:prstGeom>
                          <a:solidFill>
                            <a:srgbClr val="FFFFFF"/>
                          </a:solidFill>
                          <a:ln w="9525">
                            <a:solidFill>
                              <a:srgbClr val="000000"/>
                            </a:solidFill>
                            <a:miter lim="800000"/>
                            <a:headEnd/>
                            <a:tailEnd/>
                          </a:ln>
                        </wps:spPr>
                        <wps:txbx>
                          <w:txbxContent>
                            <w:p w14:paraId="10E8C80A" w14:textId="5DDA0234"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Pr>
                                  <w:rFonts w:ascii="Times New Roman" w:hAnsi="Times New Roman" w:cs="Times New Roman"/>
                                  <w:sz w:val="24"/>
                                  <w:szCs w:val="24"/>
                                  <w:lang w:val="kk-KZ"/>
                                </w:rPr>
                                <w:t xml:space="preserve"> дамытуға бағытталған бюджет қаражатын пайдалануды жоспарлау, басқару, жұмсау, есеп беру, есепті бекітуге  жауапты мемлекеттік органдар</w:t>
                              </w:r>
                            </w:p>
                          </w:txbxContent>
                        </wps:txbx>
                        <wps:bodyPr rot="0" vert="horz" wrap="square" lIns="91440" tIns="45720" rIns="91440" bIns="45720" anchor="t" anchorCtr="0" upright="1">
                          <a:noAutofit/>
                        </wps:bodyPr>
                      </wps:wsp>
                      <wps:wsp>
                        <wps:cNvPr id="769524561" name="Rectangle 507"/>
                        <wps:cNvSpPr>
                          <a:spLocks noChangeArrowheads="1"/>
                        </wps:cNvSpPr>
                        <wps:spPr bwMode="auto">
                          <a:xfrm>
                            <a:off x="1790700" y="4267200"/>
                            <a:ext cx="1104900" cy="1023620"/>
                          </a:xfrm>
                          <a:prstGeom prst="rect">
                            <a:avLst/>
                          </a:prstGeom>
                          <a:solidFill>
                            <a:srgbClr val="FFFFFF"/>
                          </a:solidFill>
                          <a:ln w="9525">
                            <a:solidFill>
                              <a:srgbClr val="000000"/>
                            </a:solidFill>
                            <a:miter lim="800000"/>
                            <a:headEnd/>
                            <a:tailEnd/>
                          </a:ln>
                        </wps:spPr>
                        <wps:txbx>
                          <w:txbxContent>
                            <w:p w14:paraId="2859E61D" w14:textId="72C12BA4"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Ұлттық экономика Министрлігі жоспарды бекітеді </w:t>
                              </w:r>
                            </w:p>
                          </w:txbxContent>
                        </wps:txbx>
                        <wps:bodyPr rot="0" vert="horz" wrap="square" lIns="91440" tIns="45720" rIns="91440" bIns="45720" anchor="t" anchorCtr="0" upright="1">
                          <a:noAutofit/>
                        </wps:bodyPr>
                      </wps:wsp>
                      <wps:wsp>
                        <wps:cNvPr id="276681419" name="Rectangle 513"/>
                        <wps:cNvSpPr>
                          <a:spLocks noChangeArrowheads="1"/>
                        </wps:cNvSpPr>
                        <wps:spPr bwMode="auto">
                          <a:xfrm>
                            <a:off x="542925" y="4276725"/>
                            <a:ext cx="1186815" cy="998855"/>
                          </a:xfrm>
                          <a:prstGeom prst="rect">
                            <a:avLst/>
                          </a:prstGeom>
                          <a:solidFill>
                            <a:srgbClr val="FFFFFF"/>
                          </a:solidFill>
                          <a:ln w="9525">
                            <a:solidFill>
                              <a:srgbClr val="000000"/>
                            </a:solidFill>
                            <a:miter lim="800000"/>
                            <a:headEnd/>
                            <a:tailEnd/>
                          </a:ln>
                        </wps:spPr>
                        <wps:txbx>
                          <w:txbxContent>
                            <w:p w14:paraId="7EE432F1" w14:textId="45A97A21"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Ауыл шаруашылығы Министрлігі жоспарлайды, жұмсайды</w:t>
                              </w:r>
                            </w:p>
                          </w:txbxContent>
                        </wps:txbx>
                        <wps:bodyPr rot="0" vert="horz" wrap="square" lIns="91440" tIns="45720" rIns="91440" bIns="45720" anchor="t" anchorCtr="0" upright="1">
                          <a:noAutofit/>
                        </wps:bodyPr>
                      </wps:wsp>
                      <wps:wsp>
                        <wps:cNvPr id="1479873507" name="Rectangle 514"/>
                        <wps:cNvSpPr>
                          <a:spLocks noChangeArrowheads="1"/>
                        </wps:cNvSpPr>
                        <wps:spPr bwMode="auto">
                          <a:xfrm>
                            <a:off x="2981325" y="4267200"/>
                            <a:ext cx="1143000" cy="1010920"/>
                          </a:xfrm>
                          <a:prstGeom prst="rect">
                            <a:avLst/>
                          </a:prstGeom>
                          <a:solidFill>
                            <a:srgbClr val="FFFFFF"/>
                          </a:solidFill>
                          <a:ln w="9525">
                            <a:solidFill>
                              <a:srgbClr val="000000"/>
                            </a:solidFill>
                            <a:miter lim="800000"/>
                            <a:headEnd/>
                            <a:tailEnd/>
                          </a:ln>
                        </wps:spPr>
                        <wps:txbx>
                          <w:txbxContent>
                            <w:p w14:paraId="072A31EA" w14:textId="5086E1EA" w:rsidR="00D05956" w:rsidRDefault="00D05956" w:rsidP="009836B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Қаржы Министрлігі қаржы бөледі, есепті қабылдайды</w:t>
                              </w:r>
                            </w:p>
                          </w:txbxContent>
                        </wps:txbx>
                        <wps:bodyPr rot="0" vert="horz" wrap="square" lIns="91440" tIns="45720" rIns="91440" bIns="45720" anchor="t" anchorCtr="0" upright="1">
                          <a:noAutofit/>
                        </wps:bodyPr>
                      </wps:wsp>
                      <wps:wsp>
                        <wps:cNvPr id="659381824" name="AutoShape 520"/>
                        <wps:cNvCnPr>
                          <a:cxnSpLocks noChangeShapeType="1"/>
                        </wps:cNvCnPr>
                        <wps:spPr bwMode="auto">
                          <a:xfrm>
                            <a:off x="952500" y="4048125"/>
                            <a:ext cx="4518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0709" name="AutoShape 521"/>
                        <wps:cNvCnPr>
                          <a:cxnSpLocks noChangeShapeType="1"/>
                        </wps:cNvCnPr>
                        <wps:spPr bwMode="auto">
                          <a:xfrm>
                            <a:off x="952500" y="4048125"/>
                            <a:ext cx="762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3468870" name="AutoShape 522"/>
                        <wps:cNvCnPr>
                          <a:cxnSpLocks noChangeShapeType="1"/>
                        </wps:cNvCnPr>
                        <wps:spPr bwMode="auto">
                          <a:xfrm>
                            <a:off x="2295525" y="4029075"/>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2166015" name="AutoShape 523"/>
                        <wps:cNvCnPr>
                          <a:cxnSpLocks noChangeShapeType="1"/>
                        </wps:cNvCnPr>
                        <wps:spPr bwMode="auto">
                          <a:xfrm>
                            <a:off x="3609975" y="4048125"/>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7643809" name="AutoShape 524"/>
                        <wps:cNvCnPr>
                          <a:cxnSpLocks noChangeShapeType="1"/>
                        </wps:cNvCnPr>
                        <wps:spPr bwMode="auto">
                          <a:xfrm>
                            <a:off x="5457825" y="4029075"/>
                            <a:ext cx="762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309628" name="AutoShape 525"/>
                        <wps:cNvSpPr>
                          <a:spLocks noChangeArrowheads="1"/>
                        </wps:cNvSpPr>
                        <wps:spPr bwMode="auto">
                          <a:xfrm>
                            <a:off x="3095625" y="3771900"/>
                            <a:ext cx="243840" cy="257175"/>
                          </a:xfrm>
                          <a:prstGeom prst="downArrow">
                            <a:avLst>
                              <a:gd name="adj1" fmla="val 50000"/>
                              <a:gd name="adj2" fmla="val 263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11017504" name="AutoShape 526"/>
                        <wps:cNvSpPr>
                          <a:spLocks noChangeArrowheads="1"/>
                        </wps:cNvSpPr>
                        <wps:spPr bwMode="auto">
                          <a:xfrm>
                            <a:off x="3057525" y="1381125"/>
                            <a:ext cx="228600" cy="2133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90457993" name="Rectangle 527"/>
                        <wps:cNvSpPr>
                          <a:spLocks noChangeArrowheads="1"/>
                        </wps:cNvSpPr>
                        <wps:spPr bwMode="auto">
                          <a:xfrm>
                            <a:off x="4219575" y="4257675"/>
                            <a:ext cx="1562100" cy="1021080"/>
                          </a:xfrm>
                          <a:prstGeom prst="rect">
                            <a:avLst/>
                          </a:prstGeom>
                          <a:solidFill>
                            <a:srgbClr val="FFFFFF"/>
                          </a:solidFill>
                          <a:ln w="9525">
                            <a:solidFill>
                              <a:srgbClr val="000000"/>
                            </a:solidFill>
                            <a:miter lim="800000"/>
                            <a:headEnd/>
                            <a:tailEnd/>
                          </a:ln>
                        </wps:spPr>
                        <wps:txbx>
                          <w:txbxContent>
                            <w:p w14:paraId="212DA483" w14:textId="4F69C294" w:rsidR="00D05956" w:rsidRDefault="00D05956" w:rsidP="007D08E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 палатасы бюджет орындалуы бойынша қорытынды береді</w:t>
                              </w:r>
                            </w:p>
                          </w:txbxContent>
                        </wps:txbx>
                        <wps:bodyPr rot="0" vert="horz" wrap="square" lIns="91440" tIns="45720" rIns="91440" bIns="45720" anchor="t" anchorCtr="0" upright="1">
                          <a:noAutofit/>
                        </wps:bodyPr>
                      </wps:wsp>
                      <wps:wsp>
                        <wps:cNvPr id="817037430" name="AutoShape 538"/>
                        <wps:cNvCnPr>
                          <a:cxnSpLocks noChangeShapeType="1"/>
                        </wps:cNvCnPr>
                        <wps:spPr bwMode="auto">
                          <a:xfrm>
                            <a:off x="952500" y="6390706"/>
                            <a:ext cx="4518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518126" name="AutoShape 539"/>
                        <wps:cNvCnPr>
                          <a:cxnSpLocks noChangeShapeType="1"/>
                        </wps:cNvCnPr>
                        <wps:spPr bwMode="auto">
                          <a:xfrm>
                            <a:off x="960368" y="639293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1357075" name="AutoShape 540"/>
                        <wps:cNvCnPr>
                          <a:cxnSpLocks noChangeShapeType="1"/>
                        </wps:cNvCnPr>
                        <wps:spPr bwMode="auto">
                          <a:xfrm>
                            <a:off x="3011805" y="6390708"/>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139486" name="AutoShape 542"/>
                        <wps:cNvCnPr>
                          <a:cxnSpLocks noChangeShapeType="1"/>
                        </wps:cNvCnPr>
                        <wps:spPr bwMode="auto">
                          <a:xfrm>
                            <a:off x="5462877" y="6376624"/>
                            <a:ext cx="7620" cy="242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913914" name="Rectangle 545"/>
                        <wps:cNvSpPr>
                          <a:spLocks noChangeArrowheads="1"/>
                        </wps:cNvSpPr>
                        <wps:spPr bwMode="auto">
                          <a:xfrm>
                            <a:off x="4423410" y="6604244"/>
                            <a:ext cx="1333500" cy="480060"/>
                          </a:xfrm>
                          <a:prstGeom prst="rect">
                            <a:avLst/>
                          </a:prstGeom>
                          <a:solidFill>
                            <a:srgbClr val="FFFFFF"/>
                          </a:solidFill>
                          <a:ln w="9525">
                            <a:solidFill>
                              <a:srgbClr val="000000"/>
                            </a:solidFill>
                            <a:miter lim="800000"/>
                            <a:headEnd/>
                            <a:tailEnd/>
                          </a:ln>
                        </wps:spPr>
                        <wps:txbx>
                          <w:txbxContent>
                            <w:p w14:paraId="76D03AE4" w14:textId="63D34ED1" w:rsidR="00D05956" w:rsidRDefault="00D05956" w:rsidP="00A56B5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Ішкі аудит қызметі</w:t>
                              </w:r>
                            </w:p>
                          </w:txbxContent>
                        </wps:txbx>
                        <wps:bodyPr rot="0" vert="horz" wrap="square" lIns="91440" tIns="45720" rIns="91440" bIns="45720" anchor="t" anchorCtr="0" upright="1">
                          <a:noAutofit/>
                        </wps:bodyPr>
                      </wps:wsp>
                      <wps:wsp>
                        <wps:cNvPr id="2080492666" name="AutoShape 546"/>
                        <wps:cNvCnPr>
                          <a:cxnSpLocks noChangeShapeType="1"/>
                        </wps:cNvCnPr>
                        <wps:spPr bwMode="auto">
                          <a:xfrm flipH="1">
                            <a:off x="28575" y="276225"/>
                            <a:ext cx="1981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26163141" name="AutoShape 547"/>
                        <wps:cNvCnPr>
                          <a:cxnSpLocks noChangeShapeType="1"/>
                        </wps:cNvCnPr>
                        <wps:spPr bwMode="auto">
                          <a:xfrm>
                            <a:off x="9525" y="266700"/>
                            <a:ext cx="0" cy="56311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28170785" name="AutoShape 548"/>
                        <wps:cNvSpPr>
                          <a:spLocks noChangeArrowheads="1"/>
                        </wps:cNvSpPr>
                        <wps:spPr bwMode="auto">
                          <a:xfrm>
                            <a:off x="0" y="5781675"/>
                            <a:ext cx="611505" cy="190500"/>
                          </a:xfrm>
                          <a:prstGeom prst="rightArrow">
                            <a:avLst>
                              <a:gd name="adj1" fmla="val 50000"/>
                              <a:gd name="adj2" fmla="val 80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6890603" name="AutoShape 549"/>
                        <wps:cNvSpPr>
                          <a:spLocks noChangeArrowheads="1"/>
                        </wps:cNvSpPr>
                        <wps:spPr bwMode="auto">
                          <a:xfrm>
                            <a:off x="9525" y="3314700"/>
                            <a:ext cx="678180" cy="198120"/>
                          </a:xfrm>
                          <a:prstGeom prst="rightArrow">
                            <a:avLst>
                              <a:gd name="adj1" fmla="val 50000"/>
                              <a:gd name="adj2" fmla="val 855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781268" name="AutoShape 550"/>
                        <wps:cNvSpPr>
                          <a:spLocks noChangeArrowheads="1"/>
                        </wps:cNvSpPr>
                        <wps:spPr bwMode="auto">
                          <a:xfrm>
                            <a:off x="9525" y="1019175"/>
                            <a:ext cx="723900" cy="198120"/>
                          </a:xfrm>
                          <a:prstGeom prst="rightArrow">
                            <a:avLst>
                              <a:gd name="adj1" fmla="val 50000"/>
                              <a:gd name="adj2" fmla="val 913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7145408" name="AutoShape 551"/>
                        <wps:cNvSpPr>
                          <a:spLocks noChangeArrowheads="1"/>
                        </wps:cNvSpPr>
                        <wps:spPr bwMode="auto">
                          <a:xfrm>
                            <a:off x="2895517" y="6036261"/>
                            <a:ext cx="251460" cy="340360"/>
                          </a:xfrm>
                          <a:prstGeom prst="downArrow">
                            <a:avLst>
                              <a:gd name="adj1" fmla="val 50000"/>
                              <a:gd name="adj2" fmla="val 338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0623212" name="AutoShape 553"/>
                        <wps:cNvCnPr>
                          <a:cxnSpLocks noChangeShapeType="1"/>
                        </wps:cNvCnPr>
                        <wps:spPr bwMode="auto">
                          <a:xfrm flipH="1" flipV="1">
                            <a:off x="962025" y="5267325"/>
                            <a:ext cx="0" cy="2082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05689811" name="AutoShape 554"/>
                        <wps:cNvCnPr>
                          <a:cxnSpLocks noChangeShapeType="1"/>
                        </wps:cNvCnPr>
                        <wps:spPr bwMode="auto">
                          <a:xfrm flipV="1">
                            <a:off x="5267325" y="5267325"/>
                            <a:ext cx="0"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107645036" name="AutoShape 556"/>
                        <wps:cNvSpPr>
                          <a:spLocks noChangeArrowheads="1"/>
                        </wps:cNvSpPr>
                        <wps:spPr bwMode="auto">
                          <a:xfrm>
                            <a:off x="3011805" y="5313046"/>
                            <a:ext cx="160020" cy="170180"/>
                          </a:xfrm>
                          <a:prstGeom prst="upArrow">
                            <a:avLst>
                              <a:gd name="adj1" fmla="val 50000"/>
                              <a:gd name="adj2" fmla="val 265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131866611" name="AutoShape 557"/>
                        <wps:cNvCnPr>
                          <a:cxnSpLocks noChangeShapeType="1"/>
                        </wps:cNvCnPr>
                        <wps:spPr bwMode="auto">
                          <a:xfrm>
                            <a:off x="1019175" y="2895600"/>
                            <a:ext cx="4495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35120734" name="AutoShape 558"/>
                        <wps:cNvSpPr>
                          <a:spLocks noChangeArrowheads="1"/>
                        </wps:cNvSpPr>
                        <wps:spPr bwMode="auto">
                          <a:xfrm>
                            <a:off x="3114675" y="2905125"/>
                            <a:ext cx="236220" cy="259080"/>
                          </a:xfrm>
                          <a:prstGeom prst="upArrow">
                            <a:avLst>
                              <a:gd name="adj1" fmla="val 50000"/>
                              <a:gd name="adj2" fmla="val 2741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85578597" name="AutoShape 559"/>
                        <wps:cNvCnPr>
                          <a:cxnSpLocks noChangeShapeType="1"/>
                        </wps:cNvCnPr>
                        <wps:spPr bwMode="auto">
                          <a:xfrm flipV="1">
                            <a:off x="1028700" y="2638425"/>
                            <a:ext cx="0" cy="2692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042816182" name="AutoShape 560"/>
                        <wps:cNvCnPr>
                          <a:cxnSpLocks noChangeShapeType="1"/>
                        </wps:cNvCnPr>
                        <wps:spPr bwMode="auto">
                          <a:xfrm flipV="1">
                            <a:off x="2428875" y="262890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628697" name="AutoShape 561"/>
                        <wps:cNvCnPr>
                          <a:cxnSpLocks noChangeShapeType="1"/>
                        </wps:cNvCnPr>
                        <wps:spPr bwMode="auto">
                          <a:xfrm flipV="1">
                            <a:off x="3829050" y="260985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534202" name="AutoShape 562"/>
                        <wps:cNvCnPr>
                          <a:cxnSpLocks noChangeShapeType="1"/>
                        </wps:cNvCnPr>
                        <wps:spPr bwMode="auto">
                          <a:xfrm flipV="1">
                            <a:off x="5524500" y="260985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5223E0" id="Группа 4" o:spid="_x0000_s1055" style="position:absolute;left:0;text-align:left;margin-left:6.35pt;margin-top:3.4pt;width:460.95pt;height:546.8pt;z-index:252456960;mso-height-relative:margin" coordsize="58540,7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">
                <v:rect id="Rectangle 485" o:spid="_x0000_s1056" style="position:absolute;left:2286;width:56254;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">
                  <v:textbox>
                    <w:txbxContent>
                      <w:p w14:paraId="15320460" w14:textId="180C0946" w:rsidR="00D05956" w:rsidRPr="001D2067" w:rsidRDefault="00D05956" w:rsidP="001D2067">
                        <w:pPr>
                          <w:spacing w:after="0" w:line="240" w:lineRule="auto"/>
                          <w:jc w:val="center"/>
                          <w:rPr>
                            <w:rFonts w:ascii="Times New Roman" w:hAnsi="Times New Roman" w:cs="Times New Roman"/>
                            <w:color w:val="FF0000"/>
                            <w:sz w:val="24"/>
                            <w:szCs w:val="24"/>
                            <w:lang w:val="kk-KZ"/>
                          </w:rPr>
                        </w:pPr>
                        <w:r w:rsidRPr="00BC751D">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sidRPr="00BC751D">
                          <w:rPr>
                            <w:rFonts w:ascii="Times New Roman" w:hAnsi="Times New Roman" w:cs="Times New Roman"/>
                            <w:sz w:val="24"/>
                            <w:szCs w:val="24"/>
                            <w:lang w:val="kk-KZ"/>
                          </w:rPr>
                          <w:t xml:space="preserve"> дамытуға бағытталған бюджет қаражатының көздері,  жоспарлау, басқару, жұмсау, есеп беру, есепті бекітуге  жауапты мемлекеттік органдары және оны пайдалану тиімділігінің аудитін жүргізетін органдар</w:t>
                        </w:r>
                      </w:p>
                    </w:txbxContent>
                  </v:textbox>
                </v:rect>
                <v:rect id="Rectangle 487" o:spid="_x0000_s1057" style="position:absolute;left:7429;top:8858;width:5067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">
                  <v:textbox>
                    <w:txbxContent>
                      <w:p w14:paraId="65A49F54" w14:textId="126FEDE2" w:rsidR="00D05956" w:rsidRPr="00A705F9" w:rsidRDefault="00D05956" w:rsidP="00A705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АӨК дамытуға бағытталатын б</w:t>
                        </w:r>
                        <w:r w:rsidRPr="00A705F9">
                          <w:rPr>
                            <w:rFonts w:ascii="Times New Roman" w:hAnsi="Times New Roman" w:cs="Times New Roman"/>
                            <w:sz w:val="24"/>
                            <w:szCs w:val="24"/>
                            <w:lang w:val="kk-KZ"/>
                          </w:rPr>
                          <w:t>юджет қаражатының көздері</w:t>
                        </w:r>
                        <w:r>
                          <w:rPr>
                            <w:rFonts w:ascii="Times New Roman" w:hAnsi="Times New Roman" w:cs="Times New Roman"/>
                            <w:sz w:val="24"/>
                            <w:szCs w:val="24"/>
                            <w:lang w:val="kk-KZ"/>
                          </w:rPr>
                          <w:t xml:space="preserve"> және деңгейлері</w:t>
                        </w:r>
                      </w:p>
                    </w:txbxContent>
                  </v:textbox>
                </v:rect>
                <v:rect id="Rectangle 492" o:spid="_x0000_s1058" style="position:absolute;left:6286;top:55004;width:51283;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">
                  <v:textbox>
                    <w:txbxContent>
                      <w:p w14:paraId="3A81C466" w14:textId="1BA17824" w:rsidR="00D05956" w:rsidRDefault="00D05956" w:rsidP="00DF2104">
                        <w:pPr>
                          <w:spacing w:after="0" w:line="240" w:lineRule="auto"/>
                          <w:jc w:val="center"/>
                          <w:rPr>
                            <w:rFonts w:ascii="Times New Roman" w:hAnsi="Times New Roman" w:cs="Times New Roman"/>
                            <w:sz w:val="24"/>
                            <w:szCs w:val="24"/>
                            <w:lang w:val="kk-KZ"/>
                          </w:rPr>
                        </w:pPr>
                        <w:r w:rsidRPr="001F7C2B">
                          <w:rPr>
                            <w:rFonts w:ascii="Times New Roman" w:hAnsi="Times New Roman" w:cs="Times New Roman"/>
                            <w:sz w:val="24"/>
                            <w:szCs w:val="24"/>
                            <w:lang w:val="kk-KZ"/>
                          </w:rPr>
                          <w:t>ҚР АӨК дамытуға бағытталған бюджет қаражатын пайдалану тиімділігінің аудитін жүргізетін органдар</w:t>
                        </w:r>
                        <w:r>
                          <w:rPr>
                            <w:rFonts w:ascii="Times New Roman" w:hAnsi="Times New Roman" w:cs="Times New Roman"/>
                            <w:sz w:val="24"/>
                            <w:szCs w:val="24"/>
                            <w:lang w:val="kk-KZ"/>
                          </w:rPr>
                          <w:t xml:space="preserve"> </w:t>
                        </w:r>
                      </w:p>
                    </w:txbxContent>
                  </v:textbox>
                </v:rect>
                <v:rect id="Rectangle 493" o:spid="_x0000_s1059" style="position:absolute;left:5715;top:66409;width:12192;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">
                  <v:textbox>
                    <w:txbxContent>
                      <w:p w14:paraId="1B980A63" w14:textId="4B7BFCCD"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 палатасы</w:t>
                        </w:r>
                      </w:p>
                    </w:txbxContent>
                  </v:textbox>
                </v:rect>
                <v:rect id="Rectangle 494" o:spid="_x0000_s1060" style="position:absolute;left:21128;top:66409;width:1935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">
                  <v:textbox>
                    <w:txbxContent>
                      <w:p w14:paraId="4781AA8F" w14:textId="305740F3"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Ревизиялық тексеру комиссиялары</w:t>
                        </w:r>
                      </w:p>
                    </w:txbxContent>
                  </v:textbox>
                </v:rect>
                <v:rect id="Rectangle 496" o:spid="_x0000_s1061" style="position:absolute;left:2762;top:18256;width:9525;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">
                  <v:textbox>
                    <w:txbxContent>
                      <w:p w14:paraId="0729A68C" w14:textId="3F05865E"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бюджет, Ұлттық қор</w:t>
                        </w:r>
                      </w:p>
                    </w:txbxContent>
                  </v:textbox>
                </v:rect>
                <v:rect id="Rectangle 497" o:spid="_x0000_s1062" style="position:absolute;left:13335;top:18383;width:17716;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">
                  <v:textbox>
                    <w:txbxContent>
                      <w:p w14:paraId="755D37CF" w14:textId="75694A03"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бюджет, республикалық маңызы бар қала бюджеті, астана бюджеті</w:t>
                        </w:r>
                      </w:p>
                    </w:txbxContent>
                  </v:textbox>
                </v:rect>
                <v:rect id="Rectangle 498" o:spid="_x0000_s1063" style="position:absolute;left:31718;top:18383;width:1196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">
                  <v:textbox>
                    <w:txbxContent>
                      <w:p w14:paraId="6F88F071" w14:textId="5C231CAD" w:rsidR="00D05956" w:rsidRDefault="00D05956" w:rsidP="00DF210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(облыстық маңызы бар қала) бюджет</w:t>
                        </w:r>
                      </w:p>
                    </w:txbxContent>
                  </v:textbox>
                </v:rect>
                <v:rect id="Rectangle 499" o:spid="_x0000_s1064" style="position:absolute;left:44386;top:18383;width:1409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">
                  <v:textbox>
                    <w:txbxContent>
                      <w:p w14:paraId="2A941D78" w14:textId="0C2D1443" w:rsidR="00D05956" w:rsidRDefault="00D05956" w:rsidP="004B0E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Аудандық маңызы бар қала, ауыл, кент ауылдық  округі бюджеті </w:t>
                        </w:r>
                      </w:p>
                    </w:txbxContent>
                  </v:textbox>
                </v:rect>
                <v:shape id="AutoShape 500" o:spid="_x0000_s1065" type="#_x0000_t32" style="position:absolute;left:9525;top:15906;width:45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"/>
                <v:shape id="AutoShape 502" o:spid="_x0000_s1066" type="#_x0000_t32" style="position:absolute;left:9525;top:15906;width:0;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">
                  <v:stroke endarrow="block"/>
                </v:shape>
                <v:shape id="AutoShape 503" o:spid="_x0000_s1067" type="#_x0000_t32" style="position:absolute;left:22574;top:15906;width:0;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">
                  <v:stroke endarrow="block"/>
                </v:shape>
                <v:shape id="AutoShape 504" o:spid="_x0000_s1068" type="#_x0000_t32" style="position:absolute;left:39338;top:1609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">
                  <v:stroke endarrow="block"/>
                </v:shape>
                <v:shape id="AutoShape 505" o:spid="_x0000_s1069" type="#_x0000_t32" style="position:absolute;left:54864;top:15906;width:76;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">
                  <v:stroke endarrow="block"/>
                </v:shape>
                <v:rect id="Rectangle 506" o:spid="_x0000_s1070" style="position:absolute;left:7048;top:31432;width:51035;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">
                  <v:textbox>
                    <w:txbxContent>
                      <w:p w14:paraId="10E8C80A" w14:textId="5DDA0234"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Pr>
                            <w:rFonts w:ascii="Times New Roman" w:hAnsi="Times New Roman" w:cs="Times New Roman"/>
                            <w:sz w:val="24"/>
                            <w:szCs w:val="24"/>
                            <w:lang w:val="kk-KZ"/>
                          </w:rPr>
                          <w:t xml:space="preserve"> дамытуға бағытталған бюджет қаражатын пайдалануды жоспарлау, басқару, жұмсау, есеп беру, есепті бекітуге  жауапты мемлекеттік органдар</w:t>
                        </w:r>
                      </w:p>
                    </w:txbxContent>
                  </v:textbox>
                </v:rect>
                <v:rect id="Rectangle 507" o:spid="_x0000_s1071" style="position:absolute;left:17907;top:42672;width:11049;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">
                  <v:textbox>
                    <w:txbxContent>
                      <w:p w14:paraId="2859E61D" w14:textId="72C12BA4"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Ұлттық экономика Министрлігі жоспарды бекітеді </w:t>
                        </w:r>
                      </w:p>
                    </w:txbxContent>
                  </v:textbox>
                </v:rect>
                <v:rect id="Rectangle 513" o:spid="_x0000_s1072" style="position:absolute;left:5429;top:42767;width:11868;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">
                  <v:textbox>
                    <w:txbxContent>
                      <w:p w14:paraId="7EE432F1" w14:textId="45A97A21"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Ауыл шаруашылығы Министрлігі жоспарлайды, жұмсайды</w:t>
                        </w:r>
                      </w:p>
                    </w:txbxContent>
                  </v:textbox>
                </v:rect>
                <v:rect id="Rectangle 514" o:spid="_x0000_s1073" style="position:absolute;left:29813;top:42672;width:11430;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">
                  <v:textbox>
                    <w:txbxContent>
                      <w:p w14:paraId="072A31EA" w14:textId="5086E1EA" w:rsidR="00D05956" w:rsidRDefault="00D05956" w:rsidP="009836B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Қаржы Министрлігі қаржы бөледі, есепті қабылдайды</w:t>
                        </w:r>
                      </w:p>
                    </w:txbxContent>
                  </v:textbox>
                </v:rect>
                <v:shape id="AutoShape 520" o:spid="_x0000_s1074" type="#_x0000_t32" style="position:absolute;left:9525;top:40481;width:45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"/>
                <v:shape id="AutoShape 521" o:spid="_x0000_s1075" type="#_x0000_t32" style="position:absolute;left:9525;top:40481;width:76;height:2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">
                  <v:stroke endarrow="block"/>
                </v:shape>
                <v:shape id="AutoShape 522" o:spid="_x0000_s1076" type="#_x0000_t32" style="position:absolute;left:22955;top:40290;width:0;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">
                  <v:stroke endarrow="block"/>
                </v:shape>
                <v:shape id="AutoShape 523" o:spid="_x0000_s1077" type="#_x0000_t32" style="position:absolute;left:36099;top:4048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">
                  <v:stroke endarrow="block"/>
                </v:shape>
                <v:shape id="AutoShape 524" o:spid="_x0000_s1078" type="#_x0000_t32" style="position:absolute;left:54578;top:40290;width:76;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5" o:spid="_x0000_s1079" type="#_x0000_t67" style="position:absolute;left:30956;top:37719;width:243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">
                  <v:textbox style="layout-flow:vertical-ideographic"/>
                </v:shape>
                <v:shape id="AutoShape 526" o:spid="_x0000_s1080" type="#_x0000_t67" style="position:absolute;left:30575;top:13811;width:228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">
                  <v:textbox style="layout-flow:vertical-ideographic"/>
                </v:shape>
                <v:rect id="Rectangle 527" o:spid="_x0000_s1081" style="position:absolute;left:42195;top:42576;width:15621;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">
                  <v:textbox>
                    <w:txbxContent>
                      <w:p w14:paraId="212DA483" w14:textId="4F69C294" w:rsidR="00D05956" w:rsidRDefault="00D05956" w:rsidP="007D08E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 палатасы бюджет орындалуы бойынша қорытынды береді</w:t>
                        </w:r>
                      </w:p>
                    </w:txbxContent>
                  </v:textbox>
                </v:rect>
                <v:shape id="AutoShape 538" o:spid="_x0000_s1082" type="#_x0000_t32" style="position:absolute;left:9525;top:63907;width:45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"/>
                <v:shape id="AutoShape 539" o:spid="_x0000_s1083" type="#_x0000_t32" style="position:absolute;left:9603;top:63929;width:0;height:2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">
                  <v:stroke endarrow="block"/>
                </v:shape>
                <v:shape id="AutoShape 540" o:spid="_x0000_s1084" type="#_x0000_t32" style="position:absolute;left:30118;top:63907;width:0;height:2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">
                  <v:stroke endarrow="block"/>
                </v:shape>
                <v:shape id="AutoShape 542" o:spid="_x0000_s1085" type="#_x0000_t32" style="position:absolute;left:54628;top:63766;width:76;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">
                  <v:stroke endarrow="block"/>
                </v:shape>
                <v:rect id="Rectangle 545" o:spid="_x0000_s1086" style="position:absolute;left:44234;top:66042;width:1333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">
                  <v:textbox>
                    <w:txbxContent>
                      <w:p w14:paraId="76D03AE4" w14:textId="63D34ED1" w:rsidR="00D05956" w:rsidRDefault="00D05956" w:rsidP="00A56B5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Ішкі аудит қызметі</w:t>
                        </w:r>
                      </w:p>
                    </w:txbxContent>
                  </v:textbox>
                </v:rect>
                <v:shape id="AutoShape 546" o:spid="_x0000_s1087" type="#_x0000_t32" style="position:absolute;left:285;top:2762;width:19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"/>
                <v:shape id="AutoShape 547" o:spid="_x0000_s1088" type="#_x0000_t32" style="position:absolute;left:95;top:2667;width:0;height:56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8" o:spid="_x0000_s1089" type="#_x0000_t13" style="position:absolute;top:57816;width:61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"/>
                <v:shape id="AutoShape 549" o:spid="_x0000_s1090" type="#_x0000_t13" style="position:absolute;left:95;top:33147;width:678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"/>
                <v:shape id="AutoShape 550" o:spid="_x0000_s1091" type="#_x0000_t13" style="position:absolute;left:95;top:10191;width:723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"/>
                <v:shape id="AutoShape 551" o:spid="_x0000_s1092" type="#_x0000_t67" style="position:absolute;left:28955;top:60362;width:251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">
                  <v:textbox style="layout-flow:vertical-ideographic"/>
                </v:shape>
                <v:shape id="AutoShape 553" o:spid="_x0000_s1093" type="#_x0000_t32" style="position:absolute;left:9620;top:52673;width:0;height:20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">
                  <v:stroke endarrow="block"/>
                </v:shape>
                <v:shape id="AutoShape 554" o:spid="_x0000_s1094" type="#_x0000_t32" style="position:absolute;left:52673;top:52673;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">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56" o:spid="_x0000_s1095" type="#_x0000_t68" style="position:absolute;left:30118;top:53130;width:160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">
                  <v:textbox style="layout-flow:vertical-ideographic"/>
                </v:shape>
                <v:shape id="AutoShape 557" o:spid="_x0000_s1096" type="#_x0000_t32" style="position:absolute;left:10191;top:28956;width:44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"/>
                <v:shape id="AutoShape 558" o:spid="_x0000_s1097" type="#_x0000_t68" style="position:absolute;left:31146;top:29051;width:236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">
                  <v:textbox style="layout-flow:vertical-ideographic"/>
                </v:shape>
                <v:shape id="AutoShape 559" o:spid="_x0000_s1098" type="#_x0000_t32" style="position:absolute;left:10287;top:26384;width:0;height:2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">
                  <v:stroke endarrow="block"/>
                </v:shape>
                <v:shape id="AutoShape 560" o:spid="_x0000_s1099" type="#_x0000_t32" style="position:absolute;left:24288;top:26289;width:0;height:2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">
                  <v:stroke endarrow="block"/>
                </v:shape>
                <v:shape id="AutoShape 561" o:spid="_x0000_s1100" type="#_x0000_t32" style="position:absolute;left:38290;top:26098;width:0;height:2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">
                  <v:stroke endarrow="block"/>
                </v:shape>
                <v:shape id="AutoShape 562" o:spid="_x0000_s1101" type="#_x0000_t32" style="position:absolute;left:55245;top:26098;width:0;height:2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">
                  <v:stroke endarrow="block"/>
                </v:shape>
              </v:group>
            </w:pict>
          </mc:Fallback>
        </mc:AlternateContent>
      </w:r>
    </w:p>
    <w:p w14:paraId="16B146BB" w14:textId="241C0E6E"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7443AA63" w14:textId="77777777"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26468172" w14:textId="1277AA2D"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529BEAE1" w14:textId="77032BB2"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3E2E60A0" w14:textId="119DC0C0"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1C8A2F49" w14:textId="275753A8"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27F5D845" w14:textId="40B69408"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7709F9D1" w14:textId="6E859704"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293A8C26" w14:textId="4D02D00C"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76FB906C" w14:textId="77777777"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5F3AD55C" w14:textId="77777777"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0AC3C959" w14:textId="77777777"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46573568" w14:textId="00D3AA2C"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54FF9042" w14:textId="591F2E0A"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3DF79531" w14:textId="43839F5A"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0B099C0F" w14:textId="60A63648"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4C16F4BB" w14:textId="01693170"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44AC0718" w14:textId="0F102143"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42C3687D" w14:textId="65432B9E" w:rsidR="00DE6BD6" w:rsidRPr="00457CE9" w:rsidRDefault="00DE6BD6" w:rsidP="00457CE9">
      <w:pPr>
        <w:widowControl w:val="0"/>
        <w:spacing w:after="0" w:line="240" w:lineRule="auto"/>
        <w:ind w:firstLine="709"/>
        <w:jc w:val="both"/>
        <w:rPr>
          <w:rFonts w:ascii="Times New Roman" w:hAnsi="Times New Roman" w:cs="Times New Roman"/>
          <w:sz w:val="28"/>
          <w:szCs w:val="28"/>
          <w:lang w:val="kk-KZ"/>
        </w:rPr>
      </w:pPr>
    </w:p>
    <w:p w14:paraId="5D8C6D35" w14:textId="5268D377" w:rsidR="00DE6BD6" w:rsidRPr="00457CE9" w:rsidRDefault="00DE6BD6" w:rsidP="00457CE9">
      <w:pPr>
        <w:widowControl w:val="0"/>
        <w:spacing w:after="0" w:line="240" w:lineRule="auto"/>
        <w:ind w:firstLine="709"/>
        <w:jc w:val="both"/>
        <w:rPr>
          <w:rFonts w:ascii="Times New Roman" w:hAnsi="Times New Roman" w:cs="Times New Roman"/>
          <w:sz w:val="28"/>
          <w:szCs w:val="28"/>
          <w:lang w:val="kk-KZ"/>
        </w:rPr>
      </w:pPr>
    </w:p>
    <w:p w14:paraId="0846B17A" w14:textId="29FEFF29" w:rsidR="00A705F9" w:rsidRPr="00457CE9" w:rsidRDefault="00B44571"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noProof/>
          <w:sz w:val="24"/>
          <w:szCs w:val="24"/>
          <w:lang w:eastAsia="ru-RU"/>
        </w:rPr>
        <mc:AlternateContent>
          <mc:Choice Requires="wps">
            <w:drawing>
              <wp:anchor distT="0" distB="0" distL="114300" distR="114300" simplePos="0" relativeHeight="252413952" behindDoc="0" locked="0" layoutInCell="1" allowOverlap="1" wp14:anchorId="677D7451" wp14:editId="5B7B7CF1">
                <wp:simplePos x="0" y="0"/>
                <wp:positionH relativeFrom="column">
                  <wp:posOffset>1344930</wp:posOffset>
                </wp:positionH>
                <wp:positionV relativeFrom="paragraph">
                  <wp:posOffset>5779135</wp:posOffset>
                </wp:positionV>
                <wp:extent cx="1104900" cy="693420"/>
                <wp:effectExtent l="5715" t="13335" r="13335" b="7620"/>
                <wp:wrapNone/>
                <wp:docPr id="754413052"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93420"/>
                        </a:xfrm>
                        <a:prstGeom prst="rect">
                          <a:avLst/>
                        </a:prstGeom>
                        <a:solidFill>
                          <a:srgbClr val="FFFFFF"/>
                        </a:solidFill>
                        <a:ln w="9525">
                          <a:solidFill>
                            <a:srgbClr val="000000"/>
                          </a:solidFill>
                          <a:miter lim="800000"/>
                          <a:headEnd/>
                          <a:tailEnd/>
                        </a:ln>
                      </wps:spPr>
                      <wps:txbx>
                        <w:txbxContent>
                          <w:p w14:paraId="52E42982" w14:textId="77777777"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D7451" id="Rectangle 511" o:spid="_x0000_s1102" style="position:absolute;left:0;text-align:left;margin-left:105.9pt;margin-top:455.05pt;width:87pt;height:54.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">
                <v:textbox>
                  <w:txbxContent>
                    <w:p w14:paraId="52E42982" w14:textId="77777777"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Министрілігі</w:t>
                      </w:r>
                    </w:p>
                  </w:txbxContent>
                </v:textbox>
              </v:rect>
            </w:pict>
          </mc:Fallback>
        </mc:AlternateContent>
      </w:r>
      <w:r w:rsidRPr="00457CE9">
        <w:rPr>
          <w:rFonts w:ascii="Times New Roman" w:hAnsi="Times New Roman" w:cs="Times New Roman"/>
          <w:noProof/>
          <w:sz w:val="24"/>
          <w:szCs w:val="24"/>
          <w:lang w:eastAsia="ru-RU"/>
        </w:rPr>
        <mc:AlternateContent>
          <mc:Choice Requires="wps">
            <w:drawing>
              <wp:anchor distT="0" distB="0" distL="114300" distR="114300" simplePos="0" relativeHeight="252409856" behindDoc="0" locked="0" layoutInCell="1" allowOverlap="1" wp14:anchorId="78C2D299" wp14:editId="2B7514ED">
                <wp:simplePos x="0" y="0"/>
                <wp:positionH relativeFrom="column">
                  <wp:posOffset>1344930</wp:posOffset>
                </wp:positionH>
                <wp:positionV relativeFrom="paragraph">
                  <wp:posOffset>5779135</wp:posOffset>
                </wp:positionV>
                <wp:extent cx="1104900" cy="693420"/>
                <wp:effectExtent l="5715" t="13335" r="13335" b="7620"/>
                <wp:wrapNone/>
                <wp:docPr id="1677282932"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93420"/>
                        </a:xfrm>
                        <a:prstGeom prst="rect">
                          <a:avLst/>
                        </a:prstGeom>
                        <a:solidFill>
                          <a:srgbClr val="FFFFFF"/>
                        </a:solidFill>
                        <a:ln w="9525">
                          <a:solidFill>
                            <a:srgbClr val="000000"/>
                          </a:solidFill>
                          <a:miter lim="800000"/>
                          <a:headEnd/>
                          <a:tailEnd/>
                        </a:ln>
                      </wps:spPr>
                      <wps:txbx>
                        <w:txbxContent>
                          <w:p w14:paraId="65163576" w14:textId="77777777"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2D299" id="Rectangle 509" o:spid="_x0000_s1103" style="position:absolute;left:0;text-align:left;margin-left:105.9pt;margin-top:455.05pt;width:87pt;height:54.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">
                <v:textbox>
                  <w:txbxContent>
                    <w:p w14:paraId="65163576" w14:textId="77777777"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Министрілігі</w:t>
                      </w:r>
                    </w:p>
                  </w:txbxContent>
                </v:textbox>
              </v:rect>
            </w:pict>
          </mc:Fallback>
        </mc:AlternateContent>
      </w:r>
    </w:p>
    <w:p w14:paraId="4C7AFBB0" w14:textId="77777777"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1793EA5B" w14:textId="77777777"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2C4C6F8F" w14:textId="6EFE48A0"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13391367" w14:textId="5B5E2CC0"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0CA30154" w14:textId="7FF43F7D"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36CEB180" w14:textId="48C67E32" w:rsidR="00113B49" w:rsidRPr="00457CE9" w:rsidRDefault="00B44571" w:rsidP="00457CE9">
      <w:pPr>
        <w:widowControl w:val="0"/>
        <w:tabs>
          <w:tab w:val="left" w:pos="2592"/>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noProof/>
          <w:sz w:val="28"/>
          <w:szCs w:val="28"/>
          <w:lang w:eastAsia="ru-RU"/>
        </w:rPr>
        <mc:AlternateContent>
          <mc:Choice Requires="wps">
            <w:drawing>
              <wp:anchor distT="0" distB="0" distL="114300" distR="114300" simplePos="0" relativeHeight="252443648" behindDoc="0" locked="0" layoutInCell="1" allowOverlap="1" wp14:anchorId="05CADDA9" wp14:editId="45B086BD">
                <wp:simplePos x="0" y="0"/>
                <wp:positionH relativeFrom="column">
                  <wp:posOffset>1053465</wp:posOffset>
                </wp:positionH>
                <wp:positionV relativeFrom="paragraph">
                  <wp:posOffset>92075</wp:posOffset>
                </wp:positionV>
                <wp:extent cx="4305300" cy="0"/>
                <wp:effectExtent l="9525" t="10795" r="9525" b="8255"/>
                <wp:wrapNone/>
                <wp:docPr id="1499182133"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E94E2" id="AutoShape 552" o:spid="_x0000_s1026" type="#_x0000_t32" style="position:absolute;margin-left:82.95pt;margin-top:7.25pt;width:339pt;height: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"/>
            </w:pict>
          </mc:Fallback>
        </mc:AlternateContent>
      </w:r>
      <w:r w:rsidR="00113B49" w:rsidRPr="00457CE9">
        <w:rPr>
          <w:rFonts w:ascii="Times New Roman" w:hAnsi="Times New Roman" w:cs="Times New Roman"/>
          <w:sz w:val="28"/>
          <w:szCs w:val="28"/>
          <w:lang w:val="kk-KZ"/>
        </w:rPr>
        <w:tab/>
      </w:r>
      <w:r w:rsidRPr="00457CE9">
        <w:rPr>
          <w:rFonts w:ascii="Times New Roman" w:hAnsi="Times New Roman" w:cs="Times New Roman"/>
          <w:noProof/>
          <w:sz w:val="24"/>
          <w:szCs w:val="24"/>
          <w:lang w:eastAsia="ru-RU"/>
        </w:rPr>
        <mc:AlternateContent>
          <mc:Choice Requires="wps">
            <w:drawing>
              <wp:anchor distT="0" distB="0" distL="114300" distR="114300" simplePos="0" relativeHeight="252411904" behindDoc="0" locked="0" layoutInCell="1" allowOverlap="1" wp14:anchorId="66132206" wp14:editId="202DD4CF">
                <wp:simplePos x="0" y="0"/>
                <wp:positionH relativeFrom="column">
                  <wp:posOffset>1344930</wp:posOffset>
                </wp:positionH>
                <wp:positionV relativeFrom="paragraph">
                  <wp:posOffset>5779135</wp:posOffset>
                </wp:positionV>
                <wp:extent cx="1104900" cy="693420"/>
                <wp:effectExtent l="5715" t="11430" r="13335" b="9525"/>
                <wp:wrapNone/>
                <wp:docPr id="138044634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93420"/>
                        </a:xfrm>
                        <a:prstGeom prst="rect">
                          <a:avLst/>
                        </a:prstGeom>
                        <a:solidFill>
                          <a:srgbClr val="FFFFFF"/>
                        </a:solidFill>
                        <a:ln w="9525">
                          <a:solidFill>
                            <a:srgbClr val="000000"/>
                          </a:solidFill>
                          <a:miter lim="800000"/>
                          <a:headEnd/>
                          <a:tailEnd/>
                        </a:ln>
                      </wps:spPr>
                      <wps:txbx>
                        <w:txbxContent>
                          <w:p w14:paraId="070D30E0" w14:textId="77777777"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32206" id="Rectangle 510" o:spid="_x0000_s1104" style="position:absolute;left:0;text-align:left;margin-left:105.9pt;margin-top:455.05pt;width:87pt;height:54.6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">
                <v:textbox>
                  <w:txbxContent>
                    <w:p w14:paraId="070D30E0" w14:textId="77777777" w:rsidR="00D05956" w:rsidRDefault="00D05956" w:rsidP="00113B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Министрілігі</w:t>
                      </w:r>
                    </w:p>
                  </w:txbxContent>
                </v:textbox>
              </v:rect>
            </w:pict>
          </mc:Fallback>
        </mc:AlternateContent>
      </w:r>
    </w:p>
    <w:p w14:paraId="62BB2C20" w14:textId="56C9403F"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1BAFF347" w14:textId="77777777" w:rsidR="00113B49" w:rsidRPr="00457CE9" w:rsidRDefault="00113B49" w:rsidP="00457CE9">
      <w:pPr>
        <w:widowControl w:val="0"/>
        <w:spacing w:after="0" w:line="240" w:lineRule="auto"/>
        <w:ind w:firstLine="709"/>
        <w:jc w:val="both"/>
        <w:rPr>
          <w:rFonts w:ascii="Times New Roman" w:hAnsi="Times New Roman" w:cs="Times New Roman"/>
          <w:sz w:val="28"/>
          <w:szCs w:val="28"/>
          <w:lang w:val="kk-KZ"/>
        </w:rPr>
      </w:pPr>
    </w:p>
    <w:p w14:paraId="4FCD4953" w14:textId="6574732C"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p w14:paraId="66970581" w14:textId="04E23698" w:rsidR="00A56B57" w:rsidRPr="00457CE9" w:rsidRDefault="00A56B57" w:rsidP="00457CE9">
      <w:pPr>
        <w:widowControl w:val="0"/>
        <w:spacing w:after="0" w:line="240" w:lineRule="auto"/>
        <w:ind w:firstLine="709"/>
        <w:jc w:val="both"/>
        <w:rPr>
          <w:rFonts w:ascii="Times New Roman" w:hAnsi="Times New Roman" w:cs="Times New Roman"/>
          <w:sz w:val="28"/>
          <w:szCs w:val="28"/>
          <w:lang w:val="kk-KZ"/>
        </w:rPr>
      </w:pPr>
    </w:p>
    <w:p w14:paraId="4ABB05FF" w14:textId="3F7FC99E" w:rsidR="00A56B57" w:rsidRPr="00457CE9" w:rsidRDefault="00A56B57" w:rsidP="00457CE9">
      <w:pPr>
        <w:widowControl w:val="0"/>
        <w:spacing w:after="0" w:line="240" w:lineRule="auto"/>
        <w:ind w:firstLine="709"/>
        <w:jc w:val="both"/>
        <w:rPr>
          <w:rFonts w:ascii="Times New Roman" w:hAnsi="Times New Roman" w:cs="Times New Roman"/>
          <w:sz w:val="28"/>
          <w:szCs w:val="28"/>
          <w:lang w:val="kk-KZ"/>
        </w:rPr>
      </w:pPr>
    </w:p>
    <w:p w14:paraId="607CECC4" w14:textId="0774D55C" w:rsidR="00A705F9" w:rsidRPr="00457CE9" w:rsidRDefault="00A705F9" w:rsidP="00457CE9">
      <w:pPr>
        <w:widowControl w:val="0"/>
        <w:spacing w:after="0" w:line="240" w:lineRule="auto"/>
        <w:ind w:firstLine="709"/>
        <w:jc w:val="both"/>
        <w:rPr>
          <w:rFonts w:ascii="Times New Roman" w:hAnsi="Times New Roman" w:cs="Times New Roman"/>
          <w:sz w:val="28"/>
          <w:szCs w:val="28"/>
          <w:lang w:val="kk-KZ"/>
        </w:rPr>
      </w:pPr>
    </w:p>
    <w:bookmarkEnd w:id="6"/>
    <w:p w14:paraId="1C4A5876" w14:textId="77777777" w:rsidR="00C30D2E" w:rsidRDefault="00C30D2E" w:rsidP="00457CE9">
      <w:pPr>
        <w:spacing w:after="0" w:line="240" w:lineRule="auto"/>
        <w:jc w:val="center"/>
        <w:rPr>
          <w:rFonts w:ascii="Times New Roman" w:hAnsi="Times New Roman" w:cs="Times New Roman"/>
          <w:sz w:val="16"/>
          <w:szCs w:val="16"/>
          <w:lang w:val="kk-KZ"/>
        </w:rPr>
      </w:pPr>
    </w:p>
    <w:p w14:paraId="5D1C5E6C" w14:textId="77777777" w:rsidR="005575C1" w:rsidRPr="00C30D2E" w:rsidRDefault="005575C1" w:rsidP="00457CE9">
      <w:pPr>
        <w:spacing w:after="0" w:line="240" w:lineRule="auto"/>
        <w:jc w:val="center"/>
        <w:rPr>
          <w:rFonts w:ascii="Times New Roman" w:hAnsi="Times New Roman" w:cs="Times New Roman"/>
          <w:sz w:val="16"/>
          <w:szCs w:val="16"/>
          <w:lang w:val="kk-KZ"/>
        </w:rPr>
      </w:pPr>
    </w:p>
    <w:p w14:paraId="6A478949" w14:textId="1F14177D" w:rsidR="001D2067" w:rsidRPr="00457CE9" w:rsidRDefault="00A56B57" w:rsidP="00457CE9">
      <w:pPr>
        <w:spacing w:after="0" w:line="240" w:lineRule="auto"/>
        <w:jc w:val="center"/>
        <w:rPr>
          <w:rFonts w:ascii="Times New Roman" w:hAnsi="Times New Roman" w:cs="Times New Roman"/>
          <w:color w:val="FF0000"/>
          <w:sz w:val="28"/>
          <w:szCs w:val="28"/>
          <w:lang w:val="kk-KZ"/>
        </w:rPr>
      </w:pPr>
      <w:r w:rsidRPr="00457CE9">
        <w:rPr>
          <w:rFonts w:ascii="Times New Roman" w:hAnsi="Times New Roman" w:cs="Times New Roman"/>
          <w:sz w:val="28"/>
          <w:szCs w:val="28"/>
          <w:lang w:val="kk-KZ"/>
        </w:rPr>
        <w:t xml:space="preserve">Сурет </w:t>
      </w:r>
      <w:r w:rsidR="00237DE0" w:rsidRPr="00457CE9">
        <w:rPr>
          <w:rFonts w:ascii="Times New Roman" w:hAnsi="Times New Roman" w:cs="Times New Roman"/>
          <w:sz w:val="28"/>
          <w:szCs w:val="28"/>
          <w:lang w:val="kk-KZ"/>
        </w:rPr>
        <w:t>3</w:t>
      </w:r>
      <w:r w:rsidRPr="00457CE9">
        <w:rPr>
          <w:rFonts w:ascii="Times New Roman" w:hAnsi="Times New Roman" w:cs="Times New Roman"/>
          <w:sz w:val="28"/>
          <w:szCs w:val="28"/>
          <w:lang w:val="kk-KZ"/>
        </w:rPr>
        <w:t xml:space="preserve"> </w:t>
      </w:r>
      <w:r w:rsidR="00C30D2E">
        <w:rPr>
          <w:rFonts w:ascii="Times New Roman" w:hAnsi="Times New Roman" w:cs="Times New Roman"/>
          <w:sz w:val="28"/>
          <w:szCs w:val="28"/>
          <w:lang w:val="kk-KZ"/>
        </w:rPr>
        <w:t xml:space="preserve">– </w:t>
      </w:r>
      <w:r w:rsidR="001D2067" w:rsidRPr="00457CE9">
        <w:rPr>
          <w:rFonts w:ascii="Times New Roman" w:hAnsi="Times New Roman" w:cs="Times New Roman"/>
          <w:sz w:val="28"/>
          <w:szCs w:val="28"/>
          <w:lang w:val="kk-KZ"/>
        </w:rPr>
        <w:t xml:space="preserve">ҚР </w:t>
      </w:r>
      <w:r w:rsidR="00575788">
        <w:rPr>
          <w:rFonts w:ascii="Times New Roman" w:hAnsi="Times New Roman" w:cs="Times New Roman"/>
          <w:sz w:val="28"/>
          <w:szCs w:val="28"/>
          <w:lang w:val="kk-KZ"/>
        </w:rPr>
        <w:t>АӨК-н</w:t>
      </w:r>
      <w:r w:rsidR="001D2067" w:rsidRPr="00457CE9">
        <w:rPr>
          <w:rFonts w:ascii="Times New Roman" w:hAnsi="Times New Roman" w:cs="Times New Roman"/>
          <w:sz w:val="28"/>
          <w:szCs w:val="28"/>
          <w:lang w:val="kk-KZ"/>
        </w:rPr>
        <w:t xml:space="preserve"> дамытуға бағытталған бюджет қаражатының көздері,  жоспарлау, басқару, жұмсау, есеп беру, есепті бекітуге  жауапты мемлекеттік органдары және оны пайдалану тиімділігінің аудитін жүргізетін органдар</w:t>
      </w:r>
    </w:p>
    <w:p w14:paraId="019A1013" w14:textId="77777777" w:rsidR="00580C40" w:rsidRDefault="00580C40" w:rsidP="00457CE9">
      <w:pPr>
        <w:widowControl w:val="0"/>
        <w:spacing w:after="0" w:line="240" w:lineRule="auto"/>
        <w:ind w:firstLine="709"/>
        <w:jc w:val="both"/>
        <w:rPr>
          <w:rFonts w:ascii="Times New Roman" w:hAnsi="Times New Roman" w:cs="Times New Roman"/>
          <w:sz w:val="24"/>
          <w:szCs w:val="24"/>
          <w:lang w:val="kk-KZ"/>
        </w:rPr>
      </w:pPr>
    </w:p>
    <w:p w14:paraId="2D0ECF74" w14:textId="782D6C20" w:rsidR="006F4D34" w:rsidRPr="00457CE9" w:rsidRDefault="006F4D34" w:rsidP="00457CE9">
      <w:pPr>
        <w:widowControl w:val="0"/>
        <w:spacing w:after="0" w:line="240" w:lineRule="auto"/>
        <w:ind w:firstLine="709"/>
        <w:jc w:val="both"/>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Ескерту – </w:t>
      </w:r>
      <w:r w:rsidR="00C30D2E" w:rsidRPr="00457CE9">
        <w:rPr>
          <w:rFonts w:ascii="Times New Roman" w:hAnsi="Times New Roman" w:cs="Times New Roman"/>
          <w:sz w:val="24"/>
          <w:szCs w:val="24"/>
          <w:lang w:val="kk-KZ"/>
        </w:rPr>
        <w:t>З</w:t>
      </w:r>
      <w:r w:rsidR="00BB4895" w:rsidRPr="00457CE9">
        <w:rPr>
          <w:rFonts w:ascii="Times New Roman" w:hAnsi="Times New Roman" w:cs="Times New Roman"/>
          <w:sz w:val="24"/>
          <w:szCs w:val="24"/>
          <w:lang w:val="kk-KZ"/>
        </w:rPr>
        <w:t xml:space="preserve">ерттеу негізінде </w:t>
      </w:r>
      <w:r w:rsidRPr="00457CE9">
        <w:rPr>
          <w:rFonts w:ascii="Times New Roman" w:hAnsi="Times New Roman" w:cs="Times New Roman"/>
          <w:sz w:val="24"/>
          <w:szCs w:val="24"/>
          <w:lang w:val="kk-KZ"/>
        </w:rPr>
        <w:t>автормен құрастырылған</w:t>
      </w:r>
    </w:p>
    <w:p w14:paraId="2CFC962C" w14:textId="77777777" w:rsidR="00580C40" w:rsidRDefault="00580C40" w:rsidP="00F96902">
      <w:pPr>
        <w:widowControl w:val="0"/>
        <w:spacing w:after="0" w:line="240" w:lineRule="auto"/>
        <w:ind w:firstLine="709"/>
        <w:jc w:val="both"/>
        <w:rPr>
          <w:rFonts w:ascii="Times New Roman" w:hAnsi="Times New Roman" w:cs="Times New Roman"/>
          <w:sz w:val="28"/>
          <w:szCs w:val="28"/>
          <w:lang w:val="kk-KZ"/>
        </w:rPr>
      </w:pPr>
    </w:p>
    <w:p w14:paraId="2872358A" w14:textId="57C33056" w:rsidR="00F96902" w:rsidRDefault="00580C40" w:rsidP="00F9690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3-сурет мәліметтерінен ҚР АӨК дамытуға бағытталған бюджет қаражатының тиімділік аудитін жүзеге асыратын ЖАП республикалық, жергілікті бюджеттердің, Ұлттық қордан бөлінген нысаналы трансферттердің пайдалану тиімділігін тексерсе, тексеру комиссиялары облыстық бюджеттердің тиімділігін, ал АШМ-нің құрылымдық және ішкі аудит қызметі аймақтық бөлімшелерінде, ведомстволық ұйымдарының барлық қызмет бағыттары бойынша тиімділік аудитін жүргізуге міндетті. Алайда іс жүзінде оның толық орындалуы екіталай. </w:t>
      </w:r>
      <w:r w:rsidR="003E6BA4">
        <w:rPr>
          <w:rFonts w:ascii="Times New Roman" w:hAnsi="Times New Roman" w:cs="Times New Roman"/>
          <w:sz w:val="28"/>
          <w:szCs w:val="28"/>
          <w:lang w:val="kk-KZ"/>
        </w:rPr>
        <w:t xml:space="preserve">Бюджет қаражатының тиімді пайдаланылуына баға беру үшін тексеруден өтіп жатқан объектінің алға қойылған мақсаттарға жету үшін қажетті ресурстарды неғұрлым үнемді тәсілмен сатып алу және пайдалану мүмкіндігінің болуын анықтау қажет. </w:t>
      </w:r>
      <w:r w:rsidR="00F96902">
        <w:rPr>
          <w:rFonts w:ascii="Times New Roman" w:hAnsi="Times New Roman" w:cs="Times New Roman"/>
          <w:sz w:val="28"/>
          <w:szCs w:val="28"/>
          <w:lang w:val="kk-KZ"/>
        </w:rPr>
        <w:t>Тексерудің осы түрін ұйымдастыру кезінде Жоғары аудиторлық палатасының мемлекеттік аудиторларына әрбір тексеру бюджет қаражатын пайдаланатын мемлекеттік билік органдары мен басқа да ұйымдардың қызметіндегі үнемділікті, ашықтықты және есеп берушілікті арттыруға ықпал ететін, сондай-ақ қоғамның мүдделеріне сәйкес келетін неғұрлым маңызды мәселелер</w:t>
      </w:r>
      <w:r w:rsidR="0006186B">
        <w:rPr>
          <w:rFonts w:ascii="Times New Roman" w:hAnsi="Times New Roman" w:cs="Times New Roman"/>
          <w:sz w:val="28"/>
          <w:szCs w:val="28"/>
          <w:lang w:val="kk-KZ"/>
        </w:rPr>
        <w:t>і</w:t>
      </w:r>
      <w:r w:rsidR="00F96902">
        <w:rPr>
          <w:rFonts w:ascii="Times New Roman" w:hAnsi="Times New Roman" w:cs="Times New Roman"/>
          <w:sz w:val="28"/>
          <w:szCs w:val="28"/>
          <w:lang w:val="kk-KZ"/>
        </w:rPr>
        <w:t xml:space="preserve"> мен проблемаларды шешуге көмектесетін белгілі бір нәтижелер беруі тиіс екендігін басшылыққа алу қажет. Осы мемлекеттік қаржылық бақылау органы нақты жағдайды барабар түсіндіруге тәуелсіз әрекет етуге міндетті. </w:t>
      </w:r>
    </w:p>
    <w:p w14:paraId="199CF12B" w14:textId="23B07059" w:rsidR="003E6BA4" w:rsidRDefault="003E6BA4" w:rsidP="003E6BA4">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Тиімділік аудитінің объектілері тек бюджет қаражатын пайдаланатын ұйымдар, кәсіпорындар мен мекемелер ғана емес, сондай-ақ қызметіне бюджет қаражаты қатысатын азаматтардың түрлі әлеуметтік топтары болып табылады. Тиімділік аудиті</w:t>
      </w:r>
      <w:r w:rsidR="0006186B">
        <w:rPr>
          <w:rFonts w:ascii="Times New Roman" w:hAnsi="Times New Roman" w:cs="Times New Roman"/>
          <w:sz w:val="28"/>
          <w:szCs w:val="28"/>
          <w:lang w:val="kk-KZ"/>
        </w:rPr>
        <w:t>н</w:t>
      </w:r>
      <w:r>
        <w:rPr>
          <w:rFonts w:ascii="Times New Roman" w:hAnsi="Times New Roman" w:cs="Times New Roman"/>
          <w:sz w:val="28"/>
          <w:szCs w:val="28"/>
          <w:lang w:val="kk-KZ"/>
        </w:rPr>
        <w:t xml:space="preserve"> жүргізу барысында бюджет қаражатын пайдаланудың экономикалық нәтижелілігін анықтау және алынған әлеуметтік-экономикалық тиімділікке баға беру қажет, </w:t>
      </w:r>
      <w:r w:rsidR="0006186B">
        <w:rPr>
          <w:rFonts w:ascii="Times New Roman" w:hAnsi="Times New Roman" w:cs="Times New Roman"/>
          <w:sz w:val="28"/>
          <w:szCs w:val="28"/>
          <w:lang w:val="kk-KZ"/>
        </w:rPr>
        <w:t>яғни,</w:t>
      </w:r>
      <w:r>
        <w:rPr>
          <w:rFonts w:ascii="Times New Roman" w:hAnsi="Times New Roman" w:cs="Times New Roman"/>
          <w:sz w:val="28"/>
          <w:szCs w:val="28"/>
          <w:lang w:val="kk-KZ"/>
        </w:rPr>
        <w:t xml:space="preserve"> </w:t>
      </w:r>
      <w:r w:rsidR="0006186B">
        <w:rPr>
          <w:rFonts w:ascii="Times New Roman" w:hAnsi="Times New Roman" w:cs="Times New Roman"/>
          <w:sz w:val="28"/>
          <w:szCs w:val="28"/>
          <w:lang w:val="kk-KZ"/>
        </w:rPr>
        <w:t>нақты</w:t>
      </w:r>
      <w:r>
        <w:rPr>
          <w:rFonts w:ascii="Times New Roman" w:hAnsi="Times New Roman" w:cs="Times New Roman"/>
          <w:sz w:val="28"/>
          <w:szCs w:val="28"/>
          <w:lang w:val="kk-KZ"/>
        </w:rPr>
        <w:t xml:space="preserve"> деректерге негізделе отырып, мемлекеттік қаражатты пайдаланудың тиімділігі туралы қорытынды жасау керек. </w:t>
      </w:r>
    </w:p>
    <w:p w14:paraId="65527669" w14:textId="37A2134E" w:rsidR="00220ADB" w:rsidRPr="00457CE9" w:rsidRDefault="002C2865"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ҚР «Мемлекеттік аудит және қаржылық бақылау туралы» заңына сәйкес АӨК дамытуға бағытталған бюджет қаражатын пайдаланудың тиімділік аудитін ұйымдастыру</w:t>
      </w:r>
      <w:r w:rsidR="003B6ED5" w:rsidRPr="00457CE9">
        <w:rPr>
          <w:rFonts w:ascii="Times New Roman" w:hAnsi="Times New Roman" w:cs="Times New Roman"/>
          <w:sz w:val="28"/>
          <w:szCs w:val="28"/>
          <w:lang w:val="kk-KZ"/>
        </w:rPr>
        <w:t xml:space="preserve">ды </w:t>
      </w:r>
      <w:r w:rsidRPr="00457CE9">
        <w:rPr>
          <w:rFonts w:ascii="Times New Roman" w:hAnsi="Times New Roman" w:cs="Times New Roman"/>
          <w:sz w:val="28"/>
          <w:szCs w:val="28"/>
          <w:lang w:val="kk-KZ"/>
        </w:rPr>
        <w:t>ҚР Жоғары аудиторлық палата</w:t>
      </w:r>
      <w:r w:rsidR="003B6ED5" w:rsidRPr="00457CE9">
        <w:rPr>
          <w:rFonts w:ascii="Times New Roman" w:hAnsi="Times New Roman" w:cs="Times New Roman"/>
          <w:sz w:val="28"/>
          <w:szCs w:val="28"/>
          <w:lang w:val="kk-KZ"/>
        </w:rPr>
        <w:t>сы</w:t>
      </w:r>
      <w:r w:rsidR="00226AD5" w:rsidRPr="00457CE9">
        <w:rPr>
          <w:rFonts w:ascii="Times New Roman" w:hAnsi="Times New Roman" w:cs="Times New Roman"/>
          <w:sz w:val="28"/>
          <w:szCs w:val="28"/>
          <w:lang w:val="kk-KZ"/>
        </w:rPr>
        <w:t>, облыстық тексеру комиссиялары</w:t>
      </w:r>
      <w:r w:rsidR="0006186B">
        <w:rPr>
          <w:rFonts w:ascii="Times New Roman" w:hAnsi="Times New Roman" w:cs="Times New Roman"/>
          <w:sz w:val="28"/>
          <w:szCs w:val="28"/>
          <w:lang w:val="kk-KZ"/>
        </w:rPr>
        <w:t>, АШМ ішкі аудит департаменті</w:t>
      </w:r>
      <w:r w:rsidR="003B6ED5" w:rsidRPr="00457CE9">
        <w:rPr>
          <w:rFonts w:ascii="Times New Roman" w:hAnsi="Times New Roman" w:cs="Times New Roman"/>
          <w:sz w:val="28"/>
          <w:szCs w:val="28"/>
          <w:lang w:val="kk-KZ"/>
        </w:rPr>
        <w:t xml:space="preserve"> жүзеге асыруда</w:t>
      </w:r>
      <w:r w:rsidR="00DB4D5C" w:rsidRPr="00457CE9">
        <w:rPr>
          <w:rFonts w:ascii="Times New Roman" w:hAnsi="Times New Roman" w:cs="Times New Roman"/>
          <w:sz w:val="28"/>
          <w:szCs w:val="28"/>
          <w:lang w:val="kk-KZ"/>
        </w:rPr>
        <w:t xml:space="preserve"> [</w:t>
      </w:r>
      <w:r w:rsidR="006501E9" w:rsidRPr="00457CE9">
        <w:rPr>
          <w:rFonts w:ascii="Times New Roman" w:hAnsi="Times New Roman" w:cs="Times New Roman"/>
          <w:sz w:val="28"/>
          <w:szCs w:val="28"/>
          <w:lang w:val="kk-KZ"/>
        </w:rPr>
        <w:t>1</w:t>
      </w:r>
      <w:r w:rsidR="00DB48D2">
        <w:rPr>
          <w:rFonts w:ascii="Times New Roman" w:hAnsi="Times New Roman" w:cs="Times New Roman"/>
          <w:sz w:val="28"/>
          <w:szCs w:val="28"/>
          <w:lang w:val="kk-KZ"/>
        </w:rPr>
        <w:t>3</w:t>
      </w:r>
      <w:r w:rsidR="00DB4D5C"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p>
    <w:p w14:paraId="211AD6F2" w14:textId="45F9A8A6" w:rsidR="003B6ED5" w:rsidRPr="00457CE9" w:rsidRDefault="003B6ED5"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АӨК дамытуға бағытталған бюджет қаражатының тиімділік аудитін Жоғары аудиторлық палата</w:t>
      </w:r>
      <w:r w:rsidR="0019678D" w:rsidRPr="00457CE9">
        <w:rPr>
          <w:rFonts w:ascii="Times New Roman" w:hAnsi="Times New Roman" w:cs="Times New Roman"/>
          <w:sz w:val="28"/>
          <w:szCs w:val="28"/>
          <w:lang w:val="kk-KZ"/>
        </w:rPr>
        <w:t xml:space="preserve"> басшылыққа алатын нормативті-құқықтық актілері </w:t>
      </w:r>
      <w:r w:rsidR="00237DE0" w:rsidRPr="00457CE9">
        <w:rPr>
          <w:rFonts w:ascii="Times New Roman" w:hAnsi="Times New Roman" w:cs="Times New Roman"/>
          <w:sz w:val="28"/>
          <w:szCs w:val="28"/>
          <w:lang w:val="kk-KZ"/>
        </w:rPr>
        <w:t>4</w:t>
      </w:r>
      <w:r w:rsidR="0019678D" w:rsidRPr="00457CE9">
        <w:rPr>
          <w:rFonts w:ascii="Times New Roman" w:hAnsi="Times New Roman" w:cs="Times New Roman"/>
          <w:sz w:val="28"/>
          <w:szCs w:val="28"/>
          <w:lang w:val="kk-KZ"/>
        </w:rPr>
        <w:t>-суретте келтірілген.</w:t>
      </w:r>
    </w:p>
    <w:p w14:paraId="392F4889" w14:textId="3042C3AC" w:rsidR="003B6ED5" w:rsidRPr="00457CE9" w:rsidRDefault="003B6ED5" w:rsidP="00457CE9">
      <w:pPr>
        <w:widowControl w:val="0"/>
        <w:spacing w:after="0" w:line="240" w:lineRule="auto"/>
        <w:ind w:firstLine="709"/>
        <w:jc w:val="both"/>
        <w:rPr>
          <w:rFonts w:ascii="Times New Roman" w:hAnsi="Times New Roman" w:cs="Times New Roman"/>
          <w:sz w:val="28"/>
          <w:szCs w:val="28"/>
          <w:lang w:val="kk-KZ"/>
        </w:rPr>
      </w:pPr>
    </w:p>
    <w:p w14:paraId="6EBE90B0" w14:textId="0C595995" w:rsidR="003B6ED5" w:rsidRPr="00457CE9" w:rsidRDefault="00C30D2E" w:rsidP="00457CE9">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70880" behindDoc="0" locked="0" layoutInCell="1" allowOverlap="1" wp14:anchorId="4ED5B4DE" wp14:editId="5ACE502A">
                <wp:simplePos x="0" y="0"/>
                <wp:positionH relativeFrom="column">
                  <wp:posOffset>215265</wp:posOffset>
                </wp:positionH>
                <wp:positionV relativeFrom="paragraph">
                  <wp:posOffset>4445</wp:posOffset>
                </wp:positionV>
                <wp:extent cx="5802630" cy="1771650"/>
                <wp:effectExtent l="0" t="0" r="26670" b="19050"/>
                <wp:wrapNone/>
                <wp:docPr id="5" name="Группа 5"/>
                <wp:cNvGraphicFramePr/>
                <a:graphic xmlns:a="http://schemas.openxmlformats.org/drawingml/2006/main">
                  <a:graphicData uri="http://schemas.microsoft.com/office/word/2010/wordprocessingGroup">
                    <wpg:wgp>
                      <wpg:cNvGrpSpPr/>
                      <wpg:grpSpPr>
                        <a:xfrm>
                          <a:off x="0" y="0"/>
                          <a:ext cx="5802630" cy="1771650"/>
                          <a:chOff x="0" y="0"/>
                          <a:chExt cx="5802630" cy="1771650"/>
                        </a:xfrm>
                      </wpg:grpSpPr>
                      <wps:wsp>
                        <wps:cNvPr id="1977588937" name="Прямоугольник 428"/>
                        <wps:cNvSpPr>
                          <a:spLocks/>
                        </wps:cNvSpPr>
                        <wps:spPr>
                          <a:xfrm>
                            <a:off x="1009650" y="0"/>
                            <a:ext cx="4008120" cy="485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8794590" w14:textId="6AC917F0" w:rsidR="00D05956" w:rsidRPr="003B6ED5" w:rsidRDefault="00D05956" w:rsidP="00C30D2E">
                              <w:pPr>
                                <w:spacing w:after="0" w:line="240" w:lineRule="auto"/>
                                <w:jc w:val="center"/>
                                <w:rPr>
                                  <w:rFonts w:ascii="Times New Roman" w:hAnsi="Times New Roman" w:cs="Times New Roman"/>
                                  <w:sz w:val="24"/>
                                  <w:szCs w:val="24"/>
                                  <w:lang w:val="kk-KZ"/>
                                </w:rPr>
                              </w:pPr>
                              <w:r w:rsidRPr="003B6ED5">
                                <w:rPr>
                                  <w:rFonts w:ascii="Times New Roman" w:hAnsi="Times New Roman" w:cs="Times New Roman"/>
                                  <w:sz w:val="24"/>
                                  <w:szCs w:val="24"/>
                                  <w:lang w:val="kk-KZ"/>
                                </w:rPr>
                                <w:t>ҚР Жоғары аудиторлық палатасы</w:t>
                              </w:r>
                              <w:r>
                                <w:rPr>
                                  <w:rFonts w:ascii="Times New Roman" w:hAnsi="Times New Roman" w:cs="Times New Roman"/>
                                  <w:sz w:val="24"/>
                                  <w:szCs w:val="24"/>
                                  <w:lang w:val="kk-KZ"/>
                                </w:rPr>
                                <w:t xml:space="preserve"> тиімділік аудитін жүргізу кезінде басшылыққа алатын НҚА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088768" name="Прямая со стрелкой 425"/>
                        <wps:cNvCnPr>
                          <a:cxnSpLocks/>
                        </wps:cNvCnPr>
                        <wps:spPr>
                          <a:xfrm>
                            <a:off x="1257300" y="49530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2900152" name="Прямоугольник 423"/>
                        <wps:cNvSpPr>
                          <a:spLocks/>
                        </wps:cNvSpPr>
                        <wps:spPr>
                          <a:xfrm>
                            <a:off x="0" y="762000"/>
                            <a:ext cx="1432560" cy="10058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3B03FC" w14:textId="25A0946D" w:rsidR="00D05956" w:rsidRPr="0019678D" w:rsidRDefault="00D05956" w:rsidP="00C30D2E">
                              <w:pPr>
                                <w:spacing w:after="0" w:line="240" w:lineRule="auto"/>
                                <w:jc w:val="center"/>
                                <w:rPr>
                                  <w:rFonts w:ascii="Times New Roman" w:hAnsi="Times New Roman" w:cs="Times New Roman"/>
                                  <w:sz w:val="24"/>
                                  <w:szCs w:val="24"/>
                                  <w:lang w:val="kk-KZ"/>
                                </w:rPr>
                              </w:pPr>
                              <w:r w:rsidRPr="0019678D">
                                <w:rPr>
                                  <w:rFonts w:ascii="Times New Roman" w:hAnsi="Times New Roman" w:cs="Times New Roman"/>
                                  <w:sz w:val="24"/>
                                  <w:szCs w:val="24"/>
                                  <w:lang w:val="kk-KZ"/>
                                </w:rPr>
                                <w:t>Сыртқы мемлекеттік аудит және қаржылық бақылауды жүргізу тәртібі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80849" name="Прямая со стрелкой 426"/>
                        <wps:cNvCnPr>
                          <a:cxnSpLocks/>
                        </wps:cNvCnPr>
                        <wps:spPr>
                          <a:xfrm>
                            <a:off x="3038475" y="523875"/>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2207446" name="Прямоугольник 424"/>
                        <wps:cNvSpPr>
                          <a:spLocks/>
                        </wps:cNvSpPr>
                        <wps:spPr>
                          <a:xfrm>
                            <a:off x="1600200" y="781050"/>
                            <a:ext cx="1531620" cy="9906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AC53781" w14:textId="035C1C9C" w:rsidR="00D05956" w:rsidRPr="0019678D" w:rsidRDefault="00D05956" w:rsidP="00C30D2E">
                              <w:pPr>
                                <w:spacing w:after="0" w:line="240" w:lineRule="auto"/>
                                <w:jc w:val="center"/>
                                <w:rPr>
                                  <w:rFonts w:ascii="Times New Roman" w:hAnsi="Times New Roman" w:cs="Times New Roman"/>
                                  <w:sz w:val="24"/>
                                  <w:szCs w:val="24"/>
                                  <w:lang w:val="kk-KZ"/>
                                </w:rPr>
                              </w:pPr>
                              <w:r w:rsidRPr="0019678D">
                                <w:rPr>
                                  <w:rFonts w:ascii="Times New Roman" w:hAnsi="Times New Roman" w:cs="Times New Roman"/>
                                  <w:sz w:val="24"/>
                                  <w:szCs w:val="24"/>
                                  <w:lang w:val="kk-KZ"/>
                                </w:rPr>
                                <w:t>Сыртқы мемлекеттік аудит және қаржылық бақылаудың рәсімдік стандарты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97677598" name="Прямая со стрелкой 427"/>
                        <wps:cNvCnPr>
                          <a:cxnSpLocks/>
                        </wps:cNvCnPr>
                        <wps:spPr>
                          <a:xfrm>
                            <a:off x="4600575" y="49530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9146508" name="Прямоугольник 422"/>
                        <wps:cNvSpPr>
                          <a:spLocks/>
                        </wps:cNvSpPr>
                        <wps:spPr>
                          <a:xfrm>
                            <a:off x="3257550" y="762000"/>
                            <a:ext cx="2545080" cy="10058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BF24C1F" w14:textId="7EF4C71F" w:rsidR="00D05956" w:rsidRPr="0019678D" w:rsidRDefault="00D05956" w:rsidP="00C30D2E">
                              <w:pPr>
                                <w:spacing w:after="0" w:line="240" w:lineRule="auto"/>
                                <w:jc w:val="center"/>
                                <w:rPr>
                                  <w:rFonts w:ascii="Times New Roman" w:hAnsi="Times New Roman" w:cs="Times New Roman"/>
                                  <w:sz w:val="24"/>
                                  <w:szCs w:val="24"/>
                                  <w:lang w:val="kk-KZ"/>
                                </w:rPr>
                              </w:pPr>
                              <w:r w:rsidRPr="0019678D">
                                <w:rPr>
                                  <w:rFonts w:ascii="Times New Roman" w:hAnsi="Times New Roman" w:cs="Times New Roman"/>
                                  <w:sz w:val="24"/>
                                  <w:szCs w:val="24"/>
                                  <w:lang w:val="kk-KZ"/>
                                </w:rPr>
                                <w:t>Тиімділік аудитін жүргізу бойынша сыртқы мемлекеттік аудит және қаржылық бақылаудың рәсімдік стандартын пайдалану бойынша әдіснамалық басшылық</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5B4DE" id="Группа 5" o:spid="_x0000_s1105" style="position:absolute;left:0;text-align:left;margin-left:16.95pt;margin-top:.35pt;width:456.9pt;height:139.5pt;z-index:251770880" coordsize="58026,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">
                <v:rect id="Прямоугольник 428" o:spid="_x0000_s1106" style="position:absolute;left:10096;width:4008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" fillcolor="white [3201]" strokecolor="black [3200]" strokeweight=".25pt">
                  <v:path arrowok="t"/>
                  <v:textbox>
                    <w:txbxContent>
                      <w:p w14:paraId="18794590" w14:textId="6AC917F0" w:rsidR="00D05956" w:rsidRPr="003B6ED5" w:rsidRDefault="00D05956" w:rsidP="00C30D2E">
                        <w:pPr>
                          <w:spacing w:after="0" w:line="240" w:lineRule="auto"/>
                          <w:jc w:val="center"/>
                          <w:rPr>
                            <w:rFonts w:ascii="Times New Roman" w:hAnsi="Times New Roman" w:cs="Times New Roman"/>
                            <w:sz w:val="24"/>
                            <w:szCs w:val="24"/>
                            <w:lang w:val="kk-KZ"/>
                          </w:rPr>
                        </w:pPr>
                        <w:r w:rsidRPr="003B6ED5">
                          <w:rPr>
                            <w:rFonts w:ascii="Times New Roman" w:hAnsi="Times New Roman" w:cs="Times New Roman"/>
                            <w:sz w:val="24"/>
                            <w:szCs w:val="24"/>
                            <w:lang w:val="kk-KZ"/>
                          </w:rPr>
                          <w:t>ҚР Жоғары аудиторлық палатасы</w:t>
                        </w:r>
                        <w:r>
                          <w:rPr>
                            <w:rFonts w:ascii="Times New Roman" w:hAnsi="Times New Roman" w:cs="Times New Roman"/>
                            <w:sz w:val="24"/>
                            <w:szCs w:val="24"/>
                            <w:lang w:val="kk-KZ"/>
                          </w:rPr>
                          <w:t xml:space="preserve"> тиімділік аудитін жүргізу кезінде басшылыққа алатын НҚА</w:t>
                        </w:r>
                      </w:p>
                    </w:txbxContent>
                  </v:textbox>
                </v:rect>
                <v:shape id="Прямая со стрелкой 425" o:spid="_x0000_s1107" type="#_x0000_t32" style="position:absolute;left:12573;top:4953;width:0;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" strokecolor="#4579b8 [3044]">
                  <v:stroke endarrow="block"/>
                  <o:lock v:ext="edit" shapetype="f"/>
                </v:shape>
                <v:rect id="Прямоугольник 423" o:spid="_x0000_s1108" style="position:absolute;top:7620;width:14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" fillcolor="white [3201]" strokecolor="black [3200]" strokeweight=".25pt">
                  <v:path arrowok="t"/>
                  <v:textbox>
                    <w:txbxContent>
                      <w:p w14:paraId="523B03FC" w14:textId="25A0946D" w:rsidR="00D05956" w:rsidRPr="0019678D" w:rsidRDefault="00D05956" w:rsidP="00C30D2E">
                        <w:pPr>
                          <w:spacing w:after="0" w:line="240" w:lineRule="auto"/>
                          <w:jc w:val="center"/>
                          <w:rPr>
                            <w:rFonts w:ascii="Times New Roman" w:hAnsi="Times New Roman" w:cs="Times New Roman"/>
                            <w:sz w:val="24"/>
                            <w:szCs w:val="24"/>
                            <w:lang w:val="kk-KZ"/>
                          </w:rPr>
                        </w:pPr>
                        <w:r w:rsidRPr="0019678D">
                          <w:rPr>
                            <w:rFonts w:ascii="Times New Roman" w:hAnsi="Times New Roman" w:cs="Times New Roman"/>
                            <w:sz w:val="24"/>
                            <w:szCs w:val="24"/>
                            <w:lang w:val="kk-KZ"/>
                          </w:rPr>
                          <w:t>Сыртқы мемлекеттік аудит және қаржылық бақылауды жүргізу тәртібі</w:t>
                        </w:r>
                      </w:p>
                    </w:txbxContent>
                  </v:textbox>
                </v:rect>
                <v:shape id="Прямая со стрелкой 426" o:spid="_x0000_s1109" type="#_x0000_t32" style="position:absolute;left:30384;top:5238;width:0;height:2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" strokecolor="#4579b8 [3044]">
                  <v:stroke endarrow="block"/>
                  <o:lock v:ext="edit" shapetype="f"/>
                </v:shape>
                <v:rect id="Прямоугольник 424" o:spid="_x0000_s1110" style="position:absolute;left:16002;top:7810;width:1531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" fillcolor="white [3201]" strokecolor="black [3200]" strokeweight=".25pt">
                  <v:path arrowok="t"/>
                  <v:textbox>
                    <w:txbxContent>
                      <w:p w14:paraId="5AC53781" w14:textId="035C1C9C" w:rsidR="00D05956" w:rsidRPr="0019678D" w:rsidRDefault="00D05956" w:rsidP="00C30D2E">
                        <w:pPr>
                          <w:spacing w:after="0" w:line="240" w:lineRule="auto"/>
                          <w:jc w:val="center"/>
                          <w:rPr>
                            <w:rFonts w:ascii="Times New Roman" w:hAnsi="Times New Roman" w:cs="Times New Roman"/>
                            <w:sz w:val="24"/>
                            <w:szCs w:val="24"/>
                            <w:lang w:val="kk-KZ"/>
                          </w:rPr>
                        </w:pPr>
                        <w:r w:rsidRPr="0019678D">
                          <w:rPr>
                            <w:rFonts w:ascii="Times New Roman" w:hAnsi="Times New Roman" w:cs="Times New Roman"/>
                            <w:sz w:val="24"/>
                            <w:szCs w:val="24"/>
                            <w:lang w:val="kk-KZ"/>
                          </w:rPr>
                          <w:t>Сыртқы мемлекеттік аудит және қаржылық бақылаудың рәсімдік стандарты</w:t>
                        </w:r>
                      </w:p>
                    </w:txbxContent>
                  </v:textbox>
                </v:rect>
                <v:shape id="Прямая со стрелкой 427" o:spid="_x0000_s1111" type="#_x0000_t32" style="position:absolute;left:46005;top:4953;width:0;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" strokecolor="#4579b8 [3044]">
                  <v:stroke endarrow="block"/>
                  <o:lock v:ext="edit" shapetype="f"/>
                </v:shape>
                <v:rect id="Прямоугольник 422" o:spid="_x0000_s1112" style="position:absolute;left:32575;top:7620;width:25451;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" fillcolor="white [3201]" strokecolor="black [3200]" strokeweight=".25pt">
                  <v:path arrowok="t"/>
                  <v:textbox>
                    <w:txbxContent>
                      <w:p w14:paraId="5BF24C1F" w14:textId="7EF4C71F" w:rsidR="00D05956" w:rsidRPr="0019678D" w:rsidRDefault="00D05956" w:rsidP="00C30D2E">
                        <w:pPr>
                          <w:spacing w:after="0" w:line="240" w:lineRule="auto"/>
                          <w:jc w:val="center"/>
                          <w:rPr>
                            <w:rFonts w:ascii="Times New Roman" w:hAnsi="Times New Roman" w:cs="Times New Roman"/>
                            <w:sz w:val="24"/>
                            <w:szCs w:val="24"/>
                            <w:lang w:val="kk-KZ"/>
                          </w:rPr>
                        </w:pPr>
                        <w:r w:rsidRPr="0019678D">
                          <w:rPr>
                            <w:rFonts w:ascii="Times New Roman" w:hAnsi="Times New Roman" w:cs="Times New Roman"/>
                            <w:sz w:val="24"/>
                            <w:szCs w:val="24"/>
                            <w:lang w:val="kk-KZ"/>
                          </w:rPr>
                          <w:t>Тиімділік аудитін жүргізу бойынша сыртқы мемлекеттік аудит және қаржылық бақылаудың рәсімдік стандартын пайдалану бойынша әдіснамалық басшылық</w:t>
                        </w:r>
                      </w:p>
                    </w:txbxContent>
                  </v:textbox>
                </v:rect>
              </v:group>
            </w:pict>
          </mc:Fallback>
        </mc:AlternateContent>
      </w:r>
    </w:p>
    <w:p w14:paraId="64CE63FA" w14:textId="6539DFF3" w:rsidR="003B6ED5" w:rsidRPr="00457CE9" w:rsidRDefault="003B6ED5" w:rsidP="00457CE9">
      <w:pPr>
        <w:widowControl w:val="0"/>
        <w:spacing w:after="0" w:line="240" w:lineRule="auto"/>
        <w:ind w:firstLine="709"/>
        <w:jc w:val="both"/>
        <w:rPr>
          <w:rFonts w:ascii="Times New Roman" w:hAnsi="Times New Roman" w:cs="Times New Roman"/>
          <w:sz w:val="28"/>
          <w:szCs w:val="28"/>
          <w:lang w:val="kk-KZ"/>
        </w:rPr>
      </w:pPr>
    </w:p>
    <w:p w14:paraId="5B131AA7" w14:textId="6B287316" w:rsidR="003B6ED5" w:rsidRPr="00457CE9" w:rsidRDefault="003B6ED5" w:rsidP="00457CE9">
      <w:pPr>
        <w:widowControl w:val="0"/>
        <w:spacing w:after="0" w:line="240" w:lineRule="auto"/>
        <w:ind w:firstLine="709"/>
        <w:jc w:val="both"/>
        <w:rPr>
          <w:rFonts w:ascii="Times New Roman" w:hAnsi="Times New Roman" w:cs="Times New Roman"/>
          <w:sz w:val="28"/>
          <w:szCs w:val="28"/>
          <w:lang w:val="kk-KZ"/>
        </w:rPr>
      </w:pPr>
    </w:p>
    <w:p w14:paraId="5B7BBA24" w14:textId="2E60BB89" w:rsidR="002C2865" w:rsidRPr="00457CE9" w:rsidRDefault="003B6ED5"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  </w:t>
      </w:r>
    </w:p>
    <w:p w14:paraId="038715BE" w14:textId="5C610F84" w:rsidR="002C2865" w:rsidRPr="00457CE9" w:rsidRDefault="002C2865" w:rsidP="00457CE9">
      <w:pPr>
        <w:widowControl w:val="0"/>
        <w:spacing w:after="0" w:line="240" w:lineRule="auto"/>
        <w:ind w:firstLine="709"/>
        <w:jc w:val="both"/>
        <w:rPr>
          <w:rFonts w:ascii="Times New Roman" w:hAnsi="Times New Roman" w:cs="Times New Roman"/>
          <w:sz w:val="28"/>
          <w:szCs w:val="28"/>
          <w:lang w:val="kk-KZ"/>
        </w:rPr>
      </w:pPr>
    </w:p>
    <w:p w14:paraId="3E982B68" w14:textId="6EC613DD" w:rsidR="002C2865" w:rsidRPr="00457CE9" w:rsidRDefault="002C2865" w:rsidP="00457CE9">
      <w:pPr>
        <w:widowControl w:val="0"/>
        <w:spacing w:after="0" w:line="240" w:lineRule="auto"/>
        <w:ind w:firstLine="709"/>
        <w:jc w:val="both"/>
        <w:rPr>
          <w:rFonts w:ascii="Times New Roman" w:hAnsi="Times New Roman" w:cs="Times New Roman"/>
          <w:sz w:val="28"/>
          <w:szCs w:val="28"/>
          <w:lang w:val="kk-KZ"/>
        </w:rPr>
      </w:pPr>
    </w:p>
    <w:p w14:paraId="3FF4F262" w14:textId="33035F10" w:rsidR="002C2865" w:rsidRPr="00457CE9" w:rsidRDefault="002C2865" w:rsidP="00457CE9">
      <w:pPr>
        <w:widowControl w:val="0"/>
        <w:spacing w:after="0" w:line="240" w:lineRule="auto"/>
        <w:ind w:firstLine="709"/>
        <w:jc w:val="both"/>
        <w:rPr>
          <w:rFonts w:ascii="Times New Roman" w:hAnsi="Times New Roman" w:cs="Times New Roman"/>
          <w:sz w:val="28"/>
          <w:szCs w:val="28"/>
          <w:lang w:val="kk-KZ"/>
        </w:rPr>
      </w:pPr>
    </w:p>
    <w:p w14:paraId="2362AAE7" w14:textId="1B431B57" w:rsidR="002C2865" w:rsidRPr="00457CE9" w:rsidRDefault="002C2865" w:rsidP="00457CE9">
      <w:pPr>
        <w:widowControl w:val="0"/>
        <w:spacing w:after="0" w:line="240" w:lineRule="auto"/>
        <w:ind w:firstLine="709"/>
        <w:jc w:val="both"/>
        <w:rPr>
          <w:rFonts w:ascii="Times New Roman" w:hAnsi="Times New Roman" w:cs="Times New Roman"/>
          <w:sz w:val="28"/>
          <w:szCs w:val="28"/>
          <w:lang w:val="kk-KZ"/>
        </w:rPr>
      </w:pPr>
    </w:p>
    <w:p w14:paraId="787C8DA7" w14:textId="77777777" w:rsidR="002C2865" w:rsidRPr="00457CE9" w:rsidRDefault="002C2865" w:rsidP="00457CE9">
      <w:pPr>
        <w:widowControl w:val="0"/>
        <w:spacing w:after="0" w:line="240" w:lineRule="auto"/>
        <w:ind w:firstLine="709"/>
        <w:jc w:val="both"/>
        <w:rPr>
          <w:rFonts w:ascii="Times New Roman" w:hAnsi="Times New Roman"/>
          <w:sz w:val="28"/>
          <w:szCs w:val="28"/>
          <w:lang w:val="kk-KZ"/>
        </w:rPr>
      </w:pPr>
    </w:p>
    <w:p w14:paraId="37E64D73" w14:textId="77777777" w:rsidR="00C30D2E" w:rsidRPr="00C30D2E" w:rsidRDefault="00C30D2E" w:rsidP="00457CE9">
      <w:pPr>
        <w:widowControl w:val="0"/>
        <w:spacing w:after="0" w:line="240" w:lineRule="auto"/>
        <w:ind w:firstLine="709"/>
        <w:jc w:val="both"/>
        <w:rPr>
          <w:rFonts w:ascii="Times New Roman" w:hAnsi="Times New Roman" w:cs="Times New Roman"/>
          <w:sz w:val="16"/>
          <w:szCs w:val="16"/>
          <w:lang w:val="kk-KZ"/>
        </w:rPr>
      </w:pPr>
    </w:p>
    <w:p w14:paraId="50908BD3" w14:textId="6FC779E2" w:rsidR="001D2067" w:rsidRPr="00023296" w:rsidRDefault="00226AD5" w:rsidP="00C30D2E">
      <w:pPr>
        <w:widowControl w:val="0"/>
        <w:spacing w:after="0" w:line="240" w:lineRule="auto"/>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Сурет </w:t>
      </w:r>
      <w:r w:rsidR="00237DE0" w:rsidRPr="00457CE9">
        <w:rPr>
          <w:rFonts w:ascii="Times New Roman" w:hAnsi="Times New Roman" w:cs="Times New Roman"/>
          <w:sz w:val="28"/>
          <w:szCs w:val="28"/>
          <w:lang w:val="kk-KZ"/>
        </w:rPr>
        <w:t>4</w:t>
      </w:r>
      <w:r w:rsidRPr="00457CE9">
        <w:rPr>
          <w:rFonts w:ascii="Times New Roman" w:hAnsi="Times New Roman" w:cs="Times New Roman"/>
          <w:sz w:val="28"/>
          <w:szCs w:val="28"/>
          <w:lang w:val="kk-KZ"/>
        </w:rPr>
        <w:t xml:space="preserve"> </w:t>
      </w:r>
      <w:r w:rsidR="00C30D2E">
        <w:rPr>
          <w:rFonts w:ascii="Times New Roman" w:hAnsi="Times New Roman" w:cs="Times New Roman"/>
          <w:sz w:val="28"/>
          <w:szCs w:val="28"/>
          <w:lang w:val="kk-KZ"/>
        </w:rPr>
        <w:t xml:space="preserve">– </w:t>
      </w:r>
      <w:r w:rsidR="001D2067" w:rsidRPr="00457CE9">
        <w:rPr>
          <w:rFonts w:ascii="Times New Roman" w:hAnsi="Times New Roman" w:cs="Times New Roman"/>
          <w:sz w:val="28"/>
          <w:szCs w:val="28"/>
          <w:lang w:val="kk-KZ"/>
        </w:rPr>
        <w:t xml:space="preserve">ҚР Жоғары </w:t>
      </w:r>
      <w:r w:rsidR="001D2067" w:rsidRPr="00023296">
        <w:rPr>
          <w:rFonts w:ascii="Times New Roman" w:hAnsi="Times New Roman" w:cs="Times New Roman"/>
          <w:sz w:val="28"/>
          <w:szCs w:val="28"/>
          <w:lang w:val="kk-KZ"/>
        </w:rPr>
        <w:t>аудиторлық палатасы тиімділік аудитін жүргізу кезінде басшылыққа алатын НҚА</w:t>
      </w:r>
    </w:p>
    <w:p w14:paraId="529BC777" w14:textId="77777777" w:rsidR="00C30D2E" w:rsidRPr="000D7458" w:rsidRDefault="00C30D2E" w:rsidP="00457CE9">
      <w:pPr>
        <w:spacing w:after="0" w:line="240" w:lineRule="auto"/>
        <w:ind w:firstLine="709"/>
        <w:jc w:val="both"/>
        <w:rPr>
          <w:rFonts w:ascii="Times New Roman" w:hAnsi="Times New Roman" w:cs="Times New Roman"/>
          <w:color w:val="FF0000"/>
          <w:sz w:val="16"/>
          <w:szCs w:val="16"/>
          <w:lang w:val="kk-KZ"/>
        </w:rPr>
      </w:pPr>
    </w:p>
    <w:p w14:paraId="186989F6" w14:textId="0149C870" w:rsidR="00226AD5" w:rsidRPr="00E77C0F" w:rsidRDefault="00C30D2E" w:rsidP="00C30D2E">
      <w:pPr>
        <w:spacing w:after="0" w:line="240" w:lineRule="auto"/>
        <w:ind w:firstLine="709"/>
        <w:jc w:val="both"/>
        <w:rPr>
          <w:rFonts w:ascii="Times New Roman" w:hAnsi="Times New Roman" w:cs="Times New Roman"/>
          <w:sz w:val="24"/>
          <w:szCs w:val="24"/>
          <w:lang w:val="kk-KZ"/>
        </w:rPr>
      </w:pPr>
      <w:r w:rsidRPr="00E77C0F">
        <w:rPr>
          <w:rFonts w:ascii="Times New Roman" w:eastAsia="Calibri" w:hAnsi="Times New Roman" w:cs="Times New Roman"/>
          <w:sz w:val="24"/>
          <w:szCs w:val="24"/>
          <w:lang w:val="kk-KZ"/>
        </w:rPr>
        <w:t>Ескерту –</w:t>
      </w:r>
      <w:r w:rsidRPr="00E77C0F">
        <w:rPr>
          <w:rFonts w:ascii="Times New Roman" w:eastAsia="Calibri" w:hAnsi="Times New Roman" w:cs="Times New Roman"/>
          <w:bCs/>
          <w:sz w:val="24"/>
          <w:szCs w:val="24"/>
          <w:lang w:val="kk-KZ"/>
        </w:rPr>
        <w:t xml:space="preserve"> Әдебиет негізінде құралған</w:t>
      </w:r>
      <w:r w:rsidR="00BB4895" w:rsidRPr="00E77C0F">
        <w:rPr>
          <w:rFonts w:ascii="Times New Roman" w:hAnsi="Times New Roman" w:cs="Times New Roman"/>
          <w:sz w:val="24"/>
          <w:szCs w:val="24"/>
          <w:lang w:val="kk-KZ"/>
        </w:rPr>
        <w:t xml:space="preserve"> [</w:t>
      </w:r>
      <w:r w:rsidR="00023296" w:rsidRPr="00E77C0F">
        <w:rPr>
          <w:rFonts w:ascii="Times New Roman" w:hAnsi="Times New Roman" w:cs="Times New Roman"/>
          <w:sz w:val="24"/>
          <w:szCs w:val="24"/>
          <w:lang w:val="kk-KZ"/>
        </w:rPr>
        <w:t>4</w:t>
      </w:r>
      <w:r w:rsidR="00BD0044" w:rsidRPr="00B50D5C">
        <w:rPr>
          <w:rFonts w:ascii="Times New Roman" w:hAnsi="Times New Roman" w:cs="Times New Roman"/>
          <w:sz w:val="24"/>
          <w:szCs w:val="24"/>
          <w:lang w:val="kk-KZ"/>
        </w:rPr>
        <w:t>9</w:t>
      </w:r>
      <w:r w:rsidR="00023296" w:rsidRPr="00E77C0F">
        <w:rPr>
          <w:rFonts w:ascii="Times New Roman" w:hAnsi="Times New Roman" w:cs="Times New Roman"/>
          <w:sz w:val="24"/>
          <w:szCs w:val="24"/>
          <w:lang w:val="kk-KZ"/>
        </w:rPr>
        <w:t>,</w:t>
      </w:r>
      <w:r w:rsidR="000D7458" w:rsidRPr="00E77C0F">
        <w:rPr>
          <w:rFonts w:ascii="Times New Roman" w:hAnsi="Times New Roman" w:cs="Times New Roman"/>
          <w:sz w:val="24"/>
          <w:szCs w:val="24"/>
          <w:lang w:val="kk-KZ"/>
        </w:rPr>
        <w:t>5</w:t>
      </w:r>
      <w:r w:rsidR="00DB48D2">
        <w:rPr>
          <w:rFonts w:ascii="Times New Roman" w:hAnsi="Times New Roman" w:cs="Times New Roman"/>
          <w:sz w:val="24"/>
          <w:szCs w:val="24"/>
          <w:lang w:val="kk-KZ"/>
        </w:rPr>
        <w:t>0</w:t>
      </w:r>
      <w:r w:rsidR="004B18AA" w:rsidRPr="00D30E48">
        <w:rPr>
          <w:rFonts w:ascii="Times New Roman" w:hAnsi="Times New Roman" w:cs="Times New Roman"/>
          <w:sz w:val="24"/>
          <w:szCs w:val="24"/>
          <w:lang w:val="kk-KZ"/>
        </w:rPr>
        <w:t>,51</w:t>
      </w:r>
      <w:r w:rsidR="00BB4895" w:rsidRPr="00E77C0F">
        <w:rPr>
          <w:rFonts w:ascii="Times New Roman" w:hAnsi="Times New Roman" w:cs="Times New Roman"/>
          <w:sz w:val="24"/>
          <w:szCs w:val="24"/>
          <w:lang w:val="kk-KZ"/>
        </w:rPr>
        <w:t xml:space="preserve">] </w:t>
      </w:r>
    </w:p>
    <w:p w14:paraId="4458E5DB" w14:textId="77777777" w:rsidR="00E54CFB" w:rsidRPr="00E77C0F" w:rsidRDefault="00E54CFB" w:rsidP="00C30D2E">
      <w:pPr>
        <w:spacing w:after="0" w:line="240" w:lineRule="auto"/>
        <w:ind w:firstLine="709"/>
        <w:jc w:val="both"/>
        <w:rPr>
          <w:rFonts w:ascii="Times New Roman" w:hAnsi="Times New Roman" w:cs="Times New Roman"/>
          <w:sz w:val="28"/>
          <w:szCs w:val="28"/>
          <w:lang w:val="kk-KZ"/>
        </w:rPr>
      </w:pPr>
    </w:p>
    <w:p w14:paraId="4FF8FC27" w14:textId="1C4E4B2D" w:rsidR="00286AB5" w:rsidRPr="005575C1" w:rsidRDefault="003E6BA4" w:rsidP="00C30D2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аудиторлық палата сыртқы мемлекеттік аудит органы болып табылады, оның басты тапсырмасы халықтың өмір сүру жағдайлары сапасының серпінді өсуін және елдің ұлттық қауіпсіздігін қамтамасыз ету үшін ұлттық ресурстарды (қаржылық, табиғи, өндірістік, кадрлық, ақпараттық) тиімді және заңды басқаруды талдау, бағалау және тексеруді жүзеге асыру болып табылады. Тиімділік аудитінің басты мақсаты үнемді, нәтижелі және тиімді басқаруды сындарлы қамтамасыз ету болып табылады. Ол сондай-ақ есеп беруге және ашықтыққа ықпал етеді. Тиімділік аудиті басқару мен қадағалау үшін жауап беретін адамдарға тиімділік көрсеткіштерін жақсартуға көмектесе отырып, есеп беруге ықпал етеді. </w:t>
      </w:r>
      <w:r w:rsidR="00286AB5" w:rsidRPr="00457CE9">
        <w:rPr>
          <w:rFonts w:ascii="Times New Roman" w:hAnsi="Times New Roman" w:cs="Times New Roman"/>
          <w:sz w:val="28"/>
          <w:szCs w:val="28"/>
          <w:lang w:val="kk-KZ"/>
        </w:rPr>
        <w:t xml:space="preserve">Бұған заңнамалық немесе атқарушы билік органдарының оларды </w:t>
      </w:r>
      <w:r w:rsidR="00286AB5" w:rsidRPr="005575C1">
        <w:rPr>
          <w:rFonts w:ascii="Times New Roman" w:hAnsi="Times New Roman" w:cs="Times New Roman"/>
          <w:sz w:val="28"/>
          <w:szCs w:val="28"/>
          <w:lang w:val="kk-KZ"/>
        </w:rPr>
        <w:t>дайындау және іске асыру, сондай-ақ салық төлеушілердің немесе азаматтардың мүддесінде қаражатты ұтымды жұмсау кезеңінде шешімдерінің нәтижелілігі мен тиімділігін тексеру арқылы қол жеткізіледі. Бұл ретте заңнамалық биліктің ниеті мен шешімдері</w:t>
      </w:r>
      <w:r w:rsidR="0006186B">
        <w:rPr>
          <w:rFonts w:ascii="Times New Roman" w:hAnsi="Times New Roman" w:cs="Times New Roman"/>
          <w:sz w:val="28"/>
          <w:szCs w:val="28"/>
          <w:lang w:val="kk-KZ"/>
        </w:rPr>
        <w:t>не</w:t>
      </w:r>
      <w:r w:rsidR="00286AB5" w:rsidRPr="005575C1">
        <w:rPr>
          <w:rFonts w:ascii="Times New Roman" w:hAnsi="Times New Roman" w:cs="Times New Roman"/>
          <w:sz w:val="28"/>
          <w:szCs w:val="28"/>
          <w:lang w:val="kk-KZ"/>
        </w:rPr>
        <w:t xml:space="preserve"> күмән келтірілмейді, нақты мақсаттарға қол жеткізуге кедергі келтіретін нормативтік құқықтық базаның немесе оны сақтау тәсілдерінің жетілмегендігі зерттеледі. Тиімділік аудиті азаматтар үшін қосымша пайда әкелуі мүмкін және жақсарту үшін барынша әлеуетке ие салаларда шоғырланады. Ол жауапты тараптар үшін тиісті әрекеттерді жасауға сындарлы ынталандыруларды ұсынады.</w:t>
      </w:r>
    </w:p>
    <w:p w14:paraId="1DEE3638" w14:textId="77777777" w:rsidR="00286AB5" w:rsidRPr="00457CE9" w:rsidRDefault="00286AB5" w:rsidP="00C30D2E">
      <w:pPr>
        <w:spacing w:after="0" w:line="240" w:lineRule="auto"/>
        <w:ind w:firstLine="709"/>
        <w:jc w:val="both"/>
        <w:rPr>
          <w:rFonts w:ascii="Times New Roman" w:hAnsi="Times New Roman" w:cs="Times New Roman"/>
          <w:sz w:val="28"/>
          <w:szCs w:val="28"/>
          <w:lang w:val="kk-KZ"/>
        </w:rPr>
      </w:pPr>
      <w:r w:rsidRPr="005575C1">
        <w:rPr>
          <w:rFonts w:ascii="Times New Roman" w:hAnsi="Times New Roman" w:cs="Times New Roman"/>
          <w:sz w:val="28"/>
          <w:szCs w:val="28"/>
          <w:lang w:val="kk-KZ"/>
        </w:rPr>
        <w:t xml:space="preserve">Тиімділік аудиті парламентке, салық төлеушілерге және басқа да қаржыландыру көздеріне, үкіметтік саясат пен ақпараттық ортаның объектілері болып табылғандарға, үкіметтік қызметтің әртүрлі түрлерін басқару және оның нәтижелері туралы неғұрлым терең түсінік бере отырып, ашықтыққа ықпал етеді. Осылайша, ол азаматтарға пайдалы ақпарат беруге тікелей ықпал етеді, сонымен қатар білім мен жақсартуды кеңейтуге негіз болады. Жоғары аудит органдары тиімділік аудитін жүргізу кезінде өкілеттіктер шеңберінде өз </w:t>
      </w:r>
      <w:r w:rsidRPr="00457CE9">
        <w:rPr>
          <w:rFonts w:ascii="Times New Roman" w:hAnsi="Times New Roman" w:cs="Times New Roman"/>
          <w:sz w:val="28"/>
          <w:szCs w:val="28"/>
          <w:lang w:val="kk-KZ"/>
        </w:rPr>
        <w:t>бетінше не, қашан және қалай тексеру керектігін және тексеру нәтижелерін жариялауда шектелмеуі тиіс екенін шешеді.</w:t>
      </w:r>
    </w:p>
    <w:p w14:paraId="6487AC48" w14:textId="77777777" w:rsidR="000D7C40" w:rsidRPr="00457CE9" w:rsidRDefault="000D7C40"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аудитін жүргізу көп уақыт пен шығындарды талап етеді, заңдылықты және бюджет қаражатын мақсатты пайдалануды тексерумен салыстырғанда өткізудің неғұрлым күрделі тәртібі бар. Бұл мұндай аудит үшін әдетте бюджет қаражатын жұмсаудың неғұрлым қоғамдық маңызы бар және ірі салалары таңдалады. Егер мемлекеттік аудит пен қаржылық бақылаудың тұтас жүйесіндегі тиімділік аудитіне қарайтын болса, бірнеше ерекшелікті байқауға болады. </w:t>
      </w:r>
    </w:p>
    <w:p w14:paraId="514C2157" w14:textId="226D6EEA" w:rsidR="0019678D" w:rsidRPr="00457CE9" w:rsidRDefault="0019678D"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Біріншіден, мемлекеттің қаржы қаражатын қалыптастыру мен пайдаланудың тиімділігін айқындау мақсатында мемлекеттік</w:t>
      </w:r>
      <w:r w:rsidR="00DC59F1">
        <w:rPr>
          <w:rFonts w:ascii="Times New Roman" w:hAnsi="Times New Roman" w:cs="Times New Roman"/>
          <w:sz w:val="28"/>
          <w:szCs w:val="28"/>
          <w:lang w:val="kk-KZ"/>
        </w:rPr>
        <w:t xml:space="preserve"> аудит және</w:t>
      </w:r>
      <w:r w:rsidRPr="00457CE9">
        <w:rPr>
          <w:rFonts w:ascii="Times New Roman" w:hAnsi="Times New Roman" w:cs="Times New Roman"/>
          <w:sz w:val="28"/>
          <w:szCs w:val="28"/>
          <w:lang w:val="kk-KZ"/>
        </w:rPr>
        <w:t xml:space="preserve"> қаржылық бақылаудың өзіндік түрі болып табылады. Екіншіден</w:t>
      </w:r>
      <w:r w:rsidR="007F004E">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мемлекеттік қаражатты қалыптастыру мен пайдалануды қаржылық бақылау нысаны қаржылық аудитпен бірге жалпы базасына, жүзеге асырудың негізгі қағидаттары мен әдістеріне ие. Және өткізу үрдісінде, мақсаттардың, міндеттердің ерекшелігінде, қаржылық бақылаудан айтарлықтай ерекшеленеді. </w:t>
      </w:r>
    </w:p>
    <w:p w14:paraId="3D1D2095" w14:textId="25CD2DE6" w:rsidR="00882D45" w:rsidRPr="00457CE9" w:rsidRDefault="00882D45"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ҚР-да ауыл шаруашылық саласын мемлекеттік қолдау түрлеріне ауылдың өндірістік инфрақұрылымын және әлеуметтік аясына субсидиялар, ирригациялық жобалар</w:t>
      </w:r>
      <w:r w:rsidR="000D6B20">
        <w:rPr>
          <w:rFonts w:ascii="Times New Roman" w:hAnsi="Times New Roman" w:cs="Times New Roman"/>
          <w:sz w:val="28"/>
          <w:szCs w:val="28"/>
          <w:lang w:val="kk-KZ"/>
        </w:rPr>
        <w:t>ды</w:t>
      </w:r>
      <w:r w:rsidRPr="00457CE9">
        <w:rPr>
          <w:rFonts w:ascii="Times New Roman" w:hAnsi="Times New Roman" w:cs="Times New Roman"/>
          <w:sz w:val="28"/>
          <w:szCs w:val="28"/>
          <w:lang w:val="kk-KZ"/>
        </w:rPr>
        <w:t xml:space="preserve"> іске асыру, жерді қалпына келтіру, фермерлік бірлестіктер құру, табиғи апат салдарынан келген залалдар орнын толтыру, ғылыми-зерттеу және тәжірибелік-конструкторлық жұмыстарды қаржыландыру, ауыл тұрғындарының білімі мен біліктілігін жоғарылату, ауыл шаруашылық негізгі өнімдерінің баға саясатын реттеу, қаржылық-несиелік саясатын, сыртқы сауда саясатын реттеу жатады.</w:t>
      </w:r>
    </w:p>
    <w:p w14:paraId="688CF3DB" w14:textId="0D7D67B9" w:rsidR="00B27C0F" w:rsidRPr="00457CE9" w:rsidRDefault="00B27C0F"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Қазақстан Республикасында </w:t>
      </w:r>
      <w:r w:rsidR="00444E63" w:rsidRPr="00457CE9">
        <w:rPr>
          <w:rFonts w:ascii="Times New Roman" w:hAnsi="Times New Roman" w:cs="Times New Roman"/>
          <w:sz w:val="28"/>
          <w:szCs w:val="28"/>
          <w:lang w:val="kk-KZ"/>
        </w:rPr>
        <w:t xml:space="preserve">агроөнеркәсіп кешенін дамытуға бағытталған бюджет қаражатының </w:t>
      </w:r>
      <w:r w:rsidRPr="00457CE9">
        <w:rPr>
          <w:rFonts w:ascii="Times New Roman" w:hAnsi="Times New Roman" w:cs="Times New Roman"/>
          <w:sz w:val="28"/>
          <w:szCs w:val="28"/>
          <w:lang w:val="kk-KZ"/>
        </w:rPr>
        <w:t>тиімділік аудитін жүргізу үрдісі үш кезеңде өтеді</w:t>
      </w:r>
      <w:r w:rsidR="00745535" w:rsidRPr="00457CE9">
        <w:rPr>
          <w:rFonts w:ascii="Times New Roman" w:hAnsi="Times New Roman" w:cs="Times New Roman"/>
          <w:sz w:val="28"/>
          <w:szCs w:val="28"/>
          <w:lang w:val="kk-KZ"/>
        </w:rPr>
        <w:t xml:space="preserve"> [</w:t>
      </w:r>
      <w:r w:rsidR="003E6BA4" w:rsidRPr="003E6BA4">
        <w:rPr>
          <w:rFonts w:ascii="Times New Roman" w:hAnsi="Times New Roman" w:cs="Times New Roman"/>
          <w:sz w:val="28"/>
          <w:szCs w:val="28"/>
          <w:lang w:val="kk-KZ"/>
        </w:rPr>
        <w:t>1</w:t>
      </w:r>
      <w:r w:rsidR="00DB48D2">
        <w:rPr>
          <w:rFonts w:ascii="Times New Roman" w:hAnsi="Times New Roman" w:cs="Times New Roman"/>
          <w:sz w:val="28"/>
          <w:szCs w:val="28"/>
          <w:lang w:val="kk-KZ"/>
        </w:rPr>
        <w:t>3</w:t>
      </w:r>
      <w:r w:rsidR="00745535" w:rsidRPr="003E6BA4">
        <w:rPr>
          <w:rFonts w:ascii="Times New Roman" w:hAnsi="Times New Roman" w:cs="Times New Roman"/>
          <w:sz w:val="28"/>
          <w:szCs w:val="28"/>
          <w:lang w:val="kk-KZ"/>
        </w:rPr>
        <w:t>]</w:t>
      </w:r>
      <w:r w:rsidRPr="003E6BA4">
        <w:rPr>
          <w:rFonts w:ascii="Times New Roman" w:hAnsi="Times New Roman" w:cs="Times New Roman"/>
          <w:sz w:val="28"/>
          <w:szCs w:val="28"/>
          <w:lang w:val="kk-KZ"/>
        </w:rPr>
        <w:t>:</w:t>
      </w:r>
    </w:p>
    <w:p w14:paraId="0274044F" w14:textId="7B6C3CB6" w:rsidR="00B27C0F" w:rsidRPr="00457CE9" w:rsidRDefault="00B27C0F"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Бірінші кезең – дайындық. </w:t>
      </w:r>
      <w:r w:rsidR="00444E63" w:rsidRPr="00457CE9">
        <w:rPr>
          <w:rFonts w:ascii="Times New Roman" w:hAnsi="Times New Roman" w:cs="Times New Roman"/>
          <w:sz w:val="28"/>
          <w:szCs w:val="28"/>
          <w:lang w:val="kk-KZ"/>
        </w:rPr>
        <w:t xml:space="preserve">Аудиттелетін объектілер тізімі бекітіледі. </w:t>
      </w:r>
      <w:r w:rsidRPr="00457CE9">
        <w:rPr>
          <w:rFonts w:ascii="Times New Roman" w:hAnsi="Times New Roman" w:cs="Times New Roman"/>
          <w:sz w:val="28"/>
          <w:szCs w:val="28"/>
          <w:lang w:val="kk-KZ"/>
        </w:rPr>
        <w:t xml:space="preserve">Тиімділік аудитін жүргізу бойынша басым міндеттерді анықтау үшін тексерудің нысанасы мен объектісін алдын ала зерделеу жүргізіледі, сұрақтар қойылады, тиімділікті бағалау критерийлерін және оны жүргізу тәсілдерін таңдау жүргізіледі, оның нәтижелері бойынша тиімділік аудитін жүргізу жоспары жасалады. Объектіні алдын ала зерделеу бақылау тексерісі басталғанға дейін не және қалай тексеру және талдау қажет екендігі, бұл жұмысты аз шығынмен қалай ұйымдастыру және жүргізу керектігі анық түсінікті болатындай етіп жүргізілетіні маңызды. </w:t>
      </w:r>
      <w:r w:rsidR="009657DD" w:rsidRPr="00457CE9">
        <w:rPr>
          <w:rFonts w:ascii="Times New Roman" w:hAnsi="Times New Roman" w:cs="Times New Roman"/>
          <w:sz w:val="28"/>
          <w:szCs w:val="28"/>
          <w:lang w:val="kk-KZ"/>
        </w:rPr>
        <w:t xml:space="preserve">Тиімділік аудитін жүргізу әдістерін айқындау кезінде: талдау, зерттеу, аудиторлық іріктеу, мәнділік көлемі және басқалар, яғни, бір немесе салыстырмалы талдауды, іріктеп зерттеуді қоса алғанда, бірнеше әдістің жиынтығын қолдану мүмкіндігі ескеріледі. </w:t>
      </w:r>
    </w:p>
    <w:p w14:paraId="37D605D2" w14:textId="3184DB1C" w:rsidR="00B27C0F" w:rsidRPr="00457CE9" w:rsidRDefault="00B27C0F"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Екінші кезең – негізгі. Тиімділік аудитінің осы кезеңінде тексеру міндеттеріне сәйкес бюджет қаражатын пайдалану нәтижелерін тексеру және талдау жүргізіледі, оның барысында дәлелдемелер алу үшін нақты деректер мен қажетті құжаттарды жинау және талдау жүргізіледі. Тексеру және талдау нәтижелерін тіркейтін, есептерді, қорытындылар мен ұсыныстарды дайындау үшін негіз болатын актілер дайындалады.</w:t>
      </w:r>
      <w:r w:rsidR="00751CA1" w:rsidRPr="00457CE9">
        <w:rPr>
          <w:rFonts w:ascii="Times New Roman" w:hAnsi="Times New Roman" w:cs="Times New Roman"/>
          <w:sz w:val="28"/>
          <w:szCs w:val="28"/>
          <w:lang w:val="kk-KZ"/>
        </w:rPr>
        <w:t xml:space="preserve"> Аудиторлық дәлелдемелерді жинау әдісіне сұхбат (әңгімелесу), пікіртерімдер, құжаттарды шолу, инспекциялау, байқау және фокус-топ жатады.  </w:t>
      </w:r>
      <w:r w:rsidRPr="00457CE9">
        <w:rPr>
          <w:rFonts w:ascii="Times New Roman" w:hAnsi="Times New Roman" w:cs="Times New Roman"/>
          <w:sz w:val="28"/>
          <w:szCs w:val="28"/>
          <w:lang w:val="kk-KZ"/>
        </w:rPr>
        <w:t xml:space="preserve"> </w:t>
      </w:r>
    </w:p>
    <w:p w14:paraId="28AA08D5" w14:textId="26CE9755" w:rsidR="00B27C0F" w:rsidRPr="00457CE9" w:rsidRDefault="00B27C0F"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Үшінші кезең – қорытынды. Аудиттің үшінші кезеңінде есеп жасалады, оған </w:t>
      </w:r>
      <w:r w:rsidR="00751CA1" w:rsidRPr="00457CE9">
        <w:rPr>
          <w:rFonts w:ascii="Times New Roman" w:hAnsi="Times New Roman" w:cs="Times New Roman"/>
          <w:sz w:val="28"/>
          <w:szCs w:val="28"/>
          <w:lang w:val="kk-KZ"/>
        </w:rPr>
        <w:t xml:space="preserve">құзыретті және объективті тұжырымдар, </w:t>
      </w:r>
      <w:r w:rsidRPr="00457CE9">
        <w:rPr>
          <w:rFonts w:ascii="Times New Roman" w:hAnsi="Times New Roman" w:cs="Times New Roman"/>
          <w:sz w:val="28"/>
          <w:szCs w:val="28"/>
          <w:lang w:val="kk-KZ"/>
        </w:rPr>
        <w:t xml:space="preserve">қорытындылар мен ұсынымдар </w:t>
      </w:r>
      <w:r w:rsidR="00751CA1" w:rsidRPr="00457CE9">
        <w:rPr>
          <w:rFonts w:ascii="Times New Roman" w:hAnsi="Times New Roman" w:cs="Times New Roman"/>
          <w:sz w:val="28"/>
          <w:szCs w:val="28"/>
          <w:lang w:val="kk-KZ"/>
        </w:rPr>
        <w:t xml:space="preserve">қалыптастыру </w:t>
      </w:r>
      <w:r w:rsidRPr="00457CE9">
        <w:rPr>
          <w:rFonts w:ascii="Times New Roman" w:hAnsi="Times New Roman" w:cs="Times New Roman"/>
          <w:sz w:val="28"/>
          <w:szCs w:val="28"/>
          <w:lang w:val="kk-KZ"/>
        </w:rPr>
        <w:t>енгізілген. Дайындықты үздіксіз құрастыру әдісімен жүргізген жөн, бұл тексеру сапасына ықпал етеді. Соңғы нәтиже есеп беру болып табылады.</w:t>
      </w:r>
      <w:r w:rsidRPr="00457CE9">
        <w:rPr>
          <w:lang w:val="kk-KZ"/>
        </w:rPr>
        <w:t xml:space="preserve"> </w:t>
      </w:r>
      <w:r w:rsidRPr="00457CE9">
        <w:rPr>
          <w:rFonts w:ascii="Times New Roman" w:hAnsi="Times New Roman" w:cs="Times New Roman"/>
          <w:sz w:val="28"/>
          <w:szCs w:val="28"/>
          <w:lang w:val="kk-KZ"/>
        </w:rPr>
        <w:t xml:space="preserve">Барлық кезеңдер </w:t>
      </w:r>
      <w:r w:rsidR="004F7E26" w:rsidRPr="00457CE9">
        <w:rPr>
          <w:rFonts w:ascii="Times New Roman" w:hAnsi="Times New Roman" w:cs="Times New Roman"/>
          <w:sz w:val="28"/>
          <w:szCs w:val="28"/>
          <w:lang w:val="kk-KZ"/>
        </w:rPr>
        <w:t>Жоғары аудит палатасының</w:t>
      </w:r>
      <w:r w:rsidRPr="00457CE9">
        <w:rPr>
          <w:rFonts w:ascii="Times New Roman" w:hAnsi="Times New Roman" w:cs="Times New Roman"/>
          <w:sz w:val="28"/>
          <w:szCs w:val="28"/>
          <w:lang w:val="kk-KZ"/>
        </w:rPr>
        <w:t xml:space="preserve"> тиісті нұсқаулықтарында айқындалған бақылау немесе сараптамалық-талдау іс-шараларын жүргізудің жалпы қағидаларын ескере отырып жүзеге асырылуы тиіс. </w:t>
      </w:r>
    </w:p>
    <w:p w14:paraId="489DA91C" w14:textId="303A6D26" w:rsidR="004121C5" w:rsidRPr="00457CE9" w:rsidRDefault="001876D6" w:rsidP="00C30D2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Бюджет қаражатының тиімділігіне аудит жүргізу үшін белгілі бір </w:t>
      </w:r>
      <w:r w:rsidR="009445F3" w:rsidRPr="00457CE9">
        <w:rPr>
          <w:rFonts w:ascii="Times New Roman" w:hAnsi="Times New Roman" w:cs="Times New Roman"/>
          <w:sz w:val="28"/>
          <w:szCs w:val="28"/>
          <w:lang w:val="kk-KZ"/>
        </w:rPr>
        <w:t xml:space="preserve">терең </w:t>
      </w:r>
      <w:r w:rsidRPr="00457CE9">
        <w:rPr>
          <w:rFonts w:ascii="Times New Roman" w:hAnsi="Times New Roman" w:cs="Times New Roman"/>
          <w:sz w:val="28"/>
          <w:szCs w:val="28"/>
          <w:lang w:val="kk-KZ"/>
        </w:rPr>
        <w:t xml:space="preserve">кәсіби білім қажет, кейбір күрделі жағдайларда кеңес беру тобы құрылады, оның құрамына ҚР </w:t>
      </w:r>
      <w:r w:rsidR="0046499C" w:rsidRPr="00457CE9">
        <w:rPr>
          <w:rFonts w:ascii="Times New Roman" w:hAnsi="Times New Roman" w:cs="Times New Roman"/>
          <w:sz w:val="28"/>
          <w:szCs w:val="28"/>
          <w:lang w:val="kk-KZ"/>
        </w:rPr>
        <w:t>Жоғары аудит палатасының</w:t>
      </w:r>
      <w:r w:rsidR="000D6B20">
        <w:rPr>
          <w:rFonts w:ascii="Times New Roman" w:hAnsi="Times New Roman" w:cs="Times New Roman"/>
          <w:sz w:val="28"/>
          <w:szCs w:val="28"/>
          <w:lang w:val="kk-KZ"/>
        </w:rPr>
        <w:t>, тексеру комиссияларының</w:t>
      </w:r>
      <w:r w:rsidRPr="00457CE9">
        <w:rPr>
          <w:rFonts w:ascii="Times New Roman" w:hAnsi="Times New Roman" w:cs="Times New Roman"/>
          <w:sz w:val="28"/>
          <w:szCs w:val="28"/>
          <w:lang w:val="kk-KZ"/>
        </w:rPr>
        <w:t xml:space="preserve"> </w:t>
      </w:r>
      <w:r w:rsidR="00450E45" w:rsidRPr="00457CE9">
        <w:rPr>
          <w:rFonts w:ascii="Times New Roman" w:hAnsi="Times New Roman" w:cs="Times New Roman"/>
          <w:sz w:val="28"/>
          <w:szCs w:val="28"/>
          <w:lang w:val="kk-KZ"/>
        </w:rPr>
        <w:t xml:space="preserve">аудиторлары </w:t>
      </w:r>
      <w:r w:rsidRPr="00457CE9">
        <w:rPr>
          <w:rFonts w:ascii="Times New Roman" w:hAnsi="Times New Roman" w:cs="Times New Roman"/>
          <w:sz w:val="28"/>
          <w:szCs w:val="28"/>
          <w:lang w:val="kk-KZ"/>
        </w:rPr>
        <w:t xml:space="preserve">және келісім-шарт негізінде тартылатын тәуелсіз сарапшылар кіреді және олардың біліктілігін, кеңес беретін білімі мен тәжірибесінің болуы ескере отырып іріктеледі. Әдетте, </w:t>
      </w:r>
      <w:r w:rsidR="00ED16A1" w:rsidRPr="00457CE9">
        <w:rPr>
          <w:rFonts w:ascii="Times New Roman" w:hAnsi="Times New Roman" w:cs="Times New Roman"/>
          <w:sz w:val="28"/>
          <w:szCs w:val="28"/>
          <w:lang w:val="kk-KZ"/>
        </w:rPr>
        <w:t>кеңес</w:t>
      </w:r>
      <w:r w:rsidRPr="00457CE9">
        <w:rPr>
          <w:rFonts w:ascii="Times New Roman" w:hAnsi="Times New Roman" w:cs="Times New Roman"/>
          <w:sz w:val="28"/>
          <w:szCs w:val="28"/>
          <w:lang w:val="kk-KZ"/>
        </w:rPr>
        <w:t>тік топ тиімділік аудитін жоспарлау кезеңінде жиналады және тексеру актісін дайындағаннан кейін оның қызметін аяқтайды. Жүргізудің күрделілігі осы тексерудің ерекшелігімен байланысты.</w:t>
      </w:r>
    </w:p>
    <w:p w14:paraId="4C265DC6" w14:textId="2598F356" w:rsidR="00025E0E" w:rsidRDefault="00882D45" w:rsidP="00C30D2E">
      <w:pPr>
        <w:widowControl w:val="0"/>
        <w:spacing w:after="0" w:line="240" w:lineRule="auto"/>
        <w:ind w:firstLine="709"/>
        <w:jc w:val="both"/>
        <w:rPr>
          <w:rFonts w:ascii="Times New Roman" w:hAnsi="Times New Roman"/>
          <w:sz w:val="28"/>
          <w:szCs w:val="28"/>
          <w:lang w:val="kk-KZ"/>
        </w:rPr>
      </w:pPr>
      <w:bookmarkStart w:id="7" w:name="_Hlk95899781"/>
      <w:r w:rsidRPr="00457CE9">
        <w:rPr>
          <w:rFonts w:ascii="Times New Roman" w:hAnsi="Times New Roman"/>
          <w:sz w:val="28"/>
          <w:szCs w:val="28"/>
          <w:lang w:val="kk-KZ"/>
        </w:rPr>
        <w:t>Жоғарыда аталып өткендей, тиімділік аудиті мемлекеттік аудит және қаржылық бақылау жүйесінде жаңа бақылау құралы болғандықтан, соның ішінде АӨК дамытуға бағытталған бюджет қаражатының тиімділік аудиті бойынша рәсімдік стандарттар</w:t>
      </w:r>
      <w:r w:rsidR="00CB78E5">
        <w:rPr>
          <w:rFonts w:ascii="Times New Roman" w:hAnsi="Times New Roman"/>
          <w:sz w:val="28"/>
          <w:szCs w:val="28"/>
          <w:lang w:val="kk-KZ"/>
        </w:rPr>
        <w:t>ы,</w:t>
      </w:r>
      <w:r w:rsidRPr="00457CE9">
        <w:rPr>
          <w:rFonts w:ascii="Times New Roman" w:hAnsi="Times New Roman"/>
          <w:sz w:val="28"/>
          <w:szCs w:val="28"/>
          <w:lang w:val="kk-KZ"/>
        </w:rPr>
        <w:t xml:space="preserve"> бағалау</w:t>
      </w:r>
      <w:r w:rsidR="00CB78E5">
        <w:rPr>
          <w:rFonts w:ascii="Times New Roman" w:hAnsi="Times New Roman"/>
          <w:sz w:val="28"/>
          <w:szCs w:val="28"/>
          <w:lang w:val="kk-KZ"/>
        </w:rPr>
        <w:t>дың нақты</w:t>
      </w:r>
      <w:r w:rsidRPr="00457CE9">
        <w:rPr>
          <w:rFonts w:ascii="Times New Roman" w:hAnsi="Times New Roman"/>
          <w:sz w:val="28"/>
          <w:szCs w:val="28"/>
          <w:lang w:val="kk-KZ"/>
        </w:rPr>
        <w:t xml:space="preserve"> әдістемесі жоқ. </w:t>
      </w:r>
    </w:p>
    <w:p w14:paraId="22A4FE39" w14:textId="3A43B7FF" w:rsidR="00023296" w:rsidRDefault="00023296" w:rsidP="00023296">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ҚР</w:t>
      </w:r>
      <w:r w:rsidR="00CB78E5">
        <w:rPr>
          <w:rFonts w:ascii="Times New Roman" w:hAnsi="Times New Roman" w:cs="Times New Roman"/>
          <w:sz w:val="28"/>
          <w:szCs w:val="28"/>
          <w:lang w:val="kk-KZ"/>
        </w:rPr>
        <w:t>-да м</w:t>
      </w:r>
      <w:r>
        <w:rPr>
          <w:rFonts w:ascii="Times New Roman" w:hAnsi="Times New Roman" w:cs="Times New Roman"/>
          <w:sz w:val="28"/>
          <w:szCs w:val="28"/>
          <w:lang w:val="kk-KZ"/>
        </w:rPr>
        <w:t>емлекеттік аудит және қаржылық бақылаудың жалпы стандарттары мен рәсімдік стандарттары бекітілген [</w:t>
      </w:r>
      <w:r w:rsidR="004B18AA" w:rsidRPr="004B18AA">
        <w:rPr>
          <w:rFonts w:ascii="Times New Roman" w:hAnsi="Times New Roman" w:cs="Times New Roman"/>
          <w:sz w:val="28"/>
          <w:szCs w:val="28"/>
          <w:lang w:val="kk-KZ"/>
        </w:rPr>
        <w:t>50</w:t>
      </w:r>
      <w:r>
        <w:rPr>
          <w:rFonts w:ascii="Times New Roman" w:hAnsi="Times New Roman" w:cs="Times New Roman"/>
          <w:sz w:val="28"/>
          <w:szCs w:val="28"/>
          <w:lang w:val="kk-KZ"/>
        </w:rPr>
        <w:t>]. Жалпы стандарттар халықаралық стандарттар негізінде Жоғары аудиторлық палатамен әзірленеді және мемлекеттік аудит пен қаржылық бақылау органдары қызметінің негізін қалаушы талаптары бекітіледі. Рәсімдік стандарттар мемлекеттік аудит пен қаржылық бақылауды жүргізу</w:t>
      </w:r>
      <w:r w:rsidR="000D6B20">
        <w:rPr>
          <w:rFonts w:ascii="Times New Roman" w:hAnsi="Times New Roman" w:cs="Times New Roman"/>
          <w:sz w:val="28"/>
          <w:szCs w:val="28"/>
          <w:lang w:val="kk-KZ"/>
        </w:rPr>
        <w:t>дің</w:t>
      </w:r>
      <w:r>
        <w:rPr>
          <w:rFonts w:ascii="Times New Roman" w:hAnsi="Times New Roman" w:cs="Times New Roman"/>
          <w:sz w:val="28"/>
          <w:szCs w:val="28"/>
          <w:lang w:val="kk-KZ"/>
        </w:rPr>
        <w:t xml:space="preserve"> (рәсіміне, тетігіне және әдістеріне) рәсімдік талаптарын қамтиды. Тиімділік аудитінің объектілері мемлекеттік органдар, мемлекеттік мекемелер, бюджет қаражаттарын алушылар мен квазимемлекеттік сектор субъектілері болып табылады, 5-суретте келтірілген.</w:t>
      </w:r>
    </w:p>
    <w:bookmarkEnd w:id="7"/>
    <w:p w14:paraId="54B01A54" w14:textId="6BCE452C" w:rsidR="00882D45" w:rsidRPr="00457CE9" w:rsidRDefault="00E005D6" w:rsidP="00457CE9">
      <w:pPr>
        <w:widowControl w:val="0"/>
        <w:spacing w:after="0" w:line="240" w:lineRule="auto"/>
        <w:jc w:val="both"/>
        <w:rPr>
          <w:rFonts w:ascii="Times New Roman" w:hAnsi="Times New Roman"/>
          <w:sz w:val="28"/>
          <w:szCs w:val="28"/>
          <w:lang w:val="kk-KZ"/>
        </w:rPr>
      </w:pPr>
      <w:r>
        <w:rPr>
          <w:rFonts w:ascii="Times New Roman" w:hAnsi="Times New Roman"/>
          <w:noProof/>
          <w:sz w:val="28"/>
          <w:szCs w:val="28"/>
          <w:lang w:eastAsia="ru-RU"/>
        </w:rPr>
        <mc:AlternateContent>
          <mc:Choice Requires="wpg">
            <w:drawing>
              <wp:anchor distT="0" distB="0" distL="114300" distR="114300" simplePos="0" relativeHeight="251759616" behindDoc="0" locked="0" layoutInCell="1" allowOverlap="1" wp14:anchorId="74BC1691" wp14:editId="36AE4777">
                <wp:simplePos x="0" y="0"/>
                <wp:positionH relativeFrom="column">
                  <wp:posOffset>104140</wp:posOffset>
                </wp:positionH>
                <wp:positionV relativeFrom="paragraph">
                  <wp:posOffset>75234</wp:posOffset>
                </wp:positionV>
                <wp:extent cx="5762625" cy="2802957"/>
                <wp:effectExtent l="0" t="0" r="28575" b="16510"/>
                <wp:wrapNone/>
                <wp:docPr id="6" name="Группа 6"/>
                <wp:cNvGraphicFramePr/>
                <a:graphic xmlns:a="http://schemas.openxmlformats.org/drawingml/2006/main">
                  <a:graphicData uri="http://schemas.microsoft.com/office/word/2010/wordprocessingGroup">
                    <wpg:wgp>
                      <wpg:cNvGrpSpPr/>
                      <wpg:grpSpPr>
                        <a:xfrm>
                          <a:off x="0" y="0"/>
                          <a:ext cx="5762625" cy="2802957"/>
                          <a:chOff x="0" y="356460"/>
                          <a:chExt cx="5762625" cy="3184275"/>
                        </a:xfrm>
                      </wpg:grpSpPr>
                      <wps:wsp>
                        <wps:cNvPr id="2045339365" name="Прямоугольник 421"/>
                        <wps:cNvSpPr>
                          <a:spLocks noChangeArrowheads="1"/>
                        </wps:cNvSpPr>
                        <wps:spPr bwMode="auto">
                          <a:xfrm>
                            <a:off x="604298" y="356460"/>
                            <a:ext cx="4731027" cy="298072"/>
                          </a:xfrm>
                          <a:prstGeom prst="rect">
                            <a:avLst/>
                          </a:prstGeom>
                          <a:solidFill>
                            <a:srgbClr val="FFFFFF"/>
                          </a:solidFill>
                          <a:ln w="9525">
                            <a:solidFill>
                              <a:srgbClr val="000000"/>
                            </a:solidFill>
                            <a:miter lim="800000"/>
                            <a:headEnd/>
                            <a:tailEnd/>
                          </a:ln>
                        </wps:spPr>
                        <wps:txbx>
                          <w:txbxContent>
                            <w:p w14:paraId="0F5F0E74" w14:textId="77777777" w:rsidR="00D05956" w:rsidRDefault="00D05956" w:rsidP="00C30D2E">
                              <w:pPr>
                                <w:spacing w:after="0" w:line="240" w:lineRule="auto"/>
                                <w:jc w:val="center"/>
                                <w:rPr>
                                  <w:sz w:val="24"/>
                                  <w:szCs w:val="24"/>
                                </w:rPr>
                              </w:pPr>
                              <w:r>
                                <w:rPr>
                                  <w:rFonts w:ascii="Times New Roman" w:hAnsi="Times New Roman"/>
                                  <w:sz w:val="24"/>
                                  <w:szCs w:val="24"/>
                                  <w:lang w:val="kk-KZ"/>
                                </w:rPr>
                                <w:t>Мемлекеттік аудит және қаржылық бақылау стандарттары</w:t>
                              </w:r>
                            </w:p>
                          </w:txbxContent>
                        </wps:txbx>
                        <wps:bodyPr rot="0" vertOverflow="clip" horzOverflow="clip" vert="horz" wrap="square" lIns="91440" tIns="45720" rIns="91440" bIns="45720" anchor="t" anchorCtr="0" upright="1">
                          <a:noAutofit/>
                        </wps:bodyPr>
                      </wps:wsp>
                      <wps:wsp>
                        <wps:cNvPr id="431248949" name="Прямоугольник 420"/>
                        <wps:cNvSpPr>
                          <a:spLocks noChangeArrowheads="1"/>
                        </wps:cNvSpPr>
                        <wps:spPr bwMode="auto">
                          <a:xfrm>
                            <a:off x="838200" y="836205"/>
                            <a:ext cx="1609725" cy="304800"/>
                          </a:xfrm>
                          <a:prstGeom prst="rect">
                            <a:avLst/>
                          </a:prstGeom>
                          <a:solidFill>
                            <a:srgbClr val="FFFFFF"/>
                          </a:solidFill>
                          <a:ln w="9525">
                            <a:solidFill>
                              <a:srgbClr val="000000"/>
                            </a:solidFill>
                            <a:miter lim="800000"/>
                            <a:headEnd/>
                            <a:tailEnd/>
                          </a:ln>
                        </wps:spPr>
                        <wps:txbx>
                          <w:txbxContent>
                            <w:p w14:paraId="4CBA4338" w14:textId="77777777" w:rsidR="00D05956" w:rsidRDefault="00D05956" w:rsidP="00882D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стандарттар</w:t>
                              </w:r>
                            </w:p>
                          </w:txbxContent>
                        </wps:txbx>
                        <wps:bodyPr rot="0" vertOverflow="clip" horzOverflow="clip" vert="horz" wrap="square" lIns="91440" tIns="45720" rIns="91440" bIns="45720" anchor="t" anchorCtr="0" upright="1">
                          <a:noAutofit/>
                        </wps:bodyPr>
                      </wps:wsp>
                      <wps:wsp>
                        <wps:cNvPr id="2030091711" name="Прямоугольник 419"/>
                        <wps:cNvSpPr>
                          <a:spLocks noChangeArrowheads="1"/>
                        </wps:cNvSpPr>
                        <wps:spPr bwMode="auto">
                          <a:xfrm>
                            <a:off x="3648075" y="824736"/>
                            <a:ext cx="1609725" cy="304800"/>
                          </a:xfrm>
                          <a:prstGeom prst="rect">
                            <a:avLst/>
                          </a:prstGeom>
                          <a:solidFill>
                            <a:srgbClr val="FFFFFF"/>
                          </a:solidFill>
                          <a:ln w="9525">
                            <a:solidFill>
                              <a:srgbClr val="000000"/>
                            </a:solidFill>
                            <a:miter lim="800000"/>
                            <a:headEnd/>
                            <a:tailEnd/>
                          </a:ln>
                        </wps:spPr>
                        <wps:txbx>
                          <w:txbxContent>
                            <w:p w14:paraId="20B19556" w14:textId="77777777" w:rsidR="00D05956" w:rsidRDefault="00D05956" w:rsidP="00882D45">
                              <w:pPr>
                                <w:jc w:val="center"/>
                                <w:rPr>
                                  <w:rFonts w:ascii="Times New Roman" w:hAnsi="Times New Roman" w:cs="Times New Roman"/>
                                  <w:sz w:val="24"/>
                                  <w:szCs w:val="24"/>
                                  <w:lang w:val="kk-KZ"/>
                                </w:rPr>
                              </w:pPr>
                              <w:r>
                                <w:rPr>
                                  <w:rFonts w:ascii="Times New Roman" w:hAnsi="Times New Roman" w:cs="Times New Roman"/>
                                  <w:sz w:val="24"/>
                                  <w:szCs w:val="24"/>
                                  <w:lang w:val="kk-KZ"/>
                                </w:rPr>
                                <w:t>Рәсімдік стандарттар</w:t>
                              </w:r>
                            </w:p>
                          </w:txbxContent>
                        </wps:txbx>
                        <wps:bodyPr rot="0" vertOverflow="clip" horzOverflow="clip" vert="horz" wrap="square" lIns="91440" tIns="45720" rIns="91440" bIns="45720" anchor="t" anchorCtr="0" upright="1">
                          <a:noAutofit/>
                        </wps:bodyPr>
                      </wps:wsp>
                      <wps:wsp>
                        <wps:cNvPr id="623808991" name="Прямая со стрелкой 418"/>
                        <wps:cNvCnPr>
                          <a:cxnSpLocks noChangeShapeType="1"/>
                        </wps:cNvCnPr>
                        <wps:spPr bwMode="auto">
                          <a:xfrm>
                            <a:off x="987121" y="1140513"/>
                            <a:ext cx="0" cy="163590"/>
                          </a:xfrm>
                          <a:prstGeom prst="straightConnector1">
                            <a:avLst/>
                          </a:prstGeom>
                          <a:noFill/>
                          <a:ln w="9525">
                            <a:solidFill>
                              <a:srgbClr val="000000"/>
                            </a:solidFill>
                            <a:round/>
                            <a:headEnd/>
                            <a:tailEnd type="triangle" w="med" len="med"/>
                          </a:ln>
                        </wps:spPr>
                        <wps:bodyPr/>
                      </wps:wsp>
                      <wps:wsp>
                        <wps:cNvPr id="1007561998" name="Прямая со стрелкой 417"/>
                        <wps:cNvCnPr>
                          <a:cxnSpLocks noChangeShapeType="1"/>
                        </wps:cNvCnPr>
                        <wps:spPr bwMode="auto">
                          <a:xfrm>
                            <a:off x="4276725" y="1129348"/>
                            <a:ext cx="0" cy="122692"/>
                          </a:xfrm>
                          <a:prstGeom prst="straightConnector1">
                            <a:avLst/>
                          </a:prstGeom>
                          <a:noFill/>
                          <a:ln w="9525">
                            <a:solidFill>
                              <a:srgbClr val="000000"/>
                            </a:solidFill>
                            <a:round/>
                            <a:headEnd/>
                            <a:tailEnd type="triangle" w="med" len="med"/>
                          </a:ln>
                        </wps:spPr>
                        <wps:bodyPr/>
                      </wps:wsp>
                      <wps:wsp>
                        <wps:cNvPr id="687102777" name="Прямая со стрелкой 416"/>
                        <wps:cNvCnPr>
                          <a:cxnSpLocks noChangeShapeType="1"/>
                        </wps:cNvCnPr>
                        <wps:spPr bwMode="auto">
                          <a:xfrm>
                            <a:off x="1757569" y="672615"/>
                            <a:ext cx="0" cy="163590"/>
                          </a:xfrm>
                          <a:prstGeom prst="straightConnector1">
                            <a:avLst/>
                          </a:prstGeom>
                          <a:noFill/>
                          <a:ln w="9525">
                            <a:solidFill>
                              <a:srgbClr val="000000"/>
                            </a:solidFill>
                            <a:round/>
                            <a:headEnd/>
                            <a:tailEnd type="triangle" w="med" len="med"/>
                          </a:ln>
                        </wps:spPr>
                        <wps:bodyPr/>
                      </wps:wsp>
                      <wps:wsp>
                        <wps:cNvPr id="2028454031" name="Прямая со стрелкой 415"/>
                        <wps:cNvCnPr>
                          <a:cxnSpLocks noChangeShapeType="1"/>
                        </wps:cNvCnPr>
                        <wps:spPr bwMode="auto">
                          <a:xfrm>
                            <a:off x="4276725" y="669253"/>
                            <a:ext cx="0" cy="163590"/>
                          </a:xfrm>
                          <a:prstGeom prst="straightConnector1">
                            <a:avLst/>
                          </a:prstGeom>
                          <a:noFill/>
                          <a:ln w="9525">
                            <a:solidFill>
                              <a:srgbClr val="000000"/>
                            </a:solidFill>
                            <a:round/>
                            <a:headEnd/>
                            <a:tailEnd type="triangle" w="med" len="med"/>
                          </a:ln>
                        </wps:spPr>
                        <wps:bodyPr/>
                      </wps:wsp>
                      <wps:wsp>
                        <wps:cNvPr id="1977910209" name="Прямая со стрелкой 414"/>
                        <wps:cNvCnPr>
                          <a:cxnSpLocks noChangeShapeType="1"/>
                        </wps:cNvCnPr>
                        <wps:spPr bwMode="auto">
                          <a:xfrm>
                            <a:off x="5210175" y="1247775"/>
                            <a:ext cx="0" cy="116205"/>
                          </a:xfrm>
                          <a:prstGeom prst="straightConnector1">
                            <a:avLst/>
                          </a:prstGeom>
                          <a:noFill/>
                          <a:ln w="9525">
                            <a:solidFill>
                              <a:srgbClr val="000000"/>
                            </a:solidFill>
                            <a:round/>
                            <a:headEnd/>
                            <a:tailEnd type="triangle" w="med" len="med"/>
                          </a:ln>
                        </wps:spPr>
                        <wps:bodyPr/>
                      </wps:wsp>
                      <wps:wsp>
                        <wps:cNvPr id="1879853103" name="Прямая со стрелкой 413"/>
                        <wps:cNvCnPr>
                          <a:cxnSpLocks noChangeShapeType="1"/>
                        </wps:cNvCnPr>
                        <wps:spPr bwMode="auto">
                          <a:xfrm>
                            <a:off x="2124075" y="1257300"/>
                            <a:ext cx="0" cy="116205"/>
                          </a:xfrm>
                          <a:prstGeom prst="straightConnector1">
                            <a:avLst/>
                          </a:prstGeom>
                          <a:noFill/>
                          <a:ln w="9525">
                            <a:solidFill>
                              <a:srgbClr val="000000"/>
                            </a:solidFill>
                            <a:round/>
                            <a:headEnd/>
                            <a:tailEnd type="triangle" w="med" len="med"/>
                          </a:ln>
                        </wps:spPr>
                        <wps:bodyPr/>
                      </wps:wsp>
                      <wps:wsp>
                        <wps:cNvPr id="1446556648" name="Прямая со стрелкой 412"/>
                        <wps:cNvCnPr>
                          <a:cxnSpLocks noChangeShapeType="1"/>
                        </wps:cNvCnPr>
                        <wps:spPr bwMode="auto">
                          <a:xfrm>
                            <a:off x="2124075" y="1247775"/>
                            <a:ext cx="3086100" cy="0"/>
                          </a:xfrm>
                          <a:prstGeom prst="straightConnector1">
                            <a:avLst/>
                          </a:prstGeom>
                          <a:noFill/>
                          <a:ln w="9525">
                            <a:solidFill>
                              <a:srgbClr val="000000"/>
                            </a:solidFill>
                            <a:round/>
                            <a:headEnd/>
                            <a:tailEnd/>
                          </a:ln>
                        </wps:spPr>
                        <wps:bodyPr/>
                      </wps:wsp>
                      <wps:wsp>
                        <wps:cNvPr id="1987762581" name="Прямая со стрелкой 411"/>
                        <wps:cNvCnPr>
                          <a:cxnSpLocks noChangeShapeType="1"/>
                        </wps:cNvCnPr>
                        <wps:spPr bwMode="auto">
                          <a:xfrm>
                            <a:off x="3867150" y="1247775"/>
                            <a:ext cx="635" cy="116840"/>
                          </a:xfrm>
                          <a:prstGeom prst="straightConnector1">
                            <a:avLst/>
                          </a:prstGeom>
                          <a:noFill/>
                          <a:ln w="9525">
                            <a:solidFill>
                              <a:srgbClr val="000000"/>
                            </a:solidFill>
                            <a:round/>
                            <a:headEnd/>
                            <a:tailEnd type="triangle" w="med" len="med"/>
                          </a:ln>
                        </wps:spPr>
                        <wps:bodyPr/>
                      </wps:wsp>
                      <wps:wsp>
                        <wps:cNvPr id="49372517" name="Прямоугольник 404"/>
                        <wps:cNvSpPr>
                          <a:spLocks noChangeArrowheads="1"/>
                        </wps:cNvSpPr>
                        <wps:spPr bwMode="auto">
                          <a:xfrm>
                            <a:off x="0" y="1304103"/>
                            <a:ext cx="1470992" cy="1133961"/>
                          </a:xfrm>
                          <a:prstGeom prst="rect">
                            <a:avLst/>
                          </a:prstGeom>
                          <a:solidFill>
                            <a:srgbClr val="FFFFFF"/>
                          </a:solidFill>
                          <a:ln w="9525">
                            <a:solidFill>
                              <a:srgbClr val="000000"/>
                            </a:solidFill>
                            <a:miter lim="800000"/>
                            <a:headEnd/>
                            <a:tailEnd/>
                          </a:ln>
                        </wps:spPr>
                        <wps:txbx>
                          <w:txbxContent>
                            <w:p w14:paraId="57BABD7C" w14:textId="45E0195A" w:rsidR="00D05956" w:rsidRDefault="00D05956" w:rsidP="00882D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аудитор лық палатамен дайындалады және Президентпен бекітіледі</w:t>
                              </w:r>
                            </w:p>
                          </w:txbxContent>
                        </wps:txbx>
                        <wps:bodyPr rot="0" vertOverflow="clip" horzOverflow="clip" vert="horz" wrap="square" lIns="91440" tIns="45720" rIns="91440" bIns="45720" anchor="t" anchorCtr="0" upright="1">
                          <a:noAutofit/>
                        </wps:bodyPr>
                      </wps:wsp>
                      <wps:wsp>
                        <wps:cNvPr id="1854813348" name="Прямоугольник 410"/>
                        <wps:cNvSpPr>
                          <a:spLocks noChangeArrowheads="1"/>
                        </wps:cNvSpPr>
                        <wps:spPr bwMode="auto">
                          <a:xfrm>
                            <a:off x="4391025" y="1362076"/>
                            <a:ext cx="1371600" cy="1104168"/>
                          </a:xfrm>
                          <a:prstGeom prst="rect">
                            <a:avLst/>
                          </a:prstGeom>
                          <a:solidFill>
                            <a:srgbClr val="FFFFFF"/>
                          </a:solidFill>
                          <a:ln w="9525">
                            <a:solidFill>
                              <a:srgbClr val="000000"/>
                            </a:solidFill>
                            <a:miter lim="800000"/>
                            <a:headEnd/>
                            <a:tailEnd/>
                          </a:ln>
                        </wps:spPr>
                        <wps:txbx>
                          <w:txbxContent>
                            <w:p w14:paraId="3204358F" w14:textId="23AEDCB8" w:rsidR="00D05956" w:rsidRDefault="00D05956" w:rsidP="00882D45">
                              <w:pPr>
                                <w:spacing w:after="0" w:line="240" w:lineRule="auto"/>
                                <w:jc w:val="center"/>
                              </w:pPr>
                              <w:r>
                                <w:rPr>
                                  <w:rFonts w:ascii="Times New Roman" w:hAnsi="Times New Roman" w:cs="Times New Roman"/>
                                  <w:sz w:val="24"/>
                                  <w:szCs w:val="24"/>
                                  <w:lang w:val="kk-KZ"/>
                                </w:rPr>
                                <w:t>Ішкі мемлекеттік аудит пен қар жылық бақылау дың рәсімдік стандарттары</w:t>
                              </w:r>
                            </w:p>
                          </w:txbxContent>
                        </wps:txbx>
                        <wps:bodyPr rot="0" vertOverflow="clip" horzOverflow="clip" vert="horz" wrap="square" lIns="91440" tIns="45720" rIns="91440" bIns="45720" anchor="t" anchorCtr="0" upright="1">
                          <a:noAutofit/>
                        </wps:bodyPr>
                      </wps:wsp>
                      <wps:wsp>
                        <wps:cNvPr id="1390372835" name="Прямоугольник 409"/>
                        <wps:cNvSpPr>
                          <a:spLocks noChangeArrowheads="1"/>
                        </wps:cNvSpPr>
                        <wps:spPr bwMode="auto">
                          <a:xfrm>
                            <a:off x="2838450" y="1362076"/>
                            <a:ext cx="1438275" cy="1104168"/>
                          </a:xfrm>
                          <a:prstGeom prst="rect">
                            <a:avLst/>
                          </a:prstGeom>
                          <a:solidFill>
                            <a:srgbClr val="FFFFFF"/>
                          </a:solidFill>
                          <a:ln w="9525">
                            <a:solidFill>
                              <a:srgbClr val="000000"/>
                            </a:solidFill>
                            <a:miter lim="800000"/>
                            <a:headEnd/>
                            <a:tailEnd/>
                          </a:ln>
                        </wps:spPr>
                        <wps:txbx>
                          <w:txbxContent>
                            <w:p w14:paraId="66877DEC" w14:textId="14F4D3E7" w:rsidR="00D05956" w:rsidRDefault="00D05956" w:rsidP="00882D45">
                              <w:pPr>
                                <w:spacing w:after="0" w:line="240" w:lineRule="auto"/>
                                <w:jc w:val="center"/>
                              </w:pPr>
                              <w:r>
                                <w:rPr>
                                  <w:rFonts w:ascii="Times New Roman" w:hAnsi="Times New Roman" w:cs="Times New Roman"/>
                                  <w:sz w:val="24"/>
                                  <w:szCs w:val="24"/>
                                  <w:lang w:val="kk-KZ"/>
                                </w:rPr>
                                <w:t>Сыртқы мемлекет тік аудит пен қар жылық бақылау дың рәсімдік стандарттары</w:t>
                              </w:r>
                            </w:p>
                          </w:txbxContent>
                        </wps:txbx>
                        <wps:bodyPr rot="0" vertOverflow="clip" horzOverflow="clip" vert="horz" wrap="square" lIns="91440" tIns="45720" rIns="91440" bIns="45720" anchor="t" anchorCtr="0" upright="1">
                          <a:noAutofit/>
                        </wps:bodyPr>
                      </wps:wsp>
                      <wps:wsp>
                        <wps:cNvPr id="1920375673" name="Прямоугольник 408"/>
                        <wps:cNvSpPr>
                          <a:spLocks noChangeArrowheads="1"/>
                        </wps:cNvSpPr>
                        <wps:spPr bwMode="auto">
                          <a:xfrm>
                            <a:off x="1550505" y="1361107"/>
                            <a:ext cx="1173644" cy="1104168"/>
                          </a:xfrm>
                          <a:prstGeom prst="rect">
                            <a:avLst/>
                          </a:prstGeom>
                          <a:solidFill>
                            <a:srgbClr val="FFFFFF"/>
                          </a:solidFill>
                          <a:ln w="9525">
                            <a:solidFill>
                              <a:srgbClr val="000000"/>
                            </a:solidFill>
                            <a:miter lim="800000"/>
                            <a:headEnd/>
                            <a:tailEnd/>
                          </a:ln>
                        </wps:spPr>
                        <wps:txbx>
                          <w:txbxContent>
                            <w:p w14:paraId="76F6B1CE" w14:textId="5551DC3F" w:rsidR="00D05956" w:rsidRDefault="00D05956" w:rsidP="005575C1">
                              <w:pPr>
                                <w:spacing w:after="0" w:line="240" w:lineRule="auto"/>
                                <w:ind w:left="-70" w:right="-72"/>
                                <w:jc w:val="center"/>
                                <w:rPr>
                                  <w:rFonts w:ascii="Times New Roman" w:hAnsi="Times New Roman" w:cs="Times New Roman"/>
                                  <w:sz w:val="24"/>
                                  <w:szCs w:val="24"/>
                                  <w:lang w:val="kk-KZ"/>
                                </w:rPr>
                              </w:pPr>
                              <w:r>
                                <w:rPr>
                                  <w:rFonts w:ascii="Times New Roman" w:hAnsi="Times New Roman" w:cs="Times New Roman"/>
                                  <w:sz w:val="24"/>
                                  <w:szCs w:val="24"/>
                                  <w:lang w:val="kk-KZ"/>
                                </w:rPr>
                                <w:t>Мемлекеттік аудит пен қар жылық бақы лаудың рәсімдік стандарттары</w:t>
                              </w:r>
                            </w:p>
                          </w:txbxContent>
                        </wps:txbx>
                        <wps:bodyPr rot="0" vertOverflow="clip" horzOverflow="clip" vert="horz" wrap="square" lIns="91440" tIns="45720" rIns="91440" bIns="45720" anchor="t" anchorCtr="0" upright="1">
                          <a:noAutofit/>
                        </wps:bodyPr>
                      </wps:wsp>
                      <wps:wsp>
                        <wps:cNvPr id="2122579308" name="Прямая со стрелкой 407"/>
                        <wps:cNvCnPr>
                          <a:cxnSpLocks noChangeShapeType="1"/>
                        </wps:cNvCnPr>
                        <wps:spPr bwMode="auto">
                          <a:xfrm flipV="1">
                            <a:off x="3131654" y="2465280"/>
                            <a:ext cx="0" cy="163580"/>
                          </a:xfrm>
                          <a:prstGeom prst="straightConnector1">
                            <a:avLst/>
                          </a:prstGeom>
                          <a:noFill/>
                          <a:ln w="9525">
                            <a:solidFill>
                              <a:srgbClr val="000000"/>
                            </a:solidFill>
                            <a:round/>
                            <a:headEnd/>
                            <a:tailEnd type="triangle" w="med" len="med"/>
                          </a:ln>
                        </wps:spPr>
                        <wps:bodyPr/>
                      </wps:wsp>
                      <wps:wsp>
                        <wps:cNvPr id="1199676855" name="Прямая со стрелкой 406"/>
                        <wps:cNvCnPr>
                          <a:cxnSpLocks noChangeShapeType="1"/>
                        </wps:cNvCnPr>
                        <wps:spPr bwMode="auto">
                          <a:xfrm flipV="1">
                            <a:off x="5000625" y="2438324"/>
                            <a:ext cx="0" cy="163580"/>
                          </a:xfrm>
                          <a:prstGeom prst="straightConnector1">
                            <a:avLst/>
                          </a:prstGeom>
                          <a:noFill/>
                          <a:ln w="9525">
                            <a:solidFill>
                              <a:srgbClr val="000000"/>
                            </a:solidFill>
                            <a:round/>
                            <a:headEnd/>
                            <a:tailEnd type="triangle" w="med" len="med"/>
                          </a:ln>
                        </wps:spPr>
                        <wps:bodyPr/>
                      </wps:wsp>
                      <wps:wsp>
                        <wps:cNvPr id="1510659846" name="Прямая со стрелкой 405"/>
                        <wps:cNvCnPr>
                          <a:cxnSpLocks noChangeShapeType="1"/>
                        </wps:cNvCnPr>
                        <wps:spPr bwMode="auto">
                          <a:xfrm flipV="1">
                            <a:off x="1789209" y="2465280"/>
                            <a:ext cx="0" cy="163580"/>
                          </a:xfrm>
                          <a:prstGeom prst="straightConnector1">
                            <a:avLst/>
                          </a:prstGeom>
                          <a:noFill/>
                          <a:ln w="9525">
                            <a:solidFill>
                              <a:srgbClr val="000000"/>
                            </a:solidFill>
                            <a:round/>
                            <a:headEnd/>
                            <a:tailEnd type="triangle" w="med" len="med"/>
                          </a:ln>
                        </wps:spPr>
                        <wps:bodyPr/>
                      </wps:wsp>
                      <wps:wsp>
                        <wps:cNvPr id="1206393201" name="Прямоугольник 403"/>
                        <wps:cNvSpPr>
                          <a:spLocks noChangeArrowheads="1"/>
                        </wps:cNvSpPr>
                        <wps:spPr bwMode="auto">
                          <a:xfrm>
                            <a:off x="3257550" y="2627939"/>
                            <a:ext cx="2505075" cy="912796"/>
                          </a:xfrm>
                          <a:prstGeom prst="rect">
                            <a:avLst/>
                          </a:prstGeom>
                          <a:solidFill>
                            <a:srgbClr val="FFFFFF"/>
                          </a:solidFill>
                          <a:ln w="9525">
                            <a:solidFill>
                              <a:srgbClr val="000000"/>
                            </a:solidFill>
                            <a:miter lim="800000"/>
                            <a:headEnd/>
                            <a:tailEnd/>
                          </a:ln>
                        </wps:spPr>
                        <wps:txbx>
                          <w:txbxContent>
                            <w:p w14:paraId="71101B54" w14:textId="24C31F27" w:rsidR="00D05956" w:rsidRDefault="00D05956" w:rsidP="00882D45">
                              <w:pPr>
                                <w:spacing w:after="0" w:line="240" w:lineRule="auto"/>
                                <w:jc w:val="center"/>
                              </w:pPr>
                              <w:r>
                                <w:rPr>
                                  <w:rFonts w:ascii="Times New Roman" w:hAnsi="Times New Roman" w:cs="Times New Roman"/>
                                  <w:sz w:val="24"/>
                                  <w:szCs w:val="24"/>
                                  <w:lang w:val="kk-KZ"/>
                                </w:rPr>
                                <w:t>Ішкі мемлекеттік аудиттің уәкілетті органымен дайындалады және Жоғары аудиторлық палата мен келісе отырып бекітіледі</w:t>
                              </w:r>
                            </w:p>
                          </w:txbxContent>
                        </wps:txbx>
                        <wps:bodyPr rot="0" vertOverflow="clip" horzOverflow="clip" vert="horz" wrap="square" lIns="91440" tIns="45720" rIns="91440" bIns="45720" anchor="t" anchorCtr="0" upright="1">
                          <a:noAutofit/>
                        </wps:bodyPr>
                      </wps:wsp>
                      <wps:wsp>
                        <wps:cNvPr id="755548922" name="Прямоугольник 402"/>
                        <wps:cNvSpPr>
                          <a:spLocks noChangeArrowheads="1"/>
                        </wps:cNvSpPr>
                        <wps:spPr bwMode="auto">
                          <a:xfrm>
                            <a:off x="2043487" y="2628603"/>
                            <a:ext cx="1156914" cy="911949"/>
                          </a:xfrm>
                          <a:prstGeom prst="rect">
                            <a:avLst/>
                          </a:prstGeom>
                          <a:solidFill>
                            <a:srgbClr val="FFFFFF"/>
                          </a:solidFill>
                          <a:ln w="9525">
                            <a:solidFill>
                              <a:srgbClr val="000000"/>
                            </a:solidFill>
                            <a:miter lim="800000"/>
                            <a:headEnd/>
                            <a:tailEnd/>
                          </a:ln>
                        </wps:spPr>
                        <wps:txbx>
                          <w:txbxContent>
                            <w:p w14:paraId="11F54A26" w14:textId="18CB4B8E" w:rsidR="00D05956" w:rsidRDefault="00D05956" w:rsidP="00882D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 торлық палата мен дайында лып бекітіледі</w:t>
                              </w:r>
                            </w:p>
                          </w:txbxContent>
                        </wps:txbx>
                        <wps:bodyPr rot="0" vertOverflow="clip" horzOverflow="clip" vert="horz" wrap="square" lIns="91440" tIns="45720" rIns="91440" bIns="45720" anchor="t" anchorCtr="0" upright="1">
                          <a:noAutofit/>
                        </wps:bodyPr>
                      </wps:wsp>
                      <wps:wsp>
                        <wps:cNvPr id="1110843470" name="Прямоугольник 401"/>
                        <wps:cNvSpPr>
                          <a:spLocks noChangeArrowheads="1"/>
                        </wps:cNvSpPr>
                        <wps:spPr bwMode="auto">
                          <a:xfrm>
                            <a:off x="0" y="2628752"/>
                            <a:ext cx="1990725" cy="911616"/>
                          </a:xfrm>
                          <a:prstGeom prst="rect">
                            <a:avLst/>
                          </a:prstGeom>
                          <a:solidFill>
                            <a:srgbClr val="FFFFFF"/>
                          </a:solidFill>
                          <a:ln w="9525">
                            <a:solidFill>
                              <a:srgbClr val="000000"/>
                            </a:solidFill>
                            <a:miter lim="800000"/>
                            <a:headEnd/>
                            <a:tailEnd/>
                          </a:ln>
                        </wps:spPr>
                        <wps:txbx>
                          <w:txbxContent>
                            <w:p w14:paraId="0A2A4530" w14:textId="6F04B45C" w:rsidR="00D05956" w:rsidRDefault="00D05956" w:rsidP="00E005D6">
                              <w:pPr>
                                <w:spacing w:after="0" w:line="240" w:lineRule="auto"/>
                                <w:ind w:left="-70" w:right="-110"/>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аудиторлық пала тамен және ішкі мемлекет тік аудиттің уәкілетті органы мен бірге дайындалады</w:t>
                              </w:r>
                            </w:p>
                          </w:txbxContent>
                        </wps:txbx>
                        <wps:bodyPr rot="0" vertOverflow="clip" horzOverflow="clip"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BC1691" id="Группа 6" o:spid="_x0000_s1113" style="position:absolute;left:0;text-align:left;margin-left:8.2pt;margin-top:5.9pt;width:453.75pt;height:220.7pt;z-index:251759616;mso-height-relative:margin" coordorigin=",3564" coordsize="57626,3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">
                <v:rect id="Прямоугольник 421" o:spid="_x0000_s1114" style="position:absolute;left:6042;top:3564;width:47311;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">
                  <v:textbox>
                    <w:txbxContent>
                      <w:p w14:paraId="0F5F0E74" w14:textId="77777777" w:rsidR="00D05956" w:rsidRDefault="00D05956" w:rsidP="00C30D2E">
                        <w:pPr>
                          <w:spacing w:after="0" w:line="240" w:lineRule="auto"/>
                          <w:jc w:val="center"/>
                          <w:rPr>
                            <w:sz w:val="24"/>
                            <w:szCs w:val="24"/>
                          </w:rPr>
                        </w:pPr>
                        <w:r>
                          <w:rPr>
                            <w:rFonts w:ascii="Times New Roman" w:hAnsi="Times New Roman"/>
                            <w:sz w:val="24"/>
                            <w:szCs w:val="24"/>
                            <w:lang w:val="kk-KZ"/>
                          </w:rPr>
                          <w:t>Мемлекеттік аудит және қаржылық бақылау стандарттары</w:t>
                        </w:r>
                      </w:p>
                    </w:txbxContent>
                  </v:textbox>
                </v:rect>
                <v:rect id="Прямоугольник 420" o:spid="_x0000_s1115" style="position:absolute;left:8382;top:8362;width:160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">
                  <v:textbox>
                    <w:txbxContent>
                      <w:p w14:paraId="4CBA4338" w14:textId="77777777" w:rsidR="00D05956" w:rsidRDefault="00D05956" w:rsidP="00882D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стандарттар</w:t>
                        </w:r>
                      </w:p>
                    </w:txbxContent>
                  </v:textbox>
                </v:rect>
                <v:rect id="Прямоугольник 419" o:spid="_x0000_s1116" style="position:absolute;left:36480;top:8247;width:160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">
                  <v:textbox>
                    <w:txbxContent>
                      <w:p w14:paraId="20B19556" w14:textId="77777777" w:rsidR="00D05956" w:rsidRDefault="00D05956" w:rsidP="00882D45">
                        <w:pPr>
                          <w:jc w:val="center"/>
                          <w:rPr>
                            <w:rFonts w:ascii="Times New Roman" w:hAnsi="Times New Roman" w:cs="Times New Roman"/>
                            <w:sz w:val="24"/>
                            <w:szCs w:val="24"/>
                            <w:lang w:val="kk-KZ"/>
                          </w:rPr>
                        </w:pPr>
                        <w:r>
                          <w:rPr>
                            <w:rFonts w:ascii="Times New Roman" w:hAnsi="Times New Roman" w:cs="Times New Roman"/>
                            <w:sz w:val="24"/>
                            <w:szCs w:val="24"/>
                            <w:lang w:val="kk-KZ"/>
                          </w:rPr>
                          <w:t>Рәсімдік стандарттар</w:t>
                        </w:r>
                      </w:p>
                    </w:txbxContent>
                  </v:textbox>
                </v:rect>
                <v:shape id="Прямая со стрелкой 418" o:spid="_x0000_s1117" type="#_x0000_t32" style="position:absolute;left:9871;top:11405;width:0;height:1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">
                  <v:stroke endarrow="block"/>
                </v:shape>
                <v:shape id="Прямая со стрелкой 417" o:spid="_x0000_s1118" type="#_x0000_t32" style="position:absolute;left:42767;top:11293;width:0;height:1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">
                  <v:stroke endarrow="block"/>
                </v:shape>
                <v:shape id="Прямая со стрелкой 416" o:spid="_x0000_s1119" type="#_x0000_t32" style="position:absolute;left:17575;top:6726;width:0;height:1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">
                  <v:stroke endarrow="block"/>
                </v:shape>
                <v:shape id="Прямая со стрелкой 415" o:spid="_x0000_s1120" type="#_x0000_t32" style="position:absolute;left:42767;top:6692;width:0;height:1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">
                  <v:stroke endarrow="block"/>
                </v:shape>
                <v:shape id="Прямая со стрелкой 414" o:spid="_x0000_s1121" type="#_x0000_t32" style="position:absolute;left:52101;top:12477;width:0;height: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">
                  <v:stroke endarrow="block"/>
                </v:shape>
                <v:shape id="Прямая со стрелкой 413" o:spid="_x0000_s1122" type="#_x0000_t32" style="position:absolute;left:21240;top:12573;width:0;height: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">
                  <v:stroke endarrow="block"/>
                </v:shape>
                <v:shape id="Прямая со стрелкой 412" o:spid="_x0000_s1123" type="#_x0000_t32" style="position:absolute;left:21240;top:12477;width:30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"/>
                <v:shape id="Прямая со стрелкой 411" o:spid="_x0000_s1124" type="#_x0000_t32" style="position:absolute;left:38671;top:12477;width:6;height:1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">
                  <v:stroke endarrow="block"/>
                </v:shape>
                <v:rect id="Прямоугольник 404" o:spid="_x0000_s1125" style="position:absolute;top:13041;width:14709;height:1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">
                  <v:textbox>
                    <w:txbxContent>
                      <w:p w14:paraId="57BABD7C" w14:textId="45E0195A" w:rsidR="00D05956" w:rsidRDefault="00D05956" w:rsidP="00882D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аудитор лық палатамен дайындалады және Президентпен бекітіледі</w:t>
                        </w:r>
                      </w:p>
                    </w:txbxContent>
                  </v:textbox>
                </v:rect>
                <v:rect id="Прямоугольник 410" o:spid="_x0000_s1126" style="position:absolute;left:43910;top:13620;width:13716;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">
                  <v:textbox>
                    <w:txbxContent>
                      <w:p w14:paraId="3204358F" w14:textId="23AEDCB8" w:rsidR="00D05956" w:rsidRDefault="00D05956" w:rsidP="00882D45">
                        <w:pPr>
                          <w:spacing w:after="0" w:line="240" w:lineRule="auto"/>
                          <w:jc w:val="center"/>
                        </w:pPr>
                        <w:r>
                          <w:rPr>
                            <w:rFonts w:ascii="Times New Roman" w:hAnsi="Times New Roman" w:cs="Times New Roman"/>
                            <w:sz w:val="24"/>
                            <w:szCs w:val="24"/>
                            <w:lang w:val="kk-KZ"/>
                          </w:rPr>
                          <w:t>Ішкі мемлекеттік аудит пен қар жылық бақылау дың рәсімдік стандарттары</w:t>
                        </w:r>
                      </w:p>
                    </w:txbxContent>
                  </v:textbox>
                </v:rect>
                <v:rect id="Прямоугольник 409" o:spid="_x0000_s1127" style="position:absolute;left:28384;top:13620;width:14383;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">
                  <v:textbox>
                    <w:txbxContent>
                      <w:p w14:paraId="66877DEC" w14:textId="14F4D3E7" w:rsidR="00D05956" w:rsidRDefault="00D05956" w:rsidP="00882D45">
                        <w:pPr>
                          <w:spacing w:after="0" w:line="240" w:lineRule="auto"/>
                          <w:jc w:val="center"/>
                        </w:pPr>
                        <w:r>
                          <w:rPr>
                            <w:rFonts w:ascii="Times New Roman" w:hAnsi="Times New Roman" w:cs="Times New Roman"/>
                            <w:sz w:val="24"/>
                            <w:szCs w:val="24"/>
                            <w:lang w:val="kk-KZ"/>
                          </w:rPr>
                          <w:t>Сыртқы мемлекет тік аудит пен қар жылық бақылау дың рәсімдік стандарттары</w:t>
                        </w:r>
                      </w:p>
                    </w:txbxContent>
                  </v:textbox>
                </v:rect>
                <v:rect id="Прямоугольник 408" o:spid="_x0000_s1128" style="position:absolute;left:15505;top:13611;width:11736;height:1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">
                  <v:textbox>
                    <w:txbxContent>
                      <w:p w14:paraId="76F6B1CE" w14:textId="5551DC3F" w:rsidR="00D05956" w:rsidRDefault="00D05956" w:rsidP="005575C1">
                        <w:pPr>
                          <w:spacing w:after="0" w:line="240" w:lineRule="auto"/>
                          <w:ind w:left="-70" w:right="-72"/>
                          <w:jc w:val="center"/>
                          <w:rPr>
                            <w:rFonts w:ascii="Times New Roman" w:hAnsi="Times New Roman" w:cs="Times New Roman"/>
                            <w:sz w:val="24"/>
                            <w:szCs w:val="24"/>
                            <w:lang w:val="kk-KZ"/>
                          </w:rPr>
                        </w:pPr>
                        <w:r>
                          <w:rPr>
                            <w:rFonts w:ascii="Times New Roman" w:hAnsi="Times New Roman" w:cs="Times New Roman"/>
                            <w:sz w:val="24"/>
                            <w:szCs w:val="24"/>
                            <w:lang w:val="kk-KZ"/>
                          </w:rPr>
                          <w:t>Мемлекеттік аудит пен қар жылық бақы лаудың рәсімдік стандарттары</w:t>
                        </w:r>
                      </w:p>
                    </w:txbxContent>
                  </v:textbox>
                </v:rect>
                <v:shape id="Прямая со стрелкой 407" o:spid="_x0000_s1129" type="#_x0000_t32" style="position:absolute;left:31316;top:24652;width:0;height:1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">
                  <v:stroke endarrow="block"/>
                </v:shape>
                <v:shape id="Прямая со стрелкой 406" o:spid="_x0000_s1130" type="#_x0000_t32" style="position:absolute;left:50006;top:24383;width:0;height:1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">
                  <v:stroke endarrow="block"/>
                </v:shape>
                <v:shape id="Прямая со стрелкой 405" o:spid="_x0000_s1131" type="#_x0000_t32" style="position:absolute;left:17892;top:24652;width:0;height:1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">
                  <v:stroke endarrow="block"/>
                </v:shape>
                <v:rect id="Прямоугольник 403" o:spid="_x0000_s1132" style="position:absolute;left:32575;top:26279;width:25051;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">
                  <v:textbox>
                    <w:txbxContent>
                      <w:p w14:paraId="71101B54" w14:textId="24C31F27" w:rsidR="00D05956" w:rsidRDefault="00D05956" w:rsidP="00882D45">
                        <w:pPr>
                          <w:spacing w:after="0" w:line="240" w:lineRule="auto"/>
                          <w:jc w:val="center"/>
                        </w:pPr>
                        <w:r>
                          <w:rPr>
                            <w:rFonts w:ascii="Times New Roman" w:hAnsi="Times New Roman" w:cs="Times New Roman"/>
                            <w:sz w:val="24"/>
                            <w:szCs w:val="24"/>
                            <w:lang w:val="kk-KZ"/>
                          </w:rPr>
                          <w:t>Ішкі мемлекеттік аудиттің уәкілетті органымен дайындалады және Жоғары аудиторлық палата мен келісе отырып бекітіледі</w:t>
                        </w:r>
                      </w:p>
                    </w:txbxContent>
                  </v:textbox>
                </v:rect>
                <v:rect id="Прямоугольник 402" o:spid="_x0000_s1133" style="position:absolute;left:20434;top:26286;width:11570;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">
                  <v:textbox>
                    <w:txbxContent>
                      <w:p w14:paraId="11F54A26" w14:textId="18CB4B8E" w:rsidR="00D05956" w:rsidRDefault="00D05956" w:rsidP="00882D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 торлық палата мен дайында лып бекітіледі</w:t>
                        </w:r>
                      </w:p>
                    </w:txbxContent>
                  </v:textbox>
                </v:rect>
                <v:rect id="Прямоугольник 401" o:spid="_x0000_s1134" style="position:absolute;top:26287;width:19907;height: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">
                  <v:textbox>
                    <w:txbxContent>
                      <w:p w14:paraId="0A2A4530" w14:textId="6F04B45C" w:rsidR="00D05956" w:rsidRDefault="00D05956" w:rsidP="00E005D6">
                        <w:pPr>
                          <w:spacing w:after="0" w:line="240" w:lineRule="auto"/>
                          <w:ind w:left="-70" w:right="-110"/>
                          <w:jc w:val="center"/>
                          <w:rPr>
                            <w:rFonts w:ascii="Times New Roman" w:hAnsi="Times New Roman" w:cs="Times New Roman"/>
                            <w:sz w:val="24"/>
                            <w:szCs w:val="24"/>
                            <w:lang w:val="kk-KZ"/>
                          </w:rPr>
                        </w:pPr>
                        <w:r>
                          <w:rPr>
                            <w:rFonts w:ascii="Times New Roman" w:hAnsi="Times New Roman" w:cs="Times New Roman"/>
                            <w:sz w:val="24"/>
                            <w:szCs w:val="24"/>
                            <w:lang w:val="kk-KZ"/>
                          </w:rPr>
                          <w:t>Жоғары аудиторлық пала тамен және ішкі мемлекет тік аудиттің уәкілетті органы мен бірге дайындалады</w:t>
                        </w:r>
                      </w:p>
                    </w:txbxContent>
                  </v:textbox>
                </v:rect>
              </v:group>
            </w:pict>
          </mc:Fallback>
        </mc:AlternateContent>
      </w:r>
    </w:p>
    <w:p w14:paraId="02EEEA27" w14:textId="1CFB3288" w:rsidR="00882D45" w:rsidRPr="00457CE9" w:rsidRDefault="00882D45" w:rsidP="00457CE9">
      <w:pPr>
        <w:widowControl w:val="0"/>
        <w:spacing w:after="0" w:line="240" w:lineRule="auto"/>
        <w:jc w:val="both"/>
        <w:rPr>
          <w:rFonts w:ascii="Times New Roman" w:hAnsi="Times New Roman"/>
          <w:sz w:val="28"/>
          <w:szCs w:val="28"/>
          <w:lang w:val="kk-KZ"/>
        </w:rPr>
      </w:pPr>
    </w:p>
    <w:p w14:paraId="22998148"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760179F4"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31B06B78"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5817AEBD"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1F9761D4" w14:textId="76E3381C" w:rsidR="00882D45" w:rsidRPr="00457CE9" w:rsidRDefault="00882D45" w:rsidP="00457CE9">
      <w:pPr>
        <w:widowControl w:val="0"/>
        <w:spacing w:after="0" w:line="240" w:lineRule="auto"/>
        <w:jc w:val="both"/>
        <w:rPr>
          <w:rFonts w:ascii="Times New Roman" w:hAnsi="Times New Roman"/>
          <w:sz w:val="28"/>
          <w:szCs w:val="28"/>
          <w:lang w:val="kk-KZ"/>
        </w:rPr>
      </w:pPr>
    </w:p>
    <w:p w14:paraId="0D90BB57" w14:textId="55D451D1" w:rsidR="00882D45" w:rsidRPr="00457CE9" w:rsidRDefault="00882D45" w:rsidP="00457CE9">
      <w:pPr>
        <w:widowControl w:val="0"/>
        <w:spacing w:after="0" w:line="240" w:lineRule="auto"/>
        <w:jc w:val="both"/>
        <w:rPr>
          <w:rFonts w:ascii="Times New Roman" w:hAnsi="Times New Roman"/>
          <w:sz w:val="28"/>
          <w:szCs w:val="28"/>
          <w:lang w:val="kk-KZ"/>
        </w:rPr>
      </w:pPr>
    </w:p>
    <w:p w14:paraId="046FAA5D"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4AE75646"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27E5A6E1"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303FCB59"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1A68E55C" w14:textId="77777777" w:rsidR="00882D45" w:rsidRPr="00457CE9" w:rsidRDefault="00882D45" w:rsidP="00457CE9">
      <w:pPr>
        <w:widowControl w:val="0"/>
        <w:spacing w:after="0" w:line="240" w:lineRule="auto"/>
        <w:jc w:val="both"/>
        <w:rPr>
          <w:rFonts w:ascii="Times New Roman" w:hAnsi="Times New Roman"/>
          <w:sz w:val="28"/>
          <w:szCs w:val="28"/>
          <w:lang w:val="kk-KZ"/>
        </w:rPr>
      </w:pPr>
    </w:p>
    <w:p w14:paraId="4533AD99" w14:textId="0924D79B" w:rsidR="00882D45" w:rsidRPr="00457CE9" w:rsidRDefault="00882D45" w:rsidP="00457CE9">
      <w:pPr>
        <w:widowControl w:val="0"/>
        <w:spacing w:after="0" w:line="240" w:lineRule="auto"/>
        <w:jc w:val="both"/>
        <w:rPr>
          <w:rFonts w:ascii="Times New Roman" w:hAnsi="Times New Roman"/>
          <w:sz w:val="28"/>
          <w:szCs w:val="28"/>
          <w:lang w:val="kk-KZ"/>
        </w:rPr>
      </w:pPr>
    </w:p>
    <w:p w14:paraId="42E98523" w14:textId="77777777" w:rsidR="00E005D6" w:rsidRPr="00C30D2E" w:rsidRDefault="00E005D6" w:rsidP="00457CE9">
      <w:pPr>
        <w:widowControl w:val="0"/>
        <w:spacing w:after="0" w:line="240" w:lineRule="auto"/>
        <w:jc w:val="center"/>
        <w:rPr>
          <w:rFonts w:ascii="Times New Roman" w:hAnsi="Times New Roman"/>
          <w:sz w:val="16"/>
          <w:szCs w:val="16"/>
          <w:lang w:val="kk-KZ"/>
        </w:rPr>
      </w:pPr>
    </w:p>
    <w:p w14:paraId="0FB97400" w14:textId="72A66BF0" w:rsidR="00882D45" w:rsidRPr="00457CE9" w:rsidRDefault="00882D45" w:rsidP="00457CE9">
      <w:pPr>
        <w:widowControl w:val="0"/>
        <w:spacing w:after="0" w:line="240" w:lineRule="auto"/>
        <w:jc w:val="center"/>
        <w:rPr>
          <w:rFonts w:ascii="Times New Roman" w:hAnsi="Times New Roman"/>
          <w:sz w:val="28"/>
          <w:szCs w:val="28"/>
          <w:lang w:val="kk-KZ"/>
        </w:rPr>
      </w:pPr>
      <w:r w:rsidRPr="00457CE9">
        <w:rPr>
          <w:rFonts w:ascii="Times New Roman" w:hAnsi="Times New Roman"/>
          <w:sz w:val="28"/>
          <w:szCs w:val="28"/>
          <w:lang w:val="kk-KZ"/>
        </w:rPr>
        <w:t xml:space="preserve">Сурет </w:t>
      </w:r>
      <w:r w:rsidR="00237DE0" w:rsidRPr="00457CE9">
        <w:rPr>
          <w:rFonts w:ascii="Times New Roman" w:hAnsi="Times New Roman"/>
          <w:sz w:val="28"/>
          <w:szCs w:val="28"/>
          <w:lang w:val="kk-KZ"/>
        </w:rPr>
        <w:t>5</w:t>
      </w:r>
      <w:r w:rsidRPr="00457CE9">
        <w:rPr>
          <w:rFonts w:ascii="Times New Roman" w:hAnsi="Times New Roman"/>
          <w:sz w:val="28"/>
          <w:szCs w:val="28"/>
          <w:lang w:val="kk-KZ"/>
        </w:rPr>
        <w:t xml:space="preserve"> </w:t>
      </w:r>
      <w:r w:rsidR="00C30D2E">
        <w:rPr>
          <w:rFonts w:ascii="Times New Roman" w:hAnsi="Times New Roman" w:cs="Times New Roman"/>
          <w:sz w:val="28"/>
          <w:szCs w:val="28"/>
          <w:lang w:val="kk-KZ"/>
        </w:rPr>
        <w:t>–</w:t>
      </w:r>
      <w:r w:rsidR="00C30D2E">
        <w:rPr>
          <w:rFonts w:ascii="Times New Roman" w:hAnsi="Times New Roman"/>
          <w:sz w:val="28"/>
          <w:szCs w:val="28"/>
          <w:lang w:val="kk-KZ"/>
        </w:rPr>
        <w:t xml:space="preserve"> </w:t>
      </w:r>
      <w:r w:rsidRPr="00457CE9">
        <w:rPr>
          <w:rFonts w:ascii="Times New Roman" w:hAnsi="Times New Roman"/>
          <w:sz w:val="28"/>
          <w:szCs w:val="28"/>
          <w:lang w:val="kk-KZ"/>
        </w:rPr>
        <w:t xml:space="preserve">Мемлекеттік аудит және қаржылық бақылау стандарттары </w:t>
      </w:r>
    </w:p>
    <w:p w14:paraId="1A8B55C0" w14:textId="77777777" w:rsidR="00C30D2E" w:rsidRPr="00C30D2E" w:rsidRDefault="00C30D2E" w:rsidP="00457CE9">
      <w:pPr>
        <w:widowControl w:val="0"/>
        <w:spacing w:after="0" w:line="240" w:lineRule="auto"/>
        <w:ind w:firstLine="567"/>
        <w:jc w:val="both"/>
        <w:rPr>
          <w:rFonts w:ascii="Times New Roman" w:hAnsi="Times New Roman" w:cs="Times New Roman"/>
          <w:sz w:val="16"/>
          <w:szCs w:val="16"/>
          <w:lang w:val="kk-KZ"/>
        </w:rPr>
      </w:pPr>
    </w:p>
    <w:p w14:paraId="58A3CF4F" w14:textId="560F8F9E" w:rsidR="00882D45" w:rsidRDefault="00C30D2E" w:rsidP="00C30D2E">
      <w:pPr>
        <w:widowControl w:val="0"/>
        <w:spacing w:after="0" w:line="240" w:lineRule="auto"/>
        <w:ind w:firstLine="709"/>
        <w:jc w:val="both"/>
        <w:rPr>
          <w:rFonts w:ascii="Times New Roman" w:hAnsi="Times New Roman" w:cs="Times New Roman"/>
          <w:sz w:val="24"/>
          <w:szCs w:val="24"/>
          <w:lang w:val="kk-KZ"/>
        </w:rPr>
      </w:pPr>
      <w:r w:rsidRPr="00C30D2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882D45" w:rsidRPr="00457CE9">
        <w:rPr>
          <w:rFonts w:ascii="Times New Roman" w:hAnsi="Times New Roman" w:cs="Times New Roman"/>
          <w:sz w:val="24"/>
          <w:szCs w:val="24"/>
          <w:lang w:val="kk-KZ"/>
        </w:rPr>
        <w:t xml:space="preserve"> </w:t>
      </w:r>
      <w:r w:rsidR="00745535" w:rsidRPr="00457CE9">
        <w:rPr>
          <w:rFonts w:ascii="Times New Roman" w:hAnsi="Times New Roman" w:cs="Times New Roman"/>
          <w:sz w:val="24"/>
          <w:szCs w:val="24"/>
          <w:lang w:val="kk-KZ"/>
        </w:rPr>
        <w:t>[4</w:t>
      </w:r>
      <w:r w:rsidR="00415417" w:rsidRPr="00B50D5C">
        <w:rPr>
          <w:rFonts w:ascii="Times New Roman" w:hAnsi="Times New Roman" w:cs="Times New Roman"/>
          <w:sz w:val="24"/>
          <w:szCs w:val="24"/>
          <w:lang w:val="kk-KZ"/>
        </w:rPr>
        <w:t>8</w:t>
      </w:r>
      <w:r w:rsidR="00745535" w:rsidRPr="00457CE9">
        <w:rPr>
          <w:rFonts w:ascii="Times New Roman" w:hAnsi="Times New Roman" w:cs="Times New Roman"/>
          <w:sz w:val="24"/>
          <w:szCs w:val="24"/>
          <w:lang w:val="kk-KZ"/>
        </w:rPr>
        <w:t xml:space="preserve">] </w:t>
      </w:r>
    </w:p>
    <w:p w14:paraId="27E1CDC2" w14:textId="77777777" w:rsidR="00E005D6" w:rsidRPr="00457CE9" w:rsidRDefault="00E005D6" w:rsidP="00C30D2E">
      <w:pPr>
        <w:widowControl w:val="0"/>
        <w:spacing w:after="0" w:line="240" w:lineRule="auto"/>
        <w:ind w:firstLine="709"/>
        <w:jc w:val="both"/>
        <w:rPr>
          <w:rFonts w:ascii="Times New Roman" w:hAnsi="Times New Roman" w:cs="Times New Roman"/>
          <w:sz w:val="24"/>
          <w:szCs w:val="24"/>
          <w:lang w:val="kk-KZ"/>
        </w:rPr>
      </w:pPr>
    </w:p>
    <w:p w14:paraId="0E05E24F" w14:textId="7E68D370" w:rsidR="005575C1" w:rsidRPr="00457CE9" w:rsidRDefault="005575C1" w:rsidP="005575C1">
      <w:pPr>
        <w:widowControl w:val="0"/>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5-суретте</w:t>
      </w:r>
      <w:r>
        <w:rPr>
          <w:rFonts w:ascii="Times New Roman" w:hAnsi="Times New Roman"/>
          <w:sz w:val="28"/>
          <w:szCs w:val="28"/>
          <w:lang w:val="kk-KZ"/>
        </w:rPr>
        <w:t>,</w:t>
      </w:r>
      <w:r w:rsidRPr="00457CE9">
        <w:rPr>
          <w:rFonts w:ascii="Times New Roman" w:hAnsi="Times New Roman"/>
          <w:sz w:val="28"/>
          <w:szCs w:val="28"/>
          <w:lang w:val="kk-KZ"/>
        </w:rPr>
        <w:t xml:space="preserve"> қазіргі таңдағы ҚР «Мемлекеттік аудит және қаржылық бақылау» туралы заңының 8-бабына сәйкес [1</w:t>
      </w:r>
      <w:r w:rsidR="00DB48D2">
        <w:rPr>
          <w:rFonts w:ascii="Times New Roman" w:hAnsi="Times New Roman"/>
          <w:sz w:val="28"/>
          <w:szCs w:val="28"/>
          <w:lang w:val="kk-KZ"/>
        </w:rPr>
        <w:t>3</w:t>
      </w:r>
      <w:r w:rsidRPr="00457CE9">
        <w:rPr>
          <w:rFonts w:ascii="Times New Roman" w:hAnsi="Times New Roman"/>
          <w:sz w:val="28"/>
          <w:szCs w:val="28"/>
          <w:lang w:val="kk-KZ"/>
        </w:rPr>
        <w:t>] бекітілген мемлекеттік аудит және қаржылық бақылаудың стандарттарының жіктелімі зерттелді, ол сызба түрінде келтірілген.</w:t>
      </w:r>
    </w:p>
    <w:p w14:paraId="675E8843" w14:textId="62E6A6E1" w:rsidR="00023296" w:rsidRDefault="00742E2C" w:rsidP="00C30D2E">
      <w:pPr>
        <w:widowControl w:val="0"/>
        <w:spacing w:after="0" w:line="240" w:lineRule="auto"/>
        <w:ind w:firstLine="709"/>
        <w:jc w:val="both"/>
        <w:rPr>
          <w:rFonts w:ascii="Times New Roman" w:hAnsi="Times New Roman" w:cs="Times New Roman"/>
          <w:sz w:val="28"/>
          <w:szCs w:val="28"/>
          <w:lang w:val="kk-KZ" w:eastAsia="zh-CN"/>
        </w:rPr>
      </w:pPr>
      <w:r w:rsidRPr="00457CE9">
        <w:rPr>
          <w:rFonts w:ascii="Times New Roman" w:hAnsi="Times New Roman" w:cs="Times New Roman"/>
          <w:sz w:val="28"/>
          <w:szCs w:val="28"/>
          <w:lang w:val="kk-KZ"/>
        </w:rPr>
        <w:t>АӨК дамытуға ба</w:t>
      </w:r>
      <w:r w:rsidR="004A6AA7">
        <w:rPr>
          <w:rFonts w:ascii="Times New Roman" w:hAnsi="Times New Roman" w:cs="Times New Roman"/>
          <w:sz w:val="28"/>
          <w:szCs w:val="28"/>
          <w:lang w:val="kk-KZ"/>
        </w:rPr>
        <w:t>ғ</w:t>
      </w:r>
      <w:r w:rsidRPr="00457CE9">
        <w:rPr>
          <w:rFonts w:ascii="Times New Roman" w:hAnsi="Times New Roman" w:cs="Times New Roman"/>
          <w:sz w:val="28"/>
          <w:szCs w:val="28"/>
          <w:lang w:val="kk-KZ"/>
        </w:rPr>
        <w:t>ытталған бюджет қаражатын</w:t>
      </w:r>
      <w:r w:rsidR="004A6AA7">
        <w:rPr>
          <w:rFonts w:ascii="Times New Roman" w:hAnsi="Times New Roman" w:cs="Times New Roman"/>
          <w:sz w:val="28"/>
          <w:szCs w:val="28"/>
          <w:lang w:val="kk-KZ"/>
        </w:rPr>
        <w:t xml:space="preserve"> пайдалану</w:t>
      </w:r>
      <w:r w:rsidRPr="00457CE9">
        <w:rPr>
          <w:rFonts w:ascii="Times New Roman" w:hAnsi="Times New Roman" w:cs="Times New Roman"/>
          <w:sz w:val="28"/>
          <w:szCs w:val="28"/>
          <w:lang w:val="kk-KZ"/>
        </w:rPr>
        <w:t xml:space="preserve"> тиімділі</w:t>
      </w:r>
      <w:r w:rsidR="004A6AA7">
        <w:rPr>
          <w:rFonts w:ascii="Times New Roman" w:hAnsi="Times New Roman" w:cs="Times New Roman"/>
          <w:sz w:val="28"/>
          <w:szCs w:val="28"/>
          <w:lang w:val="kk-KZ"/>
        </w:rPr>
        <w:t>гінің</w:t>
      </w:r>
      <w:r w:rsidRPr="00457CE9">
        <w:rPr>
          <w:rFonts w:ascii="Times New Roman" w:hAnsi="Times New Roman" w:cs="Times New Roman"/>
          <w:sz w:val="28"/>
          <w:szCs w:val="28"/>
          <w:lang w:val="kk-KZ"/>
        </w:rPr>
        <w:t xml:space="preserve"> аудитін ұйымдастырудың арнайы рәсімдік стандарттары бекітілмеген. Дегенмен </w:t>
      </w:r>
      <w:r w:rsidRPr="00457CE9">
        <w:rPr>
          <w:rFonts w:ascii="Times New Roman" w:hAnsi="Times New Roman" w:cs="Times New Roman"/>
          <w:sz w:val="28"/>
          <w:szCs w:val="28"/>
          <w:lang w:val="kk-KZ" w:eastAsia="zh-CN"/>
        </w:rPr>
        <w:t xml:space="preserve">2020 жылы 2017-2021 жж. ҚР АӨК дамытудың мемлекеттік бағдарламасын іске асырудың ағымдағы бағалауын </w:t>
      </w:r>
      <w:r w:rsidR="00E17EEB" w:rsidRPr="00457CE9">
        <w:rPr>
          <w:rFonts w:ascii="Times New Roman" w:hAnsi="Times New Roman" w:cs="Times New Roman"/>
          <w:sz w:val="28"/>
          <w:szCs w:val="28"/>
          <w:lang w:val="kk-KZ" w:eastAsia="zh-CN"/>
        </w:rPr>
        <w:t>ЖАП-сы</w:t>
      </w:r>
      <w:r w:rsidRPr="00457CE9">
        <w:rPr>
          <w:rFonts w:ascii="Times New Roman" w:hAnsi="Times New Roman" w:cs="Times New Roman"/>
          <w:sz w:val="28"/>
          <w:szCs w:val="28"/>
          <w:lang w:val="kk-KZ" w:eastAsia="zh-CN"/>
        </w:rPr>
        <w:t xml:space="preserve"> жүргізді, нәтижесі аудиторлық есеп түрінде ҚР Ауыл шаруашылығы министрлігінің ресми сайтында жарияланған. </w:t>
      </w:r>
      <w:r w:rsidR="00122B0B" w:rsidRPr="00457CE9">
        <w:rPr>
          <w:rFonts w:ascii="Times New Roman" w:hAnsi="Times New Roman" w:cs="Times New Roman"/>
          <w:sz w:val="28"/>
          <w:szCs w:val="28"/>
          <w:lang w:val="kk-KZ" w:eastAsia="zh-CN"/>
        </w:rPr>
        <w:t>Мемлекеттік аудиттің арнайы критерий</w:t>
      </w:r>
      <w:r w:rsidR="00CB78E5">
        <w:rPr>
          <w:rFonts w:ascii="Times New Roman" w:hAnsi="Times New Roman" w:cs="Times New Roman"/>
          <w:sz w:val="28"/>
          <w:szCs w:val="28"/>
          <w:lang w:val="kk-KZ" w:eastAsia="zh-CN"/>
        </w:rPr>
        <w:t>і</w:t>
      </w:r>
      <w:r w:rsidR="00122B0B" w:rsidRPr="00457CE9">
        <w:rPr>
          <w:rFonts w:ascii="Times New Roman" w:hAnsi="Times New Roman" w:cs="Times New Roman"/>
          <w:sz w:val="28"/>
          <w:szCs w:val="28"/>
          <w:lang w:val="kk-KZ" w:eastAsia="zh-CN"/>
        </w:rPr>
        <w:t xml:space="preserve"> ретінде «АӨК дамытуға бағытталған мемлекет қабылдайтын шаралардың жеткіліктілігі» деп анықталған</w:t>
      </w:r>
      <w:r w:rsidR="00EF1983" w:rsidRPr="00457CE9">
        <w:rPr>
          <w:rFonts w:ascii="Times New Roman" w:hAnsi="Times New Roman" w:cs="Times New Roman"/>
          <w:sz w:val="28"/>
          <w:szCs w:val="28"/>
          <w:lang w:val="kk-KZ" w:eastAsia="zh-CN"/>
        </w:rPr>
        <w:t xml:space="preserve"> </w:t>
      </w:r>
      <w:r w:rsidR="000B5B6F">
        <w:rPr>
          <w:rFonts w:ascii="Times New Roman" w:hAnsi="Times New Roman" w:cs="Times New Roman"/>
          <w:sz w:val="28"/>
          <w:szCs w:val="28"/>
          <w:lang w:val="kk-KZ" w:eastAsia="zh-CN"/>
        </w:rPr>
        <w:t>[5</w:t>
      </w:r>
      <w:r w:rsidR="004B18AA" w:rsidRPr="004B18AA">
        <w:rPr>
          <w:rFonts w:ascii="Times New Roman" w:hAnsi="Times New Roman" w:cs="Times New Roman"/>
          <w:sz w:val="28"/>
          <w:szCs w:val="28"/>
          <w:lang w:val="kk-KZ" w:eastAsia="zh-CN"/>
        </w:rPr>
        <w:t>2</w:t>
      </w:r>
      <w:r w:rsidR="000B5B6F">
        <w:rPr>
          <w:rFonts w:ascii="Times New Roman" w:hAnsi="Times New Roman" w:cs="Times New Roman"/>
          <w:sz w:val="28"/>
          <w:szCs w:val="28"/>
          <w:lang w:val="kk-KZ" w:eastAsia="zh-CN"/>
        </w:rPr>
        <w:t>]</w:t>
      </w:r>
      <w:r w:rsidR="00122B0B" w:rsidRPr="00457CE9">
        <w:rPr>
          <w:rFonts w:ascii="Times New Roman" w:hAnsi="Times New Roman" w:cs="Times New Roman"/>
          <w:sz w:val="28"/>
          <w:szCs w:val="28"/>
          <w:lang w:val="kk-KZ" w:eastAsia="zh-CN"/>
        </w:rPr>
        <w:t xml:space="preserve">. </w:t>
      </w:r>
      <w:r w:rsidR="00E15B97" w:rsidRPr="00457CE9">
        <w:rPr>
          <w:rFonts w:ascii="Times New Roman" w:hAnsi="Times New Roman" w:cs="Times New Roman"/>
          <w:sz w:val="28"/>
          <w:szCs w:val="28"/>
          <w:lang w:val="kk-KZ" w:eastAsia="zh-CN"/>
        </w:rPr>
        <w:t xml:space="preserve">Алайда, </w:t>
      </w:r>
      <w:r w:rsidR="00CB78E5">
        <w:rPr>
          <w:rFonts w:ascii="Times New Roman" w:hAnsi="Times New Roman" w:cs="Times New Roman"/>
          <w:sz w:val="28"/>
          <w:szCs w:val="28"/>
          <w:lang w:val="kk-KZ" w:eastAsia="zh-CN"/>
        </w:rPr>
        <w:t xml:space="preserve">ҚР-ның </w:t>
      </w:r>
      <w:r w:rsidR="00122B0B" w:rsidRPr="00457CE9">
        <w:rPr>
          <w:rFonts w:ascii="Times New Roman" w:hAnsi="Times New Roman" w:cs="Times New Roman"/>
          <w:sz w:val="28"/>
          <w:szCs w:val="28"/>
          <w:lang w:val="kk-KZ" w:eastAsia="zh-CN"/>
        </w:rPr>
        <w:t>АӨК дамытуға бағытталған бюджет қаражат</w:t>
      </w:r>
      <w:r w:rsidR="00252193">
        <w:rPr>
          <w:rFonts w:ascii="Times New Roman" w:hAnsi="Times New Roman" w:cs="Times New Roman"/>
          <w:sz w:val="28"/>
          <w:szCs w:val="28"/>
          <w:lang w:val="kk-KZ" w:eastAsia="zh-CN"/>
        </w:rPr>
        <w:t>ы</w:t>
      </w:r>
      <w:r w:rsidR="00122B0B" w:rsidRPr="00457CE9">
        <w:rPr>
          <w:rFonts w:ascii="Times New Roman" w:hAnsi="Times New Roman" w:cs="Times New Roman"/>
          <w:sz w:val="28"/>
          <w:szCs w:val="28"/>
          <w:lang w:val="kk-KZ" w:eastAsia="zh-CN"/>
        </w:rPr>
        <w:t>н</w:t>
      </w:r>
      <w:r w:rsidR="00252193">
        <w:rPr>
          <w:rFonts w:ascii="Times New Roman" w:hAnsi="Times New Roman" w:cs="Times New Roman"/>
          <w:sz w:val="28"/>
          <w:szCs w:val="28"/>
          <w:lang w:val="kk-KZ" w:eastAsia="zh-CN"/>
        </w:rPr>
        <w:t xml:space="preserve"> пайдалану</w:t>
      </w:r>
      <w:r w:rsidR="00122B0B" w:rsidRPr="00457CE9">
        <w:rPr>
          <w:rFonts w:ascii="Times New Roman" w:hAnsi="Times New Roman" w:cs="Times New Roman"/>
          <w:sz w:val="28"/>
          <w:szCs w:val="28"/>
          <w:lang w:val="kk-KZ" w:eastAsia="zh-CN"/>
        </w:rPr>
        <w:t xml:space="preserve"> тиімділі</w:t>
      </w:r>
      <w:r w:rsidR="00252193">
        <w:rPr>
          <w:rFonts w:ascii="Times New Roman" w:hAnsi="Times New Roman" w:cs="Times New Roman"/>
          <w:sz w:val="28"/>
          <w:szCs w:val="28"/>
          <w:lang w:val="kk-KZ" w:eastAsia="zh-CN"/>
        </w:rPr>
        <w:t>гінің</w:t>
      </w:r>
      <w:r w:rsidR="00122B0B" w:rsidRPr="00457CE9">
        <w:rPr>
          <w:rFonts w:ascii="Times New Roman" w:hAnsi="Times New Roman" w:cs="Times New Roman"/>
          <w:sz w:val="28"/>
          <w:szCs w:val="28"/>
          <w:lang w:val="kk-KZ" w:eastAsia="zh-CN"/>
        </w:rPr>
        <w:t xml:space="preserve"> аудиті кезінде </w:t>
      </w:r>
      <w:r w:rsidR="00CB78E5">
        <w:rPr>
          <w:rFonts w:ascii="Times New Roman" w:hAnsi="Times New Roman" w:cs="Times New Roman"/>
          <w:sz w:val="28"/>
          <w:szCs w:val="28"/>
          <w:lang w:val="kk-KZ" w:eastAsia="zh-CN"/>
        </w:rPr>
        <w:t>бір ғана</w:t>
      </w:r>
      <w:r w:rsidR="00E15B97" w:rsidRPr="00457CE9">
        <w:rPr>
          <w:rFonts w:ascii="Times New Roman" w:hAnsi="Times New Roman" w:cs="Times New Roman"/>
          <w:sz w:val="28"/>
          <w:szCs w:val="28"/>
          <w:lang w:val="kk-KZ" w:eastAsia="zh-CN"/>
        </w:rPr>
        <w:t xml:space="preserve"> </w:t>
      </w:r>
      <w:r w:rsidR="00122B0B" w:rsidRPr="00457CE9">
        <w:rPr>
          <w:rFonts w:ascii="Times New Roman" w:hAnsi="Times New Roman" w:cs="Times New Roman"/>
          <w:sz w:val="28"/>
          <w:szCs w:val="28"/>
          <w:lang w:val="kk-KZ" w:eastAsia="zh-CN"/>
        </w:rPr>
        <w:t>критерий</w:t>
      </w:r>
      <w:r w:rsidR="00CB78E5">
        <w:rPr>
          <w:rFonts w:ascii="Times New Roman" w:hAnsi="Times New Roman" w:cs="Times New Roman"/>
          <w:sz w:val="28"/>
          <w:szCs w:val="28"/>
          <w:lang w:val="kk-KZ" w:eastAsia="zh-CN"/>
        </w:rPr>
        <w:t xml:space="preserve"> негізінде</w:t>
      </w:r>
      <w:r w:rsidR="00122B0B" w:rsidRPr="00457CE9">
        <w:rPr>
          <w:rFonts w:ascii="Times New Roman" w:hAnsi="Times New Roman" w:cs="Times New Roman"/>
          <w:sz w:val="28"/>
          <w:szCs w:val="28"/>
          <w:lang w:val="kk-KZ" w:eastAsia="zh-CN"/>
        </w:rPr>
        <w:t xml:space="preserve"> </w:t>
      </w:r>
      <w:r w:rsidR="00CB78E5">
        <w:rPr>
          <w:rFonts w:ascii="Times New Roman" w:hAnsi="Times New Roman" w:cs="Times New Roman"/>
          <w:sz w:val="28"/>
          <w:szCs w:val="28"/>
          <w:lang w:val="kk-KZ" w:eastAsia="zh-CN"/>
        </w:rPr>
        <w:t>объективті</w:t>
      </w:r>
      <w:r w:rsidR="004A6AA7">
        <w:rPr>
          <w:rFonts w:ascii="Times New Roman" w:hAnsi="Times New Roman" w:cs="Times New Roman"/>
          <w:sz w:val="28"/>
          <w:szCs w:val="28"/>
          <w:lang w:val="kk-KZ" w:eastAsia="zh-CN"/>
        </w:rPr>
        <w:t xml:space="preserve"> баға беру </w:t>
      </w:r>
      <w:r w:rsidR="00CB78E5">
        <w:rPr>
          <w:rFonts w:ascii="Times New Roman" w:hAnsi="Times New Roman" w:cs="Times New Roman"/>
          <w:sz w:val="28"/>
          <w:szCs w:val="28"/>
          <w:lang w:val="kk-KZ" w:eastAsia="zh-CN"/>
        </w:rPr>
        <w:t>мүмкін емес деуге болады</w:t>
      </w:r>
      <w:r w:rsidR="00122B0B" w:rsidRPr="00457CE9">
        <w:rPr>
          <w:rFonts w:ascii="Times New Roman" w:hAnsi="Times New Roman" w:cs="Times New Roman"/>
          <w:sz w:val="28"/>
          <w:szCs w:val="28"/>
          <w:lang w:val="kk-KZ" w:eastAsia="zh-CN"/>
        </w:rPr>
        <w:t xml:space="preserve">. </w:t>
      </w:r>
    </w:p>
    <w:p w14:paraId="36F20C83" w14:textId="50B2ED45" w:rsidR="00CB78E5" w:rsidRDefault="00023296" w:rsidP="00CB78E5">
      <w:pPr>
        <w:widowControl w:val="0"/>
        <w:spacing w:after="0" w:line="240" w:lineRule="auto"/>
        <w:ind w:firstLine="709"/>
        <w:jc w:val="both"/>
        <w:rPr>
          <w:rFonts w:ascii="Times New Roman" w:hAnsi="Times New Roman" w:cs="Times New Roman"/>
          <w:sz w:val="28"/>
          <w:szCs w:val="28"/>
          <w:lang w:val="kk-KZ" w:eastAsia="zh-CN"/>
        </w:rPr>
      </w:pPr>
      <w:r>
        <w:rPr>
          <w:rFonts w:ascii="Times New Roman" w:hAnsi="Times New Roman" w:cs="Times New Roman"/>
          <w:sz w:val="28"/>
          <w:szCs w:val="28"/>
          <w:lang w:val="kk-KZ" w:eastAsia="zh-CN"/>
        </w:rPr>
        <w:t xml:space="preserve">Мемлекеттік аудит пәні ретінде 27 бюджеттік бағдарламалар алынған, аудитпен қамтылған кезең 2017 жылдың 1 қаңтарынан 2020 жылдың 30 маусымына дейін, аудитті өткізген топтағы маман саны 9. </w:t>
      </w:r>
      <w:r w:rsidR="00006813">
        <w:rPr>
          <w:rFonts w:ascii="Times New Roman" w:hAnsi="Times New Roman" w:cs="Times New Roman"/>
          <w:sz w:val="28"/>
          <w:szCs w:val="28"/>
          <w:lang w:val="kk-KZ" w:eastAsia="zh-CN"/>
        </w:rPr>
        <w:t>Б</w:t>
      </w:r>
      <w:r>
        <w:rPr>
          <w:rFonts w:ascii="Times New Roman" w:hAnsi="Times New Roman" w:cs="Times New Roman"/>
          <w:sz w:val="28"/>
          <w:szCs w:val="28"/>
          <w:lang w:val="kk-KZ" w:eastAsia="zh-CN"/>
        </w:rPr>
        <w:t xml:space="preserve">ағдарламаның басты мақсаты еңбек өнімділігін 2,5 есе ұлғайту деп анықталған, бұл көрсеткішке жету </w:t>
      </w:r>
      <w:r w:rsidR="00CB78E5">
        <w:rPr>
          <w:rFonts w:ascii="Times New Roman" w:hAnsi="Times New Roman" w:cs="Times New Roman"/>
          <w:sz w:val="28"/>
          <w:szCs w:val="28"/>
          <w:lang w:val="kk-KZ" w:eastAsia="zh-CN"/>
        </w:rPr>
        <w:t>бекітілген нысаналы индикаторлар, көрсеткіштер, іс-</w:t>
      </w:r>
      <w:r>
        <w:rPr>
          <w:rFonts w:ascii="Times New Roman" w:hAnsi="Times New Roman" w:cs="Times New Roman"/>
          <w:sz w:val="28"/>
          <w:szCs w:val="28"/>
          <w:lang w:val="kk-KZ" w:eastAsia="zh-CN"/>
        </w:rPr>
        <w:t>шараларды іске асыру</w:t>
      </w:r>
      <w:r w:rsidR="00006813">
        <w:rPr>
          <w:rFonts w:ascii="Times New Roman" w:hAnsi="Times New Roman" w:cs="Times New Roman"/>
          <w:sz w:val="28"/>
          <w:szCs w:val="28"/>
          <w:lang w:val="kk-KZ" w:eastAsia="zh-CN"/>
        </w:rPr>
        <w:t xml:space="preserve"> деп жоспарланған</w:t>
      </w:r>
      <w:r>
        <w:rPr>
          <w:rFonts w:ascii="Times New Roman" w:hAnsi="Times New Roman" w:cs="Times New Roman"/>
          <w:sz w:val="28"/>
          <w:szCs w:val="28"/>
          <w:lang w:val="kk-KZ" w:eastAsia="zh-CN"/>
        </w:rPr>
        <w:t>.</w:t>
      </w:r>
      <w:r w:rsidR="00CB78E5" w:rsidRPr="00CB78E5">
        <w:rPr>
          <w:rFonts w:ascii="Times New Roman" w:hAnsi="Times New Roman" w:cs="Times New Roman"/>
          <w:sz w:val="28"/>
          <w:szCs w:val="28"/>
          <w:lang w:val="kk-KZ" w:eastAsia="zh-CN"/>
        </w:rPr>
        <w:t xml:space="preserve"> </w:t>
      </w:r>
    </w:p>
    <w:p w14:paraId="4CD98932" w14:textId="6ECC8408" w:rsidR="00CB78E5" w:rsidRDefault="00CB78E5" w:rsidP="00CB78E5">
      <w:pPr>
        <w:widowControl w:val="0"/>
        <w:spacing w:after="0" w:line="240" w:lineRule="auto"/>
        <w:ind w:firstLine="709"/>
        <w:jc w:val="both"/>
        <w:rPr>
          <w:rFonts w:ascii="Times New Roman" w:hAnsi="Times New Roman" w:cs="Times New Roman"/>
          <w:sz w:val="28"/>
          <w:szCs w:val="28"/>
          <w:lang w:val="kk-KZ" w:eastAsia="zh-CN"/>
        </w:rPr>
      </w:pPr>
      <w:r w:rsidRPr="00457CE9">
        <w:rPr>
          <w:rFonts w:ascii="Times New Roman" w:hAnsi="Times New Roman" w:cs="Times New Roman"/>
          <w:sz w:val="28"/>
          <w:szCs w:val="28"/>
          <w:lang w:val="kk-KZ" w:eastAsia="zh-CN"/>
        </w:rPr>
        <w:t>ҚР АӨК дамытуға бағытталған бюджет қаражатын пайдалану тиімділігі аудитінің нормативті-құқықтық актілері мен тәжірибесін зерттей отырып, критерийлер және олардың сипаттамалары 2-кестедегідей деп түсінуге болады.</w:t>
      </w:r>
    </w:p>
    <w:p w14:paraId="1BBA672D" w14:textId="77777777" w:rsidR="00580C40" w:rsidRDefault="00580C40" w:rsidP="00CB78E5">
      <w:pPr>
        <w:widowControl w:val="0"/>
        <w:spacing w:after="0" w:line="240" w:lineRule="auto"/>
        <w:ind w:firstLine="709"/>
        <w:jc w:val="both"/>
        <w:rPr>
          <w:rFonts w:ascii="Times New Roman" w:hAnsi="Times New Roman" w:cs="Times New Roman"/>
          <w:sz w:val="28"/>
          <w:szCs w:val="28"/>
          <w:lang w:val="kk-KZ" w:eastAsia="zh-CN"/>
        </w:rPr>
      </w:pPr>
    </w:p>
    <w:p w14:paraId="7B95F1EB" w14:textId="025936C2" w:rsidR="00122B0B" w:rsidRDefault="00122B0B" w:rsidP="00457CE9">
      <w:pPr>
        <w:widowControl w:val="0"/>
        <w:spacing w:after="0" w:line="240" w:lineRule="auto"/>
        <w:jc w:val="both"/>
        <w:rPr>
          <w:rFonts w:ascii="Times New Roman" w:hAnsi="Times New Roman" w:cs="Times New Roman"/>
          <w:sz w:val="28"/>
          <w:szCs w:val="28"/>
          <w:lang w:val="kk-KZ" w:eastAsia="zh-CN"/>
        </w:rPr>
      </w:pPr>
      <w:r w:rsidRPr="00457CE9">
        <w:rPr>
          <w:rFonts w:ascii="Times New Roman" w:hAnsi="Times New Roman" w:cs="Times New Roman"/>
          <w:sz w:val="28"/>
          <w:szCs w:val="28"/>
          <w:lang w:val="kk-KZ" w:eastAsia="zh-CN"/>
        </w:rPr>
        <w:t xml:space="preserve">Кесте </w:t>
      </w:r>
      <w:r w:rsidR="008604CB" w:rsidRPr="00457CE9">
        <w:rPr>
          <w:rFonts w:ascii="Times New Roman" w:hAnsi="Times New Roman" w:cs="Times New Roman"/>
          <w:sz w:val="28"/>
          <w:szCs w:val="28"/>
          <w:lang w:val="kk-KZ" w:eastAsia="zh-CN"/>
        </w:rPr>
        <w:t>2</w:t>
      </w:r>
      <w:r w:rsidRPr="00457CE9">
        <w:rPr>
          <w:rFonts w:ascii="Times New Roman" w:hAnsi="Times New Roman" w:cs="Times New Roman"/>
          <w:sz w:val="28"/>
          <w:szCs w:val="28"/>
          <w:lang w:val="kk-KZ" w:eastAsia="zh-CN"/>
        </w:rPr>
        <w:t xml:space="preserve"> – </w:t>
      </w:r>
      <w:r w:rsidR="00291936" w:rsidRPr="00457CE9">
        <w:rPr>
          <w:rFonts w:ascii="Times New Roman" w:hAnsi="Times New Roman" w:cs="Times New Roman"/>
          <w:sz w:val="28"/>
          <w:szCs w:val="28"/>
          <w:lang w:val="kk-KZ" w:eastAsia="zh-CN"/>
        </w:rPr>
        <w:t>Тиімділік аудиті критерийлерінің сипаттамалары</w:t>
      </w:r>
    </w:p>
    <w:p w14:paraId="2BBC0E5E" w14:textId="77777777" w:rsidR="00C30D2E" w:rsidRPr="00C30D2E" w:rsidRDefault="00C30D2E" w:rsidP="00457CE9">
      <w:pPr>
        <w:widowControl w:val="0"/>
        <w:spacing w:after="0" w:line="240" w:lineRule="auto"/>
        <w:jc w:val="both"/>
        <w:rPr>
          <w:rFonts w:ascii="Times New Roman" w:hAnsi="Times New Roman" w:cs="Times New Roman"/>
          <w:sz w:val="16"/>
          <w:szCs w:val="16"/>
          <w:lang w:val="kk-KZ" w:eastAsia="zh-CN"/>
        </w:rPr>
      </w:pPr>
    </w:p>
    <w:tbl>
      <w:tblPr>
        <w:tblStyle w:val="a3"/>
        <w:tblW w:w="9639" w:type="dxa"/>
        <w:tblInd w:w="-5" w:type="dxa"/>
        <w:tblLayout w:type="fixed"/>
        <w:tblLook w:val="04A0" w:firstRow="1" w:lastRow="0" w:firstColumn="1" w:lastColumn="0" w:noHBand="0" w:noVBand="1"/>
      </w:tblPr>
      <w:tblGrid>
        <w:gridCol w:w="2410"/>
        <w:gridCol w:w="7229"/>
      </w:tblGrid>
      <w:tr w:rsidR="00C30D2E" w:rsidRPr="00457CE9" w14:paraId="1014A7D6" w14:textId="77777777" w:rsidTr="00006813">
        <w:tc>
          <w:tcPr>
            <w:tcW w:w="2410" w:type="dxa"/>
            <w:vAlign w:val="center"/>
          </w:tcPr>
          <w:p w14:paraId="63DDBAAB" w14:textId="7973946D" w:rsidR="00C30D2E" w:rsidRPr="00457CE9" w:rsidRDefault="00C30D2E" w:rsidP="00C30D2E">
            <w:pPr>
              <w:widowControl w:val="0"/>
              <w:jc w:val="center"/>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Тиімділік аудитінің критерийлері</w:t>
            </w:r>
          </w:p>
        </w:tc>
        <w:tc>
          <w:tcPr>
            <w:tcW w:w="7229" w:type="dxa"/>
            <w:vAlign w:val="center"/>
          </w:tcPr>
          <w:p w14:paraId="4C4F0F8E" w14:textId="05B4E040" w:rsidR="00C30D2E" w:rsidRPr="00457CE9" w:rsidRDefault="00C30D2E" w:rsidP="00C30D2E">
            <w:pPr>
              <w:widowControl w:val="0"/>
              <w:jc w:val="center"/>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Сипаттамасы</w:t>
            </w:r>
          </w:p>
        </w:tc>
      </w:tr>
      <w:tr w:rsidR="00C30D2E" w:rsidRPr="00B108D0" w14:paraId="39B33B42" w14:textId="77777777" w:rsidTr="00006813">
        <w:tc>
          <w:tcPr>
            <w:tcW w:w="2410" w:type="dxa"/>
          </w:tcPr>
          <w:p w14:paraId="1721B124" w14:textId="0707965F"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Қолданушылық</w:t>
            </w:r>
          </w:p>
        </w:tc>
        <w:tc>
          <w:tcPr>
            <w:tcW w:w="7229" w:type="dxa"/>
          </w:tcPr>
          <w:p w14:paraId="02956E40" w14:textId="3AB5E444"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аудиттің мақсатына және мәселелеріне байланысты көрсеткіштер</w:t>
            </w:r>
          </w:p>
        </w:tc>
      </w:tr>
      <w:tr w:rsidR="00C30D2E" w:rsidRPr="00B108D0" w14:paraId="198A8F33" w14:textId="77777777" w:rsidTr="00006813">
        <w:tc>
          <w:tcPr>
            <w:tcW w:w="2410" w:type="dxa"/>
          </w:tcPr>
          <w:p w14:paraId="750D95E5" w14:textId="2ED38E12"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Қолайлылық</w:t>
            </w:r>
          </w:p>
        </w:tc>
        <w:tc>
          <w:tcPr>
            <w:tcW w:w="7229" w:type="dxa"/>
          </w:tcPr>
          <w:p w14:paraId="253C68BB" w14:textId="1F01AF8A"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көрсеткіштер заңнаманың талаптарымен немесе сарапшылардың пікірлерімен келісілген</w:t>
            </w:r>
          </w:p>
        </w:tc>
      </w:tr>
      <w:tr w:rsidR="00C30D2E" w:rsidRPr="00B108D0" w14:paraId="31B6E031" w14:textId="77777777" w:rsidTr="00006813">
        <w:tc>
          <w:tcPr>
            <w:tcW w:w="2410" w:type="dxa"/>
          </w:tcPr>
          <w:p w14:paraId="0211C934" w14:textId="60E883D1"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 xml:space="preserve">Сенімділік </w:t>
            </w:r>
          </w:p>
        </w:tc>
        <w:tc>
          <w:tcPr>
            <w:tcW w:w="7229" w:type="dxa"/>
          </w:tcPr>
          <w:p w14:paraId="7F607008" w14:textId="138BA6B3"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көрсеткіштер түрлі мемлекеттік аудиторлардың бірдей жағдайлар кезінде ұқсас тұжырымдар, қорытындылар мен ұсынымдарды тұжырымдауына мүмкіндік береді</w:t>
            </w:r>
          </w:p>
        </w:tc>
      </w:tr>
      <w:tr w:rsidR="00C30D2E" w:rsidRPr="00B108D0" w14:paraId="52D3AB9E" w14:textId="77777777" w:rsidTr="00006813">
        <w:tc>
          <w:tcPr>
            <w:tcW w:w="2410" w:type="dxa"/>
          </w:tcPr>
          <w:p w14:paraId="18B7C04B" w14:textId="63F143A2"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Объективтілік</w:t>
            </w:r>
          </w:p>
        </w:tc>
        <w:tc>
          <w:tcPr>
            <w:tcW w:w="7229" w:type="dxa"/>
          </w:tcPr>
          <w:p w14:paraId="5C58B990" w14:textId="2284CB2F"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көрсеткіштер бір жақты болып табылмайды және толық әрі анық ақпаратқа негізделген</w:t>
            </w:r>
          </w:p>
        </w:tc>
      </w:tr>
      <w:tr w:rsidR="00C30D2E" w:rsidRPr="00B108D0" w14:paraId="7320433B" w14:textId="77777777" w:rsidTr="00006813">
        <w:tc>
          <w:tcPr>
            <w:tcW w:w="2410" w:type="dxa"/>
          </w:tcPr>
          <w:p w14:paraId="47A12F24" w14:textId="50BA217F"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Толықтық</w:t>
            </w:r>
          </w:p>
        </w:tc>
        <w:tc>
          <w:tcPr>
            <w:tcW w:w="7229" w:type="dxa"/>
          </w:tcPr>
          <w:p w14:paraId="0D9A4A47" w14:textId="7BAC78F9"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көрсеткіштер аудиттің мақсатына қол жеткізу үшін жеткілікті болып табылады</w:t>
            </w:r>
          </w:p>
        </w:tc>
      </w:tr>
      <w:tr w:rsidR="00C30D2E" w:rsidRPr="00B108D0" w14:paraId="71E982E3" w14:textId="77777777" w:rsidTr="00006813">
        <w:tc>
          <w:tcPr>
            <w:tcW w:w="2410" w:type="dxa"/>
          </w:tcPr>
          <w:p w14:paraId="002A4245" w14:textId="2F94049B"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Пайдалылық</w:t>
            </w:r>
          </w:p>
        </w:tc>
        <w:tc>
          <w:tcPr>
            <w:tcW w:w="7229" w:type="dxa"/>
          </w:tcPr>
          <w:p w14:paraId="703D1207" w14:textId="6B386E2C"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көрсеткіштерді қолдану фактілерді анықтауды қамтамасыз етеді, оның негізінде тұжырымдар, қорытындылар және жақсарту жөніндегі ұсынымдар тұжырымдалады</w:t>
            </w:r>
          </w:p>
        </w:tc>
      </w:tr>
      <w:tr w:rsidR="00C30D2E" w:rsidRPr="00B108D0" w14:paraId="5B5E3CC1" w14:textId="77777777" w:rsidTr="00006813">
        <w:tc>
          <w:tcPr>
            <w:tcW w:w="2410" w:type="dxa"/>
          </w:tcPr>
          <w:p w14:paraId="51E63309" w14:textId="6FF4334D" w:rsidR="00C30D2E" w:rsidRPr="00457CE9" w:rsidRDefault="00C30D2E" w:rsidP="00457CE9">
            <w:pPr>
              <w:widowControl w:val="0"/>
              <w:rPr>
                <w:rFonts w:ascii="Times New Roman" w:hAnsi="Times New Roman" w:cs="Times New Roman"/>
                <w:sz w:val="24"/>
                <w:szCs w:val="24"/>
                <w:lang w:val="kk-KZ" w:eastAsia="zh-CN"/>
              </w:rPr>
            </w:pPr>
            <w:r w:rsidRPr="00457CE9">
              <w:rPr>
                <w:rFonts w:ascii="Times New Roman" w:hAnsi="Times New Roman" w:cs="Times New Roman"/>
                <w:sz w:val="24"/>
                <w:szCs w:val="24"/>
                <w:lang w:val="kk-KZ" w:eastAsia="zh-CN"/>
              </w:rPr>
              <w:t>Түсініктілік</w:t>
            </w:r>
          </w:p>
        </w:tc>
        <w:tc>
          <w:tcPr>
            <w:tcW w:w="7229" w:type="dxa"/>
          </w:tcPr>
          <w:p w14:paraId="0740C8A6" w14:textId="4471B752" w:rsidR="00C30D2E" w:rsidRPr="00782F91" w:rsidRDefault="00C30D2E" w:rsidP="0097172E">
            <w:pPr>
              <w:pStyle w:val="a5"/>
              <w:widowControl w:val="0"/>
              <w:numPr>
                <w:ilvl w:val="0"/>
                <w:numId w:val="45"/>
              </w:numPr>
              <w:tabs>
                <w:tab w:val="left" w:pos="312"/>
              </w:tabs>
              <w:ind w:left="270" w:hanging="327"/>
              <w:rPr>
                <w:rFonts w:ascii="Times New Roman" w:hAnsi="Times New Roman"/>
                <w:sz w:val="24"/>
                <w:szCs w:val="24"/>
                <w:lang w:val="kk-KZ" w:eastAsia="zh-CN"/>
              </w:rPr>
            </w:pPr>
            <w:r w:rsidRPr="00782F91">
              <w:rPr>
                <w:rFonts w:ascii="Times New Roman" w:hAnsi="Times New Roman"/>
                <w:sz w:val="24"/>
                <w:szCs w:val="24"/>
                <w:lang w:val="kk-KZ" w:eastAsia="zh-CN"/>
              </w:rPr>
              <w:t>көрсеткіштер нақты тұжырымдалған және дұрыс түсіндірмеу тәуекелдерін болдырмайды</w:t>
            </w:r>
          </w:p>
        </w:tc>
      </w:tr>
      <w:tr w:rsidR="008E28E9" w:rsidRPr="00457CE9" w14:paraId="020F68EE" w14:textId="77777777" w:rsidTr="00023296">
        <w:tc>
          <w:tcPr>
            <w:tcW w:w="9639" w:type="dxa"/>
            <w:gridSpan w:val="2"/>
          </w:tcPr>
          <w:p w14:paraId="6A84C1E5" w14:textId="6C7B82F5" w:rsidR="008E28E9" w:rsidRPr="00457CE9" w:rsidRDefault="00782F91" w:rsidP="00782F91">
            <w:pPr>
              <w:widowControl w:val="0"/>
              <w:ind w:firstLine="601"/>
              <w:rPr>
                <w:rFonts w:ascii="Times New Roman" w:hAnsi="Times New Roman" w:cs="Times New Roman"/>
                <w:sz w:val="24"/>
                <w:szCs w:val="24"/>
                <w:lang w:val="kk-KZ" w:eastAsia="zh-CN"/>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8E28E9" w:rsidRPr="00457CE9">
              <w:rPr>
                <w:rFonts w:ascii="Times New Roman" w:hAnsi="Times New Roman" w:cs="Times New Roman"/>
                <w:sz w:val="24"/>
                <w:szCs w:val="24"/>
                <w:lang w:val="kk-KZ" w:eastAsia="zh-CN"/>
              </w:rPr>
              <w:t xml:space="preserve"> </w:t>
            </w:r>
            <w:r w:rsidR="008E28E9" w:rsidRPr="00457CE9">
              <w:rPr>
                <w:rFonts w:ascii="Times New Roman" w:hAnsi="Times New Roman" w:cs="Times New Roman"/>
                <w:sz w:val="24"/>
                <w:szCs w:val="24"/>
                <w:lang w:eastAsia="zh-CN"/>
              </w:rPr>
              <w:t>[</w:t>
            </w:r>
            <w:r w:rsidR="00415417">
              <w:rPr>
                <w:rFonts w:ascii="Times New Roman" w:hAnsi="Times New Roman" w:cs="Times New Roman"/>
                <w:sz w:val="24"/>
                <w:szCs w:val="24"/>
                <w:lang w:val="en-US" w:eastAsia="zh-CN"/>
              </w:rPr>
              <w:t>50</w:t>
            </w:r>
            <w:r w:rsidR="008E28E9" w:rsidRPr="00457CE9">
              <w:rPr>
                <w:rFonts w:ascii="Times New Roman" w:hAnsi="Times New Roman" w:cs="Times New Roman"/>
                <w:sz w:val="24"/>
                <w:szCs w:val="24"/>
                <w:lang w:eastAsia="zh-CN"/>
              </w:rPr>
              <w:t xml:space="preserve">] </w:t>
            </w:r>
          </w:p>
        </w:tc>
      </w:tr>
    </w:tbl>
    <w:p w14:paraId="3CBA8E45" w14:textId="77777777" w:rsidR="00DC0D1A" w:rsidRDefault="00DC0D1A" w:rsidP="00782F91">
      <w:pPr>
        <w:widowControl w:val="0"/>
        <w:spacing w:after="0" w:line="240" w:lineRule="auto"/>
        <w:ind w:firstLine="709"/>
        <w:jc w:val="both"/>
        <w:rPr>
          <w:rFonts w:ascii="Times New Roman" w:hAnsi="Times New Roman" w:cs="Times New Roman"/>
          <w:sz w:val="28"/>
          <w:szCs w:val="28"/>
          <w:lang w:val="kk-KZ" w:eastAsia="zh-CN"/>
        </w:rPr>
      </w:pPr>
    </w:p>
    <w:p w14:paraId="1BE3402E" w14:textId="2692DA32" w:rsidR="00C477D7" w:rsidRPr="00DB48D2" w:rsidRDefault="004A6AA7" w:rsidP="00782F91">
      <w:pPr>
        <w:widowControl w:val="0"/>
        <w:spacing w:after="0" w:line="240" w:lineRule="auto"/>
        <w:ind w:firstLine="709"/>
        <w:jc w:val="both"/>
        <w:rPr>
          <w:rFonts w:ascii="Times New Roman" w:hAnsi="Times New Roman" w:cs="Times New Roman"/>
          <w:sz w:val="28"/>
          <w:szCs w:val="28"/>
          <w:lang w:val="kk-KZ" w:eastAsia="zh-CN"/>
        </w:rPr>
      </w:pPr>
      <w:r>
        <w:rPr>
          <w:rFonts w:ascii="Times New Roman" w:hAnsi="Times New Roman" w:cs="Times New Roman"/>
          <w:sz w:val="28"/>
          <w:szCs w:val="28"/>
          <w:lang w:val="kk-KZ" w:eastAsia="zh-CN"/>
        </w:rPr>
        <w:t xml:space="preserve">АӨК дамытуға бағытталған мемлекеттік бағдарламада жоспарланған нысаналы индикаторлар мен көрсеткіштер «Стратегия 2050-де» [53] анықталған жеке тапсырмалары «Мемлекет дамуының 2025 жылға дейінгі стратегиялық жоспарында» [54] қарастырылмаған, бұл «Стратегия 2050» орындалмай қалу тәуекелдерін тудырады. </w:t>
      </w:r>
      <w:r w:rsidR="00E54CFB" w:rsidRPr="00DB48D2">
        <w:rPr>
          <w:rFonts w:ascii="Times New Roman" w:hAnsi="Times New Roman" w:cs="Times New Roman"/>
          <w:sz w:val="28"/>
          <w:szCs w:val="28"/>
          <w:lang w:val="kk-KZ" w:eastAsia="zh-CN"/>
        </w:rPr>
        <w:t xml:space="preserve">2025 жылға дейінгі Стратегиялық жоспар мен мемлекеттік бағдарлама арасында көлеңкелі экономика көлемін азайтуға қатысты байланыстың жоқтығын көрсетеді. </w:t>
      </w:r>
      <w:r w:rsidR="00C477D7" w:rsidRPr="00DB48D2">
        <w:rPr>
          <w:rFonts w:ascii="Times New Roman" w:hAnsi="Times New Roman" w:cs="Times New Roman"/>
          <w:sz w:val="28"/>
          <w:szCs w:val="28"/>
          <w:lang w:val="kk-KZ" w:eastAsia="zh-CN"/>
        </w:rPr>
        <w:t>АӨК дамытуға бағытталған бюджет қаражатын</w:t>
      </w:r>
      <w:r>
        <w:rPr>
          <w:rFonts w:ascii="Times New Roman" w:hAnsi="Times New Roman" w:cs="Times New Roman"/>
          <w:sz w:val="28"/>
          <w:szCs w:val="28"/>
          <w:lang w:val="kk-KZ" w:eastAsia="zh-CN"/>
        </w:rPr>
        <w:t xml:space="preserve"> пайдалану</w:t>
      </w:r>
      <w:r w:rsidR="00C477D7" w:rsidRPr="00DB48D2">
        <w:rPr>
          <w:rFonts w:ascii="Times New Roman" w:hAnsi="Times New Roman" w:cs="Times New Roman"/>
          <w:sz w:val="28"/>
          <w:szCs w:val="28"/>
          <w:lang w:val="kk-KZ" w:eastAsia="zh-CN"/>
        </w:rPr>
        <w:t xml:space="preserve"> тиімділі</w:t>
      </w:r>
      <w:r>
        <w:rPr>
          <w:rFonts w:ascii="Times New Roman" w:hAnsi="Times New Roman" w:cs="Times New Roman"/>
          <w:sz w:val="28"/>
          <w:szCs w:val="28"/>
          <w:lang w:val="kk-KZ" w:eastAsia="zh-CN"/>
        </w:rPr>
        <w:t>гі</w:t>
      </w:r>
      <w:r w:rsidR="00C477D7" w:rsidRPr="00DB48D2">
        <w:rPr>
          <w:rFonts w:ascii="Times New Roman" w:hAnsi="Times New Roman" w:cs="Times New Roman"/>
          <w:sz w:val="28"/>
          <w:szCs w:val="28"/>
          <w:lang w:val="kk-KZ" w:eastAsia="zh-CN"/>
        </w:rPr>
        <w:t xml:space="preserve"> аудитін өткізген </w:t>
      </w:r>
      <w:r w:rsidR="008E28E9" w:rsidRPr="00DB48D2">
        <w:rPr>
          <w:rFonts w:ascii="Times New Roman" w:hAnsi="Times New Roman" w:cs="Times New Roman"/>
          <w:sz w:val="28"/>
          <w:szCs w:val="28"/>
          <w:lang w:val="kk-KZ" w:eastAsia="zh-CN"/>
        </w:rPr>
        <w:t>ЖАП-ң</w:t>
      </w:r>
      <w:r w:rsidR="00C477D7" w:rsidRPr="00DB48D2">
        <w:rPr>
          <w:rFonts w:ascii="Times New Roman" w:hAnsi="Times New Roman" w:cs="Times New Roman"/>
          <w:sz w:val="28"/>
          <w:szCs w:val="28"/>
          <w:lang w:val="kk-KZ" w:eastAsia="zh-CN"/>
        </w:rPr>
        <w:t xml:space="preserve"> тәжірибесін зерттеу кезінде келесі жағдайларды атап өтуге болады:</w:t>
      </w:r>
    </w:p>
    <w:p w14:paraId="3E392E32" w14:textId="156759E4" w:rsidR="00C477D7" w:rsidRPr="00457CE9" w:rsidRDefault="00C477D7"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457CE9">
        <w:rPr>
          <w:rFonts w:ascii="Times New Roman" w:hAnsi="Times New Roman"/>
          <w:sz w:val="28"/>
          <w:szCs w:val="28"/>
          <w:lang w:val="kk-KZ" w:eastAsia="zh-CN"/>
        </w:rPr>
        <w:t>мемлекеттік аудит 2020 жылы 29 маусымнан 23 қазан аралығында құрамында 9 аудитордан құралған топпен өткізілді, соның ішінде аудит типтері ретінде тиімділік аудиті, сәйкестік аудиті және параллель аудиті деп бекітілген;</w:t>
      </w:r>
    </w:p>
    <w:p w14:paraId="3871CC30" w14:textId="77777777" w:rsidR="00C477D7" w:rsidRPr="00457CE9" w:rsidRDefault="00C477D7"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457CE9">
        <w:rPr>
          <w:rFonts w:ascii="Times New Roman" w:hAnsi="Times New Roman"/>
          <w:sz w:val="28"/>
          <w:szCs w:val="28"/>
          <w:lang w:val="kk-KZ" w:eastAsia="zh-CN"/>
        </w:rPr>
        <w:t>негізгі критерий ретінде АӨК дамытуға бағытталған мемлекетпен қабылданған шаралар жеткіліктілігі деп анықталған;</w:t>
      </w:r>
    </w:p>
    <w:p w14:paraId="28F5133D" w14:textId="402EECB2" w:rsidR="00C477D7" w:rsidRPr="00C14AB8" w:rsidRDefault="00C477D7"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457CE9">
        <w:rPr>
          <w:rFonts w:ascii="Times New Roman" w:hAnsi="Times New Roman"/>
          <w:sz w:val="28"/>
          <w:szCs w:val="28"/>
          <w:lang w:val="kk-KZ" w:eastAsia="zh-CN"/>
        </w:rPr>
        <w:t>мемлекеттік аудит жүргізу барысында қолданылған құжаттар: іске асырылып жатқан АӨК дамытудың мемлекеттік бағдарламасы, ҚР Бюджет кодексі</w:t>
      </w:r>
      <w:r w:rsidR="00745535" w:rsidRPr="00457CE9">
        <w:rPr>
          <w:rFonts w:ascii="Times New Roman" w:hAnsi="Times New Roman"/>
          <w:sz w:val="28"/>
          <w:szCs w:val="28"/>
          <w:lang w:val="kk-KZ" w:eastAsia="zh-CN"/>
        </w:rPr>
        <w:t xml:space="preserve"> [</w:t>
      </w:r>
      <w:r w:rsidR="00DC0D1A">
        <w:rPr>
          <w:rFonts w:ascii="Times New Roman" w:hAnsi="Times New Roman"/>
          <w:sz w:val="28"/>
          <w:szCs w:val="28"/>
          <w:lang w:val="kk-KZ" w:eastAsia="zh-CN"/>
        </w:rPr>
        <w:t>5</w:t>
      </w:r>
      <w:r w:rsidR="004B18AA" w:rsidRPr="004B18AA">
        <w:rPr>
          <w:rFonts w:ascii="Times New Roman" w:hAnsi="Times New Roman"/>
          <w:sz w:val="28"/>
          <w:szCs w:val="28"/>
          <w:lang w:val="kk-KZ" w:eastAsia="zh-CN"/>
        </w:rPr>
        <w:t>5</w:t>
      </w:r>
      <w:r w:rsidR="00745535" w:rsidRPr="00457CE9">
        <w:rPr>
          <w:rFonts w:ascii="Times New Roman" w:hAnsi="Times New Roman"/>
          <w:sz w:val="28"/>
          <w:szCs w:val="28"/>
          <w:lang w:val="kk-KZ" w:eastAsia="zh-CN"/>
        </w:rPr>
        <w:t>]</w:t>
      </w:r>
      <w:r w:rsidRPr="00457CE9">
        <w:rPr>
          <w:rFonts w:ascii="Times New Roman" w:hAnsi="Times New Roman"/>
          <w:sz w:val="28"/>
          <w:szCs w:val="28"/>
          <w:lang w:val="kk-KZ" w:eastAsia="zh-CN"/>
        </w:rPr>
        <w:t xml:space="preserve">, Ауыл шаруашылығы министрлігі әзірлеп бекіткен қаулылар, бұйрықтар, бухгалтерлік есеп мәліметтері, </w:t>
      </w:r>
      <w:r w:rsidRPr="00C14AB8">
        <w:rPr>
          <w:rFonts w:ascii="Times New Roman" w:hAnsi="Times New Roman"/>
          <w:sz w:val="28"/>
          <w:szCs w:val="28"/>
          <w:lang w:val="kk-KZ" w:eastAsia="zh-CN"/>
        </w:rPr>
        <w:t xml:space="preserve">бюджеттік бағдарламалар, </w:t>
      </w:r>
      <w:r w:rsidR="004A6AA7" w:rsidRPr="004A6AA7">
        <w:rPr>
          <w:rStyle w:val="a4"/>
          <w:color w:val="auto"/>
          <w:sz w:val="28"/>
          <w:szCs w:val="28"/>
          <w:u w:val="none"/>
          <w:lang w:val="kk-KZ"/>
        </w:rPr>
        <w:t xml:space="preserve">ҚР Стратегиялық жоспарлау және реформалар агенттінің </w:t>
      </w:r>
      <w:r w:rsidRPr="004A6AA7">
        <w:rPr>
          <w:rFonts w:ascii="Times New Roman" w:hAnsi="Times New Roman"/>
          <w:sz w:val="28"/>
          <w:szCs w:val="28"/>
          <w:lang w:val="kk-KZ" w:eastAsia="zh-CN"/>
        </w:rPr>
        <w:t xml:space="preserve">жариялы мәліметтері, </w:t>
      </w:r>
      <w:r w:rsidRPr="00C14AB8">
        <w:rPr>
          <w:rFonts w:ascii="Times New Roman" w:hAnsi="Times New Roman"/>
          <w:sz w:val="28"/>
          <w:szCs w:val="28"/>
          <w:lang w:val="kk-KZ" w:eastAsia="zh-CN"/>
        </w:rPr>
        <w:t xml:space="preserve">көрсеткіштерді есептеумен байланысты бекітілген әдістемелік нұсқаулықтар, </w:t>
      </w:r>
      <w:r w:rsidR="003C56BE" w:rsidRPr="00C14AB8">
        <w:rPr>
          <w:rFonts w:ascii="Times New Roman" w:hAnsi="Times New Roman"/>
          <w:sz w:val="28"/>
          <w:szCs w:val="28"/>
          <w:lang w:val="kk-KZ" w:eastAsia="zh-CN"/>
        </w:rPr>
        <w:t>«</w:t>
      </w:r>
      <w:r w:rsidRPr="00C14AB8">
        <w:rPr>
          <w:rFonts w:ascii="Times New Roman" w:hAnsi="Times New Roman"/>
          <w:sz w:val="28"/>
          <w:szCs w:val="28"/>
          <w:lang w:val="kk-KZ" w:eastAsia="zh-CN"/>
        </w:rPr>
        <w:t>ҚР Мемлекеттік жоспарлау жүйесінің</w:t>
      </w:r>
      <w:r w:rsidR="003C56BE" w:rsidRPr="00C14AB8">
        <w:rPr>
          <w:rFonts w:ascii="Times New Roman" w:hAnsi="Times New Roman"/>
          <w:sz w:val="28"/>
          <w:szCs w:val="28"/>
          <w:lang w:val="kk-KZ" w:eastAsia="zh-CN"/>
        </w:rPr>
        <w:t>»</w:t>
      </w:r>
      <w:r w:rsidRPr="00C14AB8">
        <w:rPr>
          <w:rFonts w:ascii="Times New Roman" w:hAnsi="Times New Roman"/>
          <w:sz w:val="28"/>
          <w:szCs w:val="28"/>
          <w:lang w:val="kk-KZ" w:eastAsia="zh-CN"/>
        </w:rPr>
        <w:t xml:space="preserve"> құжаттары</w:t>
      </w:r>
      <w:r w:rsidR="00B57B26" w:rsidRPr="00C14AB8">
        <w:rPr>
          <w:rFonts w:ascii="Times New Roman" w:hAnsi="Times New Roman"/>
          <w:sz w:val="28"/>
          <w:szCs w:val="28"/>
          <w:lang w:val="kk-KZ" w:eastAsia="zh-CN"/>
        </w:rPr>
        <w:t xml:space="preserve"> [5</w:t>
      </w:r>
      <w:r w:rsidR="004B18AA" w:rsidRPr="00C14AB8">
        <w:rPr>
          <w:rFonts w:ascii="Times New Roman" w:hAnsi="Times New Roman"/>
          <w:sz w:val="28"/>
          <w:szCs w:val="28"/>
          <w:lang w:val="kk-KZ" w:eastAsia="zh-CN"/>
        </w:rPr>
        <w:t>6</w:t>
      </w:r>
      <w:r w:rsidR="00B57B26" w:rsidRPr="00C14AB8">
        <w:rPr>
          <w:rFonts w:ascii="Times New Roman" w:hAnsi="Times New Roman"/>
          <w:sz w:val="28"/>
          <w:szCs w:val="28"/>
          <w:lang w:val="kk-KZ" w:eastAsia="zh-CN"/>
        </w:rPr>
        <w:t>]</w:t>
      </w:r>
      <w:r w:rsidRPr="00C14AB8">
        <w:rPr>
          <w:rFonts w:ascii="Times New Roman" w:hAnsi="Times New Roman"/>
          <w:sz w:val="28"/>
          <w:szCs w:val="28"/>
          <w:lang w:val="kk-KZ" w:eastAsia="zh-CN"/>
        </w:rPr>
        <w:t xml:space="preserve">, Стратегиялық құжаттар,  </w:t>
      </w:r>
      <w:r w:rsidR="00DC0D1A" w:rsidRPr="00C14AB8">
        <w:rPr>
          <w:rFonts w:ascii="Times New Roman" w:hAnsi="Times New Roman"/>
          <w:sz w:val="28"/>
          <w:szCs w:val="28"/>
          <w:lang w:val="kk-KZ" w:eastAsia="zh-CN"/>
        </w:rPr>
        <w:t>АШМ</w:t>
      </w:r>
      <w:r w:rsidRPr="00C14AB8">
        <w:rPr>
          <w:rFonts w:ascii="Times New Roman" w:hAnsi="Times New Roman"/>
          <w:sz w:val="28"/>
          <w:szCs w:val="28"/>
          <w:lang w:val="kk-KZ" w:eastAsia="zh-CN"/>
        </w:rPr>
        <w:t xml:space="preserve"> жыл сайынғы есеп берулер мәліметтері және тағы басқа құжаттар</w:t>
      </w:r>
      <w:r w:rsidR="00B57B26" w:rsidRPr="00C14AB8">
        <w:rPr>
          <w:rFonts w:ascii="Times New Roman" w:hAnsi="Times New Roman"/>
          <w:sz w:val="28"/>
          <w:szCs w:val="28"/>
          <w:lang w:val="kk-KZ" w:eastAsia="zh-CN"/>
        </w:rPr>
        <w:t xml:space="preserve"> [</w:t>
      </w:r>
      <w:r w:rsidR="00DC0D1A" w:rsidRPr="00C14AB8">
        <w:rPr>
          <w:rFonts w:ascii="Times New Roman" w:hAnsi="Times New Roman"/>
          <w:sz w:val="28"/>
          <w:szCs w:val="28"/>
          <w:lang w:val="kk-KZ" w:eastAsia="zh-CN"/>
        </w:rPr>
        <w:t>5</w:t>
      </w:r>
      <w:r w:rsidR="004B18AA" w:rsidRPr="00C14AB8">
        <w:rPr>
          <w:rFonts w:ascii="Times New Roman" w:hAnsi="Times New Roman"/>
          <w:sz w:val="28"/>
          <w:szCs w:val="28"/>
          <w:lang w:val="kk-KZ" w:eastAsia="zh-CN"/>
        </w:rPr>
        <w:t>7</w:t>
      </w:r>
      <w:r w:rsidR="00F67CC1" w:rsidRPr="00C14AB8">
        <w:rPr>
          <w:rFonts w:ascii="Times New Roman" w:hAnsi="Times New Roman"/>
          <w:sz w:val="28"/>
          <w:szCs w:val="28"/>
          <w:lang w:val="kk-KZ" w:eastAsia="zh-CN"/>
        </w:rPr>
        <w:t>-5</w:t>
      </w:r>
      <w:r w:rsidR="004B18AA" w:rsidRPr="00C14AB8">
        <w:rPr>
          <w:rFonts w:ascii="Times New Roman" w:hAnsi="Times New Roman"/>
          <w:sz w:val="28"/>
          <w:szCs w:val="28"/>
          <w:lang w:val="kk-KZ" w:eastAsia="zh-CN"/>
        </w:rPr>
        <w:t>9</w:t>
      </w:r>
      <w:r w:rsidR="00B57B26" w:rsidRPr="00C14AB8">
        <w:rPr>
          <w:rFonts w:ascii="Times New Roman" w:hAnsi="Times New Roman"/>
          <w:sz w:val="28"/>
          <w:szCs w:val="28"/>
          <w:lang w:val="kk-KZ" w:eastAsia="zh-CN"/>
        </w:rPr>
        <w:t>]</w:t>
      </w:r>
      <w:r w:rsidRPr="00C14AB8">
        <w:rPr>
          <w:rFonts w:ascii="Times New Roman" w:hAnsi="Times New Roman"/>
          <w:sz w:val="28"/>
          <w:szCs w:val="28"/>
          <w:lang w:val="kk-KZ" w:eastAsia="zh-CN"/>
        </w:rPr>
        <w:t>;</w:t>
      </w:r>
    </w:p>
    <w:p w14:paraId="01A6019D" w14:textId="276E5B7F" w:rsidR="00C477D7" w:rsidRPr="00457CE9" w:rsidRDefault="00C477D7"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C14AB8">
        <w:rPr>
          <w:rFonts w:ascii="Times New Roman" w:hAnsi="Times New Roman"/>
          <w:sz w:val="28"/>
          <w:szCs w:val="28"/>
          <w:lang w:val="kk-KZ" w:eastAsia="zh-CN"/>
        </w:rPr>
        <w:t xml:space="preserve">мемлекеттік аудит нәтижесі аудиторлық қорытынды </w:t>
      </w:r>
      <w:r w:rsidRPr="00457CE9">
        <w:rPr>
          <w:rFonts w:ascii="Times New Roman" w:hAnsi="Times New Roman"/>
          <w:sz w:val="28"/>
          <w:szCs w:val="28"/>
          <w:lang w:val="kk-KZ" w:eastAsia="zh-CN"/>
        </w:rPr>
        <w:t>есепте 314 беттен құралған, және оған қосымшаларынан</w:t>
      </w:r>
      <w:r w:rsidR="00D53F84">
        <w:rPr>
          <w:rFonts w:ascii="Times New Roman" w:hAnsi="Times New Roman"/>
          <w:sz w:val="28"/>
          <w:szCs w:val="28"/>
          <w:lang w:val="kk-KZ" w:eastAsia="zh-CN"/>
        </w:rPr>
        <w:t xml:space="preserve"> (3796 бет) </w:t>
      </w:r>
      <w:r w:rsidRPr="00457CE9">
        <w:rPr>
          <w:rFonts w:ascii="Times New Roman" w:hAnsi="Times New Roman"/>
          <w:sz w:val="28"/>
          <w:szCs w:val="28"/>
          <w:lang w:val="kk-KZ" w:eastAsia="zh-CN"/>
        </w:rPr>
        <w:t xml:space="preserve"> жинақталып Ауыл шаруашылығы министрлігінің ресми сайтында жарияланған</w:t>
      </w:r>
      <w:r w:rsidR="00DC0D1A" w:rsidRPr="00DC0D1A">
        <w:rPr>
          <w:rFonts w:ascii="Times New Roman" w:hAnsi="Times New Roman"/>
          <w:sz w:val="28"/>
          <w:szCs w:val="28"/>
          <w:lang w:val="kk-KZ" w:eastAsia="zh-CN"/>
        </w:rPr>
        <w:t xml:space="preserve"> </w:t>
      </w:r>
      <w:r w:rsidR="000B5B6F">
        <w:rPr>
          <w:rFonts w:ascii="Times New Roman" w:hAnsi="Times New Roman"/>
          <w:sz w:val="28"/>
          <w:szCs w:val="28"/>
          <w:lang w:val="kk-KZ" w:eastAsia="zh-CN"/>
        </w:rPr>
        <w:t>[5</w:t>
      </w:r>
      <w:r w:rsidR="004B18AA" w:rsidRPr="004B18AA">
        <w:rPr>
          <w:rFonts w:ascii="Times New Roman" w:hAnsi="Times New Roman"/>
          <w:sz w:val="28"/>
          <w:szCs w:val="28"/>
          <w:lang w:val="kk-KZ" w:eastAsia="zh-CN"/>
        </w:rPr>
        <w:t>2</w:t>
      </w:r>
      <w:r w:rsidR="000B5B6F">
        <w:rPr>
          <w:rFonts w:ascii="Times New Roman" w:hAnsi="Times New Roman"/>
          <w:sz w:val="28"/>
          <w:szCs w:val="28"/>
          <w:lang w:val="kk-KZ" w:eastAsia="zh-CN"/>
        </w:rPr>
        <w:t>]</w:t>
      </w:r>
      <w:r w:rsidRPr="00457CE9">
        <w:rPr>
          <w:rFonts w:ascii="Times New Roman" w:hAnsi="Times New Roman"/>
          <w:sz w:val="28"/>
          <w:szCs w:val="28"/>
          <w:lang w:val="kk-KZ" w:eastAsia="zh-CN"/>
        </w:rPr>
        <w:t>;</w:t>
      </w:r>
    </w:p>
    <w:p w14:paraId="531104ED" w14:textId="0F8D5E32" w:rsidR="00387A47" w:rsidRPr="00457CE9" w:rsidRDefault="00C477D7"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457CE9">
        <w:rPr>
          <w:rFonts w:ascii="Times New Roman" w:hAnsi="Times New Roman"/>
          <w:sz w:val="28"/>
          <w:szCs w:val="28"/>
          <w:lang w:val="kk-KZ" w:eastAsia="zh-CN"/>
        </w:rPr>
        <w:t xml:space="preserve">мемлекеттік аудиторлық қорытынды есеп негізінен үш бөлімнен: </w:t>
      </w:r>
      <w:r w:rsidR="00387A47" w:rsidRPr="00457CE9">
        <w:rPr>
          <w:rFonts w:ascii="Times New Roman" w:hAnsi="Times New Roman"/>
          <w:sz w:val="28"/>
          <w:szCs w:val="28"/>
          <w:lang w:val="kk-KZ" w:eastAsia="zh-CN"/>
        </w:rPr>
        <w:t>кіріспе бөлім, негізгі бөлім, қорытынды бөлімдерінен құралған;</w:t>
      </w:r>
    </w:p>
    <w:p w14:paraId="3D636786" w14:textId="6F1B615A" w:rsidR="00A60F45" w:rsidRPr="00457CE9" w:rsidRDefault="00A60F45"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457CE9">
        <w:rPr>
          <w:rFonts w:ascii="Times New Roman" w:hAnsi="Times New Roman"/>
          <w:sz w:val="28"/>
          <w:szCs w:val="28"/>
          <w:lang w:val="kk-KZ" w:eastAsia="zh-CN"/>
        </w:rPr>
        <w:t>мемлекеттік тиімділік аудитінің көрсеткіштері</w:t>
      </w:r>
      <w:r w:rsidR="00882D45" w:rsidRPr="00457CE9">
        <w:rPr>
          <w:rFonts w:ascii="Times New Roman" w:hAnsi="Times New Roman"/>
          <w:sz w:val="28"/>
          <w:szCs w:val="28"/>
          <w:lang w:val="kk-KZ" w:eastAsia="zh-CN"/>
        </w:rPr>
        <w:t xml:space="preserve"> ретінде </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тиімділік</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 xml:space="preserve"> - алынған нәтижелердің оларға қол жеткізу үшін пайдаланылған ресурстарды ескере отырып жоспарланғанға қатынасы деп анықталса, арнайы критери</w:t>
      </w:r>
      <w:r w:rsidR="00A03571">
        <w:rPr>
          <w:rFonts w:ascii="Times New Roman" w:hAnsi="Times New Roman"/>
          <w:sz w:val="28"/>
          <w:szCs w:val="28"/>
          <w:lang w:val="kk-KZ" w:eastAsia="zh-CN"/>
        </w:rPr>
        <w:t>й</w:t>
      </w:r>
      <w:r w:rsidR="00882D45" w:rsidRPr="00457CE9">
        <w:rPr>
          <w:rFonts w:ascii="Times New Roman" w:hAnsi="Times New Roman"/>
          <w:sz w:val="28"/>
          <w:szCs w:val="28"/>
          <w:lang w:val="kk-KZ" w:eastAsia="zh-CN"/>
        </w:rPr>
        <w:t xml:space="preserve">і </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АӨК дамытуға бағытталған мемлекетпен қабылданған шаралар жеткіліктілігі</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 xml:space="preserve">, және тағы бір көрсеткіш </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нәтижелілік</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 xml:space="preserve"> - әрбір қызмет бойынша белгіленген міндеттерді іске асыру дәрежесі және тиісті қызметтің жоспарлы (тікелей, түпкілікті) және нақты нәтижелерінің арақатынасы</w:t>
      </w:r>
      <w:r w:rsidR="003C56BE" w:rsidRPr="00457CE9">
        <w:rPr>
          <w:rFonts w:ascii="Times New Roman" w:hAnsi="Times New Roman"/>
          <w:sz w:val="28"/>
          <w:szCs w:val="28"/>
          <w:lang w:val="kk-KZ" w:eastAsia="zh-CN"/>
        </w:rPr>
        <w:t>»</w:t>
      </w:r>
      <w:r w:rsidR="00882D45" w:rsidRPr="00457CE9">
        <w:rPr>
          <w:rFonts w:ascii="Times New Roman" w:hAnsi="Times New Roman"/>
          <w:sz w:val="28"/>
          <w:szCs w:val="28"/>
          <w:lang w:val="kk-KZ" w:eastAsia="zh-CN"/>
        </w:rPr>
        <w:t xml:space="preserve"> деп анықталған</w:t>
      </w:r>
      <w:r w:rsidR="00DC0D1A">
        <w:rPr>
          <w:rFonts w:ascii="Times New Roman" w:hAnsi="Times New Roman"/>
          <w:sz w:val="28"/>
          <w:szCs w:val="28"/>
          <w:lang w:val="kk-KZ" w:eastAsia="zh-CN"/>
        </w:rPr>
        <w:t xml:space="preserve"> </w:t>
      </w:r>
      <w:r w:rsidR="000B5B6F">
        <w:rPr>
          <w:rFonts w:ascii="Times New Roman" w:hAnsi="Times New Roman"/>
          <w:sz w:val="28"/>
          <w:szCs w:val="28"/>
          <w:lang w:val="kk-KZ" w:eastAsia="zh-CN"/>
        </w:rPr>
        <w:t>[5</w:t>
      </w:r>
      <w:r w:rsidR="004B18AA" w:rsidRPr="004B18AA">
        <w:rPr>
          <w:rFonts w:ascii="Times New Roman" w:hAnsi="Times New Roman"/>
          <w:sz w:val="28"/>
          <w:szCs w:val="28"/>
          <w:lang w:val="kk-KZ" w:eastAsia="zh-CN"/>
        </w:rPr>
        <w:t>2</w:t>
      </w:r>
      <w:r w:rsidR="000B5B6F">
        <w:rPr>
          <w:rFonts w:ascii="Times New Roman" w:hAnsi="Times New Roman"/>
          <w:sz w:val="28"/>
          <w:szCs w:val="28"/>
          <w:lang w:val="kk-KZ" w:eastAsia="zh-CN"/>
        </w:rPr>
        <w:t>]</w:t>
      </w:r>
      <w:r w:rsidR="00882D45" w:rsidRPr="00457CE9">
        <w:rPr>
          <w:rFonts w:ascii="Times New Roman" w:hAnsi="Times New Roman"/>
          <w:sz w:val="28"/>
          <w:szCs w:val="28"/>
          <w:lang w:val="kk-KZ" w:eastAsia="zh-CN"/>
        </w:rPr>
        <w:t>;</w:t>
      </w:r>
    </w:p>
    <w:p w14:paraId="29521BEF" w14:textId="503D524A" w:rsidR="00387A47" w:rsidRDefault="00A60F45"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457CE9">
        <w:rPr>
          <w:rFonts w:ascii="Times New Roman" w:hAnsi="Times New Roman"/>
          <w:sz w:val="28"/>
          <w:szCs w:val="28"/>
          <w:lang w:val="kk-KZ" w:eastAsia="zh-CN"/>
        </w:rPr>
        <w:t xml:space="preserve">мемлекеттік аудиттің </w:t>
      </w:r>
      <w:r w:rsidR="003C56BE" w:rsidRPr="00457CE9">
        <w:rPr>
          <w:rFonts w:ascii="Times New Roman" w:hAnsi="Times New Roman"/>
          <w:sz w:val="28"/>
          <w:szCs w:val="28"/>
          <w:lang w:val="kk-KZ" w:eastAsia="zh-CN"/>
        </w:rPr>
        <w:t>«</w:t>
      </w:r>
      <w:r w:rsidRPr="00457CE9">
        <w:rPr>
          <w:rFonts w:ascii="Times New Roman" w:hAnsi="Times New Roman"/>
          <w:sz w:val="28"/>
          <w:szCs w:val="28"/>
          <w:lang w:val="kk-KZ" w:eastAsia="zh-CN"/>
        </w:rPr>
        <w:t>тиімділік</w:t>
      </w:r>
      <w:r w:rsidR="003C56BE" w:rsidRPr="00457CE9">
        <w:rPr>
          <w:rFonts w:ascii="Times New Roman" w:hAnsi="Times New Roman"/>
          <w:sz w:val="28"/>
          <w:szCs w:val="28"/>
          <w:lang w:val="kk-KZ" w:eastAsia="zh-CN"/>
        </w:rPr>
        <w:t>»</w:t>
      </w:r>
      <w:r w:rsidRPr="00457CE9">
        <w:rPr>
          <w:rFonts w:ascii="Times New Roman" w:hAnsi="Times New Roman"/>
          <w:sz w:val="28"/>
          <w:szCs w:val="28"/>
          <w:lang w:val="kk-KZ" w:eastAsia="zh-CN"/>
        </w:rPr>
        <w:t xml:space="preserve"> көрсеткіші бойынша </w:t>
      </w:r>
      <w:r w:rsidR="00387A47" w:rsidRPr="00457CE9">
        <w:rPr>
          <w:rFonts w:ascii="Times New Roman" w:hAnsi="Times New Roman"/>
          <w:sz w:val="28"/>
          <w:szCs w:val="28"/>
          <w:lang w:val="kk-KZ" w:eastAsia="zh-CN"/>
        </w:rPr>
        <w:t xml:space="preserve">қабылданған және іске асырылып жатқан мемлекеттік бағдарламаға енгізілген өзгерістері, соған орай бюджет қаражатының өзгеруі талданған. Қойылған мақсатқа жету үшін сандық тұрғыда бекітілген нысаналы индикаторларға 2017-2019 жылдары қол жеткізілген көрсеткіштерінің жоспарлы және нақты көлемінің сәйкестігі </w:t>
      </w:r>
      <w:r w:rsidR="00033B57">
        <w:rPr>
          <w:rFonts w:ascii="Times New Roman" w:hAnsi="Times New Roman"/>
          <w:sz w:val="28"/>
          <w:szCs w:val="28"/>
          <w:lang w:val="kk-KZ" w:eastAsia="zh-CN"/>
        </w:rPr>
        <w:t>(</w:t>
      </w:r>
      <w:r w:rsidR="00033B57" w:rsidRPr="00E03E23">
        <w:rPr>
          <w:rFonts w:ascii="Times New Roman" w:hAnsi="Times New Roman"/>
          <w:sz w:val="28"/>
          <w:szCs w:val="28"/>
          <w:lang w:val="kk-KZ" w:eastAsia="zh-CN"/>
        </w:rPr>
        <w:t>тиімділік аудиті сәйкестік аудиті түрінде өткізілген</w:t>
      </w:r>
      <w:r w:rsidR="00033B57">
        <w:rPr>
          <w:rFonts w:ascii="Times New Roman" w:hAnsi="Times New Roman"/>
          <w:sz w:val="28"/>
          <w:szCs w:val="28"/>
          <w:lang w:val="kk-KZ" w:eastAsia="zh-CN"/>
        </w:rPr>
        <w:t>)</w:t>
      </w:r>
      <w:r w:rsidR="00033B57" w:rsidRPr="00457CE9">
        <w:rPr>
          <w:rFonts w:ascii="Times New Roman" w:hAnsi="Times New Roman"/>
          <w:sz w:val="28"/>
          <w:szCs w:val="28"/>
          <w:lang w:val="kk-KZ" w:eastAsia="zh-CN"/>
        </w:rPr>
        <w:t xml:space="preserve"> </w:t>
      </w:r>
      <w:r w:rsidR="00387A47" w:rsidRPr="00457CE9">
        <w:rPr>
          <w:rFonts w:ascii="Times New Roman" w:hAnsi="Times New Roman"/>
          <w:sz w:val="28"/>
          <w:szCs w:val="28"/>
          <w:lang w:val="kk-KZ" w:eastAsia="zh-CN"/>
        </w:rPr>
        <w:t xml:space="preserve">тексеріліп, жұмсалған қаражат игерілуі талданған. Бекітілген нысаналы индикаторға қол жеткізу үшін </w:t>
      </w:r>
      <w:r w:rsidR="00033B57">
        <w:rPr>
          <w:rFonts w:ascii="Times New Roman" w:hAnsi="Times New Roman"/>
          <w:sz w:val="28"/>
          <w:szCs w:val="28"/>
          <w:lang w:val="kk-KZ" w:eastAsia="zh-CN"/>
        </w:rPr>
        <w:t>АШМ-н</w:t>
      </w:r>
      <w:r w:rsidR="00D53F84">
        <w:rPr>
          <w:rFonts w:ascii="Times New Roman" w:hAnsi="Times New Roman"/>
          <w:sz w:val="28"/>
          <w:szCs w:val="28"/>
          <w:lang w:val="kk-KZ" w:eastAsia="zh-CN"/>
        </w:rPr>
        <w:t>ы</w:t>
      </w:r>
      <w:r w:rsidR="00033B57">
        <w:rPr>
          <w:rFonts w:ascii="Times New Roman" w:hAnsi="Times New Roman"/>
          <w:sz w:val="28"/>
          <w:szCs w:val="28"/>
          <w:lang w:val="kk-KZ" w:eastAsia="zh-CN"/>
        </w:rPr>
        <w:t>ң</w:t>
      </w:r>
      <w:r w:rsidR="00387A47" w:rsidRPr="00457CE9">
        <w:rPr>
          <w:rFonts w:ascii="Times New Roman" w:hAnsi="Times New Roman"/>
          <w:sz w:val="28"/>
          <w:szCs w:val="28"/>
          <w:lang w:val="kk-KZ" w:eastAsia="zh-CN"/>
        </w:rPr>
        <w:t xml:space="preserve"> қабылдаған шаралар жеткілікті</w:t>
      </w:r>
      <w:r w:rsidR="00D53F84">
        <w:rPr>
          <w:rFonts w:ascii="Times New Roman" w:hAnsi="Times New Roman"/>
          <w:sz w:val="28"/>
          <w:szCs w:val="28"/>
          <w:lang w:val="kk-KZ" w:eastAsia="zh-CN"/>
        </w:rPr>
        <w:t>лі</w:t>
      </w:r>
      <w:r w:rsidR="00387A47" w:rsidRPr="00457CE9">
        <w:rPr>
          <w:rFonts w:ascii="Times New Roman" w:hAnsi="Times New Roman"/>
          <w:sz w:val="28"/>
          <w:szCs w:val="28"/>
          <w:lang w:val="kk-KZ" w:eastAsia="zh-CN"/>
        </w:rPr>
        <w:t>гі тиімділігінің бағалануына факторлық талдау жасалмағанын атап өтуге болады</w:t>
      </w:r>
      <w:r w:rsidR="00DC0D1A" w:rsidRPr="00DC0D1A">
        <w:rPr>
          <w:rFonts w:ascii="Times New Roman" w:hAnsi="Times New Roman"/>
          <w:sz w:val="28"/>
          <w:szCs w:val="28"/>
          <w:lang w:val="kk-KZ" w:eastAsia="zh-CN"/>
        </w:rPr>
        <w:t xml:space="preserve"> </w:t>
      </w:r>
      <w:r w:rsidR="000B5B6F">
        <w:rPr>
          <w:rFonts w:ascii="Times New Roman" w:hAnsi="Times New Roman"/>
          <w:sz w:val="28"/>
          <w:szCs w:val="28"/>
          <w:lang w:val="kk-KZ" w:eastAsia="zh-CN"/>
        </w:rPr>
        <w:t>[5</w:t>
      </w:r>
      <w:r w:rsidR="004B18AA" w:rsidRPr="004B18AA">
        <w:rPr>
          <w:rFonts w:ascii="Times New Roman" w:hAnsi="Times New Roman"/>
          <w:sz w:val="28"/>
          <w:szCs w:val="28"/>
          <w:lang w:val="kk-KZ" w:eastAsia="zh-CN"/>
        </w:rPr>
        <w:t>2</w:t>
      </w:r>
      <w:r w:rsidR="000B5B6F">
        <w:rPr>
          <w:rFonts w:ascii="Times New Roman" w:hAnsi="Times New Roman"/>
          <w:sz w:val="28"/>
          <w:szCs w:val="28"/>
          <w:lang w:val="kk-KZ" w:eastAsia="zh-CN"/>
        </w:rPr>
        <w:t>]</w:t>
      </w:r>
      <w:r w:rsidR="00387A47" w:rsidRPr="00457CE9">
        <w:rPr>
          <w:rFonts w:ascii="Times New Roman" w:hAnsi="Times New Roman"/>
          <w:sz w:val="28"/>
          <w:szCs w:val="28"/>
          <w:lang w:val="kk-KZ" w:eastAsia="zh-CN"/>
        </w:rPr>
        <w:t>;</w:t>
      </w:r>
    </w:p>
    <w:p w14:paraId="14522452" w14:textId="77777777" w:rsidR="00A60F45" w:rsidRPr="00E03E23" w:rsidRDefault="00A60F45"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E03E23">
        <w:rPr>
          <w:rFonts w:ascii="Times New Roman" w:hAnsi="Times New Roman"/>
          <w:sz w:val="28"/>
          <w:szCs w:val="28"/>
          <w:lang w:val="kk-KZ" w:eastAsia="zh-CN"/>
        </w:rPr>
        <w:t>АӨК дамыту мемлекеттік бағдарламасының орындаушысы Ауыл шаруашылығы министрлігі және басқа да бірлескен орындаушылар арасында өзара әрекет ету әлсіздігінен көрсеткіштердің орындалмауын атап өткен;</w:t>
      </w:r>
    </w:p>
    <w:p w14:paraId="2B509E60" w14:textId="2D811349" w:rsidR="00C477D7" w:rsidRPr="00E03E23" w:rsidRDefault="00A60F45" w:rsidP="0097172E">
      <w:pPr>
        <w:pStyle w:val="a5"/>
        <w:widowControl w:val="0"/>
        <w:numPr>
          <w:ilvl w:val="0"/>
          <w:numId w:val="25"/>
        </w:numPr>
        <w:tabs>
          <w:tab w:val="left" w:pos="993"/>
        </w:tabs>
        <w:spacing w:after="0" w:line="240" w:lineRule="auto"/>
        <w:ind w:left="0" w:firstLine="709"/>
        <w:jc w:val="both"/>
        <w:rPr>
          <w:rFonts w:ascii="Times New Roman" w:hAnsi="Times New Roman"/>
          <w:sz w:val="28"/>
          <w:szCs w:val="28"/>
          <w:lang w:val="kk-KZ" w:eastAsia="zh-CN"/>
        </w:rPr>
      </w:pPr>
      <w:r w:rsidRPr="00E03E23">
        <w:rPr>
          <w:rFonts w:ascii="Times New Roman" w:hAnsi="Times New Roman"/>
          <w:sz w:val="28"/>
          <w:szCs w:val="28"/>
          <w:lang w:val="kk-KZ" w:eastAsia="zh-CN"/>
        </w:rPr>
        <w:t>АӨК дамытуға бөлінген қаражатын игерудің жоғары пайызы аясында маңызды нәтижелерге қол жеткізілмеуі, көзделген нәтиже көрсеткіштері мен жоспарланған бюджет қаражаты арасында тиісті өзара байланыстың болмауынан деген қорытынды жасаған</w:t>
      </w:r>
      <w:r w:rsidR="005E0DB9" w:rsidRPr="00E03E23">
        <w:rPr>
          <w:rFonts w:ascii="Times New Roman" w:hAnsi="Times New Roman"/>
          <w:sz w:val="28"/>
          <w:szCs w:val="28"/>
          <w:lang w:val="kk-KZ" w:eastAsia="zh-CN"/>
        </w:rPr>
        <w:t xml:space="preserve"> </w:t>
      </w:r>
      <w:r w:rsidR="000B5B6F" w:rsidRPr="00E03E23">
        <w:rPr>
          <w:rFonts w:ascii="Times New Roman" w:hAnsi="Times New Roman"/>
          <w:sz w:val="28"/>
          <w:szCs w:val="28"/>
          <w:lang w:val="kk-KZ" w:eastAsia="zh-CN"/>
        </w:rPr>
        <w:t>[5</w:t>
      </w:r>
      <w:r w:rsidR="004B18AA" w:rsidRPr="00E03E23">
        <w:rPr>
          <w:rFonts w:ascii="Times New Roman" w:hAnsi="Times New Roman"/>
          <w:sz w:val="28"/>
          <w:szCs w:val="28"/>
          <w:lang w:val="kk-KZ" w:eastAsia="zh-CN"/>
        </w:rPr>
        <w:t>2</w:t>
      </w:r>
      <w:r w:rsidR="000B5B6F" w:rsidRPr="00E03E23">
        <w:rPr>
          <w:rFonts w:ascii="Times New Roman" w:hAnsi="Times New Roman"/>
          <w:sz w:val="28"/>
          <w:szCs w:val="28"/>
          <w:lang w:val="kk-KZ" w:eastAsia="zh-CN"/>
        </w:rPr>
        <w:t>]</w:t>
      </w:r>
      <w:r w:rsidR="00B72F08" w:rsidRPr="00E03E23">
        <w:rPr>
          <w:rFonts w:ascii="Times New Roman" w:hAnsi="Times New Roman"/>
          <w:sz w:val="28"/>
          <w:szCs w:val="28"/>
          <w:lang w:val="kk-KZ" w:eastAsia="zh-CN"/>
        </w:rPr>
        <w:t>.</w:t>
      </w:r>
      <w:r w:rsidR="00387A47" w:rsidRPr="00E03E23">
        <w:rPr>
          <w:rFonts w:ascii="Times New Roman" w:hAnsi="Times New Roman"/>
          <w:sz w:val="28"/>
          <w:szCs w:val="28"/>
          <w:lang w:val="kk-KZ" w:eastAsia="zh-CN"/>
        </w:rPr>
        <w:t xml:space="preserve"> </w:t>
      </w:r>
    </w:p>
    <w:p w14:paraId="0E0F8495" w14:textId="515632C3" w:rsidR="003C70C6" w:rsidRPr="00457CE9" w:rsidRDefault="00CE7E07" w:rsidP="00782F91">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аудит кезінде бағдарламада ж</w:t>
      </w:r>
      <w:r w:rsidR="00DE675E" w:rsidRPr="00457CE9">
        <w:rPr>
          <w:rFonts w:ascii="Times New Roman" w:hAnsi="Times New Roman" w:cs="Times New Roman"/>
          <w:sz w:val="28"/>
          <w:szCs w:val="28"/>
          <w:lang w:val="kk-KZ"/>
        </w:rPr>
        <w:t xml:space="preserve">оспарланған әр нысаналы индикаторлар мен тапсырмалар, және көрсеткіштердің орындалуы не орындалмауы, оның себебі мен жұмсалған қаражат туралы талдаулар жасалған. </w:t>
      </w:r>
    </w:p>
    <w:p w14:paraId="5C3FE496" w14:textId="64A46FBE" w:rsidR="003C70C6" w:rsidRPr="00457CE9" w:rsidRDefault="003C70C6" w:rsidP="00782F91">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бюджет қаражатын мақсатты пайдалану аудитін және бөлінетін қаражатты пайдалану тиімділігін талдауды қамтиды. Бюджет қаражатын мақсатты пайдалану аудиті мемлекеттік қаражаттың жұмсалуын айқындайтын нормативтік базада құрылады. Аудит жүргізу кезінде қаражатты пайдаланудың заңдылығын және мақсатты бағытын тексеру қажет. Мұндай аудитті жүргізуге қойылатын негізгі талаптар ҚР заңнамасымен реттеледі.</w:t>
      </w:r>
      <w:r w:rsidR="00033B57">
        <w:rPr>
          <w:rFonts w:ascii="Times New Roman" w:hAnsi="Times New Roman" w:cs="Times New Roman"/>
          <w:sz w:val="28"/>
          <w:szCs w:val="28"/>
          <w:lang w:val="kk-KZ"/>
        </w:rPr>
        <w:t xml:space="preserve"> </w:t>
      </w:r>
    </w:p>
    <w:p w14:paraId="2376BC9C" w14:textId="3B0C9679" w:rsidR="006C5246" w:rsidRPr="00457CE9" w:rsidRDefault="003C70C6" w:rsidP="00782F91">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қағидасы ҚР Бюджет кодексінде жариялан</w:t>
      </w:r>
      <w:r w:rsidR="00E17EEB" w:rsidRPr="00457CE9">
        <w:rPr>
          <w:rFonts w:ascii="Times New Roman" w:hAnsi="Times New Roman" w:cs="Times New Roman"/>
          <w:sz w:val="28"/>
          <w:szCs w:val="28"/>
          <w:lang w:val="kk-KZ"/>
        </w:rPr>
        <w:t>ған</w:t>
      </w:r>
      <w:r w:rsidRPr="00457CE9">
        <w:rPr>
          <w:rFonts w:ascii="Times New Roman" w:hAnsi="Times New Roman" w:cs="Times New Roman"/>
          <w:sz w:val="28"/>
          <w:szCs w:val="28"/>
          <w:lang w:val="kk-KZ"/>
        </w:rPr>
        <w:t xml:space="preserve"> және бюджет қаражатының атаулылығы мен нысаналы сипаты қағидасымен неғұрлым тығыз өзара байланысты</w:t>
      </w:r>
      <w:r w:rsidR="005E0DB9" w:rsidRPr="00457CE9">
        <w:rPr>
          <w:rFonts w:ascii="Times New Roman" w:hAnsi="Times New Roman" w:cs="Times New Roman"/>
          <w:sz w:val="28"/>
          <w:szCs w:val="28"/>
          <w:lang w:val="kk-KZ"/>
        </w:rPr>
        <w:t xml:space="preserve"> [</w:t>
      </w:r>
      <w:r w:rsidR="004B18AA" w:rsidRPr="004B18AA">
        <w:rPr>
          <w:rFonts w:ascii="Times New Roman" w:hAnsi="Times New Roman" w:cs="Times New Roman"/>
          <w:sz w:val="28"/>
          <w:szCs w:val="28"/>
          <w:lang w:val="kk-KZ"/>
        </w:rPr>
        <w:t>49</w:t>
      </w:r>
      <w:r w:rsidR="005E0DB9"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Бірақ осы компоненттердің пәрменділігін бақылау қиын немесе тіпті мүмкін емес. Тәжірибе көрсетіп отырғандай, жұртшылық, сондай-ақ өкілді және бақылау-қадағалау органдары тарапынан субсидиялаудың, әсіресе ауыл шаруашылығының қолданыстағы тетігі айтарлықтай шағымдар туғызуда. Ауыл шаруашылығы тауарын өндірушілерді мемлекеттік қолдау шеңберінде бөлінетін бюджет қаражатының едәуір көлемі облыстық ауыл шаруашылығы басқармаларының төлемдерімен шаруа қожалықтарының шоттарына екінші деңгейдегі банктерге аударылады. Бұл ретте қаржының одан әрі қозғалысы тиімсіз бақыланады, бұл оларды мақсатқа сай емес пайдалану тәуекелін арттырады.</w:t>
      </w:r>
      <w:r w:rsidR="00033B57">
        <w:rPr>
          <w:rFonts w:ascii="Times New Roman" w:hAnsi="Times New Roman" w:cs="Times New Roman"/>
          <w:sz w:val="28"/>
          <w:szCs w:val="28"/>
          <w:lang w:val="kk-KZ"/>
        </w:rPr>
        <w:t xml:space="preserve"> </w:t>
      </w:r>
      <w:r w:rsidR="00AD02E8" w:rsidRPr="00457CE9">
        <w:rPr>
          <w:rFonts w:ascii="Times New Roman" w:hAnsi="Times New Roman" w:cs="Times New Roman"/>
          <w:sz w:val="28"/>
          <w:szCs w:val="28"/>
          <w:lang w:val="kk-KZ"/>
        </w:rPr>
        <w:t xml:space="preserve">Бас прокуратура мен </w:t>
      </w:r>
      <w:r w:rsidR="00240810" w:rsidRPr="00457CE9">
        <w:rPr>
          <w:rFonts w:ascii="Times New Roman" w:hAnsi="Times New Roman" w:cs="Times New Roman"/>
          <w:sz w:val="28"/>
          <w:szCs w:val="28"/>
          <w:lang w:val="kk-KZ"/>
        </w:rPr>
        <w:t>Жоғары аудит палатасы</w:t>
      </w:r>
      <w:r w:rsidR="00AD02E8" w:rsidRPr="00457CE9">
        <w:rPr>
          <w:rFonts w:ascii="Times New Roman" w:hAnsi="Times New Roman" w:cs="Times New Roman"/>
          <w:sz w:val="28"/>
          <w:szCs w:val="28"/>
          <w:lang w:val="kk-KZ"/>
        </w:rPr>
        <w:t xml:space="preserve"> жүргізетін тексерулер субсидиялау саласындағы криминализацияның жоғары деңгейін көрсетеді.</w:t>
      </w:r>
      <w:r w:rsidR="00C667F7" w:rsidRPr="00457CE9">
        <w:rPr>
          <w:rFonts w:ascii="Times New Roman" w:hAnsi="Times New Roman" w:cs="Times New Roman"/>
          <w:sz w:val="28"/>
          <w:szCs w:val="28"/>
          <w:lang w:val="kk-KZ"/>
        </w:rPr>
        <w:t xml:space="preserve"> </w:t>
      </w:r>
      <w:r w:rsidR="00315FDD" w:rsidRPr="00457CE9">
        <w:rPr>
          <w:rFonts w:ascii="Times New Roman" w:hAnsi="Times New Roman" w:cs="Times New Roman"/>
          <w:sz w:val="28"/>
          <w:szCs w:val="28"/>
          <w:lang w:val="kk-KZ"/>
        </w:rPr>
        <w:t>Қылмыстық, әкімшілік және тәртіптік іс қарау негізінде жатқан басты себептер субсидиялау нәтижелерін бөлу, төлеу және бағалау процестерінде ашықтықтың және тиісті бақылаудың болмауы, бюджеттік субсидиялардың тиімсіз пайдаланылуы бол</w:t>
      </w:r>
      <w:r w:rsidR="00CE7E07">
        <w:rPr>
          <w:rFonts w:ascii="Times New Roman" w:hAnsi="Times New Roman" w:cs="Times New Roman"/>
          <w:sz w:val="28"/>
          <w:szCs w:val="28"/>
          <w:lang w:val="kk-KZ"/>
        </w:rPr>
        <w:t>ғаны жазылған</w:t>
      </w:r>
      <w:r w:rsidR="00315FDD" w:rsidRPr="00457CE9">
        <w:rPr>
          <w:rFonts w:ascii="Times New Roman" w:hAnsi="Times New Roman" w:cs="Times New Roman"/>
          <w:sz w:val="28"/>
          <w:szCs w:val="28"/>
          <w:lang w:val="kk-KZ"/>
        </w:rPr>
        <w:t>.</w:t>
      </w:r>
      <w:r w:rsidR="007A78FD" w:rsidRPr="00457CE9">
        <w:rPr>
          <w:rFonts w:ascii="Times New Roman" w:hAnsi="Times New Roman" w:cs="Times New Roman"/>
          <w:sz w:val="28"/>
          <w:szCs w:val="28"/>
          <w:lang w:val="kk-KZ"/>
        </w:rPr>
        <w:t xml:space="preserve"> </w:t>
      </w:r>
      <w:r w:rsidR="00315FDD" w:rsidRPr="00457CE9">
        <w:rPr>
          <w:rFonts w:ascii="Times New Roman" w:hAnsi="Times New Roman" w:cs="Times New Roman"/>
          <w:sz w:val="28"/>
          <w:szCs w:val="28"/>
          <w:lang w:val="kk-KZ"/>
        </w:rPr>
        <w:t>Осыған байланысты мемлекеттік</w:t>
      </w:r>
      <w:r w:rsidR="00CE7E07">
        <w:rPr>
          <w:rFonts w:ascii="Times New Roman" w:hAnsi="Times New Roman" w:cs="Times New Roman"/>
          <w:sz w:val="28"/>
          <w:szCs w:val="28"/>
          <w:lang w:val="kk-KZ"/>
        </w:rPr>
        <w:t xml:space="preserve"> аудит және</w:t>
      </w:r>
      <w:r w:rsidR="00315FDD" w:rsidRPr="00457CE9">
        <w:rPr>
          <w:rFonts w:ascii="Times New Roman" w:hAnsi="Times New Roman" w:cs="Times New Roman"/>
          <w:sz w:val="28"/>
          <w:szCs w:val="28"/>
          <w:lang w:val="kk-KZ"/>
        </w:rPr>
        <w:t xml:space="preserve"> қаржылық бақылауды жүргізудің алдын</w:t>
      </w:r>
      <w:r w:rsidR="00CE7E07">
        <w:rPr>
          <w:rFonts w:ascii="Times New Roman" w:hAnsi="Times New Roman" w:cs="Times New Roman"/>
          <w:sz w:val="28"/>
          <w:szCs w:val="28"/>
          <w:lang w:val="kk-KZ"/>
        </w:rPr>
        <w:t>-</w:t>
      </w:r>
      <w:r w:rsidR="00315FDD" w:rsidRPr="00457CE9">
        <w:rPr>
          <w:rFonts w:ascii="Times New Roman" w:hAnsi="Times New Roman" w:cs="Times New Roman"/>
          <w:sz w:val="28"/>
          <w:szCs w:val="28"/>
          <w:lang w:val="kk-KZ"/>
        </w:rPr>
        <w:t>ал</w:t>
      </w:r>
      <w:r w:rsidR="00CE7E07">
        <w:rPr>
          <w:rFonts w:ascii="Times New Roman" w:hAnsi="Times New Roman" w:cs="Times New Roman"/>
          <w:sz w:val="28"/>
          <w:szCs w:val="28"/>
          <w:lang w:val="kk-KZ"/>
        </w:rPr>
        <w:t>у</w:t>
      </w:r>
      <w:r w:rsidR="00315FDD" w:rsidRPr="00457CE9">
        <w:rPr>
          <w:rFonts w:ascii="Times New Roman" w:hAnsi="Times New Roman" w:cs="Times New Roman"/>
          <w:sz w:val="28"/>
          <w:szCs w:val="28"/>
          <w:lang w:val="kk-KZ"/>
        </w:rPr>
        <w:t xml:space="preserve"> кезеңінде республикалық бюджет қаражатының мақсатты және тиімді пайдаланылуына бақылауды ұйымдастыру және жүргізу жөніндегі күш-жігерді қайта бөлу және шоғырландыру туралы ұсынысты қараған жөн. Өйткені, кейіннен жоғалған ақшаны іздеуден гөрі заңнаманы бұзуды болдырмау оңайырақ</w:t>
      </w:r>
      <w:r w:rsidR="00CE7E07">
        <w:rPr>
          <w:rFonts w:ascii="Times New Roman" w:hAnsi="Times New Roman" w:cs="Times New Roman"/>
          <w:sz w:val="28"/>
          <w:szCs w:val="28"/>
          <w:lang w:val="kk-KZ"/>
        </w:rPr>
        <w:t xml:space="preserve"> </w:t>
      </w:r>
      <w:r w:rsidR="00CE7E07" w:rsidRPr="00CE7E07">
        <w:rPr>
          <w:rFonts w:ascii="Times New Roman" w:hAnsi="Times New Roman" w:cs="Times New Roman"/>
          <w:sz w:val="28"/>
          <w:szCs w:val="28"/>
          <w:lang w:val="kk-KZ"/>
        </w:rPr>
        <w:t>[60]</w:t>
      </w:r>
      <w:r w:rsidR="00315FDD" w:rsidRPr="00457CE9">
        <w:rPr>
          <w:rFonts w:ascii="Times New Roman" w:hAnsi="Times New Roman" w:cs="Times New Roman"/>
          <w:sz w:val="28"/>
          <w:szCs w:val="28"/>
          <w:lang w:val="kk-KZ"/>
        </w:rPr>
        <w:t>.</w:t>
      </w:r>
    </w:p>
    <w:p w14:paraId="3EE4CC5B" w14:textId="12714043" w:rsidR="00081A55" w:rsidRDefault="00F67CC1" w:rsidP="00081A55">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Нәтижелерге нақты қол жеткізу мемлекеттік кіріс, статистика, жер қатынастары органдарының және басқа да құзыретті органдардың деректерімен салыстырылуы және расталуы тиіс. Осы мақсаттар үшін шетелдік оң тәжірибені пайдалана отырып, «субсидия алушылардың тізілімі» ұлттық базасын құру, сондай-ақ ауыл шаруашылығын мемлекеттік қолдаудың тиімділігі аудитінің әдістемесін әзірлеу қажет деп есептейміз.</w:t>
      </w:r>
      <w:r w:rsidR="00CE7E07" w:rsidRPr="00CE7E07">
        <w:rPr>
          <w:rFonts w:ascii="Times New Roman" w:hAnsi="Times New Roman" w:cs="Times New Roman"/>
          <w:sz w:val="28"/>
          <w:szCs w:val="28"/>
          <w:lang w:val="kk-KZ"/>
        </w:rPr>
        <w:t xml:space="preserve"> </w:t>
      </w:r>
      <w:r>
        <w:rPr>
          <w:rFonts w:ascii="Times New Roman" w:hAnsi="Times New Roman" w:cs="Times New Roman"/>
          <w:sz w:val="28"/>
          <w:szCs w:val="28"/>
          <w:lang w:val="kk-KZ"/>
        </w:rPr>
        <w:t>Сондай-ақ, оны бағалаудың көрсеткіштері мен өлшемдерін айқындау және бюджеттен ақша қаражатын төлегенге дейін алдын ала аудиторлық рәсімдерді енгізу талап етіледі.</w:t>
      </w:r>
      <w:r w:rsidR="00081A55" w:rsidRPr="00081A55">
        <w:rPr>
          <w:rFonts w:ascii="Times New Roman" w:hAnsi="Times New Roman" w:cs="Times New Roman"/>
          <w:sz w:val="28"/>
          <w:szCs w:val="28"/>
          <w:lang w:val="kk-KZ"/>
        </w:rPr>
        <w:t xml:space="preserve"> </w:t>
      </w:r>
      <w:r w:rsidR="00081A55" w:rsidRPr="00457CE9">
        <w:rPr>
          <w:rFonts w:ascii="Times New Roman" w:hAnsi="Times New Roman" w:cs="Times New Roman"/>
          <w:sz w:val="28"/>
          <w:szCs w:val="28"/>
          <w:lang w:val="kk-KZ"/>
        </w:rPr>
        <w:t xml:space="preserve">Субсидия алушылардың тізілімін құру бюджет қаражатын бөлу үрдісін ашық және қолжетімді етеді. Тұтастай алғанда, қойылған міндеттерге қол жеткізу үшін бюджет үрдісінің барлық сатыларында (жоспарлау, орындау және есептілік) бюджет заңнамасын сақтау жөніндегі талаптарды күшейту қажет. </w:t>
      </w:r>
    </w:p>
    <w:p w14:paraId="2E82B3A0" w14:textId="380AF1C0" w:rsidR="00F67CC1" w:rsidRDefault="00F67CC1" w:rsidP="00F67CC1">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аудиттің халықаралық стандарттарында тиімділік аудитінің мақсаты және осы мақсатқа жетудің нақты критерийлері оның мазмұнын ашатындай белгілі сипаттамаларға сәйкес келу керектігі белгіленген. АӨК сала ретінде дамуы көп жағдайда белгілі макроэкономикалық және микроэкономикалық көрсеткіштер динамикасының оң жаққа өзгерісімен сипатталады. АӨК дамытуға бағытталған бюджет қаражаты үнемді, өнімді және нәтижелі жұмсалуы, яғни</w:t>
      </w:r>
      <w:r w:rsidR="00033B57">
        <w:rPr>
          <w:rFonts w:ascii="Times New Roman" w:hAnsi="Times New Roman" w:cs="Times New Roman"/>
          <w:sz w:val="28"/>
          <w:szCs w:val="28"/>
          <w:lang w:val="kk-KZ"/>
        </w:rPr>
        <w:t>,</w:t>
      </w:r>
      <w:r>
        <w:rPr>
          <w:rFonts w:ascii="Times New Roman" w:hAnsi="Times New Roman" w:cs="Times New Roman"/>
          <w:sz w:val="28"/>
          <w:szCs w:val="28"/>
          <w:lang w:val="kk-KZ"/>
        </w:rPr>
        <w:t xml:space="preserve"> келешекте осы салаға бөлінетін мемлекеттік қолдаудың азаюы, осы бағытта саясатқа тәуелсіз баға беру тиімділік аудиті нәтижесінде алынған нәтижелері дер кезінде нормативті құқықтық актілерге өзгерістер енгізуге септігін тигізеді</w:t>
      </w:r>
      <w:r w:rsidR="00E77C0F" w:rsidRPr="00E77C0F">
        <w:rPr>
          <w:rFonts w:ascii="Times New Roman" w:hAnsi="Times New Roman" w:cs="Times New Roman"/>
          <w:sz w:val="28"/>
          <w:szCs w:val="28"/>
          <w:lang w:val="kk-KZ"/>
        </w:rPr>
        <w:t xml:space="preserve"> [6</w:t>
      </w:r>
      <w:r w:rsidR="00166E03" w:rsidRPr="00166E03">
        <w:rPr>
          <w:rFonts w:ascii="Times New Roman" w:hAnsi="Times New Roman" w:cs="Times New Roman"/>
          <w:sz w:val="28"/>
          <w:szCs w:val="28"/>
          <w:lang w:val="kk-KZ"/>
        </w:rPr>
        <w:t>1</w:t>
      </w:r>
      <w:r w:rsidR="00E77C0F" w:rsidRPr="00E77C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838875D" w14:textId="77777777" w:rsidR="00033B57" w:rsidRDefault="00081A55" w:rsidP="00081A55">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Тиімділік аудитінің мақсатын нақты анықтау: </w:t>
      </w:r>
      <w:r>
        <w:rPr>
          <w:rFonts w:ascii="Times New Roman" w:hAnsi="Times New Roman" w:cs="Times New Roman"/>
          <w:color w:val="000000"/>
          <w:sz w:val="28"/>
          <w:szCs w:val="28"/>
          <w:lang w:val="kk-KZ"/>
        </w:rPr>
        <w:t>тиімділік аудитінің мақсаты — оны жүргізу нәтижесінде не нәрсеге қол жеткізу керек дегенді білдіреді</w:t>
      </w:r>
      <w:r w:rsidR="00CE7E07">
        <w:rPr>
          <w:rFonts w:ascii="Times New Roman" w:hAnsi="Times New Roman" w:cs="Times New Roman"/>
          <w:color w:val="000000"/>
          <w:sz w:val="28"/>
          <w:szCs w:val="28"/>
          <w:lang w:val="kk-KZ"/>
        </w:rPr>
        <w:t xml:space="preserve"> және</w:t>
      </w:r>
      <w:r>
        <w:rPr>
          <w:rFonts w:ascii="Times New Roman" w:hAnsi="Times New Roman" w:cs="Times New Roman"/>
          <w:color w:val="000000"/>
          <w:sz w:val="28"/>
          <w:szCs w:val="28"/>
          <w:lang w:val="kk-KZ"/>
        </w:rPr>
        <w:t xml:space="preserve"> «бағалау», «анықтау» деген сөздермен аяқталуы тиіс. Тиімділік аудитінің мақсаттары оның нәтижелері бойынша тиісті қорытындылар, пікірлер мен ұсыныстар жасауға болатындай етіп анықталуы керек. Мақсаты дұрыс анықталған аудитте аудитор артық қажет емес шараларды орындамайды. </w:t>
      </w:r>
    </w:p>
    <w:p w14:paraId="06EBC5B0" w14:textId="16E91E35" w:rsidR="00081A55" w:rsidRDefault="00081A55" w:rsidP="00081A55">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Мәселен келесідей тиімділік аудитінің мақсаттары бекітілген:</w:t>
      </w:r>
      <w:r w:rsidR="00CE7E0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«Шығыс Қазақстан облысына бөлінген республикалық бюджет қаражатын пайдаланудың мемлекеттік аудиті» деп аталатын аудиторлық іс-шараның мақсаты ретінде «Павлодар облысына бөлінген республикалық бюджет қаражатын пайдалану тиімділігін бағалау» анықталған. Аталған аудиторлық іс-шарада облыстық тексеру комиссиялары мемлекеттік аудитті облыс бойынша барлық бағыттары бойынша ұйымдастырып жүргізген. Объектілер тізімі өте көп. Мұндай жағдайда жалпы мақсат бойынша тиімділік аудитін өткізу және оған баға беру объективті болмайды, сондықтан аудит мақсаты әр бағыт бойынша жеке-жеке анықталуы тиіс: ауыл шаруашылығы, құрылыс, тұрғын-үй шаруашылығы, білім, денсаулық сақтау т.с.с. немесе «Аймақтарды дамыту бағдарламаларында» белгіленген мақсаттары бойынша анықтау.</w:t>
      </w:r>
    </w:p>
    <w:p w14:paraId="1E0BA025" w14:textId="4B8E32C9" w:rsidR="00081A55" w:rsidRDefault="00081A55" w:rsidP="00081A55">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ҚР АӨК 2017-2021 жж. дамытудың мемлекеттік бағдарламасы аудитінің мақсаты: «ҚР АӨК дамытудың 2017-2021</w:t>
      </w:r>
      <w:r w:rsidR="000379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жж. арналған мемлекеттік бағдарламасын іске асыруды, сондай-ақ дағдарысқа қарсы шараларға бағытталған қаражатты пайдалану тиімділігін аралық бағалау» деп белгіленген, ал мемлекеттік бағдарлама мақсаты «</w:t>
      </w:r>
      <w:r>
        <w:rPr>
          <w:rFonts w:ascii="Times New Roman" w:hAnsi="Times New Roman" w:cs="Times New Roman"/>
          <w:color w:val="000000"/>
          <w:sz w:val="28"/>
          <w:szCs w:val="28"/>
          <w:shd w:val="clear" w:color="auto" w:fill="FFFFFF"/>
          <w:lang w:val="kk-KZ"/>
        </w:rPr>
        <w:t xml:space="preserve">Еңбек өнімділігін 2,5 есе арттыру, АӨК өнімінің экспортын екі есе ұлғайту және отандық өндірістің әлеуметтік маңызы бар </w:t>
      </w:r>
      <w:r w:rsidR="001E2869">
        <w:rPr>
          <w:rFonts w:ascii="Times New Roman" w:hAnsi="Times New Roman" w:cs="Times New Roman"/>
          <w:color w:val="000000"/>
          <w:sz w:val="28"/>
          <w:szCs w:val="28"/>
          <w:shd w:val="clear" w:color="auto" w:fill="FFFFFF"/>
          <w:lang w:val="kk-KZ"/>
        </w:rPr>
        <w:t>азық-түлік</w:t>
      </w:r>
      <w:r>
        <w:rPr>
          <w:rFonts w:ascii="Times New Roman" w:hAnsi="Times New Roman" w:cs="Times New Roman"/>
          <w:color w:val="000000"/>
          <w:sz w:val="28"/>
          <w:szCs w:val="28"/>
          <w:shd w:val="clear" w:color="auto" w:fill="FFFFFF"/>
          <w:lang w:val="kk-KZ"/>
        </w:rPr>
        <w:t xml:space="preserve"> тауарларымен қамтамасыз ету арқылы бәсекеге қаблетті АӨК құру</w:t>
      </w:r>
      <w:r>
        <w:rPr>
          <w:rFonts w:ascii="Times New Roman" w:hAnsi="Times New Roman" w:cs="Times New Roman"/>
          <w:color w:val="000000"/>
          <w:sz w:val="28"/>
          <w:szCs w:val="28"/>
          <w:lang w:val="kk-KZ"/>
        </w:rPr>
        <w:t>» деп бекітілген</w:t>
      </w:r>
      <w:r w:rsidRPr="00081A55">
        <w:rPr>
          <w:rFonts w:ascii="Times New Roman" w:hAnsi="Times New Roman" w:cs="Times New Roman"/>
          <w:color w:val="000000"/>
          <w:sz w:val="28"/>
          <w:szCs w:val="28"/>
          <w:lang w:val="kk-KZ"/>
        </w:rPr>
        <w:t xml:space="preserve"> [6</w:t>
      </w:r>
      <w:r w:rsidR="00166E03" w:rsidRPr="00166E03">
        <w:rPr>
          <w:rFonts w:ascii="Times New Roman" w:hAnsi="Times New Roman" w:cs="Times New Roman"/>
          <w:color w:val="000000"/>
          <w:sz w:val="28"/>
          <w:szCs w:val="28"/>
          <w:lang w:val="kk-KZ"/>
        </w:rPr>
        <w:t>2</w:t>
      </w:r>
      <w:r w:rsidRPr="00081A5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r w:rsidR="008E372B">
        <w:rPr>
          <w:rFonts w:ascii="Times New Roman" w:hAnsi="Times New Roman" w:cs="Times New Roman"/>
          <w:color w:val="000000"/>
          <w:sz w:val="28"/>
          <w:szCs w:val="28"/>
          <w:lang w:val="kk-KZ"/>
        </w:rPr>
        <w:t xml:space="preserve"> Бұл жерде бағдарлама мақсаты мен мемлекеттік аудит соның ішінде тиімділік аудитінің мақсатында сәйкессіздік байқалады.</w:t>
      </w:r>
    </w:p>
    <w:p w14:paraId="3F0B6F8D" w14:textId="26B807D7" w:rsidR="00081A55" w:rsidRPr="007C7B78" w:rsidRDefault="00081A55" w:rsidP="00081A55">
      <w:pPr>
        <w:pStyle w:val="a6"/>
        <w:shd w:val="clear" w:color="auto" w:fill="FFFFFF"/>
        <w:spacing w:before="0" w:beforeAutospacing="0" w:after="0" w:afterAutospacing="0"/>
        <w:ind w:firstLine="709"/>
        <w:jc w:val="both"/>
        <w:textAlignment w:val="baseline"/>
        <w:rPr>
          <w:sz w:val="28"/>
          <w:szCs w:val="28"/>
          <w:lang w:val="kk-KZ"/>
        </w:rPr>
      </w:pPr>
      <w:r w:rsidRPr="007C7B78">
        <w:rPr>
          <w:sz w:val="28"/>
          <w:szCs w:val="28"/>
          <w:lang w:val="kk-KZ"/>
        </w:rPr>
        <w:t xml:space="preserve">Мемлекеттік аудитор тиімділік аудиті кезінде нәтижеге бағытталған аудиторлық тәсілді таңдауы керек. Нәтижеге бағытталған тәсіл белгіленген аралық немесе қорытынды мақсаттарға қол жеткізілгенін немесе жоспарланған бағдарламалар мен қызметтердің орындалғанын бағалайды. Бұл тәсіл аралық нәтижелер немесе қорытындылар нақты тұжырымдалған кезде (мысалы, стратегияда, бағдарламаларда, жобада, аймақтарды дамыту бағдарламарында анықталған) қолдануға ыңғайлы. </w:t>
      </w:r>
      <w:r w:rsidR="00033B57">
        <w:rPr>
          <w:sz w:val="28"/>
          <w:szCs w:val="28"/>
          <w:lang w:val="kk-KZ"/>
        </w:rPr>
        <w:t xml:space="preserve">100 рәсімдік стандартының </w:t>
      </w:r>
      <w:r w:rsidRPr="007C7B78">
        <w:rPr>
          <w:sz w:val="28"/>
          <w:szCs w:val="28"/>
          <w:lang w:val="kk-KZ"/>
        </w:rPr>
        <w:t>6-параграф</w:t>
      </w:r>
      <w:r w:rsidR="00033B57">
        <w:rPr>
          <w:sz w:val="28"/>
          <w:szCs w:val="28"/>
          <w:lang w:val="kk-KZ"/>
        </w:rPr>
        <w:t>ында</w:t>
      </w:r>
      <w:r w:rsidRPr="007C7B78">
        <w:rPr>
          <w:sz w:val="28"/>
          <w:szCs w:val="28"/>
          <w:lang w:val="kk-KZ"/>
        </w:rPr>
        <w:t xml:space="preserve"> </w:t>
      </w:r>
      <w:r w:rsidR="00033B57">
        <w:rPr>
          <w:sz w:val="28"/>
          <w:szCs w:val="28"/>
          <w:lang w:val="kk-KZ"/>
        </w:rPr>
        <w:t xml:space="preserve">тиімділік аудитінің мақсаты, </w:t>
      </w:r>
      <w:r w:rsidR="00F316BC">
        <w:rPr>
          <w:sz w:val="28"/>
          <w:szCs w:val="28"/>
          <w:lang w:val="kk-KZ"/>
        </w:rPr>
        <w:t>мәселелері</w:t>
      </w:r>
      <w:r w:rsidR="00033B57">
        <w:rPr>
          <w:sz w:val="28"/>
          <w:szCs w:val="28"/>
          <w:lang w:val="kk-KZ"/>
        </w:rPr>
        <w:t xml:space="preserve"> және критерийлеріне қарай төмендегі </w:t>
      </w:r>
      <w:r w:rsidR="00F316BC">
        <w:rPr>
          <w:sz w:val="28"/>
          <w:szCs w:val="28"/>
          <w:lang w:val="kk-KZ"/>
        </w:rPr>
        <w:t xml:space="preserve">негізгі </w:t>
      </w:r>
      <w:r w:rsidR="00033B57">
        <w:rPr>
          <w:sz w:val="28"/>
          <w:szCs w:val="28"/>
          <w:lang w:val="kk-KZ"/>
        </w:rPr>
        <w:t xml:space="preserve">үш </w:t>
      </w:r>
      <w:r w:rsidRPr="007C7B78">
        <w:rPr>
          <w:sz w:val="28"/>
          <w:szCs w:val="28"/>
          <w:lang w:val="kk-KZ"/>
        </w:rPr>
        <w:t>тәсілді</w:t>
      </w:r>
      <w:r w:rsidR="00F316BC">
        <w:rPr>
          <w:sz w:val="28"/>
          <w:szCs w:val="28"/>
          <w:lang w:val="kk-KZ"/>
        </w:rPr>
        <w:t>ң біреуін</w:t>
      </w:r>
      <w:r w:rsidRPr="007C7B78">
        <w:rPr>
          <w:sz w:val="28"/>
          <w:szCs w:val="28"/>
          <w:lang w:val="kk-KZ"/>
        </w:rPr>
        <w:t xml:space="preserve"> </w:t>
      </w:r>
      <w:r w:rsidR="00F316BC">
        <w:rPr>
          <w:sz w:val="28"/>
          <w:szCs w:val="28"/>
          <w:lang w:val="kk-KZ"/>
        </w:rPr>
        <w:t>таңдайды немесе біріктіреді делінген</w:t>
      </w:r>
      <w:r w:rsidRPr="007C7B78">
        <w:rPr>
          <w:sz w:val="28"/>
          <w:szCs w:val="28"/>
          <w:lang w:val="kk-KZ"/>
        </w:rPr>
        <w:t>:</w:t>
      </w:r>
    </w:p>
    <w:p w14:paraId="34C35255" w14:textId="3A042B1B" w:rsidR="00081A55" w:rsidRPr="007C7B78" w:rsidRDefault="00081A55" w:rsidP="0097172E">
      <w:pPr>
        <w:pStyle w:val="a6"/>
        <w:numPr>
          <w:ilvl w:val="0"/>
          <w:numId w:val="63"/>
        </w:numPr>
        <w:shd w:val="clear" w:color="auto" w:fill="FFFFFF"/>
        <w:tabs>
          <w:tab w:val="left" w:pos="993"/>
        </w:tabs>
        <w:spacing w:before="0" w:beforeAutospacing="0" w:after="0" w:afterAutospacing="0"/>
        <w:ind w:left="0" w:firstLine="709"/>
        <w:jc w:val="both"/>
        <w:textAlignment w:val="baseline"/>
        <w:rPr>
          <w:sz w:val="28"/>
          <w:szCs w:val="28"/>
          <w:lang w:val="kk-KZ"/>
        </w:rPr>
      </w:pPr>
      <w:r w:rsidRPr="007C7B78">
        <w:rPr>
          <w:spacing w:val="2"/>
          <w:sz w:val="28"/>
          <w:szCs w:val="28"/>
          <w:lang w:val="kk-KZ"/>
        </w:rPr>
        <w:t>басқару жүйелерінің тиісінше қызмет етуін зерттейтін жүйеге бағдарланған тәсіл;</w:t>
      </w:r>
    </w:p>
    <w:p w14:paraId="443A661D" w14:textId="24F0B6AD" w:rsidR="00081A55" w:rsidRPr="007C7B78" w:rsidRDefault="00081A55" w:rsidP="0097172E">
      <w:pPr>
        <w:pStyle w:val="a6"/>
        <w:numPr>
          <w:ilvl w:val="0"/>
          <w:numId w:val="63"/>
        </w:numPr>
        <w:shd w:val="clear" w:color="auto" w:fill="FFFFFF"/>
        <w:tabs>
          <w:tab w:val="left" w:pos="993"/>
        </w:tabs>
        <w:spacing w:before="0" w:beforeAutospacing="0" w:after="0" w:afterAutospacing="0"/>
        <w:ind w:left="0" w:firstLine="709"/>
        <w:jc w:val="both"/>
        <w:textAlignment w:val="baseline"/>
        <w:rPr>
          <w:sz w:val="28"/>
          <w:szCs w:val="28"/>
          <w:lang w:val="kk-KZ"/>
        </w:rPr>
      </w:pPr>
      <w:r w:rsidRPr="007C7B78">
        <w:rPr>
          <w:spacing w:val="2"/>
          <w:sz w:val="28"/>
          <w:szCs w:val="28"/>
          <w:lang w:val="kk-KZ"/>
        </w:rPr>
        <w:t>жоспарланған тікелей және түпкілікті нәтижелерге қол жеткізілгенін бағалайтын нәтижеге бағдарланған тәсіл;</w:t>
      </w:r>
    </w:p>
    <w:p w14:paraId="0F6C3B35" w14:textId="49170FFE" w:rsidR="00081A55" w:rsidRPr="007C7B78" w:rsidRDefault="00081A55" w:rsidP="0097172E">
      <w:pPr>
        <w:pStyle w:val="a6"/>
        <w:numPr>
          <w:ilvl w:val="0"/>
          <w:numId w:val="63"/>
        </w:numPr>
        <w:shd w:val="clear" w:color="auto" w:fill="FFFFFF"/>
        <w:tabs>
          <w:tab w:val="left" w:pos="993"/>
        </w:tabs>
        <w:spacing w:before="0" w:beforeAutospacing="0" w:after="0" w:afterAutospacing="0"/>
        <w:ind w:left="0" w:firstLine="709"/>
        <w:jc w:val="both"/>
        <w:textAlignment w:val="baseline"/>
        <w:rPr>
          <w:sz w:val="28"/>
          <w:szCs w:val="28"/>
          <w:lang w:val="kk-KZ"/>
        </w:rPr>
      </w:pPr>
      <w:r w:rsidRPr="007C7B78">
        <w:rPr>
          <w:spacing w:val="2"/>
          <w:sz w:val="28"/>
          <w:szCs w:val="28"/>
          <w:lang w:val="kk-KZ"/>
        </w:rPr>
        <w:t>белгілі бір проблеманың себептері мен салдарлары талданатын проблемаға бағдарланған тәсіл [</w:t>
      </w:r>
      <w:r w:rsidR="007C7B78" w:rsidRPr="007C7B78">
        <w:rPr>
          <w:spacing w:val="2"/>
          <w:sz w:val="28"/>
          <w:szCs w:val="28"/>
          <w:lang w:val="kk-KZ"/>
        </w:rPr>
        <w:t>1</w:t>
      </w:r>
      <w:r w:rsidR="00166E03" w:rsidRPr="00166E03">
        <w:rPr>
          <w:spacing w:val="2"/>
          <w:sz w:val="28"/>
          <w:szCs w:val="28"/>
          <w:lang w:val="kk-KZ"/>
        </w:rPr>
        <w:t>0</w:t>
      </w:r>
      <w:r w:rsidRPr="007C7B78">
        <w:rPr>
          <w:spacing w:val="2"/>
          <w:sz w:val="28"/>
          <w:szCs w:val="28"/>
          <w:lang w:val="kk-KZ"/>
        </w:rPr>
        <w:t>].</w:t>
      </w:r>
    </w:p>
    <w:p w14:paraId="46281D78" w14:textId="5971B640" w:rsidR="00081A55" w:rsidRDefault="008E372B" w:rsidP="00081A55">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тәжірибедегі тиімділік аудиті кезінде бұл тәсілдер толықтай қолданылмаған. </w:t>
      </w:r>
      <w:r w:rsidR="00081A55" w:rsidRPr="007C7B78">
        <w:rPr>
          <w:rFonts w:ascii="Times New Roman" w:hAnsi="Times New Roman" w:cs="Times New Roman"/>
          <w:sz w:val="28"/>
          <w:szCs w:val="28"/>
          <w:lang w:val="kk-KZ"/>
        </w:rPr>
        <w:t xml:space="preserve">Тиімділік аудитінің мақсаты оның </w:t>
      </w:r>
      <w:r w:rsidR="00081A55">
        <w:rPr>
          <w:rFonts w:ascii="Times New Roman" w:hAnsi="Times New Roman" w:cs="Times New Roman"/>
          <w:sz w:val="28"/>
          <w:szCs w:val="28"/>
          <w:lang w:val="kk-KZ"/>
        </w:rPr>
        <w:t xml:space="preserve">тапсырмаларына сәйкес келуі тиіс. </w:t>
      </w:r>
      <w:r w:rsidR="00F316BC">
        <w:rPr>
          <w:rFonts w:ascii="Times New Roman" w:hAnsi="Times New Roman" w:cs="Times New Roman"/>
          <w:sz w:val="28"/>
          <w:szCs w:val="28"/>
          <w:lang w:val="kk-KZ"/>
        </w:rPr>
        <w:t>Тәжірибедегі а</w:t>
      </w:r>
      <w:r w:rsidR="00081A55">
        <w:rPr>
          <w:rFonts w:ascii="Times New Roman" w:hAnsi="Times New Roman" w:cs="Times New Roman"/>
          <w:sz w:val="28"/>
          <w:szCs w:val="28"/>
          <w:lang w:val="kk-KZ"/>
        </w:rPr>
        <w:t>удиторлық қорытынды есептерден тиімділік аудитінің тапсырмалары/ сұрақтары анықталмағанын көруге болады.</w:t>
      </w:r>
    </w:p>
    <w:p w14:paraId="0BFF6DCC" w14:textId="33A736EE" w:rsidR="00081A55" w:rsidRPr="00446F9E" w:rsidRDefault="00081A55" w:rsidP="00081A55">
      <w:pPr>
        <w:spacing w:after="0" w:line="240" w:lineRule="auto"/>
        <w:ind w:firstLine="709"/>
        <w:jc w:val="both"/>
        <w:rPr>
          <w:rFonts w:ascii="Times New Roman" w:hAnsi="Times New Roman" w:cs="Times New Roman"/>
          <w:spacing w:val="2"/>
          <w:sz w:val="28"/>
          <w:szCs w:val="28"/>
          <w:shd w:val="clear" w:color="auto" w:fill="FFFFFF"/>
          <w:lang w:val="kk-KZ"/>
        </w:rPr>
      </w:pPr>
      <w:r>
        <w:rPr>
          <w:rFonts w:ascii="Times New Roman" w:hAnsi="Times New Roman" w:cs="Times New Roman"/>
          <w:sz w:val="28"/>
          <w:szCs w:val="28"/>
          <w:lang w:val="kk-KZ"/>
        </w:rPr>
        <w:t>Тиімділік аудитінің мақсатына қарай оның критерийлері белгіленуі тиіс. Тиімділік аудитінің сапасы оның мақсатына қарай белгіленген критерийлері қамтамасыз етеді. Критерийлер негізінде аудитор қорытынды жасап пікір қалыптастырады. Көптеген аудиттерде олар мүлде белгіленбеген немесе заңдағы аудит көрсеткіштері критерий ретінде бекітілген. Критерийлер сандық, сапалық, қатынасты және динамикалық деген түрлері болады. Біздің ойымызша аудиторлар критерийлердің тиімділік аудитіндегі мәнін түсінбегендіктен оған көңіл бөлмейді. Маңғыстау облысы тексеру комиссия</w:t>
      </w:r>
      <w:r w:rsidR="008E372B">
        <w:rPr>
          <w:rFonts w:ascii="Times New Roman" w:hAnsi="Times New Roman" w:cs="Times New Roman"/>
          <w:sz w:val="28"/>
          <w:szCs w:val="28"/>
          <w:lang w:val="kk-KZ"/>
        </w:rPr>
        <w:t>с</w:t>
      </w:r>
      <w:r>
        <w:rPr>
          <w:rFonts w:ascii="Times New Roman" w:hAnsi="Times New Roman" w:cs="Times New Roman"/>
          <w:sz w:val="28"/>
          <w:szCs w:val="28"/>
          <w:lang w:val="kk-KZ"/>
        </w:rPr>
        <w:t>ы «ҚР АӨК дамытудың 2017-2021 жж. арналған мемлекеттік бағдарламасын іске асыруды, сондай-ақ дағдарысқа қарсы шараларға бағытталған қаражатты пайдалану» деп аталатын аудиторлық іс-шарасын ұйымдастыру кезінде заңдағы 4-бапта «</w:t>
      </w:r>
      <w:r>
        <w:rPr>
          <w:rFonts w:ascii="Times New Roman" w:hAnsi="Times New Roman" w:cs="Times New Roman"/>
          <w:color w:val="000000"/>
          <w:spacing w:val="2"/>
          <w:sz w:val="28"/>
          <w:szCs w:val="28"/>
          <w:shd w:val="clear" w:color="auto" w:fill="FFFFFF"/>
          <w:lang w:val="kk-KZ"/>
        </w:rPr>
        <w:t xml:space="preserve">нәтижелілік – әрбір қызмет бойынша белгіленген міндеттердің іске асырылу деңгейі және тиісті қызметтің жоспарлы (тікелей, </w:t>
      </w:r>
      <w:r w:rsidRPr="00446F9E">
        <w:rPr>
          <w:rFonts w:ascii="Times New Roman" w:hAnsi="Times New Roman" w:cs="Times New Roman"/>
          <w:spacing w:val="2"/>
          <w:sz w:val="28"/>
          <w:szCs w:val="28"/>
          <w:shd w:val="clear" w:color="auto" w:fill="FFFFFF"/>
          <w:lang w:val="kk-KZ"/>
        </w:rPr>
        <w:t>түпкілікті) және нақты нәтижелерінің арақатынасы» базалық өлшемшарт ретінде, ал арнайы өлшемшарт (критерий) – тиісті қаржы жылына бөлінген қаражатты игеру деп белгілеген, «тиімділік» – жоспарланған және алынған нәтижелердің оларға қол жеткізу үшін пайдаланылған ресурстар ескерілгендегі арақатынасы» – базалық критерий, арнайы критерий – шығыстардың негізділігі [1</w:t>
      </w:r>
      <w:r w:rsidR="00166E03" w:rsidRPr="00166E03">
        <w:rPr>
          <w:rFonts w:ascii="Times New Roman" w:hAnsi="Times New Roman" w:cs="Times New Roman"/>
          <w:spacing w:val="2"/>
          <w:sz w:val="28"/>
          <w:szCs w:val="28"/>
          <w:shd w:val="clear" w:color="auto" w:fill="FFFFFF"/>
          <w:lang w:val="kk-KZ"/>
        </w:rPr>
        <w:t>3</w:t>
      </w:r>
      <w:r w:rsidRPr="00446F9E">
        <w:rPr>
          <w:rFonts w:ascii="Times New Roman" w:hAnsi="Times New Roman" w:cs="Times New Roman"/>
          <w:spacing w:val="2"/>
          <w:sz w:val="28"/>
          <w:szCs w:val="28"/>
          <w:shd w:val="clear" w:color="auto" w:fill="FFFFFF"/>
          <w:lang w:val="kk-KZ"/>
        </w:rPr>
        <w:t>], деп келтірген.</w:t>
      </w:r>
      <w:r w:rsidR="008E372B">
        <w:rPr>
          <w:rFonts w:ascii="Times New Roman" w:hAnsi="Times New Roman" w:cs="Times New Roman"/>
          <w:spacing w:val="2"/>
          <w:sz w:val="28"/>
          <w:szCs w:val="28"/>
          <w:shd w:val="clear" w:color="auto" w:fill="FFFFFF"/>
          <w:lang w:val="kk-KZ"/>
        </w:rPr>
        <w:t xml:space="preserve"> Тиімділік аудитінің көрсеткіштерін базалық критерий ретінде бекітіп жүргізген.</w:t>
      </w:r>
      <w:r w:rsidRPr="00446F9E">
        <w:rPr>
          <w:rFonts w:ascii="Times New Roman" w:hAnsi="Times New Roman" w:cs="Times New Roman"/>
          <w:spacing w:val="2"/>
          <w:sz w:val="28"/>
          <w:szCs w:val="28"/>
          <w:shd w:val="clear" w:color="auto" w:fill="FFFFFF"/>
          <w:lang w:val="kk-KZ"/>
        </w:rPr>
        <w:t xml:space="preserve"> </w:t>
      </w:r>
      <w:r w:rsidR="008E372B">
        <w:rPr>
          <w:rFonts w:ascii="Times New Roman" w:hAnsi="Times New Roman" w:cs="Times New Roman"/>
          <w:spacing w:val="2"/>
          <w:sz w:val="28"/>
          <w:szCs w:val="28"/>
          <w:shd w:val="clear" w:color="auto" w:fill="FFFFFF"/>
          <w:lang w:val="kk-KZ"/>
        </w:rPr>
        <w:t xml:space="preserve">Мемлекеттік тілде жарияланған бір ғана аудиторлық есеп деп айтуға болады. </w:t>
      </w:r>
    </w:p>
    <w:p w14:paraId="3841709D" w14:textId="7691F235" w:rsidR="00081A55" w:rsidRPr="008E372B" w:rsidRDefault="00081A55" w:rsidP="008E372B">
      <w:pPr>
        <w:pStyle w:val="3"/>
        <w:shd w:val="clear" w:color="auto" w:fill="FFFFFF"/>
        <w:spacing w:before="0" w:line="240" w:lineRule="auto"/>
        <w:ind w:firstLine="709"/>
        <w:jc w:val="both"/>
        <w:textAlignment w:val="baseline"/>
        <w:rPr>
          <w:rFonts w:ascii="Times New Roman" w:hAnsi="Times New Roman" w:cs="Times New Roman"/>
          <w:color w:val="auto"/>
          <w:sz w:val="28"/>
          <w:szCs w:val="28"/>
          <w:lang w:val="kk-KZ"/>
        </w:rPr>
      </w:pPr>
      <w:r w:rsidRPr="00446F9E">
        <w:rPr>
          <w:rFonts w:ascii="Times New Roman" w:hAnsi="Times New Roman" w:cs="Times New Roman"/>
          <w:color w:val="auto"/>
          <w:sz w:val="28"/>
          <w:szCs w:val="28"/>
          <w:lang w:val="kk-KZ"/>
        </w:rPr>
        <w:t>Тиімділік аудиті бойынша стандарттар</w:t>
      </w:r>
      <w:r w:rsidR="008E372B">
        <w:rPr>
          <w:rFonts w:ascii="Times New Roman" w:hAnsi="Times New Roman" w:cs="Times New Roman"/>
          <w:color w:val="auto"/>
          <w:sz w:val="28"/>
          <w:szCs w:val="28"/>
          <w:lang w:val="kk-KZ"/>
        </w:rPr>
        <w:t>ды</w:t>
      </w:r>
      <w:r w:rsidRPr="00446F9E">
        <w:rPr>
          <w:rFonts w:ascii="Times New Roman" w:hAnsi="Times New Roman" w:cs="Times New Roman"/>
          <w:color w:val="auto"/>
          <w:sz w:val="28"/>
          <w:szCs w:val="28"/>
          <w:lang w:val="kk-KZ"/>
        </w:rPr>
        <w:t xml:space="preserve"> ЖАО әзірлеуге құзыретті. Осы стандарттарды әзірлеу халықаралық мемлекеттік аудит стандарттары негізінде </w:t>
      </w:r>
      <w:r w:rsidR="008E372B">
        <w:rPr>
          <w:rFonts w:ascii="Times New Roman" w:hAnsi="Times New Roman" w:cs="Times New Roman"/>
          <w:color w:val="auto"/>
          <w:sz w:val="28"/>
          <w:szCs w:val="28"/>
          <w:lang w:val="kk-KZ"/>
        </w:rPr>
        <w:t xml:space="preserve">не </w:t>
      </w:r>
      <w:r w:rsidRPr="00446F9E">
        <w:rPr>
          <w:rFonts w:ascii="Times New Roman" w:hAnsi="Times New Roman" w:cs="Times New Roman"/>
          <w:color w:val="auto"/>
          <w:sz w:val="28"/>
          <w:szCs w:val="28"/>
          <w:lang w:val="kk-KZ"/>
        </w:rPr>
        <w:t xml:space="preserve">меншікті стандарттары түрінде не оған сәйкестеліп </w:t>
      </w:r>
      <w:r>
        <w:rPr>
          <w:rFonts w:ascii="Times New Roman" w:hAnsi="Times New Roman" w:cs="Times New Roman"/>
          <w:color w:val="auto"/>
          <w:sz w:val="28"/>
          <w:szCs w:val="28"/>
          <w:lang w:val="kk-KZ"/>
        </w:rPr>
        <w:t xml:space="preserve">жасалуға тиіс. Егер тиімділік аудиті бойынша стандарттар ХМАС негізделіп әзірленсе, осы </w:t>
      </w:r>
      <w:r w:rsidRPr="008E372B">
        <w:rPr>
          <w:rFonts w:ascii="Times New Roman" w:hAnsi="Times New Roman" w:cs="Times New Roman"/>
          <w:color w:val="auto"/>
          <w:sz w:val="28"/>
          <w:szCs w:val="28"/>
          <w:lang w:val="kk-KZ"/>
        </w:rPr>
        <w:t>стандарттар оларға барлық мүмкін аспектілерде сәйкес келуі тиіс</w:t>
      </w:r>
      <w:r w:rsidR="008E372B" w:rsidRPr="008E372B">
        <w:rPr>
          <w:rFonts w:ascii="Times New Roman" w:hAnsi="Times New Roman" w:cs="Times New Roman"/>
          <w:color w:val="auto"/>
          <w:sz w:val="28"/>
          <w:szCs w:val="28"/>
          <w:lang w:val="kk-KZ"/>
        </w:rPr>
        <w:t xml:space="preserve"> деп бекітілген [12]</w:t>
      </w:r>
      <w:r w:rsidRPr="008E372B">
        <w:rPr>
          <w:rFonts w:ascii="Times New Roman" w:hAnsi="Times New Roman" w:cs="Times New Roman"/>
          <w:color w:val="auto"/>
          <w:sz w:val="28"/>
          <w:szCs w:val="28"/>
          <w:lang w:val="kk-KZ"/>
        </w:rPr>
        <w:t>.</w:t>
      </w:r>
      <w:r w:rsidR="008E372B" w:rsidRPr="008E372B">
        <w:rPr>
          <w:rFonts w:ascii="Times New Roman" w:hAnsi="Times New Roman" w:cs="Times New Roman"/>
          <w:color w:val="auto"/>
          <w:sz w:val="28"/>
          <w:szCs w:val="28"/>
          <w:lang w:val="kk-KZ"/>
        </w:rPr>
        <w:t xml:space="preserve"> </w:t>
      </w:r>
      <w:r w:rsidRPr="008E372B">
        <w:rPr>
          <w:rFonts w:ascii="Times New Roman" w:hAnsi="Times New Roman" w:cs="Times New Roman"/>
          <w:color w:val="auto"/>
          <w:sz w:val="28"/>
          <w:szCs w:val="28"/>
          <w:lang w:val="kk-KZ"/>
        </w:rPr>
        <w:t>3-кестеде</w:t>
      </w:r>
      <w:r w:rsidR="008E372B" w:rsidRPr="008E372B">
        <w:rPr>
          <w:rFonts w:ascii="Times New Roman" w:hAnsi="Times New Roman" w:cs="Times New Roman"/>
          <w:color w:val="auto"/>
          <w:sz w:val="28"/>
          <w:szCs w:val="28"/>
          <w:lang w:val="kk-KZ"/>
        </w:rPr>
        <w:t xml:space="preserve"> </w:t>
      </w:r>
      <w:r w:rsidR="008E372B">
        <w:rPr>
          <w:rFonts w:ascii="Times New Roman" w:hAnsi="Times New Roman" w:cs="Times New Roman"/>
          <w:color w:val="auto"/>
          <w:sz w:val="28"/>
          <w:szCs w:val="28"/>
          <w:lang w:val="kk-KZ"/>
        </w:rPr>
        <w:t xml:space="preserve">Қазақстандағы және </w:t>
      </w:r>
      <w:r w:rsidRPr="008E372B">
        <w:rPr>
          <w:rFonts w:ascii="Times New Roman" w:hAnsi="Times New Roman" w:cs="Times New Roman"/>
          <w:color w:val="auto"/>
          <w:sz w:val="28"/>
          <w:szCs w:val="28"/>
          <w:lang w:val="kk-KZ"/>
        </w:rPr>
        <w:t>шетелдердегі тиімділік аудитінің жалпы мақсаттарының негізі туралы келтірі</w:t>
      </w:r>
      <w:r w:rsidR="001C24D3" w:rsidRPr="008E372B">
        <w:rPr>
          <w:rFonts w:ascii="Times New Roman" w:hAnsi="Times New Roman" w:cs="Times New Roman"/>
          <w:color w:val="auto"/>
          <w:sz w:val="28"/>
          <w:szCs w:val="28"/>
          <w:lang w:val="kk-KZ"/>
        </w:rPr>
        <w:t>лген</w:t>
      </w:r>
      <w:r w:rsidRPr="008E372B">
        <w:rPr>
          <w:rFonts w:ascii="Times New Roman" w:hAnsi="Times New Roman" w:cs="Times New Roman"/>
          <w:color w:val="auto"/>
          <w:sz w:val="28"/>
          <w:szCs w:val="28"/>
          <w:lang w:val="kk-KZ"/>
        </w:rPr>
        <w:t xml:space="preserve">. </w:t>
      </w:r>
    </w:p>
    <w:p w14:paraId="72B704D9" w14:textId="77777777" w:rsidR="00081A55" w:rsidRDefault="00081A55" w:rsidP="00081A55">
      <w:pPr>
        <w:spacing w:after="0" w:line="240" w:lineRule="auto"/>
        <w:jc w:val="both"/>
        <w:rPr>
          <w:rFonts w:ascii="Times New Roman" w:hAnsi="Times New Roman" w:cs="Times New Roman"/>
          <w:sz w:val="28"/>
          <w:szCs w:val="28"/>
          <w:lang w:val="kk-KZ"/>
        </w:rPr>
      </w:pPr>
    </w:p>
    <w:p w14:paraId="418A0556" w14:textId="462774C2" w:rsidR="00081A55" w:rsidRDefault="00081A55" w:rsidP="00081A55">
      <w:pPr>
        <w:spacing w:after="0" w:line="240" w:lineRule="auto"/>
        <w:jc w:val="both"/>
        <w:rPr>
          <w:lang w:val="kk-KZ"/>
        </w:rPr>
      </w:pPr>
      <w:r>
        <w:rPr>
          <w:rFonts w:ascii="Times New Roman" w:hAnsi="Times New Roman" w:cs="Times New Roman"/>
          <w:sz w:val="28"/>
          <w:szCs w:val="28"/>
          <w:lang w:val="kk-KZ"/>
        </w:rPr>
        <w:t xml:space="preserve">Кесте 3 – Қазақстан, </w:t>
      </w:r>
      <w:r>
        <w:rPr>
          <w:rFonts w:ascii="Times New Roman" w:hAnsi="Times New Roman" w:cs="Times New Roman"/>
          <w:color w:val="000000"/>
          <w:sz w:val="28"/>
          <w:szCs w:val="28"/>
          <w:lang w:val="kk-KZ"/>
        </w:rPr>
        <w:t>Америка, Ұлыбритания, Канада және Швеция үшін мемлекеттік тиімділік аудитінің жалпы мақсаттары</w:t>
      </w:r>
    </w:p>
    <w:tbl>
      <w:tblPr>
        <w:tblStyle w:val="a3"/>
        <w:tblW w:w="9634" w:type="dxa"/>
        <w:tblLook w:val="04A0" w:firstRow="1" w:lastRow="0" w:firstColumn="1" w:lastColumn="0" w:noHBand="0" w:noVBand="1"/>
      </w:tblPr>
      <w:tblGrid>
        <w:gridCol w:w="1386"/>
        <w:gridCol w:w="1239"/>
        <w:gridCol w:w="1118"/>
        <w:gridCol w:w="1101"/>
        <w:gridCol w:w="1336"/>
        <w:gridCol w:w="1080"/>
        <w:gridCol w:w="898"/>
        <w:gridCol w:w="1476"/>
      </w:tblGrid>
      <w:tr w:rsidR="00081A55" w14:paraId="05B61715"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66FB86F6"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tc>
        <w:tc>
          <w:tcPr>
            <w:tcW w:w="1239" w:type="dxa"/>
            <w:tcBorders>
              <w:top w:val="single" w:sz="4" w:space="0" w:color="auto"/>
              <w:left w:val="single" w:sz="4" w:space="0" w:color="auto"/>
              <w:bottom w:val="single" w:sz="4" w:space="0" w:color="auto"/>
              <w:right w:val="single" w:sz="4" w:space="0" w:color="auto"/>
            </w:tcBorders>
            <w:hideMark/>
          </w:tcPr>
          <w:p w14:paraId="5A757996" w14:textId="77777777" w:rsidR="00081A55" w:rsidRDefault="00081A55">
            <w:pPr>
              <w:rPr>
                <w:rFonts w:ascii="Times New Roman" w:hAnsi="Times New Roman" w:cs="Times New Roman"/>
                <w:sz w:val="20"/>
                <w:szCs w:val="20"/>
                <w:lang w:val="kk-KZ"/>
              </w:rPr>
            </w:pPr>
            <w:r>
              <w:rPr>
                <w:rFonts w:ascii="Times New Roman" w:hAnsi="Times New Roman" w:cs="Times New Roman"/>
                <w:color w:val="000000"/>
                <w:sz w:val="20"/>
                <w:szCs w:val="20"/>
              </w:rPr>
              <w:t>Efficiency</w:t>
            </w:r>
            <w:r>
              <w:rPr>
                <w:rFonts w:ascii="Times New Roman" w:hAnsi="Times New Roman" w:cs="Times New Roman"/>
                <w:color w:val="000000"/>
                <w:sz w:val="20"/>
                <w:szCs w:val="20"/>
                <w:lang w:val="kk-KZ"/>
              </w:rPr>
              <w:t xml:space="preserve"> -</w:t>
            </w:r>
            <w:r>
              <w:rPr>
                <w:rFonts w:ascii="Times New Roman" w:hAnsi="Times New Roman" w:cs="Times New Roman"/>
                <w:sz w:val="20"/>
                <w:szCs w:val="20"/>
                <w:lang w:val="kk-KZ"/>
              </w:rPr>
              <w:t xml:space="preserve">Тиімділік </w:t>
            </w:r>
          </w:p>
        </w:tc>
        <w:tc>
          <w:tcPr>
            <w:tcW w:w="1118" w:type="dxa"/>
            <w:tcBorders>
              <w:top w:val="single" w:sz="4" w:space="0" w:color="auto"/>
              <w:left w:val="single" w:sz="4" w:space="0" w:color="auto"/>
              <w:bottom w:val="single" w:sz="4" w:space="0" w:color="auto"/>
              <w:right w:val="single" w:sz="4" w:space="0" w:color="auto"/>
            </w:tcBorders>
            <w:hideMark/>
          </w:tcPr>
          <w:p w14:paraId="67C650BF"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 xml:space="preserve">Economy -  Үнемділік </w:t>
            </w:r>
          </w:p>
        </w:tc>
        <w:tc>
          <w:tcPr>
            <w:tcW w:w="1101" w:type="dxa"/>
            <w:tcBorders>
              <w:top w:val="single" w:sz="4" w:space="0" w:color="auto"/>
              <w:left w:val="single" w:sz="4" w:space="0" w:color="auto"/>
              <w:bottom w:val="single" w:sz="4" w:space="0" w:color="auto"/>
              <w:right w:val="single" w:sz="4" w:space="0" w:color="auto"/>
            </w:tcBorders>
            <w:hideMark/>
          </w:tcPr>
          <w:p w14:paraId="3E14A6BF"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 xml:space="preserve">Efficiency -  Өнімділік </w:t>
            </w:r>
          </w:p>
        </w:tc>
        <w:tc>
          <w:tcPr>
            <w:tcW w:w="1336" w:type="dxa"/>
            <w:tcBorders>
              <w:top w:val="single" w:sz="4" w:space="0" w:color="auto"/>
              <w:left w:val="single" w:sz="4" w:space="0" w:color="auto"/>
              <w:bottom w:val="single" w:sz="4" w:space="0" w:color="auto"/>
              <w:right w:val="single" w:sz="4" w:space="0" w:color="auto"/>
            </w:tcBorders>
            <w:hideMark/>
          </w:tcPr>
          <w:p w14:paraId="394DD4CA"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Effectiveness -</w:t>
            </w:r>
          </w:p>
          <w:p w14:paraId="79E91655" w14:textId="77777777" w:rsidR="00081A55" w:rsidRDefault="00081A55">
            <w:pPr>
              <w:rPr>
                <w:rFonts w:ascii="Times New Roman" w:hAnsi="Times New Roman" w:cs="Times New Roman"/>
                <w:sz w:val="20"/>
                <w:szCs w:val="20"/>
                <w:lang w:val="en-US"/>
              </w:rPr>
            </w:pPr>
            <w:r>
              <w:rPr>
                <w:rFonts w:ascii="Times New Roman" w:hAnsi="Times New Roman" w:cs="Times New Roman"/>
                <w:sz w:val="20"/>
                <w:szCs w:val="20"/>
                <w:lang w:val="kk-KZ"/>
              </w:rPr>
              <w:t xml:space="preserve">Нәтижелілік  </w:t>
            </w:r>
          </w:p>
        </w:tc>
        <w:tc>
          <w:tcPr>
            <w:tcW w:w="1080" w:type="dxa"/>
            <w:tcBorders>
              <w:top w:val="single" w:sz="4" w:space="0" w:color="auto"/>
              <w:left w:val="single" w:sz="4" w:space="0" w:color="auto"/>
              <w:bottom w:val="single" w:sz="4" w:space="0" w:color="auto"/>
              <w:right w:val="single" w:sz="4" w:space="0" w:color="auto"/>
            </w:tcBorders>
            <w:hideMark/>
          </w:tcPr>
          <w:p w14:paraId="7E0AA99F" w14:textId="77777777" w:rsidR="00081A55" w:rsidRDefault="00081A55">
            <w:pPr>
              <w:rPr>
                <w:rFonts w:ascii="Times New Roman" w:hAnsi="Times New Roman" w:cs="Times New Roman"/>
                <w:sz w:val="20"/>
                <w:szCs w:val="20"/>
                <w:lang w:val="kk-KZ"/>
              </w:rPr>
            </w:pPr>
            <w:r>
              <w:rPr>
                <w:rFonts w:ascii="Times New Roman" w:hAnsi="Times New Roman" w:cs="Times New Roman"/>
                <w:color w:val="000000"/>
                <w:sz w:val="20"/>
                <w:szCs w:val="20"/>
              </w:rPr>
              <w:t>Legality</w:t>
            </w:r>
            <w:r>
              <w:rPr>
                <w:rFonts w:ascii="Times New Roman" w:hAnsi="Times New Roman" w:cs="Times New Roman"/>
                <w:color w:val="000000"/>
                <w:sz w:val="20"/>
                <w:szCs w:val="20"/>
                <w:lang w:val="kk-KZ"/>
              </w:rPr>
              <w:t xml:space="preserve"> -</w:t>
            </w:r>
            <w:r>
              <w:rPr>
                <w:rFonts w:ascii="Times New Roman" w:hAnsi="Times New Roman" w:cs="Times New Roman"/>
                <w:sz w:val="20"/>
                <w:szCs w:val="20"/>
                <w:lang w:val="kk-KZ"/>
              </w:rPr>
              <w:t xml:space="preserve">Заңдылық </w:t>
            </w:r>
          </w:p>
        </w:tc>
        <w:tc>
          <w:tcPr>
            <w:tcW w:w="898" w:type="dxa"/>
            <w:tcBorders>
              <w:top w:val="single" w:sz="4" w:space="0" w:color="auto"/>
              <w:left w:val="single" w:sz="4" w:space="0" w:color="auto"/>
              <w:bottom w:val="single" w:sz="4" w:space="0" w:color="auto"/>
              <w:right w:val="single" w:sz="4" w:space="0" w:color="auto"/>
            </w:tcBorders>
            <w:hideMark/>
          </w:tcPr>
          <w:p w14:paraId="7A1A2495"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Equity -</w:t>
            </w:r>
          </w:p>
          <w:p w14:paraId="57FA50A7"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 xml:space="preserve">Әділдік </w:t>
            </w:r>
          </w:p>
        </w:tc>
        <w:tc>
          <w:tcPr>
            <w:tcW w:w="1476" w:type="dxa"/>
            <w:tcBorders>
              <w:top w:val="single" w:sz="4" w:space="0" w:color="auto"/>
              <w:left w:val="single" w:sz="4" w:space="0" w:color="auto"/>
              <w:bottom w:val="single" w:sz="4" w:space="0" w:color="auto"/>
              <w:right w:val="single" w:sz="4" w:space="0" w:color="auto"/>
            </w:tcBorders>
            <w:hideMark/>
          </w:tcPr>
          <w:p w14:paraId="38F4FF7E"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Environment -</w:t>
            </w:r>
          </w:p>
          <w:p w14:paraId="29FA6309"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Қоршаған орта</w:t>
            </w:r>
          </w:p>
        </w:tc>
      </w:tr>
      <w:tr w:rsidR="00081A55" w14:paraId="2501220C"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35A026B2"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 xml:space="preserve">Қазақстан </w:t>
            </w:r>
          </w:p>
        </w:tc>
        <w:tc>
          <w:tcPr>
            <w:tcW w:w="1239" w:type="dxa"/>
            <w:tcBorders>
              <w:top w:val="single" w:sz="4" w:space="0" w:color="auto"/>
              <w:left w:val="single" w:sz="4" w:space="0" w:color="auto"/>
              <w:bottom w:val="single" w:sz="4" w:space="0" w:color="auto"/>
              <w:right w:val="single" w:sz="4" w:space="0" w:color="auto"/>
            </w:tcBorders>
            <w:hideMark/>
          </w:tcPr>
          <w:p w14:paraId="5BF938A1"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18" w:type="dxa"/>
            <w:tcBorders>
              <w:top w:val="single" w:sz="4" w:space="0" w:color="auto"/>
              <w:left w:val="single" w:sz="4" w:space="0" w:color="auto"/>
              <w:bottom w:val="single" w:sz="4" w:space="0" w:color="auto"/>
              <w:right w:val="single" w:sz="4" w:space="0" w:color="auto"/>
            </w:tcBorders>
            <w:hideMark/>
          </w:tcPr>
          <w:p w14:paraId="02FE5AA6"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en-US"/>
              </w:rPr>
              <w:t>√</w:t>
            </w:r>
          </w:p>
        </w:tc>
        <w:tc>
          <w:tcPr>
            <w:tcW w:w="1101" w:type="dxa"/>
            <w:tcBorders>
              <w:top w:val="single" w:sz="4" w:space="0" w:color="auto"/>
              <w:left w:val="single" w:sz="4" w:space="0" w:color="auto"/>
              <w:bottom w:val="single" w:sz="4" w:space="0" w:color="auto"/>
              <w:right w:val="single" w:sz="4" w:space="0" w:color="auto"/>
            </w:tcBorders>
            <w:hideMark/>
          </w:tcPr>
          <w:p w14:paraId="72E843D4"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en-US"/>
              </w:rPr>
              <w:t>√</w:t>
            </w:r>
          </w:p>
        </w:tc>
        <w:tc>
          <w:tcPr>
            <w:tcW w:w="1336" w:type="dxa"/>
            <w:tcBorders>
              <w:top w:val="single" w:sz="4" w:space="0" w:color="auto"/>
              <w:left w:val="single" w:sz="4" w:space="0" w:color="auto"/>
              <w:bottom w:val="single" w:sz="4" w:space="0" w:color="auto"/>
              <w:right w:val="single" w:sz="4" w:space="0" w:color="auto"/>
            </w:tcBorders>
            <w:hideMark/>
          </w:tcPr>
          <w:p w14:paraId="537F1EB1"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4EC954D3"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98" w:type="dxa"/>
            <w:tcBorders>
              <w:top w:val="single" w:sz="4" w:space="0" w:color="auto"/>
              <w:left w:val="single" w:sz="4" w:space="0" w:color="auto"/>
              <w:bottom w:val="single" w:sz="4" w:space="0" w:color="auto"/>
              <w:right w:val="single" w:sz="4" w:space="0" w:color="auto"/>
            </w:tcBorders>
            <w:hideMark/>
          </w:tcPr>
          <w:p w14:paraId="1CC80B68"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76" w:type="dxa"/>
            <w:tcBorders>
              <w:top w:val="single" w:sz="4" w:space="0" w:color="auto"/>
              <w:left w:val="single" w:sz="4" w:space="0" w:color="auto"/>
              <w:bottom w:val="single" w:sz="4" w:space="0" w:color="auto"/>
              <w:right w:val="single" w:sz="4" w:space="0" w:color="auto"/>
            </w:tcBorders>
            <w:hideMark/>
          </w:tcPr>
          <w:p w14:paraId="416A45B6"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081A55" w14:paraId="742FC1B2"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3783F26A"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ҚХР</w:t>
            </w:r>
          </w:p>
        </w:tc>
        <w:tc>
          <w:tcPr>
            <w:tcW w:w="1239" w:type="dxa"/>
            <w:tcBorders>
              <w:top w:val="single" w:sz="4" w:space="0" w:color="auto"/>
              <w:left w:val="single" w:sz="4" w:space="0" w:color="auto"/>
              <w:bottom w:val="single" w:sz="4" w:space="0" w:color="auto"/>
              <w:right w:val="single" w:sz="4" w:space="0" w:color="auto"/>
            </w:tcBorders>
            <w:hideMark/>
          </w:tcPr>
          <w:p w14:paraId="5BF78DFE"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kk-KZ"/>
              </w:rPr>
              <w:t>-</w:t>
            </w:r>
          </w:p>
        </w:tc>
        <w:tc>
          <w:tcPr>
            <w:tcW w:w="1118" w:type="dxa"/>
            <w:tcBorders>
              <w:top w:val="single" w:sz="4" w:space="0" w:color="auto"/>
              <w:left w:val="single" w:sz="4" w:space="0" w:color="auto"/>
              <w:bottom w:val="single" w:sz="4" w:space="0" w:color="auto"/>
              <w:right w:val="single" w:sz="4" w:space="0" w:color="auto"/>
            </w:tcBorders>
            <w:hideMark/>
          </w:tcPr>
          <w:p w14:paraId="430F4009"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01" w:type="dxa"/>
            <w:tcBorders>
              <w:top w:val="single" w:sz="4" w:space="0" w:color="auto"/>
              <w:left w:val="single" w:sz="4" w:space="0" w:color="auto"/>
              <w:bottom w:val="single" w:sz="4" w:space="0" w:color="auto"/>
              <w:right w:val="single" w:sz="4" w:space="0" w:color="auto"/>
            </w:tcBorders>
            <w:hideMark/>
          </w:tcPr>
          <w:p w14:paraId="3B186F4A"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336" w:type="dxa"/>
            <w:tcBorders>
              <w:top w:val="single" w:sz="4" w:space="0" w:color="auto"/>
              <w:left w:val="single" w:sz="4" w:space="0" w:color="auto"/>
              <w:bottom w:val="single" w:sz="4" w:space="0" w:color="auto"/>
              <w:right w:val="single" w:sz="4" w:space="0" w:color="auto"/>
            </w:tcBorders>
            <w:hideMark/>
          </w:tcPr>
          <w:p w14:paraId="33723171"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3EDF816F"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en-US"/>
              </w:rPr>
              <w:t>√</w:t>
            </w:r>
          </w:p>
        </w:tc>
        <w:tc>
          <w:tcPr>
            <w:tcW w:w="898" w:type="dxa"/>
            <w:tcBorders>
              <w:top w:val="single" w:sz="4" w:space="0" w:color="auto"/>
              <w:left w:val="single" w:sz="4" w:space="0" w:color="auto"/>
              <w:bottom w:val="single" w:sz="4" w:space="0" w:color="auto"/>
              <w:right w:val="single" w:sz="4" w:space="0" w:color="auto"/>
            </w:tcBorders>
            <w:vAlign w:val="center"/>
            <w:hideMark/>
          </w:tcPr>
          <w:p w14:paraId="1F7560CF"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50FA4BC"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081A55" w14:paraId="0A64AD82"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6726BE2D" w14:textId="77777777" w:rsidR="00081A55" w:rsidRDefault="00081A55">
            <w:pPr>
              <w:rPr>
                <w:rFonts w:ascii="Times New Roman" w:hAnsi="Times New Roman" w:cs="Times New Roman"/>
                <w:sz w:val="20"/>
                <w:szCs w:val="20"/>
                <w:lang w:val="en-US"/>
              </w:rPr>
            </w:pPr>
            <w:r>
              <w:rPr>
                <w:rFonts w:ascii="Times New Roman" w:hAnsi="Times New Roman" w:cs="Times New Roman"/>
                <w:sz w:val="20"/>
                <w:szCs w:val="20"/>
                <w:lang w:val="kk-KZ"/>
              </w:rPr>
              <w:t>АҚШ</w:t>
            </w:r>
            <w:r>
              <w:rPr>
                <w:rFonts w:ascii="Times New Roman" w:hAnsi="Times New Roman" w:cs="Times New Roman"/>
                <w:sz w:val="20"/>
                <w:szCs w:val="20"/>
                <w:lang w:val="en-US"/>
              </w:rPr>
              <w:t xml:space="preserve"> </w:t>
            </w:r>
          </w:p>
        </w:tc>
        <w:tc>
          <w:tcPr>
            <w:tcW w:w="1239" w:type="dxa"/>
            <w:tcBorders>
              <w:top w:val="single" w:sz="4" w:space="0" w:color="auto"/>
              <w:left w:val="single" w:sz="4" w:space="0" w:color="auto"/>
              <w:bottom w:val="single" w:sz="4" w:space="0" w:color="auto"/>
              <w:right w:val="single" w:sz="4" w:space="0" w:color="auto"/>
            </w:tcBorders>
            <w:hideMark/>
          </w:tcPr>
          <w:p w14:paraId="545AAF92"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60E4B1B"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01" w:type="dxa"/>
            <w:tcBorders>
              <w:top w:val="single" w:sz="4" w:space="0" w:color="auto"/>
              <w:left w:val="single" w:sz="4" w:space="0" w:color="auto"/>
              <w:bottom w:val="single" w:sz="4" w:space="0" w:color="auto"/>
              <w:right w:val="single" w:sz="4" w:space="0" w:color="auto"/>
            </w:tcBorders>
            <w:vAlign w:val="center"/>
            <w:hideMark/>
          </w:tcPr>
          <w:p w14:paraId="5D642732"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66408194"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53B7F17E"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98" w:type="dxa"/>
            <w:tcBorders>
              <w:top w:val="single" w:sz="4" w:space="0" w:color="auto"/>
              <w:left w:val="single" w:sz="4" w:space="0" w:color="auto"/>
              <w:bottom w:val="single" w:sz="4" w:space="0" w:color="auto"/>
              <w:right w:val="single" w:sz="4" w:space="0" w:color="auto"/>
            </w:tcBorders>
            <w:vAlign w:val="center"/>
            <w:hideMark/>
          </w:tcPr>
          <w:p w14:paraId="52B849BC"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2F19EC5"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081A55" w14:paraId="355F4E86"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536101B6"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Швеция</w:t>
            </w:r>
          </w:p>
        </w:tc>
        <w:tc>
          <w:tcPr>
            <w:tcW w:w="1239" w:type="dxa"/>
            <w:tcBorders>
              <w:top w:val="single" w:sz="4" w:space="0" w:color="auto"/>
              <w:left w:val="single" w:sz="4" w:space="0" w:color="auto"/>
              <w:bottom w:val="single" w:sz="4" w:space="0" w:color="auto"/>
              <w:right w:val="single" w:sz="4" w:space="0" w:color="auto"/>
            </w:tcBorders>
            <w:hideMark/>
          </w:tcPr>
          <w:p w14:paraId="4B8B7767"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070823C"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7410D24"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5A1F3A5"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410CEB6A"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98" w:type="dxa"/>
            <w:tcBorders>
              <w:top w:val="single" w:sz="4" w:space="0" w:color="auto"/>
              <w:left w:val="single" w:sz="4" w:space="0" w:color="auto"/>
              <w:bottom w:val="single" w:sz="4" w:space="0" w:color="auto"/>
              <w:right w:val="single" w:sz="4" w:space="0" w:color="auto"/>
            </w:tcBorders>
            <w:vAlign w:val="center"/>
            <w:hideMark/>
          </w:tcPr>
          <w:p w14:paraId="27B01F9F"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AB9CFA2"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081A55" w14:paraId="73782D4C"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245427E6" w14:textId="77777777" w:rsidR="00081A55" w:rsidRDefault="00081A55">
            <w:pPr>
              <w:rPr>
                <w:rFonts w:ascii="Times New Roman" w:hAnsi="Times New Roman" w:cs="Times New Roman"/>
                <w:sz w:val="20"/>
                <w:szCs w:val="20"/>
                <w:lang w:val="en-US"/>
              </w:rPr>
            </w:pPr>
            <w:r>
              <w:rPr>
                <w:rFonts w:ascii="Times New Roman" w:hAnsi="Times New Roman" w:cs="Times New Roman"/>
                <w:sz w:val="20"/>
                <w:szCs w:val="20"/>
                <w:lang w:val="kk-KZ"/>
              </w:rPr>
              <w:t>Ұлыбритания</w:t>
            </w:r>
            <w:r>
              <w:rPr>
                <w:rFonts w:ascii="Times New Roman" w:hAnsi="Times New Roman" w:cs="Times New Roman"/>
                <w:sz w:val="20"/>
                <w:szCs w:val="20"/>
                <w:lang w:val="en-US"/>
              </w:rPr>
              <w:t xml:space="preserve">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B8B6564"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DBD8811"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01" w:type="dxa"/>
            <w:tcBorders>
              <w:top w:val="single" w:sz="4" w:space="0" w:color="auto"/>
              <w:left w:val="single" w:sz="4" w:space="0" w:color="auto"/>
              <w:bottom w:val="single" w:sz="4" w:space="0" w:color="auto"/>
              <w:right w:val="single" w:sz="4" w:space="0" w:color="auto"/>
            </w:tcBorders>
            <w:vAlign w:val="center"/>
            <w:hideMark/>
          </w:tcPr>
          <w:p w14:paraId="2B19CCBE"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7D06354"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307F39E0"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98" w:type="dxa"/>
            <w:tcBorders>
              <w:top w:val="single" w:sz="4" w:space="0" w:color="auto"/>
              <w:left w:val="single" w:sz="4" w:space="0" w:color="auto"/>
              <w:bottom w:val="single" w:sz="4" w:space="0" w:color="auto"/>
              <w:right w:val="single" w:sz="4" w:space="0" w:color="auto"/>
            </w:tcBorders>
            <w:vAlign w:val="center"/>
            <w:hideMark/>
          </w:tcPr>
          <w:p w14:paraId="1BDC0E3C"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41ACEB0"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color w:val="000000"/>
                <w:sz w:val="20"/>
                <w:szCs w:val="20"/>
              </w:rPr>
              <w:t>аудиторлық есептерде ұсынылған</w:t>
            </w:r>
          </w:p>
        </w:tc>
      </w:tr>
      <w:tr w:rsidR="00081A55" w14:paraId="5B31E427" w14:textId="77777777" w:rsidTr="00252193">
        <w:tc>
          <w:tcPr>
            <w:tcW w:w="1386" w:type="dxa"/>
            <w:tcBorders>
              <w:top w:val="single" w:sz="4" w:space="0" w:color="auto"/>
              <w:left w:val="single" w:sz="4" w:space="0" w:color="auto"/>
              <w:bottom w:val="single" w:sz="4" w:space="0" w:color="auto"/>
              <w:right w:val="single" w:sz="4" w:space="0" w:color="auto"/>
            </w:tcBorders>
            <w:hideMark/>
          </w:tcPr>
          <w:p w14:paraId="646EA402" w14:textId="77777777" w:rsidR="00081A55" w:rsidRDefault="00081A55">
            <w:pPr>
              <w:rPr>
                <w:rFonts w:ascii="Times New Roman" w:hAnsi="Times New Roman" w:cs="Times New Roman"/>
                <w:sz w:val="20"/>
                <w:szCs w:val="20"/>
                <w:lang w:val="kk-KZ"/>
              </w:rPr>
            </w:pPr>
            <w:r>
              <w:rPr>
                <w:rFonts w:ascii="Times New Roman" w:hAnsi="Times New Roman" w:cs="Times New Roman"/>
                <w:sz w:val="20"/>
                <w:szCs w:val="20"/>
                <w:lang w:val="kk-KZ"/>
              </w:rPr>
              <w:t xml:space="preserve">Канада </w:t>
            </w:r>
          </w:p>
        </w:tc>
        <w:tc>
          <w:tcPr>
            <w:tcW w:w="1239" w:type="dxa"/>
            <w:tcBorders>
              <w:top w:val="single" w:sz="4" w:space="0" w:color="auto"/>
              <w:left w:val="single" w:sz="4" w:space="0" w:color="auto"/>
              <w:bottom w:val="single" w:sz="4" w:space="0" w:color="auto"/>
              <w:right w:val="single" w:sz="4" w:space="0" w:color="auto"/>
            </w:tcBorders>
            <w:hideMark/>
          </w:tcPr>
          <w:p w14:paraId="0396D40C"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C517260"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101" w:type="dxa"/>
            <w:tcBorders>
              <w:top w:val="single" w:sz="4" w:space="0" w:color="auto"/>
              <w:left w:val="single" w:sz="4" w:space="0" w:color="auto"/>
              <w:bottom w:val="single" w:sz="4" w:space="0" w:color="auto"/>
              <w:right w:val="single" w:sz="4" w:space="0" w:color="auto"/>
            </w:tcBorders>
            <w:vAlign w:val="center"/>
            <w:hideMark/>
          </w:tcPr>
          <w:p w14:paraId="6B9DB88B"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CBDAD60"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33B0FF89" w14:textId="77777777" w:rsidR="00081A55" w:rsidRDefault="00081A5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898" w:type="dxa"/>
            <w:tcBorders>
              <w:top w:val="single" w:sz="4" w:space="0" w:color="auto"/>
              <w:left w:val="single" w:sz="4" w:space="0" w:color="auto"/>
              <w:bottom w:val="single" w:sz="4" w:space="0" w:color="auto"/>
              <w:right w:val="single" w:sz="4" w:space="0" w:color="auto"/>
            </w:tcBorders>
            <w:vAlign w:val="center"/>
            <w:hideMark/>
          </w:tcPr>
          <w:p w14:paraId="2848056F"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E0544EB" w14:textId="77777777" w:rsidR="00081A55" w:rsidRDefault="00081A5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81A55" w14:paraId="4764171E" w14:textId="77777777" w:rsidTr="00252193">
        <w:tc>
          <w:tcPr>
            <w:tcW w:w="9634" w:type="dxa"/>
            <w:gridSpan w:val="8"/>
            <w:tcBorders>
              <w:top w:val="single" w:sz="4" w:space="0" w:color="auto"/>
              <w:left w:val="single" w:sz="4" w:space="0" w:color="auto"/>
              <w:bottom w:val="single" w:sz="4" w:space="0" w:color="auto"/>
              <w:right w:val="single" w:sz="4" w:space="0" w:color="auto"/>
            </w:tcBorders>
            <w:hideMark/>
          </w:tcPr>
          <w:p w14:paraId="240AA4E1" w14:textId="77777777" w:rsidR="00081A55" w:rsidRDefault="00081A55">
            <w:pPr>
              <w:ind w:firstLine="743"/>
              <w:rPr>
                <w:rFonts w:ascii="Times New Roman" w:hAnsi="Times New Roman" w:cs="Times New Roman"/>
                <w:sz w:val="20"/>
                <w:szCs w:val="20"/>
                <w:lang w:val="kk-KZ"/>
              </w:rPr>
            </w:pPr>
            <w:r>
              <w:rPr>
                <w:rFonts w:ascii="Times New Roman" w:hAnsi="Times New Roman" w:cs="Times New Roman"/>
                <w:sz w:val="20"/>
                <w:szCs w:val="20"/>
                <w:lang w:val="kk-KZ"/>
              </w:rPr>
              <w:t xml:space="preserve">Ескерту – зерттеу негізінде автормен құрастырылған </w:t>
            </w:r>
          </w:p>
        </w:tc>
      </w:tr>
    </w:tbl>
    <w:p w14:paraId="65D7A965" w14:textId="77777777" w:rsidR="00081A55" w:rsidRPr="006D4672" w:rsidRDefault="00081A55" w:rsidP="00081A55">
      <w:pPr>
        <w:widowControl w:val="0"/>
        <w:spacing w:after="0" w:line="240" w:lineRule="auto"/>
        <w:jc w:val="both"/>
        <w:rPr>
          <w:rFonts w:ascii="Times New Roman" w:hAnsi="Times New Roman" w:cs="Times New Roman"/>
          <w:color w:val="000000"/>
          <w:sz w:val="28"/>
          <w:szCs w:val="28"/>
          <w:lang w:val="kk-KZ"/>
        </w:rPr>
      </w:pPr>
    </w:p>
    <w:p w14:paraId="1D8A7D2E" w14:textId="094027A9" w:rsidR="00081A55" w:rsidRPr="006D4672" w:rsidRDefault="001C24D3" w:rsidP="00081A55">
      <w:pPr>
        <w:widowControl w:val="0"/>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Әлем көшбасшылары 2030 жылға дейін Тұрақты даму күн тәртібін қабылдай отырып, адамзатты кедейліктен арылтуға, болашақ ұрпақ үшін гүлденген планетаны сақтауға және барлығына бейбіт және ашық қоғам құруға, осылайша барлығына лайықты өмір сүру жағдайларын қамтамасыз етуді анықтаған.</w:t>
      </w:r>
      <w:r>
        <w:rPr>
          <w:rFonts w:ascii="Times New Roman" w:hAnsi="Times New Roman" w:cs="Times New Roman"/>
          <w:color w:val="000000"/>
          <w:sz w:val="28"/>
          <w:szCs w:val="28"/>
          <w:lang w:val="kk-KZ"/>
        </w:rPr>
        <w:t xml:space="preserve"> Аудиттің мақсаты, аудиторлық орган, аудит көлемі, аудит әдісі, аудиторлық бағалау және үкімет қызметінің тиімділігі аудитінің аудиторлық өнімдері әлі де зерттеу және тәжірибелік іске асыру сатысында.</w:t>
      </w:r>
      <w:r>
        <w:rPr>
          <w:rFonts w:ascii="Times New Roman" w:hAnsi="Times New Roman" w:cs="Times New Roman"/>
          <w:sz w:val="28"/>
          <w:szCs w:val="28"/>
          <w:lang w:val="kk-KZ"/>
        </w:rPr>
        <w:t xml:space="preserve"> </w:t>
      </w:r>
      <w:r w:rsidR="00081A55" w:rsidRPr="006D4672">
        <w:rPr>
          <w:rFonts w:ascii="Times New Roman" w:hAnsi="Times New Roman" w:cs="Times New Roman"/>
          <w:sz w:val="28"/>
          <w:szCs w:val="28"/>
          <w:shd w:val="clear" w:color="auto" w:fill="FFFFFF"/>
          <w:lang w:val="kk-KZ"/>
        </w:rPr>
        <w:t xml:space="preserve">Соған орай тұрақты даму тұжырымдасының өзектілігі өскен сайын және АӨК тікелей қоршаған ортамен байланысты болғандықтан Қазақстандағы тиімділік аудитінің көрсеткіштері ретінде қоршаған орта және әділдік сияқты базалық критерийлерді қосу орнықты деп ойлаймыз.  </w:t>
      </w:r>
    </w:p>
    <w:p w14:paraId="11732A50" w14:textId="334A172F" w:rsidR="00081A55" w:rsidRPr="001C24D3" w:rsidRDefault="00081A55" w:rsidP="001C24D3">
      <w:pPr>
        <w:spacing w:after="0" w:line="240" w:lineRule="auto"/>
        <w:ind w:firstLine="709"/>
        <w:jc w:val="both"/>
        <w:rPr>
          <w:rFonts w:ascii="Times New Roman" w:hAnsi="Times New Roman" w:cs="Times New Roman"/>
          <w:sz w:val="28"/>
          <w:szCs w:val="28"/>
          <w:lang w:val="kk-KZ"/>
        </w:rPr>
      </w:pPr>
      <w:r w:rsidRPr="006D4672">
        <w:rPr>
          <w:rFonts w:ascii="Times New Roman" w:hAnsi="Times New Roman" w:cs="Times New Roman"/>
          <w:spacing w:val="2"/>
          <w:sz w:val="28"/>
          <w:szCs w:val="28"/>
          <w:shd w:val="clear" w:color="auto" w:fill="FFFFFF"/>
          <w:lang w:val="kk-KZ"/>
        </w:rPr>
        <w:t>Біздің ойымызша, 100 стандарттың 6 пунктінде базалық критерийлердің арасындағы «тиімділік» деп аталатын көрсеткішті [</w:t>
      </w:r>
      <w:r w:rsidR="001F644E" w:rsidRPr="006D4672">
        <w:rPr>
          <w:rFonts w:ascii="Times New Roman" w:hAnsi="Times New Roman" w:cs="Times New Roman"/>
          <w:spacing w:val="2"/>
          <w:sz w:val="28"/>
          <w:szCs w:val="28"/>
          <w:shd w:val="clear" w:color="auto" w:fill="FFFFFF"/>
          <w:lang w:val="kk-KZ"/>
        </w:rPr>
        <w:t>1</w:t>
      </w:r>
      <w:r w:rsidR="00166E03" w:rsidRPr="006D4672">
        <w:rPr>
          <w:rFonts w:ascii="Times New Roman" w:hAnsi="Times New Roman" w:cs="Times New Roman"/>
          <w:spacing w:val="2"/>
          <w:sz w:val="28"/>
          <w:szCs w:val="28"/>
          <w:shd w:val="clear" w:color="auto" w:fill="FFFFFF"/>
          <w:lang w:val="kk-KZ"/>
        </w:rPr>
        <w:t>0</w:t>
      </w:r>
      <w:r w:rsidRPr="006D4672">
        <w:rPr>
          <w:rFonts w:ascii="Times New Roman" w:hAnsi="Times New Roman" w:cs="Times New Roman"/>
          <w:spacing w:val="2"/>
          <w:sz w:val="28"/>
          <w:szCs w:val="28"/>
          <w:shd w:val="clear" w:color="auto" w:fill="FFFFFF"/>
          <w:lang w:val="kk-KZ"/>
        </w:rPr>
        <w:t xml:space="preserve">] </w:t>
      </w:r>
      <w:r w:rsidR="001C24D3">
        <w:rPr>
          <w:rFonts w:ascii="Times New Roman" w:hAnsi="Times New Roman" w:cs="Times New Roman"/>
          <w:spacing w:val="2"/>
          <w:sz w:val="28"/>
          <w:szCs w:val="28"/>
          <w:shd w:val="clear" w:color="auto" w:fill="FFFFFF"/>
          <w:lang w:val="kk-KZ"/>
        </w:rPr>
        <w:t xml:space="preserve">мемлекеттік аудиторлар дұрыс түсіну үшін </w:t>
      </w:r>
      <w:r w:rsidRPr="006D4672">
        <w:rPr>
          <w:rFonts w:ascii="Times New Roman" w:hAnsi="Times New Roman" w:cs="Times New Roman"/>
          <w:spacing w:val="2"/>
          <w:sz w:val="28"/>
          <w:szCs w:val="28"/>
          <w:shd w:val="clear" w:color="auto" w:fill="FFFFFF"/>
          <w:lang w:val="kk-KZ"/>
        </w:rPr>
        <w:t>алып тастаған дұрыс, себебі ХМАС-да тиімділік аудитінің қағидалары ретінде тек үнемлілік, өнімділік, нәтижелілік деген сипаттамалары келтірілген. Ұқсас түсініктер көп болғандықтан аудиторлар қателеседі деп ойлаймыз. Тиімділік аудитінің базалық критерийі «тиімділік» болуы дұрыс емес деген ойдамыз.</w:t>
      </w:r>
      <w:r w:rsidR="001C24D3">
        <w:rPr>
          <w:rFonts w:ascii="Times New Roman" w:hAnsi="Times New Roman" w:cs="Times New Roman"/>
          <w:spacing w:val="2"/>
          <w:sz w:val="28"/>
          <w:szCs w:val="28"/>
          <w:shd w:val="clear" w:color="auto" w:fill="FFFFFF"/>
          <w:lang w:val="kk-KZ"/>
        </w:rPr>
        <w:t xml:space="preserve"> </w:t>
      </w:r>
      <w:r w:rsidRPr="001C24D3">
        <w:rPr>
          <w:rFonts w:ascii="Times New Roman" w:hAnsi="Times New Roman" w:cs="Times New Roman"/>
          <w:spacing w:val="2"/>
          <w:sz w:val="28"/>
          <w:szCs w:val="28"/>
          <w:shd w:val="clear" w:color="auto" w:fill="FFFFFF"/>
          <w:lang w:val="kk-KZ"/>
        </w:rPr>
        <w:t>Бұл критерийлер «</w:t>
      </w:r>
      <w:r w:rsidRPr="001C24D3">
        <w:rPr>
          <w:rFonts w:ascii="Times New Roman" w:hAnsi="Times New Roman" w:cs="Times New Roman"/>
          <w:sz w:val="28"/>
          <w:szCs w:val="28"/>
          <w:lang w:val="kk-KZ"/>
        </w:rPr>
        <w:t>100. Тиімділік аудитін жүргізу бойынша сыртқы мемлекеттік аудиттің және қаржылық бақылаудың рәсімдік стандарты» 4-параграф 44-пунктінде [</w:t>
      </w:r>
      <w:r w:rsidR="001F644E" w:rsidRPr="001C24D3">
        <w:rPr>
          <w:rFonts w:ascii="Times New Roman" w:hAnsi="Times New Roman" w:cs="Times New Roman"/>
          <w:sz w:val="28"/>
          <w:szCs w:val="28"/>
          <w:lang w:val="kk-KZ"/>
        </w:rPr>
        <w:t>1</w:t>
      </w:r>
      <w:r w:rsidR="00166E03" w:rsidRPr="001C24D3">
        <w:rPr>
          <w:rFonts w:ascii="Times New Roman" w:hAnsi="Times New Roman" w:cs="Times New Roman"/>
          <w:sz w:val="28"/>
          <w:szCs w:val="28"/>
          <w:lang w:val="kk-KZ"/>
        </w:rPr>
        <w:t>0</w:t>
      </w:r>
      <w:r w:rsidRPr="001C24D3">
        <w:rPr>
          <w:rFonts w:ascii="Times New Roman" w:hAnsi="Times New Roman" w:cs="Times New Roman"/>
          <w:sz w:val="28"/>
          <w:szCs w:val="28"/>
          <w:lang w:val="kk-KZ"/>
        </w:rPr>
        <w:t>] бекітілген критерий сипаттамаларына жауап бермейді.</w:t>
      </w:r>
      <w:r w:rsidRPr="001C24D3">
        <w:rPr>
          <w:rFonts w:ascii="Times New Roman" w:hAnsi="Times New Roman" w:cs="Times New Roman"/>
          <w:b/>
          <w:bCs/>
          <w:sz w:val="28"/>
          <w:szCs w:val="28"/>
          <w:lang w:val="kk-KZ"/>
        </w:rPr>
        <w:t xml:space="preserve"> </w:t>
      </w:r>
    </w:p>
    <w:p w14:paraId="0A2AFE15" w14:textId="7CD7996E" w:rsidR="00081A55" w:rsidRDefault="00081A55" w:rsidP="00081A55">
      <w:pPr>
        <w:pStyle w:val="3"/>
        <w:shd w:val="clear" w:color="auto" w:fill="FFFFFF"/>
        <w:spacing w:before="0" w:line="240" w:lineRule="auto"/>
        <w:ind w:firstLine="709"/>
        <w:jc w:val="both"/>
        <w:textAlignment w:val="baseline"/>
        <w:rPr>
          <w:rFonts w:ascii="Times New Roman" w:hAnsi="Times New Roman" w:cs="Times New Roman"/>
          <w:color w:val="auto"/>
          <w:sz w:val="28"/>
          <w:szCs w:val="28"/>
          <w:lang w:val="kk-KZ"/>
        </w:rPr>
      </w:pPr>
      <w:r w:rsidRPr="001C24D3">
        <w:rPr>
          <w:rFonts w:ascii="Times New Roman" w:hAnsi="Times New Roman" w:cs="Times New Roman"/>
          <w:color w:val="auto"/>
          <w:sz w:val="28"/>
          <w:szCs w:val="28"/>
          <w:lang w:val="kk-KZ"/>
        </w:rPr>
        <w:t>Сондықтан диссертациялық жұмыста АӨК дамытуға бағытталған бюджет қаражатын пайдалану тиімділігі аудитінің негізгі бағыттары және критерийлері</w:t>
      </w:r>
      <w:r>
        <w:rPr>
          <w:rFonts w:ascii="Times New Roman" w:hAnsi="Times New Roman" w:cs="Times New Roman"/>
          <w:color w:val="auto"/>
          <w:sz w:val="28"/>
          <w:szCs w:val="28"/>
          <w:lang w:val="kk-KZ"/>
        </w:rPr>
        <w:t xml:space="preserve"> әзірленіп жүйеленді, </w:t>
      </w:r>
      <w:r w:rsidR="00023296">
        <w:rPr>
          <w:rFonts w:ascii="Times New Roman" w:hAnsi="Times New Roman" w:cs="Times New Roman"/>
          <w:color w:val="auto"/>
          <w:sz w:val="28"/>
          <w:szCs w:val="28"/>
          <w:lang w:val="kk-KZ"/>
        </w:rPr>
        <w:t>4</w:t>
      </w:r>
      <w:r>
        <w:rPr>
          <w:rFonts w:ascii="Times New Roman" w:hAnsi="Times New Roman" w:cs="Times New Roman"/>
          <w:color w:val="auto"/>
          <w:sz w:val="28"/>
          <w:szCs w:val="28"/>
          <w:lang w:val="kk-KZ"/>
        </w:rPr>
        <w:t>-кестеде келтірілген.</w:t>
      </w:r>
    </w:p>
    <w:p w14:paraId="1F04A9C3" w14:textId="77777777" w:rsidR="00A742BB" w:rsidRPr="00457CE9" w:rsidRDefault="00A742BB" w:rsidP="00457CE9">
      <w:pPr>
        <w:widowControl w:val="0"/>
        <w:spacing w:after="0" w:line="240" w:lineRule="auto"/>
        <w:ind w:firstLine="709"/>
        <w:jc w:val="both"/>
        <w:rPr>
          <w:rFonts w:ascii="Times New Roman" w:hAnsi="Times New Roman" w:cs="Times New Roman"/>
          <w:sz w:val="24"/>
          <w:szCs w:val="24"/>
          <w:lang w:val="kk-KZ"/>
        </w:rPr>
      </w:pPr>
    </w:p>
    <w:p w14:paraId="69A28BEE" w14:textId="2EDD3974" w:rsidR="00A742BB" w:rsidRDefault="00A742BB" w:rsidP="00457CE9">
      <w:pPr>
        <w:widowControl w:val="0"/>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023296">
        <w:rPr>
          <w:rFonts w:ascii="Times New Roman" w:hAnsi="Times New Roman" w:cs="Times New Roman"/>
          <w:sz w:val="28"/>
          <w:szCs w:val="28"/>
          <w:lang w:val="kk-KZ"/>
        </w:rPr>
        <w:t>4</w:t>
      </w:r>
      <w:r w:rsidRPr="00457CE9">
        <w:rPr>
          <w:rFonts w:ascii="Times New Roman" w:hAnsi="Times New Roman" w:cs="Times New Roman"/>
          <w:sz w:val="28"/>
          <w:szCs w:val="28"/>
          <w:lang w:val="kk-KZ"/>
        </w:rPr>
        <w:t xml:space="preserve"> – </w:t>
      </w:r>
      <w:r w:rsidR="0003413E" w:rsidRPr="00457CE9">
        <w:rPr>
          <w:rFonts w:ascii="Times New Roman" w:hAnsi="Times New Roman" w:cs="Times New Roman"/>
          <w:sz w:val="28"/>
          <w:szCs w:val="28"/>
          <w:lang w:val="kk-KZ"/>
        </w:rPr>
        <w:t xml:space="preserve">ҚР мемлекеттік аудит және қаржылық бақылау заңы бойынша </w:t>
      </w:r>
      <w:r w:rsidRPr="00457CE9">
        <w:rPr>
          <w:rFonts w:ascii="Times New Roman" w:hAnsi="Times New Roman" w:cs="Times New Roman"/>
          <w:sz w:val="28"/>
          <w:szCs w:val="28"/>
          <w:lang w:val="kk-KZ"/>
        </w:rPr>
        <w:t>АӨК дамытуға бағытталған бюджет қаражатының тиімділік аудитінің бағыттары мен критерийлері</w:t>
      </w:r>
    </w:p>
    <w:p w14:paraId="559D2174" w14:textId="77777777" w:rsidR="00782F91" w:rsidRPr="00782F91" w:rsidRDefault="00782F91" w:rsidP="00457CE9">
      <w:pPr>
        <w:widowControl w:val="0"/>
        <w:spacing w:after="0" w:line="240" w:lineRule="auto"/>
        <w:jc w:val="both"/>
        <w:rPr>
          <w:rFonts w:ascii="Times New Roman" w:hAnsi="Times New Roman" w:cs="Times New Roman"/>
          <w:sz w:val="16"/>
          <w:szCs w:val="16"/>
          <w:lang w:val="kk-KZ"/>
        </w:rPr>
      </w:pPr>
    </w:p>
    <w:tbl>
      <w:tblPr>
        <w:tblStyle w:val="a3"/>
        <w:tblW w:w="9716" w:type="dxa"/>
        <w:tblInd w:w="-5" w:type="dxa"/>
        <w:tblLook w:val="04A0" w:firstRow="1" w:lastRow="0" w:firstColumn="1" w:lastColumn="0" w:noHBand="0" w:noVBand="1"/>
      </w:tblPr>
      <w:tblGrid>
        <w:gridCol w:w="6902"/>
        <w:gridCol w:w="2814"/>
      </w:tblGrid>
      <w:tr w:rsidR="00782F91" w:rsidRPr="00457CE9" w14:paraId="4A73A6A5" w14:textId="77777777" w:rsidTr="003906CE">
        <w:tc>
          <w:tcPr>
            <w:tcW w:w="6902" w:type="dxa"/>
            <w:vAlign w:val="center"/>
          </w:tcPr>
          <w:p w14:paraId="1E2EF991" w14:textId="66360F28" w:rsidR="00782F91" w:rsidRPr="00457CE9" w:rsidRDefault="00782F91" w:rsidP="00782F91">
            <w:pPr>
              <w:widowControl w:val="0"/>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дамытуға бағытталған бюджет қаражатының тиімділік аудитінің бағыттары</w:t>
            </w:r>
          </w:p>
        </w:tc>
        <w:tc>
          <w:tcPr>
            <w:tcW w:w="2814" w:type="dxa"/>
            <w:vAlign w:val="center"/>
          </w:tcPr>
          <w:p w14:paraId="0B28F031" w14:textId="308435D1" w:rsidR="00782F91" w:rsidRPr="00457CE9" w:rsidRDefault="00782F91" w:rsidP="00782F91">
            <w:pPr>
              <w:widowControl w:val="0"/>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Аудит критерийлері</w:t>
            </w:r>
          </w:p>
        </w:tc>
      </w:tr>
      <w:tr w:rsidR="00782F91" w:rsidRPr="00457CE9" w14:paraId="52517914" w14:textId="77777777" w:rsidTr="003906CE">
        <w:tc>
          <w:tcPr>
            <w:tcW w:w="6902" w:type="dxa"/>
          </w:tcPr>
          <w:p w14:paraId="561EB209" w14:textId="5096B564"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дамытудың мемлекеттік жоспарлау жүйесінің стратегиялық құжаттарында анықталған мақсаттарын іске асырудың тиімділік аудиті</w:t>
            </w:r>
          </w:p>
        </w:tc>
        <w:tc>
          <w:tcPr>
            <w:tcW w:w="2814" w:type="dxa"/>
          </w:tcPr>
          <w:p w14:paraId="72A0E1C0" w14:textId="5B116C2A"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АӨК саласындағы макроэкономикалық көрсеткіштер</w:t>
            </w:r>
          </w:p>
        </w:tc>
      </w:tr>
      <w:tr w:rsidR="00782F91" w:rsidRPr="00B108D0" w14:paraId="2712E741" w14:textId="77777777" w:rsidTr="003906CE">
        <w:tc>
          <w:tcPr>
            <w:tcW w:w="6902" w:type="dxa"/>
          </w:tcPr>
          <w:p w14:paraId="3A101D93" w14:textId="5C69B4D3" w:rsidR="00782F91" w:rsidRPr="00457CE9" w:rsidRDefault="00782F91"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дамытуға бағытталған облыстық бюджет, республикалық маңызы бар қала бюджеті, астана бюджеттері қаражатын пайдалану тиімділігінің аудиті</w:t>
            </w:r>
          </w:p>
        </w:tc>
        <w:tc>
          <w:tcPr>
            <w:tcW w:w="2814" w:type="dxa"/>
            <w:vMerge w:val="restart"/>
          </w:tcPr>
          <w:p w14:paraId="174B55B7" w14:textId="466F6DE9"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АӨК дамытудың ұлттық жобасы негізіндегі Аймақтарды дамыту бағдарламаларында бекітілген нысаналы индикаторлар  </w:t>
            </w:r>
          </w:p>
        </w:tc>
      </w:tr>
      <w:tr w:rsidR="00782F91" w:rsidRPr="00B108D0" w14:paraId="00EF2AB1" w14:textId="77777777" w:rsidTr="003906CE">
        <w:tc>
          <w:tcPr>
            <w:tcW w:w="6902" w:type="dxa"/>
          </w:tcPr>
          <w:p w14:paraId="46E33C0A" w14:textId="153ED5CD" w:rsidR="00782F91" w:rsidRPr="00457CE9" w:rsidRDefault="00782F91"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Аудандық (облыстық маңызы бар қала) бюджет, Аудандық маңызы бар қала, ауыл, кент ауылдық округі бюджеттері қаражатын пайдалану тиімділігінің аудиті </w:t>
            </w:r>
          </w:p>
        </w:tc>
        <w:tc>
          <w:tcPr>
            <w:tcW w:w="2814" w:type="dxa"/>
            <w:vMerge/>
          </w:tcPr>
          <w:p w14:paraId="16831DFB" w14:textId="73366475" w:rsidR="00782F91" w:rsidRPr="00457CE9" w:rsidRDefault="00782F91" w:rsidP="00457CE9">
            <w:pPr>
              <w:widowControl w:val="0"/>
              <w:rPr>
                <w:rFonts w:ascii="Times New Roman" w:hAnsi="Times New Roman" w:cs="Times New Roman"/>
                <w:sz w:val="24"/>
                <w:szCs w:val="24"/>
                <w:lang w:val="kk-KZ"/>
              </w:rPr>
            </w:pPr>
          </w:p>
        </w:tc>
      </w:tr>
      <w:tr w:rsidR="00782F91" w:rsidRPr="00B108D0" w14:paraId="1AAD427C" w14:textId="77777777" w:rsidTr="003906CE">
        <w:tc>
          <w:tcPr>
            <w:tcW w:w="6902" w:type="dxa"/>
          </w:tcPr>
          <w:p w14:paraId="6D965F61" w14:textId="068DEE32"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дамытуға қатысатын ҰБХ, ұлттық холдингтер, ұлттық компаниялар іс-шаралар жоспарларының іске асырылуында бюджет қаражатын пайдаланудың тиімділік аудиті</w:t>
            </w:r>
          </w:p>
        </w:tc>
        <w:tc>
          <w:tcPr>
            <w:tcW w:w="2814" w:type="dxa"/>
            <w:vMerge w:val="restart"/>
          </w:tcPr>
          <w:p w14:paraId="3CD5FD28" w14:textId="5E987FCE"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АӨК саласындағы стратегиялық құжаттарында анықталған сандық және сапалық көрсеткіштері</w:t>
            </w:r>
          </w:p>
        </w:tc>
      </w:tr>
      <w:tr w:rsidR="00782F91" w:rsidRPr="00B108D0" w14:paraId="7BFFF51F" w14:textId="77777777" w:rsidTr="003906CE">
        <w:tc>
          <w:tcPr>
            <w:tcW w:w="6902" w:type="dxa"/>
          </w:tcPr>
          <w:p w14:paraId="3826CFDB" w14:textId="49992E1B"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дамытуға қатысатын квазимемлекеттік сектор субъектілері қызметінің экономиканың, мемлекеттік басқарудың әлеуметтік және басқа да салаларының дамуына бюджет қаражатын пайдалану тиімділігінің аудиті</w:t>
            </w:r>
          </w:p>
        </w:tc>
        <w:tc>
          <w:tcPr>
            <w:tcW w:w="2814" w:type="dxa"/>
            <w:vMerge/>
          </w:tcPr>
          <w:p w14:paraId="4400D315" w14:textId="1B6BF082" w:rsidR="00782F91" w:rsidRPr="00457CE9" w:rsidRDefault="00782F91" w:rsidP="00457CE9">
            <w:pPr>
              <w:widowControl w:val="0"/>
              <w:rPr>
                <w:rFonts w:ascii="Times New Roman" w:hAnsi="Times New Roman" w:cs="Times New Roman"/>
                <w:sz w:val="24"/>
                <w:szCs w:val="24"/>
                <w:lang w:val="kk-KZ"/>
              </w:rPr>
            </w:pPr>
          </w:p>
        </w:tc>
      </w:tr>
      <w:tr w:rsidR="00782F91" w:rsidRPr="00B108D0" w14:paraId="61A4CF85" w14:textId="77777777" w:rsidTr="003906CE">
        <w:tc>
          <w:tcPr>
            <w:tcW w:w="6902" w:type="dxa"/>
          </w:tcPr>
          <w:p w14:paraId="021D53F4" w14:textId="0AC0606C"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АӨК дамытуға мемлекеттік және мемлекет кепілдік берген борыштың, мемлекет кепілгерлігі бойынша борышты қалыптастырудың және басқарудың тиімділік аудиті </w:t>
            </w:r>
          </w:p>
        </w:tc>
        <w:tc>
          <w:tcPr>
            <w:tcW w:w="2814" w:type="dxa"/>
            <w:vMerge w:val="restart"/>
          </w:tcPr>
          <w:p w14:paraId="3A2A60C7" w14:textId="4B3A4635"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Борыш мақсатына жету үшін бекітілген көрсеткіштер</w:t>
            </w:r>
          </w:p>
        </w:tc>
      </w:tr>
      <w:tr w:rsidR="00782F91" w:rsidRPr="00B108D0" w14:paraId="0B08CF2B" w14:textId="77777777" w:rsidTr="003906CE">
        <w:tc>
          <w:tcPr>
            <w:tcW w:w="6902" w:type="dxa"/>
          </w:tcPr>
          <w:p w14:paraId="767DFE80" w14:textId="3B1A23F0"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дамытумен байланысты гранттарды, бюджеттік инвестицияларды, мемлекеттік және мемлекет кепілдік берген қарыздарды, мемлекет кепілгерлігімен тартылатын борышты және мемлекет активтерін пайдаланудың тиімділік аудиті</w:t>
            </w:r>
          </w:p>
        </w:tc>
        <w:tc>
          <w:tcPr>
            <w:tcW w:w="2814" w:type="dxa"/>
            <w:vMerge/>
          </w:tcPr>
          <w:p w14:paraId="5A9973F4" w14:textId="15A44276" w:rsidR="00782F91" w:rsidRPr="00457CE9" w:rsidRDefault="00782F91" w:rsidP="00457CE9">
            <w:pPr>
              <w:widowControl w:val="0"/>
              <w:rPr>
                <w:rFonts w:ascii="Times New Roman" w:hAnsi="Times New Roman" w:cs="Times New Roman"/>
                <w:sz w:val="24"/>
                <w:szCs w:val="24"/>
                <w:lang w:val="kk-KZ"/>
              </w:rPr>
            </w:pPr>
          </w:p>
        </w:tc>
      </w:tr>
      <w:tr w:rsidR="0003413E" w:rsidRPr="00457CE9" w14:paraId="27C53199" w14:textId="77777777" w:rsidTr="00AE4375">
        <w:tc>
          <w:tcPr>
            <w:tcW w:w="9716" w:type="dxa"/>
            <w:gridSpan w:val="2"/>
          </w:tcPr>
          <w:p w14:paraId="4B376908" w14:textId="357F334D" w:rsidR="0003413E" w:rsidRPr="00457CE9" w:rsidRDefault="00782F91" w:rsidP="00782F91">
            <w:pPr>
              <w:widowControl w:val="0"/>
              <w:ind w:firstLine="559"/>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03413E" w:rsidRPr="00457CE9">
              <w:rPr>
                <w:rFonts w:ascii="Times New Roman" w:hAnsi="Times New Roman" w:cs="Times New Roman"/>
                <w:sz w:val="24"/>
                <w:szCs w:val="24"/>
                <w:lang w:val="kk-KZ" w:eastAsia="zh-CN"/>
              </w:rPr>
              <w:t xml:space="preserve"> </w:t>
            </w:r>
            <w:r w:rsidR="0003413E" w:rsidRPr="00457CE9">
              <w:rPr>
                <w:rFonts w:ascii="Times New Roman" w:hAnsi="Times New Roman" w:cs="Times New Roman"/>
                <w:sz w:val="24"/>
                <w:szCs w:val="24"/>
                <w:lang w:eastAsia="zh-CN"/>
              </w:rPr>
              <w:t>[</w:t>
            </w:r>
            <w:r w:rsidR="00F67CC1">
              <w:rPr>
                <w:rFonts w:ascii="Times New Roman" w:hAnsi="Times New Roman" w:cs="Times New Roman"/>
                <w:sz w:val="24"/>
                <w:szCs w:val="24"/>
                <w:lang w:val="kk-KZ" w:eastAsia="zh-CN"/>
              </w:rPr>
              <w:t>1</w:t>
            </w:r>
            <w:r w:rsidR="00166E03">
              <w:rPr>
                <w:rFonts w:ascii="Times New Roman" w:hAnsi="Times New Roman" w:cs="Times New Roman"/>
                <w:sz w:val="24"/>
                <w:szCs w:val="24"/>
                <w:lang w:val="en-US" w:eastAsia="zh-CN"/>
              </w:rPr>
              <w:t>0</w:t>
            </w:r>
            <w:r w:rsidR="00F67CC1">
              <w:rPr>
                <w:rFonts w:ascii="Times New Roman" w:hAnsi="Times New Roman" w:cs="Times New Roman"/>
                <w:sz w:val="24"/>
                <w:szCs w:val="24"/>
                <w:lang w:val="kk-KZ" w:eastAsia="zh-CN"/>
              </w:rPr>
              <w:t>,1</w:t>
            </w:r>
            <w:r w:rsidR="00166E03">
              <w:rPr>
                <w:rFonts w:ascii="Times New Roman" w:hAnsi="Times New Roman" w:cs="Times New Roman"/>
                <w:sz w:val="24"/>
                <w:szCs w:val="24"/>
                <w:lang w:val="en-US" w:eastAsia="zh-CN"/>
              </w:rPr>
              <w:t>3</w:t>
            </w:r>
            <w:r w:rsidR="0003413E" w:rsidRPr="00457CE9">
              <w:rPr>
                <w:rFonts w:ascii="Times New Roman" w:hAnsi="Times New Roman" w:cs="Times New Roman"/>
                <w:sz w:val="24"/>
                <w:szCs w:val="24"/>
                <w:lang w:eastAsia="zh-CN"/>
              </w:rPr>
              <w:t xml:space="preserve">] </w:t>
            </w:r>
          </w:p>
        </w:tc>
      </w:tr>
    </w:tbl>
    <w:p w14:paraId="1162C8BC" w14:textId="77777777" w:rsidR="000D7C40" w:rsidRPr="00457CE9" w:rsidRDefault="000D7C40" w:rsidP="00457CE9">
      <w:pPr>
        <w:widowControl w:val="0"/>
        <w:spacing w:after="0" w:line="240" w:lineRule="auto"/>
        <w:ind w:firstLine="709"/>
        <w:jc w:val="both"/>
        <w:rPr>
          <w:rFonts w:ascii="Times New Roman" w:hAnsi="Times New Roman" w:cs="Times New Roman"/>
          <w:sz w:val="28"/>
          <w:szCs w:val="28"/>
          <w:lang w:val="kk-KZ"/>
        </w:rPr>
      </w:pPr>
    </w:p>
    <w:p w14:paraId="3AB34767" w14:textId="77777777" w:rsidR="00580C40" w:rsidRDefault="00580C40" w:rsidP="00580C4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АӨК үлкен сала болғандықтан тиімділік аудитінің бірнеше мақсаты белгіленуі мүмкін және әр мақсаттың арнайы критерийлері анықталуға тиіс.</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Біздің ойымызша бұл аудитте мақсатына қарай арнайы критерийлер ретінде АӨК дамыту бағдарламасындағы нысаналы индикаторлары, нәтижелі көрсеткіштері, ЖІӨ-гі үлесі, жалпы өнім құны, азық-түліктік қауіпсіздік көрсеткіштері т.б. арнайы критерий ретінде белгіленгені дұрыс. Осының негізінде бағдарламаны іске асыруға жұмсалған бюджет қаражатының тиімділігіне объективті баға беруге болады деп ойлаймыз.</w:t>
      </w:r>
    </w:p>
    <w:p w14:paraId="4BF8CFEA" w14:textId="1B401BF5" w:rsidR="001F644E" w:rsidRPr="00B50D5C" w:rsidRDefault="001C24D3" w:rsidP="001F644E">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1F644E">
        <w:rPr>
          <w:rFonts w:ascii="Times New Roman" w:hAnsi="Times New Roman" w:cs="Times New Roman"/>
          <w:sz w:val="28"/>
          <w:szCs w:val="28"/>
          <w:lang w:val="kk-KZ"/>
        </w:rPr>
        <w:t xml:space="preserve">МАС тиімділік аудитінің мақсаты және осы мақсатқа жетудің нақты критерийлері оның мазмұнын ашатындай белгілі сипаттамаларға сәйкес келу керектігі белгіленген. </w:t>
      </w:r>
      <w:r w:rsidR="007C5A55">
        <w:rPr>
          <w:rFonts w:ascii="Times New Roman" w:hAnsi="Times New Roman" w:cs="Times New Roman"/>
          <w:sz w:val="28"/>
          <w:szCs w:val="28"/>
          <w:lang w:val="kk-KZ"/>
        </w:rPr>
        <w:t xml:space="preserve">Тиімділік аудиті кезінде </w:t>
      </w:r>
      <w:r w:rsidR="001F644E">
        <w:rPr>
          <w:rFonts w:ascii="Times New Roman" w:hAnsi="Times New Roman" w:cs="Times New Roman"/>
          <w:sz w:val="28"/>
          <w:szCs w:val="28"/>
          <w:lang w:val="kk-KZ"/>
        </w:rPr>
        <w:t xml:space="preserve">АӨК дамытуға </w:t>
      </w:r>
      <w:r w:rsidR="007C5A55">
        <w:rPr>
          <w:rFonts w:ascii="Times New Roman" w:hAnsi="Times New Roman" w:cs="Times New Roman"/>
          <w:sz w:val="28"/>
          <w:szCs w:val="28"/>
          <w:lang w:val="kk-KZ"/>
        </w:rPr>
        <w:t>жұмс</w:t>
      </w:r>
      <w:r w:rsidR="001F644E">
        <w:rPr>
          <w:rFonts w:ascii="Times New Roman" w:hAnsi="Times New Roman" w:cs="Times New Roman"/>
          <w:sz w:val="28"/>
          <w:szCs w:val="28"/>
          <w:lang w:val="kk-KZ"/>
        </w:rPr>
        <w:t xml:space="preserve">алған бюджет қаражаты </w:t>
      </w:r>
      <w:r w:rsidR="007C5A55">
        <w:rPr>
          <w:rFonts w:ascii="Times New Roman" w:hAnsi="Times New Roman" w:cs="Times New Roman"/>
          <w:sz w:val="28"/>
          <w:szCs w:val="28"/>
          <w:lang w:val="kk-KZ"/>
        </w:rPr>
        <w:t xml:space="preserve">тек қана </w:t>
      </w:r>
      <w:r w:rsidR="001F644E">
        <w:rPr>
          <w:rFonts w:ascii="Times New Roman" w:hAnsi="Times New Roman" w:cs="Times New Roman"/>
          <w:sz w:val="28"/>
          <w:szCs w:val="28"/>
          <w:lang w:val="kk-KZ"/>
        </w:rPr>
        <w:t>үнемді, өнімді және нәтижелі жұмсалуы</w:t>
      </w:r>
      <w:r w:rsidR="007C5A55">
        <w:rPr>
          <w:rFonts w:ascii="Times New Roman" w:hAnsi="Times New Roman" w:cs="Times New Roman"/>
          <w:sz w:val="28"/>
          <w:szCs w:val="28"/>
          <w:lang w:val="kk-KZ"/>
        </w:rPr>
        <w:t xml:space="preserve"> бағаланып қана қоймай, іске асырылып отырған саясаттың қаншалықты тиімді болғаны, саланың тұрақты дамуына, нәтижесінде</w:t>
      </w:r>
      <w:r w:rsidR="001F644E">
        <w:rPr>
          <w:rFonts w:ascii="Times New Roman" w:hAnsi="Times New Roman" w:cs="Times New Roman"/>
          <w:sz w:val="28"/>
          <w:szCs w:val="28"/>
          <w:lang w:val="kk-KZ"/>
        </w:rPr>
        <w:t xml:space="preserve"> келешекте осы салаға бөлінетін мемлекеттік қолдаудың </w:t>
      </w:r>
      <w:r w:rsidR="007C5A55">
        <w:rPr>
          <w:rFonts w:ascii="Times New Roman" w:hAnsi="Times New Roman" w:cs="Times New Roman"/>
          <w:sz w:val="28"/>
          <w:szCs w:val="28"/>
          <w:lang w:val="kk-KZ"/>
        </w:rPr>
        <w:t>әсері</w:t>
      </w:r>
      <w:r w:rsidR="00415691">
        <w:rPr>
          <w:rFonts w:ascii="Times New Roman" w:hAnsi="Times New Roman" w:cs="Times New Roman"/>
          <w:sz w:val="28"/>
          <w:szCs w:val="28"/>
          <w:lang w:val="kk-KZ"/>
        </w:rPr>
        <w:t xml:space="preserve">не </w:t>
      </w:r>
      <w:r w:rsidR="001F644E">
        <w:rPr>
          <w:rFonts w:ascii="Times New Roman" w:hAnsi="Times New Roman" w:cs="Times New Roman"/>
          <w:sz w:val="28"/>
          <w:szCs w:val="28"/>
          <w:lang w:val="kk-KZ"/>
        </w:rPr>
        <w:t xml:space="preserve">тәуелсіз баға беру тиімділік аудиті нәтижесінде алынған нәтижелері </w:t>
      </w:r>
      <w:r w:rsidR="00415691">
        <w:rPr>
          <w:rFonts w:ascii="Times New Roman" w:hAnsi="Times New Roman" w:cs="Times New Roman"/>
          <w:sz w:val="28"/>
          <w:szCs w:val="28"/>
          <w:lang w:val="kk-KZ"/>
        </w:rPr>
        <w:t xml:space="preserve">негізінде тиімділігін арттыру мақсатында </w:t>
      </w:r>
      <w:r w:rsidR="001F644E">
        <w:rPr>
          <w:rFonts w:ascii="Times New Roman" w:hAnsi="Times New Roman" w:cs="Times New Roman"/>
          <w:sz w:val="28"/>
          <w:szCs w:val="28"/>
          <w:lang w:val="kk-KZ"/>
        </w:rPr>
        <w:t xml:space="preserve">дер кезінде нормативті құқықтық актілерге өзгерістер енгізуге септігін тигізеді. </w:t>
      </w:r>
      <w:r w:rsidR="00B50D5C">
        <w:rPr>
          <w:rFonts w:ascii="Times New Roman" w:hAnsi="Times New Roman" w:cs="Times New Roman"/>
          <w:sz w:val="28"/>
          <w:szCs w:val="28"/>
          <w:lang w:val="kk-KZ"/>
        </w:rPr>
        <w:t>Сонымен қатар тиімділік аудитінің маңызды кезеңі тиімділік аудиті аяқталғаннан кейінгі ұсыныстардың орындалуы, яғни, тиімділік аудитінің тиімділігін бағалау, берілген ұсыныстардың анықталған мәселелерді шешуге қаншалықты ықпал еткеніне баға беру үрдісін назарға алу.</w:t>
      </w:r>
    </w:p>
    <w:p w14:paraId="408D8AA2" w14:textId="64DE8B58" w:rsidR="00387F4B" w:rsidRPr="00457CE9" w:rsidRDefault="00CC6B9A" w:rsidP="00782F91">
      <w:pPr>
        <w:widowControl w:val="0"/>
        <w:spacing w:after="0" w:line="240" w:lineRule="auto"/>
        <w:ind w:firstLine="709"/>
        <w:jc w:val="both"/>
        <w:rPr>
          <w:rFonts w:ascii="Times New Roman" w:hAnsi="Times New Roman" w:cs="Times New Roman"/>
          <w:sz w:val="28"/>
          <w:szCs w:val="28"/>
          <w:shd w:val="clear" w:color="auto" w:fill="FFFFFF"/>
          <w:lang w:val="kk-KZ"/>
        </w:rPr>
      </w:pPr>
      <w:r w:rsidRPr="00457CE9">
        <w:rPr>
          <w:rFonts w:ascii="Times New Roman" w:hAnsi="Times New Roman" w:cs="Times New Roman"/>
          <w:sz w:val="28"/>
          <w:szCs w:val="28"/>
          <w:lang w:val="kk-KZ"/>
        </w:rPr>
        <w:t>АӨК дамытуға бағытта</w:t>
      </w:r>
      <w:r w:rsidR="003E065E" w:rsidRPr="00457CE9">
        <w:rPr>
          <w:rFonts w:ascii="Times New Roman" w:hAnsi="Times New Roman" w:cs="Times New Roman"/>
          <w:sz w:val="28"/>
          <w:szCs w:val="28"/>
          <w:lang w:val="kk-KZ"/>
        </w:rPr>
        <w:t>л</w:t>
      </w:r>
      <w:r w:rsidRPr="00457CE9">
        <w:rPr>
          <w:rFonts w:ascii="Times New Roman" w:hAnsi="Times New Roman" w:cs="Times New Roman"/>
          <w:sz w:val="28"/>
          <w:szCs w:val="28"/>
          <w:lang w:val="kk-KZ"/>
        </w:rPr>
        <w:t xml:space="preserve">ған бюджет қаражатын пайдалану тиімділігін тәуелсіз бағалауын сапалы ұйымдастыру үшін, оған арнайы әзірленіп іске асырылатын ұлттық жобаның әлеуметтік, экономикалық, экологиялық, технологиялық, </w:t>
      </w:r>
      <w:r w:rsidR="00821245" w:rsidRPr="00457CE9">
        <w:rPr>
          <w:rFonts w:ascii="Times New Roman" w:hAnsi="Times New Roman" w:cs="Times New Roman"/>
          <w:sz w:val="28"/>
          <w:szCs w:val="28"/>
          <w:lang w:val="kk-KZ"/>
        </w:rPr>
        <w:t>бюджеттік</w:t>
      </w:r>
      <w:r w:rsidRPr="00457CE9">
        <w:rPr>
          <w:rFonts w:ascii="Times New Roman" w:hAnsi="Times New Roman" w:cs="Times New Roman"/>
          <w:sz w:val="28"/>
          <w:szCs w:val="28"/>
          <w:lang w:val="kk-KZ"/>
        </w:rPr>
        <w:t xml:space="preserve"> әсерін, яғни, белгілі макроэкономикалық көрсеткіштердің орындалуы көзделген</w:t>
      </w:r>
      <w:r w:rsidR="00156898" w:rsidRPr="00457CE9">
        <w:rPr>
          <w:rFonts w:ascii="Times New Roman" w:hAnsi="Times New Roman" w:cs="Times New Roman"/>
          <w:sz w:val="28"/>
          <w:szCs w:val="28"/>
          <w:lang w:val="kk-KZ"/>
        </w:rPr>
        <w:t>д</w:t>
      </w:r>
      <w:r w:rsidRPr="00457CE9">
        <w:rPr>
          <w:rFonts w:ascii="Times New Roman" w:hAnsi="Times New Roman" w:cs="Times New Roman"/>
          <w:sz w:val="28"/>
          <w:szCs w:val="28"/>
          <w:lang w:val="kk-KZ"/>
        </w:rPr>
        <w:t xml:space="preserve">іктен, арнайы критерийлерді белгілеп алған жөн. Мәселен оған, </w:t>
      </w:r>
      <w:r w:rsidR="00156898" w:rsidRPr="00457CE9">
        <w:rPr>
          <w:rFonts w:ascii="Times New Roman" w:hAnsi="Times New Roman" w:cs="Times New Roman"/>
          <w:sz w:val="28"/>
          <w:szCs w:val="28"/>
          <w:lang w:val="kk-KZ"/>
        </w:rPr>
        <w:t xml:space="preserve">АӨК дамытуға бағытталған бюджет қаражатын пайдалану тиімділігі аудитінің </w:t>
      </w:r>
      <w:r w:rsidR="00415691">
        <w:rPr>
          <w:rFonts w:ascii="Times New Roman" w:hAnsi="Times New Roman" w:cs="Times New Roman"/>
          <w:sz w:val="28"/>
          <w:szCs w:val="28"/>
          <w:lang w:val="kk-KZ"/>
        </w:rPr>
        <w:t xml:space="preserve">мақсаттарына қарай </w:t>
      </w:r>
      <w:r w:rsidR="00156898" w:rsidRPr="00457CE9">
        <w:rPr>
          <w:rFonts w:ascii="Times New Roman" w:hAnsi="Times New Roman" w:cs="Times New Roman"/>
          <w:sz w:val="28"/>
          <w:szCs w:val="28"/>
          <w:lang w:val="kk-KZ"/>
        </w:rPr>
        <w:t xml:space="preserve">негізгі критерийлері ретінде </w:t>
      </w:r>
      <w:r w:rsidRPr="00457CE9">
        <w:rPr>
          <w:rFonts w:ascii="Times New Roman" w:hAnsi="Times New Roman" w:cs="Times New Roman"/>
          <w:sz w:val="28"/>
          <w:szCs w:val="28"/>
          <w:lang w:val="kk-KZ"/>
        </w:rPr>
        <w:t xml:space="preserve">мемлекеттің азық-түліктік қауіпсіздігі, ауыл шаруашылық өнім экспортын ұлғайту, ауыл шаруашылық өнім импортын төмендету, ауыл тұрғындарының табысын жоғарылату, ауыл шаруашылығы саласының еңбек өнімділігін арттыру, тұрақты жұмыс орындарын көбейту т.с.с. </w:t>
      </w:r>
      <w:r w:rsidR="00156898" w:rsidRPr="00457CE9">
        <w:rPr>
          <w:rFonts w:ascii="Times New Roman" w:hAnsi="Times New Roman" w:cs="Times New Roman"/>
          <w:sz w:val="28"/>
          <w:szCs w:val="28"/>
          <w:lang w:val="kk-KZ"/>
        </w:rPr>
        <w:t>деп белгілеу ұсынылады.</w:t>
      </w:r>
      <w:r w:rsidR="00122B7C" w:rsidRPr="00457CE9">
        <w:rPr>
          <w:rFonts w:ascii="Times New Roman" w:hAnsi="Times New Roman" w:cs="Times New Roman"/>
          <w:sz w:val="28"/>
          <w:szCs w:val="28"/>
          <w:lang w:val="kk-KZ"/>
        </w:rPr>
        <w:t xml:space="preserve"> Сонымен қатар АӨК дамытуға бағытталған бюджет қаражатының тиімділік аудитінің критерийлері ретінде АӨК дамытудың ұлттық жобасының мақсаты, негізгі міндеттері, нәтижелі көрсеткіштері мен іс-шараларын бекіту ұсынылады. </w:t>
      </w:r>
      <w:r w:rsidR="00156898" w:rsidRPr="00457CE9">
        <w:rPr>
          <w:rFonts w:ascii="Times New Roman" w:hAnsi="Times New Roman" w:cs="Times New Roman"/>
          <w:sz w:val="28"/>
          <w:szCs w:val="28"/>
          <w:lang w:val="kk-KZ"/>
        </w:rPr>
        <w:t xml:space="preserve"> </w:t>
      </w:r>
      <w:r w:rsidR="005057A9" w:rsidRPr="00457CE9">
        <w:rPr>
          <w:rFonts w:ascii="Times New Roman" w:hAnsi="Times New Roman" w:cs="Times New Roman"/>
          <w:sz w:val="28"/>
          <w:szCs w:val="28"/>
          <w:lang w:val="kk-KZ"/>
        </w:rPr>
        <w:t xml:space="preserve"> </w:t>
      </w:r>
    </w:p>
    <w:p w14:paraId="48CAA83F" w14:textId="77777777" w:rsidR="00240810" w:rsidRPr="00457CE9" w:rsidRDefault="00240810" w:rsidP="00782F91">
      <w:pPr>
        <w:widowControl w:val="0"/>
        <w:spacing w:after="0" w:line="240" w:lineRule="auto"/>
        <w:ind w:firstLine="709"/>
        <w:jc w:val="both"/>
        <w:rPr>
          <w:rFonts w:ascii="Times New Roman" w:hAnsi="Times New Roman"/>
          <w:sz w:val="28"/>
          <w:szCs w:val="28"/>
          <w:lang w:val="kk-KZ"/>
        </w:rPr>
      </w:pPr>
    </w:p>
    <w:p w14:paraId="76AE9355" w14:textId="35075603" w:rsidR="00E7146F" w:rsidRPr="00782F91" w:rsidRDefault="00203EA6" w:rsidP="00782F91">
      <w:pPr>
        <w:widowControl w:val="0"/>
        <w:spacing w:after="0" w:line="240" w:lineRule="auto"/>
        <w:ind w:firstLine="709"/>
        <w:jc w:val="both"/>
        <w:rPr>
          <w:rFonts w:ascii="Times New Roman" w:hAnsi="Times New Roman" w:cs="Times New Roman"/>
          <w:b/>
          <w:sz w:val="28"/>
          <w:szCs w:val="28"/>
          <w:lang w:val="kk-KZ"/>
        </w:rPr>
      </w:pPr>
      <w:r w:rsidRPr="00782F91">
        <w:rPr>
          <w:rFonts w:ascii="Times New Roman" w:hAnsi="Times New Roman"/>
          <w:b/>
          <w:sz w:val="28"/>
          <w:szCs w:val="28"/>
          <w:lang w:val="kk-KZ"/>
        </w:rPr>
        <w:t>1.3 АӨК дамытуға бағытталған бюджет қаражаттарын пайдаланудың тиімділі</w:t>
      </w:r>
      <w:r w:rsidR="00E017EF" w:rsidRPr="00782F91">
        <w:rPr>
          <w:rFonts w:ascii="Times New Roman" w:hAnsi="Times New Roman"/>
          <w:b/>
          <w:sz w:val="28"/>
          <w:szCs w:val="28"/>
          <w:lang w:val="kk-KZ"/>
        </w:rPr>
        <w:t>гі</w:t>
      </w:r>
      <w:r w:rsidRPr="00782F91">
        <w:rPr>
          <w:rFonts w:ascii="Times New Roman" w:hAnsi="Times New Roman"/>
          <w:b/>
          <w:sz w:val="28"/>
          <w:szCs w:val="28"/>
          <w:lang w:val="kk-KZ"/>
        </w:rPr>
        <w:t xml:space="preserve"> аудитін ұйымдастырудың шетелдік тәжірибесі</w:t>
      </w:r>
    </w:p>
    <w:p w14:paraId="06C14B9A" w14:textId="6348F44D" w:rsidR="00562092" w:rsidRPr="00457CE9" w:rsidRDefault="00562092" w:rsidP="00782F91">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Ауыл шаруашылығы – әлемдік экономиканың маңызды саласы. Оның негізгі мақсаты – халықты азық-түлікпен, ал жеңіл және тамақ өнеркәсібін шикізатпен қамтамасыз ету. Бұл табиғи жағдайларға байланысты материалдық өндірістің жалғыз саласы. Алайда, бұл саланың әр түрлі елдер мен аудандардың экономикасындағы рөлі әр түрлі. Ауыл шаруашылығы географиясы өндіріс пен аграрлық қатынастардың ерекше әртүрлілігімен ерекшеленеді. Алайда дамыған мемлекеттерде ауыл шаруашылығын дамыту мемлекеттік </w:t>
      </w:r>
      <w:r w:rsidR="00AE72FA" w:rsidRPr="00457CE9">
        <w:rPr>
          <w:rFonts w:ascii="Times New Roman" w:hAnsi="Times New Roman" w:cs="Times New Roman"/>
          <w:sz w:val="28"/>
          <w:szCs w:val="28"/>
          <w:lang w:val="kk-KZ"/>
        </w:rPr>
        <w:t xml:space="preserve">реттеу (заң актілерін шығару, олардың негізінде тиімді мемлекеттік бағдарламалар қабылдау және т.б.) және оның </w:t>
      </w:r>
      <w:r w:rsidRPr="00457CE9">
        <w:rPr>
          <w:rFonts w:ascii="Times New Roman" w:hAnsi="Times New Roman" w:cs="Times New Roman"/>
          <w:sz w:val="28"/>
          <w:szCs w:val="28"/>
          <w:lang w:val="kk-KZ"/>
        </w:rPr>
        <w:t>тарапынан қолдауынсыз мүмкін емес</w:t>
      </w:r>
      <w:r w:rsidR="00A87263" w:rsidRPr="00457CE9">
        <w:rPr>
          <w:rFonts w:ascii="Times New Roman" w:hAnsi="Times New Roman" w:cs="Times New Roman"/>
          <w:sz w:val="28"/>
          <w:szCs w:val="28"/>
          <w:lang w:val="kk-KZ"/>
        </w:rPr>
        <w:t>, осыған орай мемлекеттік бюджеттен бөлінетін қаражатты мақсатқа сай тиімді жұмсауын анықтау тиімділік аудитінің басты мақсаты болып табылады</w:t>
      </w:r>
      <w:r w:rsidR="00D518DF"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w:t>
      </w:r>
      <w:r w:rsidR="00A87263" w:rsidRPr="00457CE9">
        <w:rPr>
          <w:rFonts w:ascii="Times New Roman" w:hAnsi="Times New Roman" w:cs="Times New Roman"/>
          <w:sz w:val="28"/>
          <w:szCs w:val="28"/>
          <w:lang w:val="kk-KZ"/>
        </w:rPr>
        <w:t xml:space="preserve"> Сондықтан агроөнеркәсіп кешенін дамытуға жұмсалған бюджет қаражатының тиімділік аудитін ұйымдастыруды жетілдіру мақсатында шетелдік тәжірибені зерттеу қажет. </w:t>
      </w:r>
    </w:p>
    <w:p w14:paraId="74E30182" w14:textId="77777777" w:rsidR="00003FA1" w:rsidRPr="00457CE9" w:rsidRDefault="00003FA1" w:rsidP="00782F91">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Сыртқы экономикалық сын-қатерлерді ескере отырып ғаламдық және ұлттық деңгейде АӨК дамытудың негізгі тапсырмаларына келесілер жатады:</w:t>
      </w:r>
    </w:p>
    <w:p w14:paraId="73750642" w14:textId="7D5F0430" w:rsidR="00003FA1" w:rsidRPr="00457CE9" w:rsidRDefault="00003FA1"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тұрғындар басына шаққан өнім өндірісін арттыру;</w:t>
      </w:r>
    </w:p>
    <w:p w14:paraId="3D55132C" w14:textId="735B4C39" w:rsidR="00003FA1" w:rsidRPr="00457CE9" w:rsidRDefault="00003FA1"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азық</w:t>
      </w:r>
      <w:r w:rsidR="00D902FD">
        <w:rPr>
          <w:rFonts w:ascii="Times New Roman" w:hAnsi="Times New Roman"/>
          <w:sz w:val="28"/>
          <w:szCs w:val="28"/>
          <w:lang w:val="kk-KZ"/>
        </w:rPr>
        <w:t>-</w:t>
      </w:r>
      <w:r w:rsidRPr="00457CE9">
        <w:rPr>
          <w:rFonts w:ascii="Times New Roman" w:hAnsi="Times New Roman"/>
          <w:sz w:val="28"/>
          <w:szCs w:val="28"/>
          <w:lang w:val="kk-KZ"/>
        </w:rPr>
        <w:t>түлікті қажетті сапада және ассортиментте физикалық және экономикалық қол жетімділігін қамтамасыз ету;</w:t>
      </w:r>
    </w:p>
    <w:p w14:paraId="32F6E48D" w14:textId="36B879A4" w:rsidR="00003FA1" w:rsidRPr="00457CE9" w:rsidRDefault="00003FA1"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елдің азық</w:t>
      </w:r>
      <w:r w:rsidR="00D902FD">
        <w:rPr>
          <w:rFonts w:ascii="Times New Roman" w:hAnsi="Times New Roman"/>
          <w:sz w:val="28"/>
          <w:szCs w:val="28"/>
          <w:lang w:val="kk-KZ"/>
        </w:rPr>
        <w:t>-</w:t>
      </w:r>
      <w:r w:rsidRPr="00457CE9">
        <w:rPr>
          <w:rFonts w:ascii="Times New Roman" w:hAnsi="Times New Roman"/>
          <w:sz w:val="28"/>
          <w:szCs w:val="28"/>
          <w:lang w:val="kk-KZ"/>
        </w:rPr>
        <w:t>түлік</w:t>
      </w:r>
      <w:r w:rsidR="00D902FD">
        <w:rPr>
          <w:rFonts w:ascii="Times New Roman" w:hAnsi="Times New Roman"/>
          <w:sz w:val="28"/>
          <w:szCs w:val="28"/>
          <w:lang w:val="kk-KZ"/>
        </w:rPr>
        <w:t>тік</w:t>
      </w:r>
      <w:r w:rsidRPr="00457CE9">
        <w:rPr>
          <w:rFonts w:ascii="Times New Roman" w:hAnsi="Times New Roman"/>
          <w:sz w:val="28"/>
          <w:szCs w:val="28"/>
          <w:lang w:val="kk-KZ"/>
        </w:rPr>
        <w:t xml:space="preserve"> қауіпсіздігін қамтамасыз ету критерийлеріне қол жеткізу;</w:t>
      </w:r>
    </w:p>
    <w:p w14:paraId="3410E090" w14:textId="79541E3F" w:rsidR="00003FA1" w:rsidRPr="00457CE9" w:rsidRDefault="005A2760"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өндірістің техникалық-технологиялық жетілдірілуі;</w:t>
      </w:r>
    </w:p>
    <w:p w14:paraId="7AD9A49E" w14:textId="748B3A7D" w:rsidR="005A2760" w:rsidRPr="00457CE9" w:rsidRDefault="005A2760"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азық</w:t>
      </w:r>
      <w:r w:rsidR="00D902FD">
        <w:rPr>
          <w:rFonts w:ascii="Times New Roman" w:hAnsi="Times New Roman"/>
          <w:sz w:val="28"/>
          <w:szCs w:val="28"/>
          <w:lang w:val="kk-KZ"/>
        </w:rPr>
        <w:t>-</w:t>
      </w:r>
      <w:r w:rsidRPr="00457CE9">
        <w:rPr>
          <w:rFonts w:ascii="Times New Roman" w:hAnsi="Times New Roman"/>
          <w:sz w:val="28"/>
          <w:szCs w:val="28"/>
          <w:lang w:val="kk-KZ"/>
        </w:rPr>
        <w:t>түліктің өмірдің максималды ұзақтығын қамтамасыз ететін барлық бекітілген санитарлық және экологиялық нормаларға сәйкес келуін мониторингтеу;</w:t>
      </w:r>
    </w:p>
    <w:p w14:paraId="146D092D" w14:textId="77777777" w:rsidR="00AC532A" w:rsidRPr="00C14AB8" w:rsidRDefault="005A2760"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C14AB8">
        <w:rPr>
          <w:rFonts w:ascii="Times New Roman" w:hAnsi="Times New Roman"/>
          <w:sz w:val="28"/>
          <w:szCs w:val="28"/>
          <w:lang w:val="kk-KZ"/>
        </w:rPr>
        <w:t>АӨК өнімінің бәсеке қаблеттілігін және тұрақты экономикалық өсуін қамтамасыз ететін алғы шарттарын анықтау</w:t>
      </w:r>
      <w:r w:rsidR="00AC532A" w:rsidRPr="00C14AB8">
        <w:rPr>
          <w:rFonts w:ascii="Times New Roman" w:hAnsi="Times New Roman"/>
          <w:sz w:val="28"/>
          <w:szCs w:val="28"/>
          <w:lang w:val="kk-KZ"/>
        </w:rPr>
        <w:t>;</w:t>
      </w:r>
    </w:p>
    <w:p w14:paraId="2B1943AF" w14:textId="079CE2E1" w:rsidR="005A2760" w:rsidRPr="00C14AB8" w:rsidRDefault="00AC532A"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C14AB8">
        <w:rPr>
          <w:rFonts w:ascii="Times New Roman" w:hAnsi="Times New Roman"/>
          <w:sz w:val="28"/>
          <w:szCs w:val="28"/>
          <w:lang w:val="kk-KZ"/>
        </w:rPr>
        <w:t>азық-түліктің импор</w:t>
      </w:r>
      <w:r w:rsidR="00FC61E8" w:rsidRPr="00C14AB8">
        <w:rPr>
          <w:rFonts w:ascii="Times New Roman" w:hAnsi="Times New Roman"/>
          <w:sz w:val="28"/>
          <w:szCs w:val="28"/>
          <w:lang w:val="kk-KZ"/>
        </w:rPr>
        <w:t>т</w:t>
      </w:r>
      <w:r w:rsidRPr="00C14AB8">
        <w:rPr>
          <w:rFonts w:ascii="Times New Roman" w:hAnsi="Times New Roman"/>
          <w:sz w:val="28"/>
          <w:szCs w:val="28"/>
          <w:lang w:val="kk-KZ"/>
        </w:rPr>
        <w:t xml:space="preserve"> тәуелділігін төмендету</w:t>
      </w:r>
      <w:r w:rsidR="00745535" w:rsidRPr="00C14AB8">
        <w:rPr>
          <w:rFonts w:ascii="Times New Roman" w:hAnsi="Times New Roman"/>
          <w:sz w:val="28"/>
          <w:szCs w:val="28"/>
          <w:lang w:val="kk-KZ"/>
        </w:rPr>
        <w:t xml:space="preserve"> [</w:t>
      </w:r>
      <w:r w:rsidR="00F67CC1" w:rsidRPr="00C14AB8">
        <w:rPr>
          <w:rFonts w:ascii="Times New Roman" w:hAnsi="Times New Roman"/>
          <w:sz w:val="28"/>
          <w:szCs w:val="28"/>
          <w:lang w:val="kk-KZ"/>
        </w:rPr>
        <w:t>6</w:t>
      </w:r>
      <w:r w:rsidR="00F95506" w:rsidRPr="00C14AB8">
        <w:rPr>
          <w:rFonts w:ascii="Times New Roman" w:hAnsi="Times New Roman"/>
          <w:sz w:val="28"/>
          <w:szCs w:val="28"/>
          <w:lang w:val="kk-KZ"/>
        </w:rPr>
        <w:t>3</w:t>
      </w:r>
      <w:r w:rsidR="00745535" w:rsidRPr="00C14AB8">
        <w:rPr>
          <w:rFonts w:ascii="Times New Roman" w:hAnsi="Times New Roman"/>
          <w:sz w:val="28"/>
          <w:szCs w:val="28"/>
          <w:lang w:val="kk-KZ"/>
        </w:rPr>
        <w:t>]</w:t>
      </w:r>
      <w:r w:rsidRPr="00C14AB8">
        <w:rPr>
          <w:rFonts w:ascii="Times New Roman" w:hAnsi="Times New Roman"/>
          <w:sz w:val="28"/>
          <w:szCs w:val="28"/>
          <w:lang w:val="kk-KZ"/>
        </w:rPr>
        <w:t>.</w:t>
      </w:r>
      <w:r w:rsidR="005A2760" w:rsidRPr="00C14AB8">
        <w:rPr>
          <w:rFonts w:ascii="Times New Roman" w:hAnsi="Times New Roman"/>
          <w:sz w:val="28"/>
          <w:szCs w:val="28"/>
          <w:lang w:val="kk-KZ"/>
        </w:rPr>
        <w:t xml:space="preserve"> </w:t>
      </w:r>
    </w:p>
    <w:p w14:paraId="407E12DC" w14:textId="257AAFA4" w:rsidR="00E16BF7" w:rsidRPr="00C14AB8" w:rsidRDefault="00E16BF7" w:rsidP="00782F91">
      <w:pPr>
        <w:widowControl w:val="0"/>
        <w:spacing w:after="0" w:line="240" w:lineRule="auto"/>
        <w:ind w:firstLine="709"/>
        <w:jc w:val="both"/>
        <w:rPr>
          <w:rFonts w:ascii="Times New Roman" w:hAnsi="Times New Roman" w:cs="Times New Roman"/>
          <w:sz w:val="28"/>
          <w:szCs w:val="28"/>
          <w:lang w:val="kk-KZ"/>
        </w:rPr>
      </w:pPr>
      <w:r w:rsidRPr="00C14AB8">
        <w:rPr>
          <w:rFonts w:ascii="Times New Roman" w:hAnsi="Times New Roman" w:cs="Times New Roman"/>
          <w:sz w:val="28"/>
          <w:szCs w:val="28"/>
          <w:lang w:val="kk-KZ"/>
        </w:rPr>
        <w:t xml:space="preserve">АҚШ ауыл шаруашылығының дамуы көптеген кезеңдерден өткені белгілі. Американдық фермерлер XXI ғасырға ішінара ХХ ғасырда тап болған проблемалармен келді. Ең өзектісі артық өндіру болып қалуда. </w:t>
      </w:r>
      <w:r w:rsidR="00D902FD">
        <w:rPr>
          <w:rFonts w:ascii="Times New Roman" w:hAnsi="Times New Roman" w:cs="Times New Roman"/>
          <w:sz w:val="28"/>
          <w:szCs w:val="28"/>
          <w:lang w:val="kk-KZ"/>
        </w:rPr>
        <w:t>Қоғам</w:t>
      </w:r>
      <w:r w:rsidRPr="00C14AB8">
        <w:rPr>
          <w:rFonts w:ascii="Times New Roman" w:hAnsi="Times New Roman" w:cs="Times New Roman"/>
          <w:sz w:val="28"/>
          <w:szCs w:val="28"/>
          <w:lang w:val="kk-KZ"/>
        </w:rPr>
        <w:t xml:space="preserve"> пайда болғаннан ауылшаруашылық техникаларын, тұқымдарды, тыңайтқыштарды, суаруды және зиянкестермен күресу құралдарын үнемі жақсарту фермерлердің тиімділігін арттырды (бірақ олардың табыстары емес). Егер фермерлер бағаны ұстап тұру үшін өндірілетін ауылшаруашылық өнімдерінің жалпы санын азайту идеясын мақұлдаса, онда олар өз өндірісін қысқартудан бас тартты</w:t>
      </w:r>
      <w:r w:rsidR="00745535" w:rsidRPr="00C14AB8">
        <w:rPr>
          <w:rFonts w:ascii="Times New Roman" w:hAnsi="Times New Roman" w:cs="Times New Roman"/>
          <w:sz w:val="28"/>
          <w:szCs w:val="28"/>
          <w:lang w:val="kk-KZ"/>
        </w:rPr>
        <w:t xml:space="preserve"> [</w:t>
      </w:r>
      <w:r w:rsidR="00F67CC1" w:rsidRPr="00C14AB8">
        <w:rPr>
          <w:rFonts w:ascii="Times New Roman" w:hAnsi="Times New Roman" w:cs="Times New Roman"/>
          <w:sz w:val="28"/>
          <w:szCs w:val="28"/>
          <w:lang w:val="kk-KZ"/>
        </w:rPr>
        <w:t>6</w:t>
      </w:r>
      <w:r w:rsidR="00F95506" w:rsidRPr="00C14AB8">
        <w:rPr>
          <w:rFonts w:ascii="Times New Roman" w:hAnsi="Times New Roman" w:cs="Times New Roman"/>
          <w:sz w:val="28"/>
          <w:szCs w:val="28"/>
          <w:lang w:val="kk-KZ"/>
        </w:rPr>
        <w:t>3</w:t>
      </w:r>
      <w:r w:rsidR="00745535" w:rsidRPr="00C14AB8">
        <w:rPr>
          <w:rFonts w:ascii="Times New Roman" w:hAnsi="Times New Roman" w:cs="Times New Roman"/>
          <w:sz w:val="28"/>
          <w:szCs w:val="28"/>
          <w:lang w:val="kk-KZ"/>
        </w:rPr>
        <w:t>]</w:t>
      </w:r>
      <w:r w:rsidRPr="00C14AB8">
        <w:rPr>
          <w:rFonts w:ascii="Times New Roman" w:hAnsi="Times New Roman" w:cs="Times New Roman"/>
          <w:sz w:val="28"/>
          <w:szCs w:val="28"/>
          <w:lang w:val="kk-KZ"/>
        </w:rPr>
        <w:t xml:space="preserve">.  </w:t>
      </w:r>
    </w:p>
    <w:p w14:paraId="4F9ACC8A" w14:textId="4C85AD06" w:rsidR="00BD3327" w:rsidRDefault="00EE2B3A" w:rsidP="00782F91">
      <w:pPr>
        <w:widowControl w:val="0"/>
        <w:spacing w:after="0" w:line="240" w:lineRule="auto"/>
        <w:ind w:firstLine="709"/>
        <w:jc w:val="both"/>
        <w:rPr>
          <w:rFonts w:ascii="Times New Roman" w:hAnsi="Times New Roman" w:cs="Times New Roman"/>
          <w:color w:val="000000"/>
          <w:sz w:val="28"/>
          <w:szCs w:val="28"/>
          <w:lang w:val="kk-KZ"/>
        </w:rPr>
      </w:pPr>
      <w:r w:rsidRPr="00C14AB8">
        <w:rPr>
          <w:rFonts w:ascii="Times New Roman" w:hAnsi="Times New Roman" w:cs="Times New Roman"/>
          <w:sz w:val="28"/>
          <w:szCs w:val="28"/>
          <w:lang w:val="kk-KZ"/>
        </w:rPr>
        <w:t xml:space="preserve">Америка Құрама Штаттарының Конгресі федералды бағдарламалардың тиімділігін тексеру және олардың операцияларын қаржылық басқару үшін өзінің тергеу бөліміне, АҚШ-тың Бас бухгалтерлік кеңсесіне (GAO) сүйенеді. Басқа мәселелермен қатар, GAO ауылшаруашылық </w:t>
      </w:r>
      <w:r w:rsidRPr="00EE2B3A">
        <w:rPr>
          <w:rFonts w:ascii="Times New Roman" w:hAnsi="Times New Roman" w:cs="Times New Roman"/>
          <w:color w:val="000000"/>
          <w:sz w:val="28"/>
          <w:szCs w:val="28"/>
          <w:lang w:val="kk-KZ"/>
        </w:rPr>
        <w:t>және азық-түлік қауіпсіздігі бағдарламаларына аудит жүргізеді, тексерілетін Агенттік пен Конгреске осы бағдарламалардың тиімді жұмыс істеуі және/немесе қаржылық үнемдеуге қол жеткізу үшін қалай жетілдірілуі мүмкін екендігі туралы ұсыныстар береді. GAO ауыл шаруашылығы және азық-түлік қауіпсіздігі саласындағы жұмысын жалпы талқылау мен шолудан бастап, бұл құжат аудиттің екі түрін сипаттайды: ұсыныстары бар бағдарламаны бағалау есебі және ақпараттық аудит. Мазмұндағы айырмашылықтарға қарамастан, бұл екі аудит GAO жұмысының конгреске федералды ауылшаруашылық және азық-түлік қауіпсіздігі бағдарламаларын бақылауға және жақсартуға қалай көмектесетінін көрсетеді.</w:t>
      </w:r>
      <w:r w:rsidR="004E7554" w:rsidRPr="00EE2B3A">
        <w:rPr>
          <w:rFonts w:ascii="Times New Roman" w:hAnsi="Times New Roman" w:cs="Times New Roman"/>
          <w:sz w:val="28"/>
          <w:szCs w:val="28"/>
          <w:lang w:val="kk-KZ"/>
        </w:rPr>
        <w:t xml:space="preserve"> </w:t>
      </w:r>
      <w:r w:rsidRPr="00EE2B3A">
        <w:rPr>
          <w:rFonts w:ascii="Times New Roman" w:hAnsi="Times New Roman" w:cs="Times New Roman"/>
          <w:color w:val="000000"/>
          <w:sz w:val="28"/>
          <w:szCs w:val="28"/>
          <w:lang w:val="kk-KZ"/>
        </w:rPr>
        <w:t>GAO АҚШ Конгресіне ақпараттандырылған және білімді американдық жұртшылықты ілгерілету мақсатында мемлекеттік бағдарламалардың әл-ауқаты туралы уақтылы, партиялық емес және нақты есептер береді. Үш негізгі құндылық GAO-да орындалатын барлық жұмыстардың негізінде жатыр: үнемділікті</w:t>
      </w:r>
      <w:r>
        <w:rPr>
          <w:rFonts w:ascii="Times New Roman" w:hAnsi="Times New Roman" w:cs="Times New Roman"/>
          <w:color w:val="000000"/>
          <w:sz w:val="28"/>
          <w:szCs w:val="28"/>
          <w:lang w:val="kk-KZ"/>
        </w:rPr>
        <w:t>, әрекетт</w:t>
      </w:r>
      <w:r w:rsidRPr="00EE2B3A">
        <w:rPr>
          <w:rFonts w:ascii="Times New Roman" w:hAnsi="Times New Roman" w:cs="Times New Roman"/>
          <w:color w:val="000000"/>
          <w:sz w:val="28"/>
          <w:szCs w:val="28"/>
          <w:lang w:val="kk-KZ"/>
        </w:rPr>
        <w:t xml:space="preserve">ікті, </w:t>
      </w:r>
      <w:r>
        <w:rPr>
          <w:rFonts w:ascii="Times New Roman" w:hAnsi="Times New Roman" w:cs="Times New Roman"/>
          <w:color w:val="000000"/>
          <w:sz w:val="28"/>
          <w:szCs w:val="28"/>
          <w:lang w:val="kk-KZ"/>
        </w:rPr>
        <w:t>нәтижелі</w:t>
      </w:r>
      <w:r w:rsidRPr="00EE2B3A">
        <w:rPr>
          <w:rFonts w:ascii="Times New Roman" w:hAnsi="Times New Roman" w:cs="Times New Roman"/>
          <w:color w:val="000000"/>
          <w:sz w:val="28"/>
          <w:szCs w:val="28"/>
          <w:lang w:val="kk-KZ"/>
        </w:rPr>
        <w:t xml:space="preserve">лікті және федералды үкіметке деген сенімділікті арттыруға бағытталған есеп беру; кәсіби, объективті, фактілерге негізделген, партиялық емес, идеологиялық емес, әділ және теңдестірілген жұмыстарды </w:t>
      </w:r>
      <w:r w:rsidRPr="00AD118D">
        <w:rPr>
          <w:rFonts w:ascii="Times New Roman" w:hAnsi="Times New Roman" w:cs="Times New Roman"/>
          <w:color w:val="000000"/>
          <w:sz w:val="28"/>
          <w:szCs w:val="28"/>
          <w:lang w:val="kk-KZ"/>
        </w:rPr>
        <w:t>орындауға мүмкіндік беретін адалдық; және есептер мен басқа құжаттарды жасауға мүмкіндік беретін сенімділік</w:t>
      </w:r>
      <w:r w:rsidR="00AD118D" w:rsidRPr="00AD118D">
        <w:rPr>
          <w:rFonts w:ascii="Times New Roman" w:hAnsi="Times New Roman" w:cs="Times New Roman"/>
          <w:color w:val="000000"/>
          <w:sz w:val="28"/>
          <w:szCs w:val="28"/>
          <w:lang w:val="kk-KZ"/>
        </w:rPr>
        <w:t>,</w:t>
      </w:r>
      <w:r w:rsidRPr="00AD118D">
        <w:rPr>
          <w:rFonts w:ascii="Times New Roman" w:hAnsi="Times New Roman" w:cs="Times New Roman"/>
          <w:color w:val="000000"/>
          <w:sz w:val="28"/>
          <w:szCs w:val="28"/>
          <w:lang w:val="kk-KZ"/>
        </w:rPr>
        <w:t xml:space="preserve"> уақтылы, дәл, пайдалы, түсінікті және ашық өнімдер</w:t>
      </w:r>
      <w:r w:rsidR="00F95506" w:rsidRPr="00F95506">
        <w:rPr>
          <w:rFonts w:ascii="Times New Roman" w:hAnsi="Times New Roman" w:cs="Times New Roman"/>
          <w:color w:val="000000"/>
          <w:sz w:val="28"/>
          <w:szCs w:val="28"/>
          <w:lang w:val="kk-KZ"/>
        </w:rPr>
        <w:t xml:space="preserve"> [64]</w:t>
      </w:r>
      <w:r w:rsidRPr="00AD118D">
        <w:rPr>
          <w:rFonts w:ascii="Times New Roman" w:hAnsi="Times New Roman" w:cs="Times New Roman"/>
          <w:color w:val="000000"/>
          <w:sz w:val="28"/>
          <w:szCs w:val="28"/>
          <w:lang w:val="kk-KZ"/>
        </w:rPr>
        <w:t xml:space="preserve">. </w:t>
      </w:r>
    </w:p>
    <w:p w14:paraId="7648B898" w14:textId="32A248C8" w:rsidR="008163F3" w:rsidRPr="00457CE9" w:rsidRDefault="008163F3" w:rsidP="00782F91">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Шетелдерде АӨК дамытуға бағытталған бюджет қаражатының тиімділік аудитін жүргізетін жауапты мемлекеттік органдар </w:t>
      </w:r>
      <w:r w:rsidR="002A40EA">
        <w:rPr>
          <w:rFonts w:ascii="Times New Roman" w:hAnsi="Times New Roman" w:cs="Times New Roman"/>
          <w:sz w:val="28"/>
          <w:szCs w:val="28"/>
          <w:lang w:val="kk-KZ"/>
        </w:rPr>
        <w:t>және оның мақсаттары</w:t>
      </w:r>
      <w:r w:rsidRPr="00457CE9">
        <w:rPr>
          <w:rFonts w:ascii="Times New Roman" w:hAnsi="Times New Roman" w:cs="Times New Roman"/>
          <w:sz w:val="28"/>
          <w:szCs w:val="28"/>
          <w:lang w:val="kk-KZ"/>
        </w:rPr>
        <w:t xml:space="preserve"> </w:t>
      </w:r>
      <w:r w:rsidR="00023296">
        <w:rPr>
          <w:rFonts w:ascii="Times New Roman" w:hAnsi="Times New Roman" w:cs="Times New Roman"/>
          <w:sz w:val="28"/>
          <w:szCs w:val="28"/>
          <w:lang w:val="kk-KZ"/>
        </w:rPr>
        <w:t>5</w:t>
      </w:r>
      <w:r w:rsidRPr="00457CE9">
        <w:rPr>
          <w:rFonts w:ascii="Times New Roman" w:hAnsi="Times New Roman" w:cs="Times New Roman"/>
          <w:sz w:val="28"/>
          <w:szCs w:val="28"/>
          <w:lang w:val="kk-KZ"/>
        </w:rPr>
        <w:t>-кестеде келтірілген.</w:t>
      </w:r>
    </w:p>
    <w:p w14:paraId="44D50C3A" w14:textId="77777777" w:rsidR="00023296" w:rsidRDefault="00023296" w:rsidP="00457CE9">
      <w:pPr>
        <w:widowControl w:val="0"/>
        <w:spacing w:after="0" w:line="240" w:lineRule="auto"/>
        <w:ind w:firstLine="709"/>
        <w:jc w:val="both"/>
        <w:rPr>
          <w:rFonts w:ascii="Times New Roman" w:hAnsi="Times New Roman" w:cs="Times New Roman"/>
          <w:sz w:val="28"/>
          <w:szCs w:val="28"/>
          <w:lang w:val="kk-KZ"/>
        </w:rPr>
      </w:pPr>
    </w:p>
    <w:p w14:paraId="7FA4213F" w14:textId="1463C524" w:rsidR="008163F3" w:rsidRDefault="008163F3" w:rsidP="00457CE9">
      <w:pPr>
        <w:widowControl w:val="0"/>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023296">
        <w:rPr>
          <w:rFonts w:ascii="Times New Roman" w:hAnsi="Times New Roman" w:cs="Times New Roman"/>
          <w:sz w:val="28"/>
          <w:szCs w:val="28"/>
          <w:lang w:val="kk-KZ"/>
        </w:rPr>
        <w:t>5</w:t>
      </w:r>
      <w:r w:rsidRPr="00457CE9">
        <w:rPr>
          <w:rFonts w:ascii="Times New Roman" w:hAnsi="Times New Roman" w:cs="Times New Roman"/>
          <w:sz w:val="28"/>
          <w:szCs w:val="28"/>
          <w:lang w:val="kk-KZ"/>
        </w:rPr>
        <w:t xml:space="preserve"> – Шетелдерде АӨК дамытуға бағытталған бюджет қаражатының тиімділік аудитін жүргізетін жауапты мемлекеттік органдар тізімі</w:t>
      </w:r>
    </w:p>
    <w:p w14:paraId="5E33558C" w14:textId="77777777" w:rsidR="00782F91" w:rsidRPr="00782F91" w:rsidRDefault="00782F91" w:rsidP="00782F91">
      <w:pPr>
        <w:widowControl w:val="0"/>
        <w:spacing w:after="0" w:line="240" w:lineRule="auto"/>
        <w:jc w:val="right"/>
        <w:rPr>
          <w:rFonts w:ascii="Times New Roman" w:hAnsi="Times New Roman" w:cs="Times New Roman"/>
          <w:sz w:val="16"/>
          <w:szCs w:val="16"/>
          <w:lang w:val="kk-KZ"/>
        </w:rPr>
      </w:pPr>
    </w:p>
    <w:tbl>
      <w:tblPr>
        <w:tblStyle w:val="a3"/>
        <w:tblW w:w="9639" w:type="dxa"/>
        <w:tblInd w:w="-5" w:type="dxa"/>
        <w:tblLook w:val="04A0" w:firstRow="1" w:lastRow="0" w:firstColumn="1" w:lastColumn="0" w:noHBand="0" w:noVBand="1"/>
      </w:tblPr>
      <w:tblGrid>
        <w:gridCol w:w="1429"/>
        <w:gridCol w:w="2399"/>
        <w:gridCol w:w="5811"/>
      </w:tblGrid>
      <w:tr w:rsidR="00782F91" w:rsidRPr="00457CE9" w14:paraId="2AE6F5F0" w14:textId="77777777" w:rsidTr="00AE4375">
        <w:tc>
          <w:tcPr>
            <w:tcW w:w="1429" w:type="dxa"/>
            <w:vAlign w:val="center"/>
          </w:tcPr>
          <w:p w14:paraId="2BD292E3" w14:textId="208EACD0" w:rsidR="00782F91" w:rsidRPr="00457CE9" w:rsidRDefault="00782F91" w:rsidP="00782F91">
            <w:pPr>
              <w:widowControl w:val="0"/>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Ел атауы</w:t>
            </w:r>
          </w:p>
        </w:tc>
        <w:tc>
          <w:tcPr>
            <w:tcW w:w="2399" w:type="dxa"/>
            <w:vAlign w:val="center"/>
          </w:tcPr>
          <w:p w14:paraId="4859E89A" w14:textId="33BB7285" w:rsidR="00782F91" w:rsidRPr="00457CE9" w:rsidRDefault="00782F91" w:rsidP="00782F91">
            <w:pPr>
              <w:widowControl w:val="0"/>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Тиімділік аудитін жүргізетін орган</w:t>
            </w:r>
          </w:p>
        </w:tc>
        <w:tc>
          <w:tcPr>
            <w:tcW w:w="5811" w:type="dxa"/>
            <w:vAlign w:val="center"/>
          </w:tcPr>
          <w:p w14:paraId="3C3D497E" w14:textId="5375141C" w:rsidR="00782F91" w:rsidRPr="00457CE9" w:rsidRDefault="00782F91" w:rsidP="00782F91">
            <w:pPr>
              <w:widowControl w:val="0"/>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Тиімділік аудитінің мақсаты</w:t>
            </w:r>
          </w:p>
        </w:tc>
      </w:tr>
      <w:tr w:rsidR="00782F91" w:rsidRPr="00B108D0" w14:paraId="0DD4E513" w14:textId="77777777" w:rsidTr="00AE4375">
        <w:tc>
          <w:tcPr>
            <w:tcW w:w="1429" w:type="dxa"/>
          </w:tcPr>
          <w:p w14:paraId="33CE58D8" w14:textId="42F16699"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Австралия </w:t>
            </w:r>
          </w:p>
        </w:tc>
        <w:tc>
          <w:tcPr>
            <w:tcW w:w="2399" w:type="dxa"/>
          </w:tcPr>
          <w:p w14:paraId="0E3318A2" w14:textId="5C2D1953"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Австралияның Ұлттық аудит басқармасы</w:t>
            </w:r>
          </w:p>
        </w:tc>
        <w:tc>
          <w:tcPr>
            <w:tcW w:w="5811" w:type="dxa"/>
          </w:tcPr>
          <w:p w14:paraId="5944C13D" w14:textId="1B86F87D"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Бағдарлама аясында субсидиялауды және салықтық жеңілдіктерді пайдалану тиімділігінің деңгейін тексеру</w:t>
            </w:r>
          </w:p>
        </w:tc>
      </w:tr>
      <w:tr w:rsidR="00782F91" w:rsidRPr="00B108D0" w14:paraId="24206D19" w14:textId="77777777" w:rsidTr="00AE4375">
        <w:tc>
          <w:tcPr>
            <w:tcW w:w="1429" w:type="dxa"/>
          </w:tcPr>
          <w:p w14:paraId="20B11BB5" w14:textId="1DBB2E1D"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Әзірбайжан </w:t>
            </w:r>
          </w:p>
        </w:tc>
        <w:tc>
          <w:tcPr>
            <w:tcW w:w="2399" w:type="dxa"/>
          </w:tcPr>
          <w:p w14:paraId="4580BF27" w14:textId="230332EC"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Әзірбайжанның Есеп палатасы</w:t>
            </w:r>
          </w:p>
        </w:tc>
        <w:tc>
          <w:tcPr>
            <w:tcW w:w="5811" w:type="dxa"/>
          </w:tcPr>
          <w:p w14:paraId="7732112F" w14:textId="17A0B9EF"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«Ауыл шаруашылығының бәсеке қаблеттілігін жо</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ғарылату» жобасында қойылған мақсаттарға қол жет</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кізу деңгейін бағалау бойынша тиімділік аудитін жүргізу</w:t>
            </w:r>
          </w:p>
        </w:tc>
      </w:tr>
      <w:tr w:rsidR="00782F91" w:rsidRPr="00B108D0" w14:paraId="5288A326" w14:textId="77777777" w:rsidTr="00AE4375">
        <w:tc>
          <w:tcPr>
            <w:tcW w:w="1429" w:type="dxa"/>
          </w:tcPr>
          <w:p w14:paraId="0426C568" w14:textId="4E741AD5"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Бразилия</w:t>
            </w:r>
          </w:p>
        </w:tc>
        <w:tc>
          <w:tcPr>
            <w:tcW w:w="2399" w:type="dxa"/>
          </w:tcPr>
          <w:p w14:paraId="5E6FDBD4" w14:textId="3850366B" w:rsidR="00782F91" w:rsidRPr="00457CE9" w:rsidRDefault="00782F91" w:rsidP="00457CE9">
            <w:pPr>
              <w:widowControl w:val="0"/>
              <w:rPr>
                <w:rFonts w:ascii="Times New Roman" w:hAnsi="Times New Roman" w:cs="Times New Roman"/>
                <w:sz w:val="24"/>
                <w:szCs w:val="24"/>
                <w:lang w:val="en-US"/>
              </w:rPr>
            </w:pPr>
            <w:r w:rsidRPr="00457CE9">
              <w:rPr>
                <w:rFonts w:ascii="Times New Roman" w:hAnsi="Times New Roman" w:cs="Times New Roman"/>
                <w:sz w:val="24"/>
                <w:szCs w:val="24"/>
                <w:lang w:val="kk-KZ"/>
              </w:rPr>
              <w:t>Бразилияның Есеп соты</w:t>
            </w:r>
          </w:p>
        </w:tc>
        <w:tc>
          <w:tcPr>
            <w:tcW w:w="5811" w:type="dxa"/>
          </w:tcPr>
          <w:p w14:paraId="045144F0" w14:textId="65303A83" w:rsidR="00782F91" w:rsidRPr="00457CE9" w:rsidRDefault="00782F91" w:rsidP="00457CE9">
            <w:pPr>
              <w:widowControl w:val="0"/>
              <w:rPr>
                <w:rFonts w:ascii="Times New Roman" w:hAnsi="Times New Roman" w:cs="Times New Roman"/>
                <w:sz w:val="24"/>
                <w:szCs w:val="24"/>
                <w:lang w:val="en-US"/>
              </w:rPr>
            </w:pPr>
            <w:r w:rsidRPr="00457CE9">
              <w:rPr>
                <w:rFonts w:ascii="Times New Roman" w:hAnsi="Times New Roman" w:cs="Times New Roman"/>
                <w:sz w:val="24"/>
                <w:szCs w:val="24"/>
                <w:lang w:val="kk-KZ"/>
              </w:rPr>
              <w:t>Шағын (отбасылық) фермерлік шаруашылықтарды мемлекеттік қолдаудың тиімділігін тексеру</w:t>
            </w:r>
          </w:p>
        </w:tc>
      </w:tr>
      <w:tr w:rsidR="00782F91" w:rsidRPr="00B108D0" w14:paraId="463DB0D1" w14:textId="77777777" w:rsidTr="00AE4375">
        <w:tc>
          <w:tcPr>
            <w:tcW w:w="1429" w:type="dxa"/>
          </w:tcPr>
          <w:p w14:paraId="7A70F923" w14:textId="7606AE41"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Дания </w:t>
            </w:r>
          </w:p>
        </w:tc>
        <w:tc>
          <w:tcPr>
            <w:tcW w:w="2399" w:type="dxa"/>
          </w:tcPr>
          <w:p w14:paraId="5B12BBEF" w14:textId="627DD210"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Данияның Бас аудиторлық басқармасы</w:t>
            </w:r>
          </w:p>
        </w:tc>
        <w:tc>
          <w:tcPr>
            <w:tcW w:w="5811" w:type="dxa"/>
          </w:tcPr>
          <w:p w14:paraId="78C0A25A" w14:textId="5960902E"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Ұлттық фермерлерге Еуроодақпен «Ауыл аймақтарын дамыту бағдарламасын» іске асыруға берілетін қаржылық қолдаудың аудитін өткізу</w:t>
            </w:r>
          </w:p>
        </w:tc>
      </w:tr>
      <w:tr w:rsidR="00782F91" w:rsidRPr="00B108D0" w14:paraId="632E7932" w14:textId="77777777" w:rsidTr="00AE4375">
        <w:tc>
          <w:tcPr>
            <w:tcW w:w="1429" w:type="dxa"/>
          </w:tcPr>
          <w:p w14:paraId="0B139313" w14:textId="7213D647"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Молдова </w:t>
            </w:r>
          </w:p>
        </w:tc>
        <w:tc>
          <w:tcPr>
            <w:tcW w:w="2399" w:type="dxa"/>
          </w:tcPr>
          <w:p w14:paraId="08FE00F2" w14:textId="2160F628"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Молдованың Есеп палатасы</w:t>
            </w:r>
          </w:p>
        </w:tc>
        <w:tc>
          <w:tcPr>
            <w:tcW w:w="5811" w:type="dxa"/>
          </w:tcPr>
          <w:p w14:paraId="1376EA81" w14:textId="16CEF6FA"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«2017-2020 жж. арналған топырақ құнарлығын сақтау және арттыру бағдарламасы» аясында топырақ ресурстарын қорғау, жақсарту және топырақты пайда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лану антропогендік қысымды күшейту жағдайында мемлекеттің негізгі стратегиялық мақсаттарына айналғанын анықтау</w:t>
            </w:r>
          </w:p>
        </w:tc>
      </w:tr>
      <w:tr w:rsidR="00782F91" w:rsidRPr="00B108D0" w14:paraId="287F28DF" w14:textId="77777777" w:rsidTr="00AE4375">
        <w:tc>
          <w:tcPr>
            <w:tcW w:w="1429" w:type="dxa"/>
          </w:tcPr>
          <w:p w14:paraId="6C6CCFDE" w14:textId="2E50CAC3"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АҚШ</w:t>
            </w:r>
          </w:p>
        </w:tc>
        <w:tc>
          <w:tcPr>
            <w:tcW w:w="2399" w:type="dxa"/>
          </w:tcPr>
          <w:p w14:paraId="256F78AD" w14:textId="56D76185"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АҚШ мемлекеттік бақылау басқармасы, АҚШ Ауыл шаруа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шылығы министрлі</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гінің Агенттігі</w:t>
            </w:r>
          </w:p>
        </w:tc>
        <w:tc>
          <w:tcPr>
            <w:tcW w:w="5811" w:type="dxa"/>
          </w:tcPr>
          <w:p w14:paraId="40755698" w14:textId="43908A21" w:rsidR="00782F91" w:rsidRPr="00457CE9" w:rsidRDefault="00782F91"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«АҚШ ауыл шаруашылығы департаментінің ауыл шаруашылығы нарығын дамыту бағдарламасы: тиімдірек бақылау мүмкіндіктері бар фермерлерге болашақ қосымша қаржылық төлемдерге қатысты»</w:t>
            </w:r>
          </w:p>
        </w:tc>
      </w:tr>
      <w:tr w:rsidR="00F25CCE" w:rsidRPr="00457CE9" w14:paraId="2D6C6879" w14:textId="77777777" w:rsidTr="00AE4375">
        <w:tc>
          <w:tcPr>
            <w:tcW w:w="9639" w:type="dxa"/>
            <w:gridSpan w:val="3"/>
          </w:tcPr>
          <w:p w14:paraId="5A4139EB" w14:textId="49B4D79F" w:rsidR="00F25CCE" w:rsidRPr="00F95506" w:rsidRDefault="00F25CCE" w:rsidP="00457CE9">
            <w:pPr>
              <w:widowControl w:val="0"/>
              <w:ind w:firstLine="601"/>
              <w:rPr>
                <w:rFonts w:ascii="Times New Roman" w:hAnsi="Times New Roman" w:cs="Times New Roman"/>
                <w:sz w:val="24"/>
                <w:szCs w:val="24"/>
                <w:lang w:val="en-US"/>
              </w:rPr>
            </w:pPr>
            <w:r w:rsidRPr="00457CE9">
              <w:rPr>
                <w:rFonts w:ascii="Times New Roman" w:hAnsi="Times New Roman" w:cs="Times New Roman"/>
                <w:sz w:val="24"/>
                <w:szCs w:val="24"/>
                <w:lang w:val="kk-KZ"/>
              </w:rPr>
              <w:t xml:space="preserve">Ескерту – </w:t>
            </w:r>
            <w:r w:rsidR="00782F91" w:rsidRPr="00457CE9">
              <w:rPr>
                <w:rFonts w:ascii="Times New Roman" w:hAnsi="Times New Roman" w:cs="Times New Roman"/>
                <w:sz w:val="24"/>
                <w:szCs w:val="24"/>
                <w:lang w:val="kk-KZ"/>
              </w:rPr>
              <w:t xml:space="preserve">Автормен </w:t>
            </w:r>
            <w:r w:rsidRPr="00457CE9">
              <w:rPr>
                <w:rFonts w:ascii="Times New Roman" w:hAnsi="Times New Roman" w:cs="Times New Roman"/>
                <w:sz w:val="24"/>
                <w:szCs w:val="24"/>
                <w:lang w:val="kk-KZ"/>
              </w:rPr>
              <w:t>құрастырылған</w:t>
            </w:r>
            <w:r w:rsidR="00F95506">
              <w:rPr>
                <w:rFonts w:ascii="Times New Roman" w:hAnsi="Times New Roman" w:cs="Times New Roman"/>
                <w:sz w:val="24"/>
                <w:szCs w:val="24"/>
                <w:lang w:val="en-US"/>
              </w:rPr>
              <w:t xml:space="preserve"> [63-66]</w:t>
            </w:r>
          </w:p>
        </w:tc>
      </w:tr>
    </w:tbl>
    <w:p w14:paraId="1FC50AC7" w14:textId="77777777" w:rsidR="00782F91" w:rsidRDefault="00782F91" w:rsidP="00457CE9">
      <w:pPr>
        <w:widowControl w:val="0"/>
        <w:spacing w:after="0" w:line="240" w:lineRule="auto"/>
        <w:ind w:firstLine="709"/>
        <w:jc w:val="both"/>
        <w:rPr>
          <w:rFonts w:ascii="Times New Roman" w:hAnsi="Times New Roman" w:cs="Times New Roman"/>
          <w:sz w:val="28"/>
          <w:szCs w:val="28"/>
          <w:lang w:val="kk-KZ"/>
        </w:rPr>
      </w:pPr>
    </w:p>
    <w:p w14:paraId="7E38272E" w14:textId="77777777" w:rsidR="00580C40" w:rsidRDefault="00580C40" w:rsidP="00580C40">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GAO АҚШ Конгресіне уақтылы және сапалы қызмет көрсететін төрт стратегиялық мақсатты қолдайтын командаларға ұйымдастырылған. Бірінші мақсат – американдықтардың әл-ауқаты мен қаржылық қауіпсіздігінің қазіргі және туындайтын мәселелерін шешу. Екінші мақсат – өзгеріп отыратын қауіпсіздік қатерлеріне және жаһандық өзара тәуелділік сын-қатерлеріне жауап беру. Үшінші мақсат – нәтижеге бағытталған және есеп беретін федералды үкіметке көшуді қолдау, ал түпкі мақсат - GAO-ның федералды үкімет үшін үлгілі ұйым ретіндегі құнын арттыру. Ауыл шаруашылығы және азық-түлік қауіпсіздігі аудиті бойынша жұмысы бірінші мақсатты қолдайды және елдерге азық-түлік жеткізілімінің қауіпсіздігін арттыруға, азық-түліктің тұрақты және қолжетімді бағасын сақтай отырып, АҚШ-тың ауыл шаруашылығы секторын нығайтуға, сондай-ақ болашақ ұрпақ үшін табиғи ресурстар мен ауылшаруашылық жерлерін сақтауға </w:t>
      </w:r>
      <w:r>
        <w:rPr>
          <w:rFonts w:ascii="Times New Roman" w:hAnsi="Times New Roman" w:cs="Times New Roman"/>
          <w:sz w:val="28"/>
          <w:szCs w:val="28"/>
          <w:lang w:val="kk-KZ"/>
        </w:rPr>
        <w:t xml:space="preserve">бағытталған [64]. </w:t>
      </w:r>
    </w:p>
    <w:p w14:paraId="6A0162DF" w14:textId="6DBC0E81" w:rsidR="00CF1C12" w:rsidRPr="00457CE9" w:rsidRDefault="00F95506" w:rsidP="00F95506">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Аустралияның Жоғары аудит органдары 2019 жылы фермерлік шаруашылықтарды мемлекеттік субсидиялау бағдарламасының (Farm Management Deposits) тиімділік аудитін жүргізген. 1999 жылы басталған Бағдарлама жыл сайынғы өнімділік дәрежесіне байланысты фермерлік шаруашылықтардың табысының тұрақты деңгейін сақтауға бағытталған. Бастаманы Аустралия салық басқармасы (The Australian Taxation Office) және Аустралияның Ауыл шаруашылығы және су ресурстары департаменті (the Department of Agriculture and Water Resources) жүзеге асырады.</w:t>
      </w:r>
      <w:r w:rsidRPr="00F95506">
        <w:rPr>
          <w:rFonts w:ascii="Times New Roman" w:hAnsi="Times New Roman" w:cs="Times New Roman"/>
          <w:sz w:val="28"/>
          <w:szCs w:val="28"/>
          <w:lang w:val="kk-KZ"/>
        </w:rPr>
        <w:t xml:space="preserve"> </w:t>
      </w:r>
      <w:r w:rsidR="00CF1C12" w:rsidRPr="00457CE9">
        <w:rPr>
          <w:rFonts w:ascii="Times New Roman" w:hAnsi="Times New Roman" w:cs="Times New Roman"/>
          <w:sz w:val="28"/>
          <w:szCs w:val="28"/>
          <w:lang w:val="kk-KZ"/>
        </w:rPr>
        <w:t>Аустралияның ЖАО тиімділік аудитінің мақсаты – осы Бағдарлама шеңберінде субсидиялауды, сондай-ақ салықтық жеңілдіктерді пайдалану тиімділігінің деңгейін тексеру болды. Тиімділік аудитінің қорытындысы келесідей:</w:t>
      </w:r>
    </w:p>
    <w:p w14:paraId="523B07B0" w14:textId="77777777" w:rsidR="00CF1C12" w:rsidRPr="00457CE9" w:rsidRDefault="00CF1C12" w:rsidP="0097172E">
      <w:pPr>
        <w:pStyle w:val="a5"/>
        <w:widowControl w:val="0"/>
        <w:numPr>
          <w:ilvl w:val="0"/>
          <w:numId w:val="4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фермерлік шаруашылықтарды мемлекеттік субсидиялау бағдарламасын басқару тиімді жүзеге асырылмайды;</w:t>
      </w:r>
    </w:p>
    <w:p w14:paraId="3DA2BC63" w14:textId="77777777" w:rsidR="00CF1C12" w:rsidRPr="00457CE9" w:rsidRDefault="00CF1C12" w:rsidP="0097172E">
      <w:pPr>
        <w:pStyle w:val="a5"/>
        <w:widowControl w:val="0"/>
        <w:numPr>
          <w:ilvl w:val="0"/>
          <w:numId w:val="4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2016 жылдан кейін ауыл шаруашылығын қолдаудың жаңа шараларын енгізу қарқынын, атап айтқанда бөлінетін субсидиялар есебінен несиелеуді өтеу төмен деңгейде. </w:t>
      </w:r>
    </w:p>
    <w:p w14:paraId="375C6ED7" w14:textId="1C838962" w:rsidR="00711676" w:rsidRPr="00457CE9" w:rsidRDefault="0091099E"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ЖАО</w:t>
      </w:r>
      <w:r w:rsidR="00711676" w:rsidRPr="00457CE9">
        <w:rPr>
          <w:rFonts w:ascii="Times New Roman" w:hAnsi="Times New Roman"/>
          <w:sz w:val="28"/>
          <w:szCs w:val="28"/>
          <w:lang w:val="kk-KZ"/>
        </w:rPr>
        <w:t xml:space="preserve"> мүдделі мемлекеттік органдарға </w:t>
      </w:r>
      <w:r w:rsidR="00AD647D" w:rsidRPr="00457CE9">
        <w:rPr>
          <w:rFonts w:ascii="Times New Roman" w:hAnsi="Times New Roman"/>
          <w:sz w:val="28"/>
          <w:szCs w:val="28"/>
          <w:lang w:val="kk-KZ"/>
        </w:rPr>
        <w:t>Аустралияның Салық басқармасы мен Ауыл шаруашылығы департаментіне фермерлік қызметті субсидиялауға келіп түскен өтінімдерді</w:t>
      </w:r>
      <w:r w:rsidR="00353D3C" w:rsidRPr="00457CE9">
        <w:rPr>
          <w:rFonts w:ascii="Times New Roman" w:hAnsi="Times New Roman"/>
          <w:sz w:val="28"/>
          <w:szCs w:val="28"/>
          <w:lang w:val="kk-KZ"/>
        </w:rPr>
        <w:t xml:space="preserve"> қарау</w:t>
      </w:r>
      <w:r w:rsidR="005B4307" w:rsidRPr="00457CE9">
        <w:rPr>
          <w:rFonts w:ascii="Times New Roman" w:hAnsi="Times New Roman"/>
          <w:sz w:val="28"/>
          <w:szCs w:val="28"/>
          <w:lang w:val="kk-KZ"/>
        </w:rPr>
        <w:t xml:space="preserve"> кезінде шағын бизнес тәуекелдеріне талдау </w:t>
      </w:r>
      <w:r w:rsidR="00FA5437" w:rsidRPr="00457CE9">
        <w:rPr>
          <w:rFonts w:ascii="Times New Roman" w:hAnsi="Times New Roman"/>
          <w:sz w:val="28"/>
          <w:szCs w:val="28"/>
          <w:lang w:val="kk-KZ"/>
        </w:rPr>
        <w:t xml:space="preserve">жүргізуді ұсынды. Сонымен қатар Аустралияның </w:t>
      </w:r>
      <w:r w:rsidR="00C838D1" w:rsidRPr="00457CE9">
        <w:rPr>
          <w:rFonts w:ascii="Times New Roman" w:hAnsi="Times New Roman"/>
          <w:sz w:val="28"/>
          <w:szCs w:val="28"/>
          <w:lang w:val="kk-KZ"/>
        </w:rPr>
        <w:t xml:space="preserve">Салық басқармасына </w:t>
      </w:r>
      <w:r w:rsidR="00FA5437" w:rsidRPr="00457CE9">
        <w:rPr>
          <w:rFonts w:ascii="Times New Roman" w:hAnsi="Times New Roman"/>
          <w:sz w:val="28"/>
          <w:szCs w:val="28"/>
          <w:lang w:val="kk-KZ"/>
        </w:rPr>
        <w:t xml:space="preserve"> келіп түскен </w:t>
      </w:r>
      <w:r w:rsidR="00C838D1" w:rsidRPr="00457CE9">
        <w:rPr>
          <w:rFonts w:ascii="Times New Roman" w:hAnsi="Times New Roman"/>
          <w:sz w:val="28"/>
          <w:szCs w:val="28"/>
          <w:lang w:val="kk-KZ"/>
        </w:rPr>
        <w:t>фермерлік қызметті субсидиялауға өтінімдер</w:t>
      </w:r>
      <w:r w:rsidR="00FA5437" w:rsidRPr="00457CE9">
        <w:rPr>
          <w:rFonts w:ascii="Times New Roman" w:hAnsi="Times New Roman"/>
          <w:sz w:val="28"/>
          <w:szCs w:val="28"/>
          <w:lang w:val="kk-KZ"/>
        </w:rPr>
        <w:t>дің дұрыстығын тексеру жүйесін енгізу ұсынылды</w:t>
      </w:r>
      <w:r w:rsidR="00745535" w:rsidRPr="00457CE9">
        <w:rPr>
          <w:rFonts w:ascii="Times New Roman" w:hAnsi="Times New Roman"/>
          <w:sz w:val="28"/>
          <w:szCs w:val="28"/>
          <w:lang w:val="kk-KZ"/>
        </w:rPr>
        <w:t xml:space="preserve"> [</w:t>
      </w:r>
      <w:r w:rsidR="004E7554">
        <w:rPr>
          <w:rFonts w:ascii="Times New Roman" w:hAnsi="Times New Roman"/>
          <w:sz w:val="28"/>
          <w:szCs w:val="28"/>
          <w:lang w:val="kk-KZ"/>
        </w:rPr>
        <w:t>6</w:t>
      </w:r>
      <w:r w:rsidR="000258A6" w:rsidRPr="000258A6">
        <w:rPr>
          <w:rFonts w:ascii="Times New Roman" w:hAnsi="Times New Roman"/>
          <w:sz w:val="28"/>
          <w:szCs w:val="28"/>
          <w:lang w:val="kk-KZ"/>
        </w:rPr>
        <w:t>5</w:t>
      </w:r>
      <w:r w:rsidR="00745535" w:rsidRPr="00457CE9">
        <w:rPr>
          <w:rFonts w:ascii="Times New Roman" w:hAnsi="Times New Roman"/>
          <w:sz w:val="28"/>
          <w:szCs w:val="28"/>
          <w:lang w:val="kk-KZ"/>
        </w:rPr>
        <w:t>]</w:t>
      </w:r>
      <w:r w:rsidR="00FA5437" w:rsidRPr="00457CE9">
        <w:rPr>
          <w:rFonts w:ascii="Times New Roman" w:hAnsi="Times New Roman"/>
          <w:sz w:val="28"/>
          <w:szCs w:val="28"/>
          <w:lang w:val="kk-KZ"/>
        </w:rPr>
        <w:t>.</w:t>
      </w:r>
    </w:p>
    <w:p w14:paraId="406C3991" w14:textId="0E8C7452" w:rsidR="00540FA3" w:rsidRPr="00457CE9" w:rsidRDefault="00540FA3"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Әзірбайжан </w:t>
      </w:r>
      <w:r w:rsidR="003C56BE" w:rsidRPr="00457CE9">
        <w:rPr>
          <w:rFonts w:ascii="Times New Roman" w:hAnsi="Times New Roman"/>
          <w:sz w:val="28"/>
          <w:szCs w:val="28"/>
          <w:lang w:val="kk-KZ"/>
        </w:rPr>
        <w:t>«</w:t>
      </w:r>
      <w:r w:rsidRPr="00457CE9">
        <w:rPr>
          <w:rFonts w:ascii="Times New Roman" w:hAnsi="Times New Roman"/>
          <w:sz w:val="28"/>
          <w:szCs w:val="28"/>
          <w:lang w:val="kk-KZ"/>
        </w:rPr>
        <w:t>Ауыл шаруашылығының бәсеке қаблеттілігін арттыру</w:t>
      </w:r>
      <w:r w:rsidR="003C56BE" w:rsidRPr="00457CE9">
        <w:rPr>
          <w:rFonts w:ascii="Times New Roman" w:hAnsi="Times New Roman"/>
          <w:sz w:val="28"/>
          <w:szCs w:val="28"/>
          <w:lang w:val="kk-KZ"/>
        </w:rPr>
        <w:t>»</w:t>
      </w:r>
      <w:r w:rsidRPr="00457CE9">
        <w:rPr>
          <w:rFonts w:ascii="Times New Roman" w:hAnsi="Times New Roman"/>
          <w:sz w:val="28"/>
          <w:szCs w:val="28"/>
          <w:lang w:val="kk-KZ"/>
        </w:rPr>
        <w:t xml:space="preserve"> жобасында қойылған мақсаттарға қол жеткізу деңгейін бағалау бойынша тиімділік аудитін 2021 жылы жүргізді</w:t>
      </w:r>
      <w:r w:rsidR="00E607E4" w:rsidRPr="00457CE9">
        <w:rPr>
          <w:rFonts w:ascii="Times New Roman" w:hAnsi="Times New Roman"/>
          <w:sz w:val="28"/>
          <w:szCs w:val="28"/>
          <w:lang w:val="kk-KZ"/>
        </w:rPr>
        <w:t xml:space="preserve"> [</w:t>
      </w:r>
      <w:r w:rsidR="00144AD4">
        <w:rPr>
          <w:rFonts w:ascii="Times New Roman" w:hAnsi="Times New Roman"/>
          <w:sz w:val="28"/>
          <w:szCs w:val="28"/>
          <w:lang w:val="kk-KZ"/>
        </w:rPr>
        <w:t>6</w:t>
      </w:r>
      <w:r w:rsidR="000258A6" w:rsidRPr="000258A6">
        <w:rPr>
          <w:rFonts w:ascii="Times New Roman" w:hAnsi="Times New Roman"/>
          <w:sz w:val="28"/>
          <w:szCs w:val="28"/>
          <w:lang w:val="kk-KZ"/>
        </w:rPr>
        <w:t>6</w:t>
      </w:r>
      <w:r w:rsidR="00E607E4" w:rsidRPr="00457CE9">
        <w:rPr>
          <w:rFonts w:ascii="Times New Roman" w:hAnsi="Times New Roman"/>
          <w:sz w:val="28"/>
          <w:szCs w:val="28"/>
          <w:lang w:val="kk-KZ"/>
        </w:rPr>
        <w:t>]</w:t>
      </w:r>
      <w:r w:rsidRPr="00457CE9">
        <w:rPr>
          <w:rFonts w:ascii="Times New Roman" w:hAnsi="Times New Roman"/>
          <w:sz w:val="28"/>
          <w:szCs w:val="28"/>
          <w:lang w:val="kk-KZ"/>
        </w:rPr>
        <w:t xml:space="preserve">. </w:t>
      </w:r>
      <w:r w:rsidR="00B70099">
        <w:rPr>
          <w:rFonts w:ascii="Times New Roman" w:hAnsi="Times New Roman"/>
          <w:sz w:val="28"/>
          <w:szCs w:val="28"/>
          <w:lang w:val="kk-KZ"/>
        </w:rPr>
        <w:t>Аталған ж</w:t>
      </w:r>
      <w:r w:rsidRPr="00457CE9">
        <w:rPr>
          <w:rFonts w:ascii="Times New Roman" w:hAnsi="Times New Roman"/>
          <w:sz w:val="28"/>
          <w:szCs w:val="28"/>
          <w:lang w:val="kk-KZ"/>
        </w:rPr>
        <w:t xml:space="preserve">оба Әзірбайжан Ауыл шаруашылығы министрлігінің Аграрлық несиелеу және даму агенттігімен іске асырылады. </w:t>
      </w:r>
    </w:p>
    <w:p w14:paraId="17F4FC3B" w14:textId="2F27DAA1" w:rsidR="00FE1352" w:rsidRPr="00457CE9" w:rsidRDefault="00540FA3"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Жобаның мақсаты – елдегі санитариялық және фитосанитариялық қызметтер деңгейін арттыру, қосылған құнның жекелеген </w:t>
      </w:r>
      <w:r w:rsidR="00737D08" w:rsidRPr="00457CE9">
        <w:rPr>
          <w:rFonts w:ascii="Times New Roman" w:hAnsi="Times New Roman"/>
          <w:sz w:val="28"/>
          <w:szCs w:val="28"/>
          <w:lang w:val="kk-KZ"/>
        </w:rPr>
        <w:t xml:space="preserve">тізбектерін құру және агробизнес кәсіпорындарына қаржылық қызметтер көрсету есебінен ауыл шаруашылығы өндірушілерінің өткізу нарықтарына қолжетімділігін жеңілдету. </w:t>
      </w:r>
      <w:r w:rsidR="007A53A9" w:rsidRPr="00457CE9">
        <w:rPr>
          <w:rFonts w:ascii="Times New Roman" w:hAnsi="Times New Roman"/>
          <w:sz w:val="28"/>
          <w:szCs w:val="28"/>
          <w:lang w:val="kk-KZ"/>
        </w:rPr>
        <w:t xml:space="preserve">ЖАО ауыл шаруашылығы және азық-түлік қауіпсіздігі саласындағы мемлекеттік сектордағы іргелі институционалдық реформаларға байланысты жоба 2020 жылға дейін ұзартылғанын атап өтті. </w:t>
      </w:r>
      <w:r w:rsidR="00FE1352" w:rsidRPr="00457CE9">
        <w:rPr>
          <w:rFonts w:ascii="Times New Roman" w:hAnsi="Times New Roman"/>
          <w:sz w:val="28"/>
          <w:szCs w:val="28"/>
          <w:lang w:val="kk-KZ"/>
        </w:rPr>
        <w:t>Тексеру барысында келесідей бірқатар кемшіліктер анықталды</w:t>
      </w:r>
      <w:r w:rsidR="00E607E4" w:rsidRPr="00457CE9">
        <w:rPr>
          <w:rFonts w:ascii="Times New Roman" w:hAnsi="Times New Roman"/>
          <w:sz w:val="28"/>
          <w:szCs w:val="28"/>
          <w:lang w:val="en-US"/>
        </w:rPr>
        <w:t xml:space="preserve"> [</w:t>
      </w:r>
      <w:r w:rsidR="00144AD4">
        <w:rPr>
          <w:rFonts w:ascii="Times New Roman" w:hAnsi="Times New Roman"/>
          <w:sz w:val="28"/>
          <w:szCs w:val="28"/>
          <w:lang w:val="kk-KZ"/>
        </w:rPr>
        <w:t>6</w:t>
      </w:r>
      <w:r w:rsidR="000258A6">
        <w:rPr>
          <w:rFonts w:ascii="Times New Roman" w:hAnsi="Times New Roman"/>
          <w:sz w:val="28"/>
          <w:szCs w:val="28"/>
          <w:lang w:val="en-US"/>
        </w:rPr>
        <w:t>6</w:t>
      </w:r>
      <w:r w:rsidR="009B4A7C">
        <w:rPr>
          <w:rFonts w:ascii="Times New Roman" w:hAnsi="Times New Roman"/>
          <w:sz w:val="28"/>
          <w:szCs w:val="28"/>
          <w:lang w:val="kk-KZ"/>
        </w:rPr>
        <w:t>, с. 95</w:t>
      </w:r>
      <w:r w:rsidR="00E607E4" w:rsidRPr="00457CE9">
        <w:rPr>
          <w:rFonts w:ascii="Times New Roman" w:hAnsi="Times New Roman"/>
          <w:sz w:val="28"/>
          <w:szCs w:val="28"/>
          <w:lang w:val="en-US"/>
        </w:rPr>
        <w:t>]</w:t>
      </w:r>
      <w:r w:rsidR="00FE1352" w:rsidRPr="00457CE9">
        <w:rPr>
          <w:rFonts w:ascii="Times New Roman" w:hAnsi="Times New Roman"/>
          <w:sz w:val="28"/>
          <w:szCs w:val="28"/>
          <w:lang w:val="kk-KZ"/>
        </w:rPr>
        <w:t>:</w:t>
      </w:r>
    </w:p>
    <w:p w14:paraId="3962F32A" w14:textId="77777777" w:rsidR="008D1899" w:rsidRPr="00457CE9" w:rsidRDefault="00FE1352"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институционалдық реформалар нәтижесінде жобаны іске асыру кезеңін ұзарту төрт жылдық мақсаттарға уақтылы қол жеткізуге және жобаны</w:t>
      </w:r>
      <w:r w:rsidR="0099106D" w:rsidRPr="00457CE9">
        <w:rPr>
          <w:rFonts w:ascii="Times New Roman" w:hAnsi="Times New Roman"/>
          <w:sz w:val="28"/>
          <w:szCs w:val="28"/>
          <w:lang w:val="kk-KZ"/>
        </w:rPr>
        <w:t xml:space="preserve">ң жалпы тиімділігіне әсер етті. Мұндай бастамаларды жобалау экономикалық талдауға негізделген, халықаралық тәжірибеде </w:t>
      </w:r>
      <w:r w:rsidR="00190766" w:rsidRPr="00457CE9">
        <w:rPr>
          <w:rFonts w:ascii="Times New Roman" w:hAnsi="Times New Roman"/>
          <w:sz w:val="28"/>
          <w:szCs w:val="28"/>
          <w:lang w:val="kk-KZ"/>
        </w:rPr>
        <w:t xml:space="preserve">үш жылдан бес жылға дейінгі орта мерзімді жобалар </w:t>
      </w:r>
      <w:r w:rsidR="0099106D" w:rsidRPr="00457CE9">
        <w:rPr>
          <w:rFonts w:ascii="Times New Roman" w:hAnsi="Times New Roman"/>
          <w:sz w:val="28"/>
          <w:szCs w:val="28"/>
          <w:lang w:val="kk-KZ"/>
        </w:rPr>
        <w:t xml:space="preserve">орынды деп саналады. </w:t>
      </w:r>
      <w:r w:rsidR="00190766" w:rsidRPr="00457CE9">
        <w:rPr>
          <w:rFonts w:ascii="Times New Roman" w:hAnsi="Times New Roman"/>
          <w:sz w:val="28"/>
          <w:szCs w:val="28"/>
          <w:lang w:val="kk-KZ"/>
        </w:rPr>
        <w:t>Жоба</w:t>
      </w:r>
      <w:r w:rsidR="007156B9" w:rsidRPr="00457CE9">
        <w:rPr>
          <w:rFonts w:ascii="Times New Roman" w:hAnsi="Times New Roman"/>
          <w:sz w:val="28"/>
          <w:szCs w:val="28"/>
          <w:lang w:val="kk-KZ"/>
        </w:rPr>
        <w:t>ны іске асыру</w:t>
      </w:r>
      <w:r w:rsidR="00190766" w:rsidRPr="00457CE9">
        <w:rPr>
          <w:rFonts w:ascii="Times New Roman" w:hAnsi="Times New Roman"/>
          <w:sz w:val="28"/>
          <w:szCs w:val="28"/>
          <w:lang w:val="kk-KZ"/>
        </w:rPr>
        <w:t xml:space="preserve"> мерзім</w:t>
      </w:r>
      <w:r w:rsidR="007156B9" w:rsidRPr="00457CE9">
        <w:rPr>
          <w:rFonts w:ascii="Times New Roman" w:hAnsi="Times New Roman"/>
          <w:sz w:val="28"/>
          <w:szCs w:val="28"/>
          <w:lang w:val="kk-KZ"/>
        </w:rPr>
        <w:t xml:space="preserve">і іс жүзінде сегіз жылды құрады. Осыған байланысты жобаның күтілетін тиімділігін анықтауға бағытталған бастапқы экономикалық талдау кезінде </w:t>
      </w:r>
      <w:r w:rsidR="00BA1247" w:rsidRPr="00457CE9">
        <w:rPr>
          <w:rFonts w:ascii="Times New Roman" w:hAnsi="Times New Roman"/>
          <w:sz w:val="28"/>
          <w:szCs w:val="28"/>
          <w:lang w:val="kk-KZ"/>
        </w:rPr>
        <w:t>қолданылған тәсілдер мен болжамдар өзектілігін жоғалтты</w:t>
      </w:r>
      <w:r w:rsidR="008D1899" w:rsidRPr="00457CE9">
        <w:rPr>
          <w:rFonts w:ascii="Times New Roman" w:hAnsi="Times New Roman"/>
          <w:sz w:val="28"/>
          <w:szCs w:val="28"/>
          <w:lang w:val="kk-KZ"/>
        </w:rPr>
        <w:t>;</w:t>
      </w:r>
    </w:p>
    <w:p w14:paraId="0F4F9A73" w14:textId="77777777" w:rsidR="007E7257" w:rsidRPr="00457CE9" w:rsidRDefault="008D1899"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азық-түлік қауіпсіздігін қамтамасыз ету жөніндегі іс-шараларды жүйелі және жан-жақты жариялау үшін жеткілікті база жоқ</w:t>
      </w:r>
      <w:r w:rsidR="00BA1247" w:rsidRPr="00457CE9">
        <w:rPr>
          <w:rFonts w:ascii="Times New Roman" w:hAnsi="Times New Roman"/>
          <w:sz w:val="28"/>
          <w:szCs w:val="28"/>
          <w:lang w:val="kk-KZ"/>
        </w:rPr>
        <w:t>.</w:t>
      </w:r>
      <w:r w:rsidRPr="00457CE9">
        <w:rPr>
          <w:rFonts w:ascii="Times New Roman" w:hAnsi="Times New Roman"/>
          <w:sz w:val="28"/>
          <w:szCs w:val="28"/>
          <w:lang w:val="kk-KZ"/>
        </w:rPr>
        <w:t xml:space="preserve"> ЖАО-ның пікірінше, жоба үй жануарларының денсаулығына және ветеринарлық қызметті</w:t>
      </w:r>
      <w:r w:rsidR="007E7257" w:rsidRPr="00457CE9">
        <w:rPr>
          <w:rFonts w:ascii="Times New Roman" w:hAnsi="Times New Roman"/>
          <w:sz w:val="28"/>
          <w:szCs w:val="28"/>
          <w:lang w:val="kk-KZ"/>
        </w:rPr>
        <w:t>ң</w:t>
      </w:r>
      <w:r w:rsidRPr="00457CE9">
        <w:rPr>
          <w:rFonts w:ascii="Times New Roman" w:hAnsi="Times New Roman"/>
          <w:sz w:val="28"/>
          <w:szCs w:val="28"/>
          <w:lang w:val="kk-KZ"/>
        </w:rPr>
        <w:t xml:space="preserve"> дамуына айтарлықтай әсер еткен жоқ</w:t>
      </w:r>
      <w:r w:rsidR="007E7257" w:rsidRPr="00457CE9">
        <w:rPr>
          <w:rFonts w:ascii="Times New Roman" w:hAnsi="Times New Roman"/>
          <w:sz w:val="28"/>
          <w:szCs w:val="28"/>
          <w:lang w:val="kk-KZ"/>
        </w:rPr>
        <w:t>;</w:t>
      </w:r>
    </w:p>
    <w:p w14:paraId="6EF29BC6" w14:textId="093913D3" w:rsidR="00DF2FB7" w:rsidRPr="00457CE9" w:rsidRDefault="007E7257"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елде ірі қара мен ұсақ мал арасында бруцеллезбен күресудің жаңа стратегиясы іске асырылады</w:t>
      </w:r>
      <w:r w:rsidR="008D1899" w:rsidRPr="00457CE9">
        <w:rPr>
          <w:rFonts w:ascii="Times New Roman" w:hAnsi="Times New Roman"/>
          <w:sz w:val="28"/>
          <w:szCs w:val="28"/>
          <w:lang w:val="kk-KZ"/>
        </w:rPr>
        <w:t>.</w:t>
      </w:r>
      <w:r w:rsidRPr="00457CE9">
        <w:rPr>
          <w:rFonts w:ascii="Times New Roman" w:hAnsi="Times New Roman"/>
          <w:sz w:val="28"/>
          <w:szCs w:val="28"/>
          <w:lang w:val="kk-KZ"/>
        </w:rPr>
        <w:t xml:space="preserve"> Жалпы аурудың таралуы төмендеді, бірақ кейбір аудандарда (негізінен шекараларға жақын және таулы жерлерде) әкелінетін жануарлардың </w:t>
      </w:r>
      <w:r w:rsidR="00685201" w:rsidRPr="00457CE9">
        <w:rPr>
          <w:rFonts w:ascii="Times New Roman" w:hAnsi="Times New Roman"/>
          <w:sz w:val="28"/>
          <w:szCs w:val="28"/>
          <w:lang w:val="kk-KZ"/>
        </w:rPr>
        <w:t>эпизоотикалық мәртебесі мен жануарлардың ішкі көші-қонына жеткіліксіз ба</w:t>
      </w:r>
      <w:r w:rsidR="00063DB3" w:rsidRPr="00457CE9">
        <w:rPr>
          <w:rFonts w:ascii="Times New Roman" w:hAnsi="Times New Roman"/>
          <w:sz w:val="28"/>
          <w:szCs w:val="28"/>
          <w:lang w:val="kk-KZ"/>
        </w:rPr>
        <w:t>қылау жүзеге асырылады. Сондай-ақ табындар мен жайылымдар</w:t>
      </w:r>
      <w:r w:rsidR="00DF2FB7" w:rsidRPr="00457CE9">
        <w:rPr>
          <w:rFonts w:ascii="Times New Roman" w:hAnsi="Times New Roman"/>
          <w:sz w:val="28"/>
          <w:szCs w:val="28"/>
          <w:lang w:val="kk-KZ"/>
        </w:rPr>
        <w:t>дың</w:t>
      </w:r>
      <w:r w:rsidR="00063DB3" w:rsidRPr="00457CE9">
        <w:rPr>
          <w:rFonts w:ascii="Times New Roman" w:hAnsi="Times New Roman"/>
          <w:sz w:val="28"/>
          <w:szCs w:val="28"/>
          <w:lang w:val="kk-KZ"/>
        </w:rPr>
        <w:t xml:space="preserve"> бақылау</w:t>
      </w:r>
      <w:r w:rsidR="00DF2FB7" w:rsidRPr="00457CE9">
        <w:rPr>
          <w:rFonts w:ascii="Times New Roman" w:hAnsi="Times New Roman"/>
          <w:sz w:val="28"/>
          <w:szCs w:val="28"/>
          <w:lang w:val="kk-KZ"/>
        </w:rPr>
        <w:t>ы</w:t>
      </w:r>
      <w:r w:rsidR="00063DB3" w:rsidRPr="00457CE9">
        <w:rPr>
          <w:rFonts w:ascii="Times New Roman" w:hAnsi="Times New Roman"/>
          <w:sz w:val="28"/>
          <w:szCs w:val="28"/>
          <w:lang w:val="kk-KZ"/>
        </w:rPr>
        <w:t xml:space="preserve"> жоқ, ауру жануарларды жою тетігі қолданылмайды, осыған байланысты жұқтырған жануарлардың саны өсуде</w:t>
      </w:r>
      <w:r w:rsidR="0061080A" w:rsidRPr="00457CE9">
        <w:rPr>
          <w:rFonts w:ascii="Times New Roman" w:hAnsi="Times New Roman"/>
          <w:sz w:val="28"/>
          <w:szCs w:val="28"/>
          <w:lang w:val="kk-KZ"/>
        </w:rPr>
        <w:t>;</w:t>
      </w:r>
    </w:p>
    <w:p w14:paraId="1E70CCC1" w14:textId="19E4130C" w:rsidR="0061080A" w:rsidRPr="00457CE9" w:rsidRDefault="00DF2FB7"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ірі және ұсақ малдардың шекаралық өткелдерден өтуі кезінде бруцеллездың таралуын</w:t>
      </w:r>
      <w:r w:rsidR="0061080A" w:rsidRPr="00457CE9">
        <w:rPr>
          <w:rFonts w:ascii="Times New Roman" w:hAnsi="Times New Roman"/>
          <w:sz w:val="28"/>
          <w:szCs w:val="28"/>
          <w:lang w:val="kk-KZ"/>
        </w:rPr>
        <w:t>ың</w:t>
      </w:r>
      <w:r w:rsidRPr="00457CE9">
        <w:rPr>
          <w:rFonts w:ascii="Times New Roman" w:hAnsi="Times New Roman"/>
          <w:sz w:val="28"/>
          <w:szCs w:val="28"/>
          <w:lang w:val="kk-KZ"/>
        </w:rPr>
        <w:t xml:space="preserve"> жүйелі бақылауы жоқ, Әзірбайжанға көрші елдерден әкелінген бұл ішкі инфекция қаупін арттырады және анықталмаған жануарлардың кейінгі қозғалысын</w:t>
      </w:r>
      <w:r w:rsidR="0061080A" w:rsidRPr="00457CE9">
        <w:rPr>
          <w:rFonts w:ascii="Times New Roman" w:hAnsi="Times New Roman"/>
          <w:sz w:val="28"/>
          <w:szCs w:val="28"/>
          <w:lang w:val="kk-KZ"/>
        </w:rPr>
        <w:t>ың</w:t>
      </w:r>
      <w:r w:rsidRPr="00457CE9">
        <w:rPr>
          <w:rFonts w:ascii="Times New Roman" w:hAnsi="Times New Roman"/>
          <w:sz w:val="28"/>
          <w:szCs w:val="28"/>
          <w:lang w:val="kk-KZ"/>
        </w:rPr>
        <w:t xml:space="preserve"> бақылауын қиындатады</w:t>
      </w:r>
      <w:r w:rsidR="0061080A"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 </w:t>
      </w:r>
    </w:p>
    <w:p w14:paraId="4BC8B496" w14:textId="77777777" w:rsidR="0044217D" w:rsidRPr="00457CE9" w:rsidRDefault="0061080A"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елде кәсіби кадрлар – ветеринарлар мен фельдшерлер тапшылығы тіркелуде. Ветеринарлық қызметтердің жеке секторын кеңейтуге бағытталған шараларды қабылдау қажеттілігі анықталды. </w:t>
      </w:r>
    </w:p>
    <w:p w14:paraId="10F012C5" w14:textId="77777777" w:rsidR="00C945CA" w:rsidRPr="00457CE9" w:rsidRDefault="00C945CA" w:rsidP="00782F91">
      <w:pPr>
        <w:widowControl w:val="0"/>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С</w:t>
      </w:r>
      <w:r w:rsidR="00A64209" w:rsidRPr="00457CE9">
        <w:rPr>
          <w:rFonts w:ascii="Times New Roman" w:hAnsi="Times New Roman"/>
          <w:sz w:val="28"/>
          <w:szCs w:val="28"/>
          <w:lang w:val="kk-KZ"/>
        </w:rPr>
        <w:t xml:space="preserve">онымен қатар жоба өсімдіктердің </w:t>
      </w:r>
      <w:r w:rsidR="004361E5" w:rsidRPr="00457CE9">
        <w:rPr>
          <w:rFonts w:ascii="Times New Roman" w:hAnsi="Times New Roman"/>
          <w:sz w:val="28"/>
          <w:szCs w:val="28"/>
          <w:lang w:val="kk-KZ"/>
        </w:rPr>
        <w:t>денсаулығы мен фитосанитарлық жүйені жақсартуға ықпал етті</w:t>
      </w:r>
      <w:r w:rsidRPr="00457CE9">
        <w:rPr>
          <w:rFonts w:ascii="Times New Roman" w:hAnsi="Times New Roman"/>
          <w:sz w:val="28"/>
          <w:szCs w:val="28"/>
          <w:lang w:val="kk-KZ"/>
        </w:rPr>
        <w:t>:</w:t>
      </w:r>
      <w:r w:rsidR="00A64209" w:rsidRPr="00457CE9">
        <w:rPr>
          <w:rFonts w:ascii="Times New Roman" w:hAnsi="Times New Roman"/>
          <w:sz w:val="28"/>
          <w:szCs w:val="28"/>
          <w:lang w:val="kk-KZ"/>
        </w:rPr>
        <w:t xml:space="preserve"> </w:t>
      </w:r>
      <w:r w:rsidR="00063DB3" w:rsidRPr="00457CE9">
        <w:rPr>
          <w:rFonts w:ascii="Times New Roman" w:hAnsi="Times New Roman"/>
          <w:sz w:val="28"/>
          <w:szCs w:val="28"/>
          <w:lang w:val="kk-KZ"/>
        </w:rPr>
        <w:t xml:space="preserve"> </w:t>
      </w:r>
    </w:p>
    <w:p w14:paraId="1906758D" w14:textId="7CB393B7" w:rsidR="00737BE2" w:rsidRPr="00457CE9" w:rsidRDefault="00C945CA"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фитосанитариялық жүйені жетілдіру және фитосанитариялық тәуекелді талдауды іске асыру бойынша нұсқаулықтар әзірленді, семинарлар мен тренингтер өткізілді;</w:t>
      </w:r>
    </w:p>
    <w:p w14:paraId="1036C66C" w14:textId="09EF4613" w:rsidR="00C945CA" w:rsidRPr="00457CE9" w:rsidRDefault="00C945CA"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шаруашылығы қызметін қаржыландыру бөлігінде жеке өндірушілер</w:t>
      </w:r>
      <w:r w:rsidR="00BE4800" w:rsidRPr="00457CE9">
        <w:rPr>
          <w:rFonts w:ascii="Times New Roman" w:hAnsi="Times New Roman"/>
          <w:sz w:val="28"/>
          <w:szCs w:val="28"/>
          <w:lang w:val="kk-KZ"/>
        </w:rPr>
        <w:t xml:space="preserve"> банктер үшін жаңа несиелік желілер ашу жөнінде шаралар қабылдады</w:t>
      </w:r>
      <w:r w:rsidR="009B4A7C">
        <w:rPr>
          <w:rFonts w:ascii="Times New Roman" w:hAnsi="Times New Roman"/>
          <w:sz w:val="28"/>
          <w:szCs w:val="28"/>
          <w:lang w:val="kk-KZ"/>
        </w:rPr>
        <w:t xml:space="preserve"> </w:t>
      </w:r>
      <w:r w:rsidR="009B4A7C" w:rsidRPr="009B4A7C">
        <w:rPr>
          <w:rFonts w:ascii="Times New Roman" w:hAnsi="Times New Roman"/>
          <w:sz w:val="28"/>
          <w:szCs w:val="28"/>
          <w:lang w:val="kk-KZ"/>
        </w:rPr>
        <w:t>[6</w:t>
      </w:r>
      <w:r w:rsidR="000258A6" w:rsidRPr="000258A6">
        <w:rPr>
          <w:rFonts w:ascii="Times New Roman" w:hAnsi="Times New Roman"/>
          <w:sz w:val="28"/>
          <w:szCs w:val="28"/>
          <w:lang w:val="kk-KZ"/>
        </w:rPr>
        <w:t>6</w:t>
      </w:r>
      <w:r w:rsidR="009B4A7C" w:rsidRPr="009B4A7C">
        <w:rPr>
          <w:rFonts w:ascii="Times New Roman" w:hAnsi="Times New Roman"/>
          <w:sz w:val="28"/>
          <w:szCs w:val="28"/>
          <w:lang w:val="kk-KZ"/>
        </w:rPr>
        <w:t>, c. 96]</w:t>
      </w:r>
      <w:r w:rsidR="00BE4800" w:rsidRPr="00457CE9">
        <w:rPr>
          <w:rFonts w:ascii="Times New Roman" w:hAnsi="Times New Roman"/>
          <w:sz w:val="28"/>
          <w:szCs w:val="28"/>
          <w:lang w:val="kk-KZ"/>
        </w:rPr>
        <w:t xml:space="preserve">. </w:t>
      </w:r>
    </w:p>
    <w:p w14:paraId="63DD970C" w14:textId="6CD8A41D" w:rsidR="00BE4800" w:rsidRPr="00457CE9" w:rsidRDefault="00BE4800"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Дегенмен, ЖАО бұл шаралардың тиімділігінің төмендігін көрсетеді. Атап айтқанда, жоба шеңберінде аграрлық </w:t>
      </w:r>
      <w:r w:rsidR="007079D9" w:rsidRPr="00457CE9">
        <w:rPr>
          <w:rFonts w:ascii="Times New Roman" w:hAnsi="Times New Roman"/>
          <w:sz w:val="28"/>
          <w:szCs w:val="28"/>
          <w:lang w:val="kk-KZ"/>
        </w:rPr>
        <w:t>несиел</w:t>
      </w:r>
      <w:r w:rsidRPr="00457CE9">
        <w:rPr>
          <w:rFonts w:ascii="Times New Roman" w:hAnsi="Times New Roman"/>
          <w:sz w:val="28"/>
          <w:szCs w:val="28"/>
          <w:lang w:val="kk-KZ"/>
        </w:rPr>
        <w:t xml:space="preserve">еуді инновациялық қаржылық қамтамасыз </w:t>
      </w:r>
      <w:r w:rsidR="00A46C89" w:rsidRPr="00457CE9">
        <w:rPr>
          <w:rFonts w:ascii="Times New Roman" w:hAnsi="Times New Roman"/>
          <w:sz w:val="28"/>
          <w:szCs w:val="28"/>
          <w:lang w:val="kk-KZ"/>
        </w:rPr>
        <w:t>етудің болмауы, сондай-ақ сол нысаналы</w:t>
      </w:r>
      <w:r w:rsidR="00393F82" w:rsidRPr="00457CE9">
        <w:rPr>
          <w:rFonts w:ascii="Times New Roman" w:hAnsi="Times New Roman"/>
          <w:sz w:val="28"/>
          <w:szCs w:val="28"/>
          <w:lang w:val="kk-KZ"/>
        </w:rPr>
        <w:t xml:space="preserve"> несиелер бойынша баламалардың болуы өнімдер бастаманың тиімділігіне теріс әсер етті. Әзірбайжанда </w:t>
      </w:r>
      <w:r w:rsidR="003C56BE" w:rsidRPr="00457CE9">
        <w:rPr>
          <w:rFonts w:ascii="Times New Roman" w:hAnsi="Times New Roman"/>
          <w:sz w:val="28"/>
          <w:szCs w:val="28"/>
          <w:lang w:val="kk-KZ"/>
        </w:rPr>
        <w:t>«</w:t>
      </w:r>
      <w:r w:rsidR="00E67346" w:rsidRPr="00457CE9">
        <w:rPr>
          <w:rFonts w:ascii="Times New Roman" w:hAnsi="Times New Roman"/>
          <w:sz w:val="28"/>
          <w:szCs w:val="28"/>
          <w:lang w:val="kk-KZ"/>
        </w:rPr>
        <w:t>К</w:t>
      </w:r>
      <w:r w:rsidR="00393F82" w:rsidRPr="00457CE9">
        <w:rPr>
          <w:rFonts w:ascii="Times New Roman" w:hAnsi="Times New Roman"/>
          <w:sz w:val="28"/>
          <w:szCs w:val="28"/>
          <w:lang w:val="kk-KZ"/>
        </w:rPr>
        <w:t>әсіпкерлікті дамыту қоры</w:t>
      </w:r>
      <w:r w:rsidR="003C56BE" w:rsidRPr="00457CE9">
        <w:rPr>
          <w:rFonts w:ascii="Times New Roman" w:hAnsi="Times New Roman"/>
          <w:sz w:val="28"/>
          <w:szCs w:val="28"/>
          <w:lang w:val="kk-KZ"/>
        </w:rPr>
        <w:t>»</w:t>
      </w:r>
      <w:r w:rsidR="00393F82" w:rsidRPr="00457CE9">
        <w:rPr>
          <w:rFonts w:ascii="Times New Roman" w:hAnsi="Times New Roman"/>
          <w:sz w:val="28"/>
          <w:szCs w:val="28"/>
          <w:lang w:val="kk-KZ"/>
        </w:rPr>
        <w:t xml:space="preserve"> және </w:t>
      </w:r>
      <w:r w:rsidR="003C56BE" w:rsidRPr="00457CE9">
        <w:rPr>
          <w:rFonts w:ascii="Times New Roman" w:hAnsi="Times New Roman"/>
          <w:sz w:val="28"/>
          <w:szCs w:val="28"/>
          <w:lang w:val="kk-KZ"/>
        </w:rPr>
        <w:t>«</w:t>
      </w:r>
      <w:r w:rsidR="00393F82" w:rsidRPr="00457CE9">
        <w:rPr>
          <w:rFonts w:ascii="Times New Roman" w:hAnsi="Times New Roman"/>
          <w:sz w:val="28"/>
          <w:szCs w:val="28"/>
          <w:lang w:val="kk-KZ"/>
        </w:rPr>
        <w:t>Аграрлық несие және даму агенттігі</w:t>
      </w:r>
      <w:r w:rsidR="003C56BE" w:rsidRPr="00457CE9">
        <w:rPr>
          <w:rFonts w:ascii="Times New Roman" w:hAnsi="Times New Roman"/>
          <w:sz w:val="28"/>
          <w:szCs w:val="28"/>
          <w:lang w:val="kk-KZ"/>
        </w:rPr>
        <w:t>»</w:t>
      </w:r>
      <w:r w:rsidR="00393F82" w:rsidRPr="00457CE9">
        <w:rPr>
          <w:rFonts w:ascii="Times New Roman" w:hAnsi="Times New Roman"/>
          <w:sz w:val="28"/>
          <w:szCs w:val="28"/>
          <w:lang w:val="kk-KZ"/>
        </w:rPr>
        <w:t xml:space="preserve"> сияқты басқа да мемлекеттік мекемелер бар, олар ауылшаруашылық секторын жеңілдетілген несиелер арқылы қаржыландырады (жобада қарастырылғаннан төмен пайыздық мөлшерлемелер бойынша)</w:t>
      </w:r>
      <w:r w:rsidR="00745535" w:rsidRPr="00457CE9">
        <w:rPr>
          <w:rFonts w:ascii="Times New Roman" w:hAnsi="Times New Roman"/>
          <w:sz w:val="28"/>
          <w:szCs w:val="28"/>
          <w:lang w:val="kk-KZ"/>
        </w:rPr>
        <w:t xml:space="preserve"> [</w:t>
      </w:r>
      <w:r w:rsidR="00144AD4">
        <w:rPr>
          <w:rFonts w:ascii="Times New Roman" w:hAnsi="Times New Roman"/>
          <w:sz w:val="28"/>
          <w:szCs w:val="28"/>
          <w:lang w:val="kk-KZ"/>
        </w:rPr>
        <w:t>6</w:t>
      </w:r>
      <w:r w:rsidR="000258A6" w:rsidRPr="000258A6">
        <w:rPr>
          <w:rFonts w:ascii="Times New Roman" w:hAnsi="Times New Roman"/>
          <w:sz w:val="28"/>
          <w:szCs w:val="28"/>
          <w:lang w:val="kk-KZ"/>
        </w:rPr>
        <w:t>6</w:t>
      </w:r>
      <w:r w:rsidR="009B4A7C" w:rsidRPr="009B4A7C">
        <w:rPr>
          <w:rFonts w:ascii="Times New Roman" w:hAnsi="Times New Roman"/>
          <w:sz w:val="28"/>
          <w:szCs w:val="28"/>
          <w:lang w:val="kk-KZ"/>
        </w:rPr>
        <w:t>, c. 96</w:t>
      </w:r>
      <w:r w:rsidR="00745535" w:rsidRPr="00457CE9">
        <w:rPr>
          <w:rFonts w:ascii="Times New Roman" w:hAnsi="Times New Roman"/>
          <w:sz w:val="28"/>
          <w:szCs w:val="28"/>
          <w:lang w:val="kk-KZ"/>
        </w:rPr>
        <w:t>]</w:t>
      </w:r>
      <w:r w:rsidR="00393F82" w:rsidRPr="00457CE9">
        <w:rPr>
          <w:rFonts w:ascii="Times New Roman" w:hAnsi="Times New Roman"/>
          <w:sz w:val="28"/>
          <w:szCs w:val="28"/>
          <w:lang w:val="kk-KZ"/>
        </w:rPr>
        <w:t>.</w:t>
      </w:r>
    </w:p>
    <w:p w14:paraId="558F5DC0" w14:textId="17CB413E" w:rsidR="00B70099" w:rsidRDefault="00D5229C"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Әзірбайжан ЖАО-ры жоба мақсатына қарай белгілі бағыттары бойынша негізгі қорытындылар бергенін атап өтуге болады. </w:t>
      </w:r>
    </w:p>
    <w:p w14:paraId="0CB97631" w14:textId="3D5734BF" w:rsidR="00E67346" w:rsidRPr="00457CE9" w:rsidRDefault="00E67346"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Бразилия Федеративтік Республикасының Есеп соты шағын (отбасылық) фермерлік шаруашылықтарды мемлекеттік қолдаудың тиімділігін 2019 жылы тексерді</w:t>
      </w:r>
      <w:r w:rsidR="00E607E4" w:rsidRPr="00457CE9">
        <w:rPr>
          <w:rFonts w:ascii="Times New Roman" w:hAnsi="Times New Roman"/>
          <w:sz w:val="28"/>
          <w:szCs w:val="28"/>
          <w:lang w:val="kk-KZ"/>
        </w:rPr>
        <w:t xml:space="preserve"> [</w:t>
      </w:r>
      <w:r w:rsidR="00144AD4">
        <w:rPr>
          <w:rFonts w:ascii="Times New Roman" w:hAnsi="Times New Roman"/>
          <w:sz w:val="28"/>
          <w:szCs w:val="28"/>
          <w:lang w:val="kk-KZ"/>
        </w:rPr>
        <w:t>6</w:t>
      </w:r>
      <w:r w:rsidR="000258A6" w:rsidRPr="000258A6">
        <w:rPr>
          <w:rFonts w:ascii="Times New Roman" w:hAnsi="Times New Roman"/>
          <w:sz w:val="28"/>
          <w:szCs w:val="28"/>
          <w:lang w:val="kk-KZ"/>
        </w:rPr>
        <w:t>6</w:t>
      </w:r>
      <w:r w:rsidR="009B4A7C" w:rsidRPr="009B4A7C">
        <w:rPr>
          <w:rFonts w:ascii="Times New Roman" w:hAnsi="Times New Roman"/>
          <w:sz w:val="28"/>
          <w:szCs w:val="28"/>
          <w:lang w:val="kk-KZ"/>
        </w:rPr>
        <w:t>, c. 96</w:t>
      </w:r>
      <w:r w:rsidR="00E607E4" w:rsidRPr="00457CE9">
        <w:rPr>
          <w:rFonts w:ascii="Times New Roman" w:hAnsi="Times New Roman"/>
          <w:sz w:val="28"/>
          <w:szCs w:val="28"/>
          <w:lang w:val="kk-KZ"/>
        </w:rPr>
        <w:t>]</w:t>
      </w:r>
      <w:r w:rsidRPr="00457CE9">
        <w:rPr>
          <w:rFonts w:ascii="Times New Roman" w:hAnsi="Times New Roman"/>
          <w:sz w:val="28"/>
          <w:szCs w:val="28"/>
          <w:lang w:val="kk-KZ"/>
        </w:rPr>
        <w:t xml:space="preserve">. Аудиторлар мұндай шаруашылықтарды технологиялық және қаржылық қолдаудың жеткіліксіздігі туралы қорытындыға келді. </w:t>
      </w:r>
    </w:p>
    <w:p w14:paraId="5609C58C" w14:textId="5E7FFFEF" w:rsidR="003A1156" w:rsidRPr="00457CE9" w:rsidRDefault="009E73A2" w:rsidP="00D5229C">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Бразилиядағы ауылдық кәсіпорындардың 84 пайызы отбасылық шаруа қожалықтары. Шаруашылықтың бұл түрі барлық агроөнеркәсіптік аумақтарының 24 пайызын алып жатыр және 20 мың адамға дейінгі халқы бар өңірлердің 90 пайызы экономикасының негізін құрайды. </w:t>
      </w:r>
      <w:r w:rsidR="003A1156" w:rsidRPr="00457CE9">
        <w:rPr>
          <w:rFonts w:ascii="Times New Roman" w:hAnsi="Times New Roman"/>
          <w:sz w:val="28"/>
          <w:szCs w:val="28"/>
          <w:lang w:val="kk-KZ"/>
        </w:rPr>
        <w:t>Зерттеу барысында ЖАО фермерлерді технологиялық және қаржылық қолдау мәселелерін, сондай-ақ олардың өнімдерін өткізу нарығына жылжыту мақсатында шағын фермерлік шаруашылықтарға маркетингтік қызметтер көрсетуді зерттеді.</w:t>
      </w:r>
      <w:r w:rsidR="00D5229C">
        <w:rPr>
          <w:rFonts w:ascii="Times New Roman" w:hAnsi="Times New Roman"/>
          <w:sz w:val="28"/>
          <w:szCs w:val="28"/>
          <w:lang w:val="kk-KZ"/>
        </w:rPr>
        <w:t xml:space="preserve"> </w:t>
      </w:r>
      <w:r w:rsidR="003A1156" w:rsidRPr="00457CE9">
        <w:rPr>
          <w:rFonts w:ascii="Times New Roman" w:hAnsi="Times New Roman"/>
          <w:sz w:val="28"/>
          <w:szCs w:val="28"/>
          <w:lang w:val="kk-KZ"/>
        </w:rPr>
        <w:t xml:space="preserve">Талдау нәтижелері бойынша </w:t>
      </w:r>
      <w:r w:rsidR="00E60641" w:rsidRPr="00457CE9">
        <w:rPr>
          <w:rFonts w:ascii="Times New Roman" w:hAnsi="Times New Roman"/>
          <w:sz w:val="28"/>
          <w:szCs w:val="28"/>
          <w:lang w:val="kk-KZ"/>
        </w:rPr>
        <w:t xml:space="preserve">мемлекеттік </w:t>
      </w:r>
      <w:r w:rsidR="003A1156" w:rsidRPr="00457CE9">
        <w:rPr>
          <w:rFonts w:ascii="Times New Roman" w:hAnsi="Times New Roman"/>
          <w:sz w:val="28"/>
          <w:szCs w:val="28"/>
          <w:lang w:val="kk-KZ"/>
        </w:rPr>
        <w:t>аудиторлар бірқатар кемшіліктерді анықтады:</w:t>
      </w:r>
    </w:p>
    <w:p w14:paraId="7AE08068" w14:textId="77777777" w:rsidR="00B027B4" w:rsidRPr="00457CE9" w:rsidRDefault="003A1156"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фермерлерге көрсетілетін қызметтердің төмен тиімділігі, ұзақ мерзімді қызметтердің, ауыл шаруашылығын қолдаудың ұзақ мерзімді </w:t>
      </w:r>
      <w:r w:rsidR="00B027B4" w:rsidRPr="00457CE9">
        <w:rPr>
          <w:rFonts w:ascii="Times New Roman" w:hAnsi="Times New Roman"/>
          <w:sz w:val="28"/>
          <w:szCs w:val="28"/>
          <w:lang w:val="kk-KZ"/>
        </w:rPr>
        <w:t xml:space="preserve">стратегиялық құжаттардың </w:t>
      </w:r>
      <w:r w:rsidRPr="00457CE9">
        <w:rPr>
          <w:rFonts w:ascii="Times New Roman" w:hAnsi="Times New Roman"/>
          <w:sz w:val="28"/>
          <w:szCs w:val="28"/>
          <w:lang w:val="kk-KZ"/>
        </w:rPr>
        <w:t>болмауы</w:t>
      </w:r>
      <w:r w:rsidR="00B027B4" w:rsidRPr="00457CE9">
        <w:rPr>
          <w:rFonts w:ascii="Times New Roman" w:hAnsi="Times New Roman"/>
          <w:sz w:val="28"/>
          <w:szCs w:val="28"/>
          <w:lang w:val="kk-KZ"/>
        </w:rPr>
        <w:t>;</w:t>
      </w:r>
    </w:p>
    <w:p w14:paraId="145AC6C8" w14:textId="77777777" w:rsidR="00B027B4" w:rsidRPr="00457CE9" w:rsidRDefault="00B027B4"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қаржыландыруды қамтамасыз етудегі бюрократиялық кедергілер ауыл шаруашылығы қызметін жүргізудің табыстылығын шектейді;</w:t>
      </w:r>
    </w:p>
    <w:p w14:paraId="7C1A372C" w14:textId="49742C55" w:rsidR="00AB672B" w:rsidRPr="00457CE9" w:rsidRDefault="00B027B4"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мектепте тамақтандырудың ұлттық бағдарламасы шеңберінде отбасылық фермерлік шаруашылықтардан мемлекеттік сатып алуды жүзеге асыру бойынша 30 </w:t>
      </w:r>
      <w:r w:rsidR="00AB672B" w:rsidRPr="00457CE9">
        <w:rPr>
          <w:rFonts w:ascii="Times New Roman" w:hAnsi="Times New Roman"/>
          <w:sz w:val="28"/>
          <w:szCs w:val="28"/>
          <w:lang w:val="kk-KZ"/>
        </w:rPr>
        <w:t>пайыз мақсатын орындамауы</w:t>
      </w:r>
      <w:r w:rsidR="00C3477B" w:rsidRPr="00C3477B">
        <w:rPr>
          <w:rFonts w:ascii="Times New Roman" w:hAnsi="Times New Roman"/>
          <w:sz w:val="28"/>
          <w:szCs w:val="28"/>
          <w:lang w:val="kk-KZ"/>
        </w:rPr>
        <w:t xml:space="preserve"> </w:t>
      </w:r>
      <w:r w:rsidR="00C3477B" w:rsidRPr="00457CE9">
        <w:rPr>
          <w:rFonts w:ascii="Times New Roman" w:hAnsi="Times New Roman"/>
          <w:sz w:val="28"/>
          <w:szCs w:val="28"/>
          <w:lang w:val="kk-KZ"/>
        </w:rPr>
        <w:t>[</w:t>
      </w:r>
      <w:r w:rsidR="00C3477B">
        <w:rPr>
          <w:rFonts w:ascii="Times New Roman" w:hAnsi="Times New Roman"/>
          <w:sz w:val="28"/>
          <w:szCs w:val="28"/>
          <w:lang w:val="kk-KZ"/>
        </w:rPr>
        <w:t>6</w:t>
      </w:r>
      <w:r w:rsidR="000258A6" w:rsidRPr="000258A6">
        <w:rPr>
          <w:rFonts w:ascii="Times New Roman" w:hAnsi="Times New Roman"/>
          <w:sz w:val="28"/>
          <w:szCs w:val="28"/>
          <w:lang w:val="kk-KZ"/>
        </w:rPr>
        <w:t>6</w:t>
      </w:r>
      <w:r w:rsidR="00C3477B" w:rsidRPr="009B4A7C">
        <w:rPr>
          <w:rFonts w:ascii="Times New Roman" w:hAnsi="Times New Roman"/>
          <w:sz w:val="28"/>
          <w:szCs w:val="28"/>
          <w:lang w:val="kk-KZ"/>
        </w:rPr>
        <w:t xml:space="preserve">, </w:t>
      </w:r>
      <w:r w:rsidR="00C3477B" w:rsidRPr="00C3477B">
        <w:rPr>
          <w:rFonts w:ascii="Times New Roman" w:hAnsi="Times New Roman"/>
          <w:sz w:val="28"/>
          <w:szCs w:val="28"/>
          <w:lang w:val="kk-KZ"/>
        </w:rPr>
        <w:t>c.97</w:t>
      </w:r>
      <w:r w:rsidR="00C3477B" w:rsidRPr="00457CE9">
        <w:rPr>
          <w:rFonts w:ascii="Times New Roman" w:hAnsi="Times New Roman"/>
          <w:sz w:val="28"/>
          <w:szCs w:val="28"/>
          <w:lang w:val="kk-KZ"/>
        </w:rPr>
        <w:t>]</w:t>
      </w:r>
      <w:r w:rsidR="00782F91">
        <w:rPr>
          <w:rFonts w:ascii="Times New Roman" w:hAnsi="Times New Roman"/>
          <w:sz w:val="28"/>
          <w:szCs w:val="28"/>
          <w:lang w:val="kk-KZ"/>
        </w:rPr>
        <w:t>.</w:t>
      </w:r>
    </w:p>
    <w:p w14:paraId="1EDD775F" w14:textId="463DDC1F" w:rsidR="003A1156" w:rsidRDefault="00AB672B" w:rsidP="00782F91">
      <w:pPr>
        <w:widowControl w:val="0"/>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ЖАО Үкіметке, Ауыл шаруашылығы, мал шаруашылығы және жабдықтау министрлігіне, сондай-ақ отбасылық фермерлік және аграрлық даму хатшылығына құқықтық және экономикалық мәселелерді шешу мақсатында жануарлардан алынатын азық-түлік өндірісін бақылауға байланысты қолданыстағы нормативтік-құқықтық базаға өзгерістер енгізу</w:t>
      </w:r>
      <w:r w:rsidR="00261DC5" w:rsidRPr="00457CE9">
        <w:rPr>
          <w:rFonts w:ascii="Times New Roman" w:hAnsi="Times New Roman"/>
          <w:sz w:val="28"/>
          <w:szCs w:val="28"/>
          <w:lang w:val="kk-KZ"/>
        </w:rPr>
        <w:t>ді ұсынды</w:t>
      </w:r>
      <w:r w:rsidR="003A1156" w:rsidRPr="00457CE9">
        <w:rPr>
          <w:rFonts w:ascii="Times New Roman" w:hAnsi="Times New Roman"/>
          <w:sz w:val="28"/>
          <w:szCs w:val="28"/>
          <w:lang w:val="kk-KZ"/>
        </w:rPr>
        <w:t>.</w:t>
      </w:r>
    </w:p>
    <w:p w14:paraId="62B67266" w14:textId="71F93A0A" w:rsidR="00D5229C" w:rsidRDefault="00D5229C" w:rsidP="00D5229C">
      <w:pPr>
        <w:widowControl w:val="0"/>
        <w:tabs>
          <w:tab w:val="left" w:pos="851"/>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Тиімділік аудиті негізінде негізгі қорытындыларынан тиімділігінің төмендігін пайдаланушы түсіне алатынын және ұсыныстар берілгенін атап өтуге болады.</w:t>
      </w:r>
    </w:p>
    <w:p w14:paraId="43A1193B" w14:textId="054C7F25" w:rsidR="009E73A2" w:rsidRPr="00457CE9" w:rsidRDefault="00261DC5" w:rsidP="00D5229C">
      <w:pPr>
        <w:widowControl w:val="0"/>
        <w:tabs>
          <w:tab w:val="left" w:pos="851"/>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 xml:space="preserve">Данияның ЖАО </w:t>
      </w:r>
      <w:r w:rsidR="00C731FC" w:rsidRPr="00457CE9">
        <w:rPr>
          <w:rFonts w:ascii="Times New Roman" w:hAnsi="Times New Roman"/>
          <w:sz w:val="28"/>
          <w:szCs w:val="28"/>
          <w:lang w:val="kk-KZ"/>
        </w:rPr>
        <w:t>ұлттық фермерлерге берілетін Еуроодақ қаржылық қолдаудың тиімділік аудитін 2021 жылы жүргізді. 2014-2019 жыл аралығында Ауыл аймақтарын дамытуды іске асыру Бағдарламасына (Rural Development Programme) жыл сайын 7 млрд. даттық крон</w:t>
      </w:r>
      <w:r w:rsidR="00066C58" w:rsidRPr="00457CE9">
        <w:rPr>
          <w:rFonts w:ascii="Times New Roman" w:hAnsi="Times New Roman"/>
          <w:sz w:val="28"/>
          <w:szCs w:val="28"/>
          <w:lang w:val="kk-KZ"/>
        </w:rPr>
        <w:t xml:space="preserve"> (1,04 млрд. АҚШ доллары)</w:t>
      </w:r>
      <w:r w:rsidR="00C731FC" w:rsidRPr="00457CE9">
        <w:rPr>
          <w:rFonts w:ascii="Times New Roman" w:hAnsi="Times New Roman"/>
          <w:sz w:val="28"/>
          <w:szCs w:val="28"/>
          <w:lang w:val="kk-KZ"/>
        </w:rPr>
        <w:t xml:space="preserve"> бөлінген. Бағдарлама мақсаты – фермерлік секторды дамытуды қолдау, экологиялық қауіпсіз және климаттық ауыл шаруашылығын жүргізудің қолайлы әдістері, сондай-ақ ауылдық жерлерде табиғи ресурстарды орнықты </w:t>
      </w:r>
      <w:r w:rsidR="00ED2E07" w:rsidRPr="00457CE9">
        <w:rPr>
          <w:rFonts w:ascii="Times New Roman" w:hAnsi="Times New Roman"/>
          <w:sz w:val="28"/>
          <w:szCs w:val="28"/>
          <w:lang w:val="kk-KZ"/>
        </w:rPr>
        <w:t>ауылдық жерлерде табиғи ресурстарды орнықты пайдалануға жәрдемдесу. Бағдарламаны Данияның Азық-түліктік, ауыл шаруашылығы және балық шаруашылығы министрлігі (Ministry of Food, Agriculture and Fisheries’ administration) басқарады</w:t>
      </w:r>
      <w:r w:rsidR="00745535" w:rsidRPr="00457CE9">
        <w:rPr>
          <w:rFonts w:ascii="Times New Roman" w:hAnsi="Times New Roman"/>
          <w:sz w:val="28"/>
          <w:szCs w:val="28"/>
          <w:lang w:val="kk-KZ"/>
        </w:rPr>
        <w:t xml:space="preserve"> [</w:t>
      </w:r>
      <w:r w:rsidR="00E607E4" w:rsidRPr="00457CE9">
        <w:rPr>
          <w:rFonts w:ascii="Times New Roman" w:hAnsi="Times New Roman"/>
          <w:sz w:val="28"/>
          <w:szCs w:val="28"/>
          <w:lang w:val="kk-KZ"/>
        </w:rPr>
        <w:t>6</w:t>
      </w:r>
      <w:r w:rsidR="000258A6" w:rsidRPr="000258A6">
        <w:rPr>
          <w:rFonts w:ascii="Times New Roman" w:hAnsi="Times New Roman"/>
          <w:sz w:val="28"/>
          <w:szCs w:val="28"/>
          <w:lang w:val="kk-KZ"/>
        </w:rPr>
        <w:t>6</w:t>
      </w:r>
      <w:r w:rsidR="00C3477B" w:rsidRPr="00C3477B">
        <w:rPr>
          <w:rFonts w:ascii="Times New Roman" w:hAnsi="Times New Roman"/>
          <w:sz w:val="28"/>
          <w:szCs w:val="28"/>
          <w:lang w:val="kk-KZ"/>
        </w:rPr>
        <w:t>, c.97</w:t>
      </w:r>
      <w:r w:rsidR="00745535" w:rsidRPr="00457CE9">
        <w:rPr>
          <w:rFonts w:ascii="Times New Roman" w:hAnsi="Times New Roman"/>
          <w:sz w:val="28"/>
          <w:szCs w:val="28"/>
          <w:lang w:val="kk-KZ"/>
        </w:rPr>
        <w:t>]</w:t>
      </w:r>
      <w:r w:rsidR="00ED2E07" w:rsidRPr="00457CE9">
        <w:rPr>
          <w:rFonts w:ascii="Times New Roman" w:hAnsi="Times New Roman"/>
          <w:sz w:val="28"/>
          <w:szCs w:val="28"/>
          <w:lang w:val="kk-KZ"/>
        </w:rPr>
        <w:t>.</w:t>
      </w:r>
    </w:p>
    <w:p w14:paraId="02E89F07" w14:textId="4E073E85" w:rsidR="008B3551" w:rsidRPr="00457CE9" w:rsidRDefault="00ED2E07"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Аудиторлар бюджет қаражатын жұмсаудың орындылығын және мақсаттардың қойылған міндеттерге сәйкестігін зерттеді. Мысалы, 138 фермер </w:t>
      </w:r>
      <w:r w:rsidR="00066C58" w:rsidRPr="00457CE9">
        <w:rPr>
          <w:rFonts w:ascii="Times New Roman" w:hAnsi="Times New Roman"/>
          <w:sz w:val="28"/>
          <w:szCs w:val="28"/>
          <w:lang w:val="kk-KZ"/>
        </w:rPr>
        <w:t>3,6 млн. дат кронын (530 мың АҚШ доллары) тікелей төлемін алды. Тағы 19 фермер экологиялық технологияларды қолдау бағдарламасы аясында 28 млн. дат кронын (4,1 млн. АҚШ доллары) дота</w:t>
      </w:r>
      <w:r w:rsidR="008B3551" w:rsidRPr="00457CE9">
        <w:rPr>
          <w:rFonts w:ascii="Times New Roman" w:hAnsi="Times New Roman"/>
          <w:sz w:val="28"/>
          <w:szCs w:val="28"/>
          <w:lang w:val="kk-KZ"/>
        </w:rPr>
        <w:t>циясын алған</w:t>
      </w:r>
      <w:r w:rsidR="00144AD4">
        <w:rPr>
          <w:rFonts w:ascii="Times New Roman" w:hAnsi="Times New Roman"/>
          <w:sz w:val="28"/>
          <w:szCs w:val="28"/>
          <w:lang w:val="kk-KZ"/>
        </w:rPr>
        <w:t xml:space="preserve"> </w:t>
      </w:r>
      <w:r w:rsidR="00144AD4" w:rsidRPr="003D4F30">
        <w:rPr>
          <w:rFonts w:ascii="Times New Roman" w:hAnsi="Times New Roman"/>
          <w:sz w:val="28"/>
          <w:szCs w:val="28"/>
          <w:lang w:val="kk-KZ"/>
        </w:rPr>
        <w:t>[6</w:t>
      </w:r>
      <w:r w:rsidR="000258A6" w:rsidRPr="00252193">
        <w:rPr>
          <w:rFonts w:ascii="Times New Roman" w:hAnsi="Times New Roman"/>
          <w:sz w:val="28"/>
          <w:szCs w:val="28"/>
          <w:lang w:val="kk-KZ"/>
        </w:rPr>
        <w:t>6</w:t>
      </w:r>
      <w:r w:rsidR="009B4A7C">
        <w:rPr>
          <w:rFonts w:ascii="Times New Roman" w:hAnsi="Times New Roman"/>
          <w:sz w:val="28"/>
          <w:szCs w:val="28"/>
          <w:lang w:val="kk-KZ"/>
        </w:rPr>
        <w:t>, с. 97</w:t>
      </w:r>
      <w:r w:rsidR="00144AD4" w:rsidRPr="003D4F30">
        <w:rPr>
          <w:rFonts w:ascii="Times New Roman" w:hAnsi="Times New Roman"/>
          <w:sz w:val="28"/>
          <w:szCs w:val="28"/>
          <w:lang w:val="kk-KZ"/>
        </w:rPr>
        <w:t>]</w:t>
      </w:r>
      <w:r w:rsidR="008B3551" w:rsidRPr="00457CE9">
        <w:rPr>
          <w:rFonts w:ascii="Times New Roman" w:hAnsi="Times New Roman"/>
          <w:sz w:val="28"/>
          <w:szCs w:val="28"/>
          <w:lang w:val="kk-KZ"/>
        </w:rPr>
        <w:t>.</w:t>
      </w:r>
    </w:p>
    <w:p w14:paraId="6919D840" w14:textId="34F2A5BE" w:rsidR="00BD1BEB" w:rsidRPr="00457CE9" w:rsidRDefault="008B3551"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Аудит қорытындысы бойынша ЖАО Азық-түлік, ауыл шаруашылығы және балық шаруашылығы министрлігі фермерлерге төлемдерді тиісті басқаруды қамтамасыз етпегенін анықтады. Атап айтқанда, Ауыл шаруашылығы агенттігі (Danish Agricultural Agency) фермерлерден меншік құрылымдары туралы тиісті ақпарат ала алмады. Кейбір фермерлер ауыл шаруашылық алқаптарын бірнеше бөлікке бөлу арқылы қосымша заңсыз қолдау сұраған болуы мүмкін. Алайда Данияның ауылшаруашылық агенттігі бірнеше шаруа қожалықтары бар фермерлердің қаржыландыру критерийлеріне сәйкес келетіндігін анықтау үшін </w:t>
      </w:r>
      <w:r w:rsidR="00BD1BEB" w:rsidRPr="00457CE9">
        <w:rPr>
          <w:rFonts w:ascii="Times New Roman" w:hAnsi="Times New Roman"/>
          <w:sz w:val="28"/>
          <w:szCs w:val="28"/>
          <w:lang w:val="kk-KZ"/>
        </w:rPr>
        <w:t>негізгі тексерулер жүргізген жоқ. Есепте ЖАО ұсыныстар бермеген</w:t>
      </w:r>
      <w:r w:rsidR="00745535" w:rsidRPr="00457CE9">
        <w:rPr>
          <w:rFonts w:ascii="Times New Roman" w:hAnsi="Times New Roman"/>
          <w:sz w:val="28"/>
          <w:szCs w:val="28"/>
          <w:lang w:val="kk-KZ"/>
        </w:rPr>
        <w:t xml:space="preserve"> [</w:t>
      </w:r>
      <w:r w:rsidR="00E607E4" w:rsidRPr="00457CE9">
        <w:rPr>
          <w:rFonts w:ascii="Times New Roman" w:hAnsi="Times New Roman"/>
          <w:sz w:val="28"/>
          <w:szCs w:val="28"/>
          <w:lang w:val="kk-KZ"/>
        </w:rPr>
        <w:t>6</w:t>
      </w:r>
      <w:r w:rsidR="000258A6" w:rsidRPr="00252193">
        <w:rPr>
          <w:rFonts w:ascii="Times New Roman" w:hAnsi="Times New Roman"/>
          <w:sz w:val="28"/>
          <w:szCs w:val="28"/>
          <w:lang w:val="kk-KZ"/>
        </w:rPr>
        <w:t>6</w:t>
      </w:r>
      <w:r w:rsidR="009B4A7C">
        <w:rPr>
          <w:rFonts w:ascii="Times New Roman" w:hAnsi="Times New Roman"/>
          <w:sz w:val="28"/>
          <w:szCs w:val="28"/>
          <w:lang w:val="kk-KZ"/>
        </w:rPr>
        <w:t>, с.97</w:t>
      </w:r>
      <w:r w:rsidR="00745535" w:rsidRPr="00457CE9">
        <w:rPr>
          <w:rFonts w:ascii="Times New Roman" w:hAnsi="Times New Roman"/>
          <w:sz w:val="28"/>
          <w:szCs w:val="28"/>
          <w:lang w:val="kk-KZ"/>
        </w:rPr>
        <w:t>]</w:t>
      </w:r>
      <w:r w:rsidR="00BD1BEB" w:rsidRPr="00457CE9">
        <w:rPr>
          <w:rFonts w:ascii="Times New Roman" w:hAnsi="Times New Roman"/>
          <w:sz w:val="28"/>
          <w:szCs w:val="28"/>
          <w:lang w:val="kk-KZ"/>
        </w:rPr>
        <w:t xml:space="preserve">. </w:t>
      </w:r>
    </w:p>
    <w:p w14:paraId="2F1B0777" w14:textId="77777777" w:rsidR="00BD1BEB" w:rsidRPr="00457CE9" w:rsidRDefault="00BD1BEB"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Молдова ЖАО 2017-2020 жж. арналған топырақ құнарлығын сақтау және арттыру бағдарламасының тиімділік аудитін жүргізді. Бағдарлама негізгі төрт тапсырманы қамтыды:</w:t>
      </w:r>
    </w:p>
    <w:p w14:paraId="29565334" w14:textId="4A4E1C0C" w:rsidR="00ED2E07" w:rsidRPr="00457CE9" w:rsidRDefault="00BD1BEB"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жерді мелиорациялау бойынша жұмыстардың орындалуын қамтамасыз ету үшін ғылыми-техникалық базаны құру, жетілдіру және оны тұрақты жаңарту;</w:t>
      </w:r>
    </w:p>
    <w:p w14:paraId="14DF603B" w14:textId="62F9890A" w:rsidR="00BD1BEB" w:rsidRPr="00457CE9" w:rsidRDefault="00BD1BEB"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топырақ сапасын бақылаудың ақпараттық жүйесін құру;</w:t>
      </w:r>
    </w:p>
    <w:p w14:paraId="1A0B2A2A" w14:textId="46FFC322" w:rsidR="00BD1BEB" w:rsidRPr="00457CE9" w:rsidRDefault="00BD1BEB"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топырақ жамылғысының деградациясының белсенді түрлерінің дамуын болдырмау;</w:t>
      </w:r>
    </w:p>
    <w:p w14:paraId="5CEDC37F" w14:textId="6CD6A546" w:rsidR="00BD1BEB" w:rsidRPr="00457CE9" w:rsidRDefault="00BD1BEB"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топырақ құнарлығын сақтау және арттыру әдістерін енгізу</w:t>
      </w:r>
      <w:r w:rsidR="00E607E4" w:rsidRPr="00457CE9">
        <w:rPr>
          <w:rFonts w:ascii="Times New Roman" w:hAnsi="Times New Roman"/>
          <w:sz w:val="28"/>
          <w:szCs w:val="28"/>
          <w:lang w:val="kk-KZ"/>
        </w:rPr>
        <w:t xml:space="preserve"> [</w:t>
      </w:r>
      <w:r w:rsidR="009B4A7C">
        <w:rPr>
          <w:rFonts w:ascii="Times New Roman" w:hAnsi="Times New Roman"/>
          <w:sz w:val="28"/>
          <w:szCs w:val="28"/>
          <w:lang w:val="kk-KZ"/>
        </w:rPr>
        <w:t>6</w:t>
      </w:r>
      <w:r w:rsidR="000258A6" w:rsidRPr="000258A6">
        <w:rPr>
          <w:rFonts w:ascii="Times New Roman" w:hAnsi="Times New Roman"/>
          <w:sz w:val="28"/>
          <w:szCs w:val="28"/>
          <w:lang w:val="kk-KZ"/>
        </w:rPr>
        <w:t>6</w:t>
      </w:r>
      <w:r w:rsidR="009B4A7C">
        <w:rPr>
          <w:rFonts w:ascii="Times New Roman" w:hAnsi="Times New Roman"/>
          <w:sz w:val="28"/>
          <w:szCs w:val="28"/>
          <w:lang w:val="kk-KZ"/>
        </w:rPr>
        <w:t>, с.98</w:t>
      </w:r>
      <w:r w:rsidR="00E607E4" w:rsidRPr="00457CE9">
        <w:rPr>
          <w:rFonts w:ascii="Times New Roman" w:hAnsi="Times New Roman"/>
          <w:sz w:val="28"/>
          <w:szCs w:val="28"/>
          <w:lang w:val="kk-KZ"/>
        </w:rPr>
        <w:t>]</w:t>
      </w:r>
      <w:r w:rsidRPr="00457CE9">
        <w:rPr>
          <w:rFonts w:ascii="Times New Roman" w:hAnsi="Times New Roman"/>
          <w:sz w:val="28"/>
          <w:szCs w:val="28"/>
          <w:lang w:val="kk-KZ"/>
        </w:rPr>
        <w:t>.</w:t>
      </w:r>
    </w:p>
    <w:p w14:paraId="46C7FE46" w14:textId="743B49B3" w:rsidR="00407E3C" w:rsidRPr="00457CE9" w:rsidRDefault="00BD1BEB"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Тексеру топырақ ресурстарын қорғау, жақсарту және тұрақты пайдалану антропогендік қысымды күшейту жағдайында мемлекеттің негізгі стратегиялық мақсаттарына айналғанын анықтады.</w:t>
      </w:r>
      <w:r w:rsidR="00146D67"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Молдовада ұзақ уақыт бойы топырақ </w:t>
      </w:r>
      <w:r w:rsidR="00D5736A" w:rsidRPr="00457CE9">
        <w:rPr>
          <w:rFonts w:ascii="Times New Roman" w:hAnsi="Times New Roman"/>
          <w:sz w:val="28"/>
          <w:szCs w:val="28"/>
          <w:lang w:val="kk-KZ"/>
        </w:rPr>
        <w:t xml:space="preserve">жүйесіз </w:t>
      </w:r>
      <w:r w:rsidRPr="00457CE9">
        <w:rPr>
          <w:rFonts w:ascii="Times New Roman" w:hAnsi="Times New Roman"/>
          <w:sz w:val="28"/>
          <w:szCs w:val="28"/>
          <w:lang w:val="kk-KZ"/>
        </w:rPr>
        <w:t>кездейсоқ игеріліп, оларды</w:t>
      </w:r>
      <w:r w:rsidR="00D5736A" w:rsidRPr="00457CE9">
        <w:rPr>
          <w:rFonts w:ascii="Times New Roman" w:hAnsi="Times New Roman"/>
          <w:sz w:val="28"/>
          <w:szCs w:val="28"/>
          <w:lang w:val="kk-KZ"/>
        </w:rPr>
        <w:t xml:space="preserve">ң жағдайының деградациясына әкелді. Бұл құбылыс негізінен дақылдардың қалдықтарын жағу тәжірибесін немесе арамшөптермен күресу және егу үшін жаңа топырақ қабатын дайындау арқылы топырақтың терең инверсиясын қолданатын ұлттық фермерлердің қызметімен байланысты. Мұндай әдістер топырақтың деградациясына теріс әсер етеді, жер үсті және асты суларының шөгінділер мен пестицидтермен тығыздалуына, эрозиясына және ластауына алып келеді. Сонымен бірге аудиторлар ауыл шаруашылығы саласындағы нысаналы міндеттер мен қаржыландыру көлемін анықтау бойынша қолданыстағы жүйені бағалады. </w:t>
      </w:r>
      <w:r w:rsidR="00FF67D8" w:rsidRPr="00457CE9">
        <w:rPr>
          <w:rFonts w:ascii="Times New Roman" w:hAnsi="Times New Roman"/>
          <w:sz w:val="28"/>
          <w:szCs w:val="28"/>
          <w:lang w:val="kk-KZ"/>
        </w:rPr>
        <w:t xml:space="preserve">Рәсімдердің сәйкес келмеуі және үрдістің жалпы тиімсіздігі бірқатар объектілерді енгізу </w:t>
      </w:r>
      <w:r w:rsidR="004A159A" w:rsidRPr="00457CE9">
        <w:rPr>
          <w:rFonts w:ascii="Times New Roman" w:hAnsi="Times New Roman"/>
          <w:sz w:val="28"/>
          <w:szCs w:val="28"/>
          <w:lang w:val="kk-KZ"/>
        </w:rPr>
        <w:t>мерзімдерінің ауысуына немесе кейбір шаралардың орындалмауына әкелді. Мысалы, жоспарлау үрдісінің кемшіліктері 2019-2020 жж. бюджетті нақтылаумен аяқталды</w:t>
      </w:r>
      <w:r w:rsidR="00E607E4" w:rsidRPr="00457CE9">
        <w:rPr>
          <w:rFonts w:ascii="Times New Roman" w:hAnsi="Times New Roman"/>
          <w:sz w:val="28"/>
          <w:szCs w:val="28"/>
          <w:lang w:val="kk-KZ"/>
        </w:rPr>
        <w:t xml:space="preserve"> [</w:t>
      </w:r>
      <w:r w:rsidR="009B4A7C">
        <w:rPr>
          <w:rFonts w:ascii="Times New Roman" w:hAnsi="Times New Roman"/>
          <w:sz w:val="28"/>
          <w:szCs w:val="28"/>
          <w:lang w:val="kk-KZ"/>
        </w:rPr>
        <w:t>6</w:t>
      </w:r>
      <w:r w:rsidR="000258A6" w:rsidRPr="00252193">
        <w:rPr>
          <w:rFonts w:ascii="Times New Roman" w:hAnsi="Times New Roman"/>
          <w:sz w:val="28"/>
          <w:szCs w:val="28"/>
          <w:lang w:val="kk-KZ"/>
        </w:rPr>
        <w:t>6</w:t>
      </w:r>
      <w:r w:rsidR="009B4A7C">
        <w:rPr>
          <w:rFonts w:ascii="Times New Roman" w:hAnsi="Times New Roman"/>
          <w:sz w:val="28"/>
          <w:szCs w:val="28"/>
          <w:lang w:val="kk-KZ"/>
        </w:rPr>
        <w:t>, с. 98</w:t>
      </w:r>
      <w:r w:rsidR="00E607E4" w:rsidRPr="00457CE9">
        <w:rPr>
          <w:rFonts w:ascii="Times New Roman" w:hAnsi="Times New Roman"/>
          <w:sz w:val="28"/>
          <w:szCs w:val="28"/>
          <w:lang w:val="kk-KZ"/>
        </w:rPr>
        <w:t>]</w:t>
      </w:r>
      <w:r w:rsidR="004A159A" w:rsidRPr="00457CE9">
        <w:rPr>
          <w:rFonts w:ascii="Times New Roman" w:hAnsi="Times New Roman"/>
          <w:sz w:val="28"/>
          <w:szCs w:val="28"/>
          <w:lang w:val="kk-KZ"/>
        </w:rPr>
        <w:t xml:space="preserve">. </w:t>
      </w:r>
      <w:r w:rsidR="00D5736A" w:rsidRPr="00457CE9">
        <w:rPr>
          <w:rFonts w:ascii="Times New Roman" w:hAnsi="Times New Roman"/>
          <w:sz w:val="28"/>
          <w:szCs w:val="28"/>
          <w:lang w:val="kk-KZ"/>
        </w:rPr>
        <w:t xml:space="preserve"> </w:t>
      </w:r>
    </w:p>
    <w:p w14:paraId="4BC656CB" w14:textId="7C587DFC" w:rsidR="009855B3" w:rsidRPr="00457CE9" w:rsidRDefault="00407E3C"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Жер қатынастары және кадастр агенттігі 2019-2020 жж. бөлінген объектілермен және қаржы қаражаттарымен тізбелердің жоқтығына сілтеме жасай отырып, бюджеттік нақтылау жөніндегі рәсімдер щеңберінде мемлекеттік бюджетке 1,1 млн. АҚШ долларынан астам қайтарды, бұл қаржы қаражатының жалпы сомасының </w:t>
      </w:r>
      <w:r w:rsidR="009855B3" w:rsidRPr="00457CE9">
        <w:rPr>
          <w:rFonts w:ascii="Times New Roman" w:hAnsi="Times New Roman"/>
          <w:sz w:val="28"/>
          <w:szCs w:val="28"/>
          <w:lang w:val="kk-KZ"/>
        </w:rPr>
        <w:t xml:space="preserve">осы жылдарға бекітілген </w:t>
      </w:r>
      <w:r w:rsidRPr="00457CE9">
        <w:rPr>
          <w:rFonts w:ascii="Times New Roman" w:hAnsi="Times New Roman"/>
          <w:sz w:val="28"/>
          <w:szCs w:val="28"/>
          <w:lang w:val="kk-KZ"/>
        </w:rPr>
        <w:t>84,1 пайызын құрады</w:t>
      </w:r>
      <w:r w:rsidR="009855B3" w:rsidRPr="00457CE9">
        <w:rPr>
          <w:rFonts w:ascii="Times New Roman" w:hAnsi="Times New Roman"/>
          <w:sz w:val="28"/>
          <w:szCs w:val="28"/>
          <w:lang w:val="kk-KZ"/>
        </w:rPr>
        <w:t>. Ауыл шаруашылығы өңірлік даму және қоршаған орта министрлігі мен жер қатынастары және кадастр агенттігі аудитінің қорытындысы бойынша мынадай ұсыныстар берілді:</w:t>
      </w:r>
    </w:p>
    <w:p w14:paraId="267A76E2" w14:textId="6BDB17ED" w:rsidR="009855B3" w:rsidRPr="00457CE9" w:rsidRDefault="00D252A2"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жер кадастрын өзектендіру;</w:t>
      </w:r>
    </w:p>
    <w:p w14:paraId="4F31D063" w14:textId="284976DF" w:rsidR="00D252A2" w:rsidRPr="00457CE9" w:rsidRDefault="00D252A2"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орталық, өңірлік және жергілікті билік органдарының ынтымақтастығына ықпал ететін рәсімдерді әзірлеу және енгізу</w:t>
      </w:r>
      <w:r w:rsidR="00FF0B6E" w:rsidRPr="00457CE9">
        <w:rPr>
          <w:rFonts w:ascii="Times New Roman" w:hAnsi="Times New Roman"/>
          <w:sz w:val="28"/>
          <w:szCs w:val="28"/>
          <w:lang w:val="kk-KZ"/>
        </w:rPr>
        <w:t>;</w:t>
      </w:r>
    </w:p>
    <w:p w14:paraId="2562075B" w14:textId="5F2E59B4" w:rsidR="00FF0B6E" w:rsidRPr="00457CE9" w:rsidRDefault="00FF0B6E"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жер иелерін тіркеу процесінің тиімділігін арттыру үшін нормативтік базаны түзету</w:t>
      </w:r>
      <w:r w:rsidR="00745535" w:rsidRPr="00457CE9">
        <w:rPr>
          <w:rFonts w:ascii="Times New Roman" w:hAnsi="Times New Roman"/>
          <w:sz w:val="28"/>
          <w:szCs w:val="28"/>
          <w:lang w:val="kk-KZ"/>
        </w:rPr>
        <w:t xml:space="preserve"> [6</w:t>
      </w:r>
      <w:r w:rsidR="000258A6" w:rsidRPr="000258A6">
        <w:rPr>
          <w:rFonts w:ascii="Times New Roman" w:hAnsi="Times New Roman"/>
          <w:sz w:val="28"/>
          <w:szCs w:val="28"/>
          <w:lang w:val="kk-KZ"/>
        </w:rPr>
        <w:t>6</w:t>
      </w:r>
      <w:r w:rsidR="00C3477B" w:rsidRPr="00C3477B">
        <w:rPr>
          <w:rFonts w:ascii="Times New Roman" w:hAnsi="Times New Roman"/>
          <w:sz w:val="28"/>
          <w:szCs w:val="28"/>
          <w:lang w:val="kk-KZ"/>
        </w:rPr>
        <w:t>, c. 99</w:t>
      </w:r>
      <w:r w:rsidR="00745535" w:rsidRPr="00457CE9">
        <w:rPr>
          <w:rFonts w:ascii="Times New Roman" w:hAnsi="Times New Roman"/>
          <w:sz w:val="28"/>
          <w:szCs w:val="28"/>
          <w:lang w:val="kk-KZ"/>
        </w:rPr>
        <w:t>]</w:t>
      </w:r>
      <w:r w:rsidRPr="00457CE9">
        <w:rPr>
          <w:rFonts w:ascii="Times New Roman" w:hAnsi="Times New Roman"/>
          <w:sz w:val="28"/>
          <w:szCs w:val="28"/>
          <w:lang w:val="kk-KZ"/>
        </w:rPr>
        <w:t>.</w:t>
      </w:r>
    </w:p>
    <w:p w14:paraId="24CD3318" w14:textId="40A11B6F" w:rsidR="008779D9" w:rsidRPr="00F95506" w:rsidRDefault="00FF0B6E" w:rsidP="00782F91">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2022 жылдың қаңтарында АҚШ мемлекеттік бақылау басқармасы АҚШ Ауыл шаруашылығы департаментінің </w:t>
      </w:r>
      <w:r w:rsidR="003C56BE" w:rsidRPr="00457CE9">
        <w:rPr>
          <w:rFonts w:ascii="Times New Roman" w:hAnsi="Times New Roman"/>
          <w:sz w:val="28"/>
          <w:szCs w:val="28"/>
          <w:lang w:val="kk-KZ"/>
        </w:rPr>
        <w:t>«</w:t>
      </w:r>
      <w:r w:rsidR="001E013E" w:rsidRPr="00457CE9">
        <w:rPr>
          <w:rFonts w:ascii="Times New Roman" w:hAnsi="Times New Roman"/>
          <w:sz w:val="28"/>
          <w:szCs w:val="28"/>
          <w:lang w:val="kk-KZ"/>
        </w:rPr>
        <w:t>А</w:t>
      </w:r>
      <w:r w:rsidRPr="00457CE9">
        <w:rPr>
          <w:rFonts w:ascii="Times New Roman" w:hAnsi="Times New Roman"/>
          <w:sz w:val="28"/>
          <w:szCs w:val="28"/>
          <w:lang w:val="kk-KZ"/>
        </w:rPr>
        <w:t>уыл шаруашылығы нарығын дамыту бағдарламасы: фермерлерге болашақ қосымша қаржылық төлемдерді тиімдірек бақылау мүмкіндіктері бар</w:t>
      </w:r>
      <w:r w:rsidR="003C56BE" w:rsidRPr="00457CE9">
        <w:rPr>
          <w:rFonts w:ascii="Times New Roman" w:hAnsi="Times New Roman"/>
          <w:sz w:val="28"/>
          <w:szCs w:val="28"/>
          <w:lang w:val="kk-KZ"/>
        </w:rPr>
        <w:t>»</w:t>
      </w:r>
      <w:r w:rsidR="001E013E" w:rsidRPr="00457CE9">
        <w:rPr>
          <w:rFonts w:ascii="Times New Roman" w:hAnsi="Times New Roman"/>
          <w:sz w:val="28"/>
          <w:szCs w:val="28"/>
          <w:lang w:val="kk-KZ"/>
        </w:rPr>
        <w:t xml:space="preserve"> (USDA Market Facilitation Program. </w:t>
      </w:r>
      <w:r w:rsidR="001E013E" w:rsidRPr="00457CE9">
        <w:rPr>
          <w:rFonts w:ascii="Times New Roman" w:hAnsi="Times New Roman"/>
          <w:sz w:val="28"/>
          <w:szCs w:val="28"/>
          <w:lang w:val="en-US"/>
        </w:rPr>
        <w:t>Oversight of Future Supplemental Assistance to Farmers Could Be Improved)</w:t>
      </w:r>
      <w:r w:rsidR="001E013E" w:rsidRPr="00457CE9">
        <w:rPr>
          <w:rFonts w:ascii="Times New Roman" w:hAnsi="Times New Roman"/>
          <w:sz w:val="28"/>
          <w:szCs w:val="28"/>
          <w:lang w:val="kk-KZ"/>
        </w:rPr>
        <w:t xml:space="preserve"> деп аталатын есебін жариялады. АҚШ Ауыл шаруашылығы министрлігі </w:t>
      </w:r>
      <w:r w:rsidR="00AD6D59" w:rsidRPr="00457CE9">
        <w:rPr>
          <w:rFonts w:ascii="Times New Roman" w:hAnsi="Times New Roman"/>
          <w:sz w:val="28"/>
          <w:szCs w:val="28"/>
          <w:lang w:val="kk-KZ"/>
        </w:rPr>
        <w:t xml:space="preserve">табиғи апаттардың әсерінің теріс салдарынан немесе </w:t>
      </w:r>
      <w:r w:rsidR="00AD6D59" w:rsidRPr="00F95506">
        <w:rPr>
          <w:rFonts w:ascii="Times New Roman" w:hAnsi="Times New Roman"/>
          <w:sz w:val="28"/>
          <w:szCs w:val="28"/>
          <w:lang w:val="kk-KZ"/>
        </w:rPr>
        <w:t xml:space="preserve">қаржылық қиындықтар туындаған кезде </w:t>
      </w:r>
      <w:r w:rsidR="001E013E" w:rsidRPr="00F95506">
        <w:rPr>
          <w:rFonts w:ascii="Times New Roman" w:hAnsi="Times New Roman"/>
          <w:sz w:val="28"/>
          <w:szCs w:val="28"/>
          <w:lang w:val="kk-KZ"/>
        </w:rPr>
        <w:t xml:space="preserve">егіннің бір бөлігін жоғалтқан жағдайда, </w:t>
      </w:r>
      <w:r w:rsidR="00AD6D59" w:rsidRPr="00F95506">
        <w:rPr>
          <w:rFonts w:ascii="Times New Roman" w:hAnsi="Times New Roman"/>
          <w:sz w:val="28"/>
          <w:szCs w:val="28"/>
          <w:lang w:val="kk-KZ"/>
        </w:rPr>
        <w:t>ұлттық фермерлерге қаржылық қолдау көрсетеді. Сонымен қатар халықаралық саудадағы үзілістер немесе кейбір экспортталатын өнімдерге тарифтердің жоғарылауы кезінде көмек көрсетеді. 2018-2019 жылдары ауыл шаруашылығы нарығын дамыту бағдарламасы (Market Facilitation Program) шеңберінде Ауыл шаруашылығы министрлігінің Ауыл шаруашылығы қызметтерінің басқармасы фермерлерге жалпы 23 млрд. АҚШ доллары көлемінде төлемдерді төледі</w:t>
      </w:r>
      <w:r w:rsidR="002339BA" w:rsidRPr="00F95506">
        <w:rPr>
          <w:rFonts w:ascii="Times New Roman" w:hAnsi="Times New Roman"/>
          <w:sz w:val="28"/>
          <w:szCs w:val="28"/>
          <w:lang w:val="kk-KZ"/>
        </w:rPr>
        <w:t xml:space="preserve"> [6</w:t>
      </w:r>
      <w:r w:rsidR="000258A6" w:rsidRPr="00F95506">
        <w:rPr>
          <w:rFonts w:ascii="Times New Roman" w:hAnsi="Times New Roman"/>
          <w:sz w:val="28"/>
          <w:szCs w:val="28"/>
          <w:lang w:val="kk-KZ"/>
        </w:rPr>
        <w:t>7</w:t>
      </w:r>
      <w:r w:rsidR="002339BA" w:rsidRPr="00F95506">
        <w:rPr>
          <w:rFonts w:ascii="Times New Roman" w:hAnsi="Times New Roman"/>
          <w:sz w:val="28"/>
          <w:szCs w:val="28"/>
          <w:lang w:val="kk-KZ"/>
        </w:rPr>
        <w:t>]</w:t>
      </w:r>
      <w:r w:rsidR="00AD6D59" w:rsidRPr="00F95506">
        <w:rPr>
          <w:rFonts w:ascii="Times New Roman" w:hAnsi="Times New Roman"/>
          <w:sz w:val="28"/>
          <w:szCs w:val="28"/>
          <w:lang w:val="kk-KZ"/>
        </w:rPr>
        <w:t>. Жүргізілген аудит аясында АҚШ-тың ЖАО келесілерді талдады:</w:t>
      </w:r>
    </w:p>
    <w:p w14:paraId="460D1463" w14:textId="63A6C9AF" w:rsidR="00AD6D59" w:rsidRPr="00457CE9" w:rsidRDefault="00AD6D59"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әртүрлі фермерлер топтарына төлемдерді бөлу;</w:t>
      </w:r>
    </w:p>
    <w:p w14:paraId="10941917" w14:textId="18E285BB" w:rsidR="00AD6D59" w:rsidRPr="00457CE9" w:rsidRDefault="00AD6D59" w:rsidP="0097172E">
      <w:pPr>
        <w:pStyle w:val="a5"/>
        <w:widowControl w:val="0"/>
        <w:numPr>
          <w:ilvl w:val="0"/>
          <w:numId w:val="1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фермерлердің қаржылық көмек алу құқы</w:t>
      </w:r>
      <w:r w:rsidR="00FB441E" w:rsidRPr="00457CE9">
        <w:rPr>
          <w:rFonts w:ascii="Times New Roman" w:hAnsi="Times New Roman"/>
          <w:sz w:val="28"/>
          <w:szCs w:val="28"/>
          <w:lang w:val="kk-KZ"/>
        </w:rPr>
        <w:t>ғына</w:t>
      </w:r>
      <w:r w:rsidRPr="00457CE9">
        <w:rPr>
          <w:rFonts w:ascii="Times New Roman" w:hAnsi="Times New Roman"/>
          <w:sz w:val="28"/>
          <w:szCs w:val="28"/>
          <w:lang w:val="kk-KZ"/>
        </w:rPr>
        <w:t xml:space="preserve"> </w:t>
      </w:r>
      <w:r w:rsidR="00FB441E" w:rsidRPr="00457CE9">
        <w:rPr>
          <w:rFonts w:ascii="Times New Roman" w:hAnsi="Times New Roman"/>
          <w:sz w:val="28"/>
          <w:szCs w:val="28"/>
          <w:lang w:val="kk-KZ"/>
        </w:rPr>
        <w:t xml:space="preserve">қатысты </w:t>
      </w:r>
      <w:r w:rsidRPr="00457CE9">
        <w:rPr>
          <w:rFonts w:ascii="Times New Roman" w:hAnsi="Times New Roman"/>
          <w:sz w:val="28"/>
          <w:szCs w:val="28"/>
          <w:lang w:val="kk-KZ"/>
        </w:rPr>
        <w:t>талаптарды сақтауы</w:t>
      </w:r>
      <w:r w:rsidR="00FB441E" w:rsidRPr="00457CE9">
        <w:rPr>
          <w:rFonts w:ascii="Times New Roman" w:hAnsi="Times New Roman"/>
          <w:sz w:val="28"/>
          <w:szCs w:val="28"/>
          <w:lang w:val="kk-KZ"/>
        </w:rPr>
        <w:t>.</w:t>
      </w:r>
    </w:p>
    <w:p w14:paraId="0C36C527" w14:textId="77777777" w:rsidR="00580C40" w:rsidRDefault="00580C40" w:rsidP="00580C40">
      <w:pPr>
        <w:pStyle w:val="a5"/>
        <w:widowControl w:val="0"/>
        <w:tabs>
          <w:tab w:val="left" w:pos="851"/>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АҚШ аудиторлары халықтың ең осал топтарынан атап айтқанда нәсілдік, этникалық немесе гендерлік алалаушыларға ұшыраған фермерлер төлемдердің жалпы 3,6 пайызы алды деген қорытынды жасаған. АҚШ ауыл шаруашылығы министрлігінің агенттіктері ауыл шаруашылығы нарығын дамыту бағдарламасының орындалу тиімділігін талдайды. Атап айтқанда мұндай зерттеуді 2018-2019 жж. төлемдерге қатысты Ауыл шаруашылық қызметтері басқармасы жүргізді. АҚШ ЖАО бірқатар себептерге байланысты жасалған талдаудың тиімсіздігін атап өтті. </w:t>
      </w:r>
    </w:p>
    <w:p w14:paraId="2C361D65" w14:textId="77777777" w:rsidR="00580C40" w:rsidRDefault="00580C40" w:rsidP="0097172E">
      <w:pPr>
        <w:pStyle w:val="a5"/>
        <w:widowControl w:val="0"/>
        <w:numPr>
          <w:ilvl w:val="0"/>
          <w:numId w:val="68"/>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агенттік мәліметтерді статистикалық негізделген әдіспен жиналмаған және талданбаған соң нәтижелердің сенімділігі төмен;</w:t>
      </w:r>
    </w:p>
    <w:p w14:paraId="33127652" w14:textId="77777777" w:rsidR="00580C40" w:rsidRDefault="00580C40" w:rsidP="0097172E">
      <w:pPr>
        <w:pStyle w:val="a5"/>
        <w:widowControl w:val="0"/>
        <w:numPr>
          <w:ilvl w:val="0"/>
          <w:numId w:val="68"/>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төлемдерді талдау үшін пайдаланылған шектеулі үлгі;</w:t>
      </w:r>
    </w:p>
    <w:p w14:paraId="6651FE54" w14:textId="77777777" w:rsidR="00580C40" w:rsidRDefault="00580C40" w:rsidP="0097172E">
      <w:pPr>
        <w:pStyle w:val="a5"/>
        <w:widowControl w:val="0"/>
        <w:numPr>
          <w:ilvl w:val="0"/>
          <w:numId w:val="68"/>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талдаудың қорытынды қорытындылары және анықталған кемшіліктер, сондай-ақ Бағдарламаны іске асыруды түзетуге бағытталған шаралар туралы ақпараттың болмауы.</w:t>
      </w:r>
    </w:p>
    <w:p w14:paraId="7296D4D9" w14:textId="77777777" w:rsidR="00580C40" w:rsidRDefault="00580C40" w:rsidP="00580C40">
      <w:pPr>
        <w:tabs>
          <w:tab w:val="left" w:pos="851"/>
          <w:tab w:val="left" w:pos="993"/>
        </w:tabs>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 xml:space="preserve">Алайда қазіргі уақытта тиімділік аудитінің жалпы қабылданған тұжырымдамасы әрекет етеді, оның мәні жүктелген функцияларды, міндеттерді орындау немесе қойылған міндеттерді шешу үшін алынған бюджет қаражатын олардың пайдалануының үнемділігін, өнімділігін және нәтижелілігін анықтау мақсатында атқарушы билік органдары мен бюджеттік ұйымдардың қызметіне талдау жүргізуден тұрады. </w:t>
      </w:r>
      <w:r>
        <w:rPr>
          <w:rFonts w:ascii="Times New Roman" w:hAnsi="Times New Roman"/>
          <w:sz w:val="28"/>
          <w:szCs w:val="28"/>
          <w:lang w:val="kk-KZ"/>
        </w:rPr>
        <w:t>Аудит қорытындысы бойынша ЖАО ауыл шаруашылығы қызметтері басқармасына қатысты нұсқаулықтарды әзірлеу туралы ұсыныс жасады:</w:t>
      </w:r>
    </w:p>
    <w:p w14:paraId="1F707E19" w14:textId="77777777" w:rsidR="00580C40" w:rsidRDefault="00580C40" w:rsidP="0097172E">
      <w:pPr>
        <w:pStyle w:val="a5"/>
        <w:widowControl w:val="0"/>
        <w:numPr>
          <w:ilvl w:val="0"/>
          <w:numId w:val="68"/>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бағдарламаны іске асыру тиімділігіне болашақта талдаулар жүргізу үшін деректерді жинау және талдау әдістері;</w:t>
      </w:r>
    </w:p>
    <w:p w14:paraId="3BAF49C4" w14:textId="77777777" w:rsidR="00580C40" w:rsidRDefault="00580C40" w:rsidP="0097172E">
      <w:pPr>
        <w:pStyle w:val="a5"/>
        <w:widowControl w:val="0"/>
        <w:numPr>
          <w:ilvl w:val="0"/>
          <w:numId w:val="68"/>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талдау үшін үлгілерді іріктеу кезінде тәуекелге-бағдарланған тәсілін қолдану;</w:t>
      </w:r>
    </w:p>
    <w:p w14:paraId="20ED45C7" w14:textId="4FE913F4" w:rsidR="00580C40" w:rsidRPr="00580C40" w:rsidRDefault="00580C40" w:rsidP="0097172E">
      <w:pPr>
        <w:pStyle w:val="a5"/>
        <w:widowControl w:val="0"/>
        <w:numPr>
          <w:ilvl w:val="0"/>
          <w:numId w:val="68"/>
        </w:numPr>
        <w:tabs>
          <w:tab w:val="left" w:pos="993"/>
        </w:tabs>
        <w:spacing w:after="0" w:line="240" w:lineRule="auto"/>
        <w:ind w:left="0" w:firstLine="709"/>
        <w:jc w:val="both"/>
        <w:rPr>
          <w:rFonts w:ascii="Times New Roman" w:hAnsi="Times New Roman"/>
          <w:sz w:val="28"/>
          <w:szCs w:val="28"/>
          <w:lang w:val="kk-KZ"/>
        </w:rPr>
      </w:pPr>
      <w:r w:rsidRPr="00580C40">
        <w:rPr>
          <w:rFonts w:ascii="Times New Roman" w:hAnsi="Times New Roman"/>
          <w:sz w:val="28"/>
          <w:szCs w:val="28"/>
          <w:lang w:val="kk-KZ"/>
        </w:rPr>
        <w:t>болашақ талдаулардың нәтижелерін ашу</w:t>
      </w:r>
      <w:r w:rsidRPr="00580C40">
        <w:rPr>
          <w:rFonts w:ascii="Times New Roman" w:hAnsi="Times New Roman"/>
          <w:sz w:val="28"/>
          <w:szCs w:val="28"/>
          <w:lang w:val="en-US"/>
        </w:rPr>
        <w:t xml:space="preserve"> [67]</w:t>
      </w:r>
      <w:r w:rsidRPr="00580C40">
        <w:rPr>
          <w:rFonts w:ascii="Times New Roman" w:hAnsi="Times New Roman"/>
          <w:sz w:val="28"/>
          <w:szCs w:val="28"/>
          <w:lang w:val="kk-KZ"/>
        </w:rPr>
        <w:t>.</w:t>
      </w:r>
    </w:p>
    <w:p w14:paraId="499A9D10" w14:textId="388B32AA" w:rsidR="00580C40" w:rsidRDefault="00580C40" w:rsidP="00580C4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1990 жылдардың басында АҚШ, Ұлыбритания, Австралия және Жаңа Зеландия қаржы жүйелері үшін әкімшілік және мемлекеттік қаржыландырудың көптеген реформаларын жүргізумен ерекшеленді [69]. </w:t>
      </w:r>
    </w:p>
    <w:p w14:paraId="06EAE22C" w14:textId="2DF1E13A" w:rsidR="00004FA5" w:rsidRDefault="00EC372F" w:rsidP="00782F91">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Шетелдерде пайдаланылатын қаржылық бақылау құралы ретінде тиімділік аудитінің қысқаша сипаттамасы </w:t>
      </w:r>
      <w:r w:rsidR="00023296">
        <w:rPr>
          <w:rFonts w:ascii="Times New Roman" w:hAnsi="Times New Roman" w:cs="Times New Roman"/>
          <w:sz w:val="28"/>
          <w:szCs w:val="28"/>
          <w:lang w:val="kk-KZ"/>
        </w:rPr>
        <w:t>6</w:t>
      </w:r>
      <w:r w:rsidRPr="00457CE9">
        <w:rPr>
          <w:rFonts w:ascii="Times New Roman" w:hAnsi="Times New Roman" w:cs="Times New Roman"/>
          <w:sz w:val="28"/>
          <w:szCs w:val="28"/>
          <w:lang w:val="kk-KZ"/>
        </w:rPr>
        <w:t>-кестеде берілген.</w:t>
      </w:r>
    </w:p>
    <w:p w14:paraId="75FE41FE" w14:textId="29F6E2FC" w:rsidR="00A914A8" w:rsidRDefault="00A914A8"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023296">
        <w:rPr>
          <w:rFonts w:ascii="Times New Roman" w:hAnsi="Times New Roman" w:cs="Times New Roman"/>
          <w:sz w:val="28"/>
          <w:szCs w:val="28"/>
          <w:lang w:val="kk-KZ"/>
        </w:rPr>
        <w:t>6</w:t>
      </w:r>
      <w:r w:rsidRPr="00457CE9">
        <w:rPr>
          <w:rFonts w:ascii="Times New Roman" w:hAnsi="Times New Roman" w:cs="Times New Roman"/>
          <w:sz w:val="28"/>
          <w:szCs w:val="28"/>
          <w:lang w:val="kk-KZ"/>
        </w:rPr>
        <w:t xml:space="preserve"> – Шет елдерд</w:t>
      </w:r>
      <w:r w:rsidR="00281C16" w:rsidRPr="00457CE9">
        <w:rPr>
          <w:rFonts w:ascii="Times New Roman" w:hAnsi="Times New Roman" w:cs="Times New Roman"/>
          <w:sz w:val="28"/>
          <w:szCs w:val="28"/>
          <w:lang w:val="kk-KZ"/>
        </w:rPr>
        <w:t xml:space="preserve">е жүргізілетін </w:t>
      </w:r>
      <w:r w:rsidRPr="00457CE9">
        <w:rPr>
          <w:rFonts w:ascii="Times New Roman" w:hAnsi="Times New Roman" w:cs="Times New Roman"/>
          <w:sz w:val="28"/>
          <w:szCs w:val="28"/>
          <w:lang w:val="kk-KZ"/>
        </w:rPr>
        <w:t>тиімділік аудитінің сипаттамасы</w:t>
      </w:r>
    </w:p>
    <w:p w14:paraId="5B3EE70B" w14:textId="77777777" w:rsidR="00782F91" w:rsidRPr="00782F91" w:rsidRDefault="00782F91" w:rsidP="00457CE9">
      <w:pPr>
        <w:spacing w:after="0" w:line="240" w:lineRule="auto"/>
        <w:jc w:val="both"/>
        <w:rPr>
          <w:rFonts w:ascii="Times New Roman" w:hAnsi="Times New Roman" w:cs="Times New Roman"/>
          <w:sz w:val="16"/>
          <w:szCs w:val="16"/>
          <w:lang w:val="kk-KZ"/>
        </w:rPr>
      </w:pPr>
    </w:p>
    <w:tbl>
      <w:tblPr>
        <w:tblStyle w:val="a3"/>
        <w:tblW w:w="9611" w:type="dxa"/>
        <w:jc w:val="center"/>
        <w:tblLayout w:type="fixed"/>
        <w:tblLook w:val="04A0" w:firstRow="1" w:lastRow="0" w:firstColumn="1" w:lastColumn="0" w:noHBand="0" w:noVBand="1"/>
      </w:tblPr>
      <w:tblGrid>
        <w:gridCol w:w="1385"/>
        <w:gridCol w:w="1419"/>
        <w:gridCol w:w="2154"/>
        <w:gridCol w:w="2124"/>
        <w:gridCol w:w="2518"/>
        <w:gridCol w:w="11"/>
      </w:tblGrid>
      <w:tr w:rsidR="00CD006F" w:rsidRPr="00457CE9" w14:paraId="0BB5595B" w14:textId="77777777" w:rsidTr="00C3477B">
        <w:trPr>
          <w:jc w:val="center"/>
        </w:trPr>
        <w:tc>
          <w:tcPr>
            <w:tcW w:w="1386" w:type="dxa"/>
            <w:vAlign w:val="center"/>
          </w:tcPr>
          <w:p w14:paraId="3636981F" w14:textId="2D4D9271" w:rsidR="00A914A8" w:rsidRPr="00457CE9" w:rsidRDefault="00A914A8"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w:t>
            </w:r>
          </w:p>
        </w:tc>
        <w:tc>
          <w:tcPr>
            <w:tcW w:w="1420" w:type="dxa"/>
            <w:vAlign w:val="center"/>
          </w:tcPr>
          <w:p w14:paraId="6776B7FF" w14:textId="77777777" w:rsidR="00A914A8" w:rsidRPr="00457CE9" w:rsidRDefault="00A914A8"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Қаржылық бақылау органы</w:t>
            </w:r>
          </w:p>
        </w:tc>
        <w:tc>
          <w:tcPr>
            <w:tcW w:w="2155" w:type="dxa"/>
            <w:vAlign w:val="center"/>
          </w:tcPr>
          <w:p w14:paraId="507DB091" w14:textId="13F7BE83" w:rsidR="00A914A8" w:rsidRPr="00457CE9" w:rsidRDefault="00A914A8"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Ерекшелігі</w:t>
            </w:r>
          </w:p>
        </w:tc>
        <w:tc>
          <w:tcPr>
            <w:tcW w:w="2125" w:type="dxa"/>
            <w:vAlign w:val="center"/>
          </w:tcPr>
          <w:p w14:paraId="00EB78FB" w14:textId="77777777" w:rsidR="00A914A8" w:rsidRPr="00457CE9" w:rsidRDefault="00A914A8"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Тексеру объектісі</w:t>
            </w:r>
          </w:p>
        </w:tc>
        <w:tc>
          <w:tcPr>
            <w:tcW w:w="2525" w:type="dxa"/>
            <w:gridSpan w:val="2"/>
            <w:vAlign w:val="center"/>
          </w:tcPr>
          <w:p w14:paraId="648CE18A" w14:textId="77777777" w:rsidR="00A914A8" w:rsidRPr="00457CE9" w:rsidRDefault="00A914A8"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Есептілік түрі мен кезеңділігі</w:t>
            </w:r>
          </w:p>
        </w:tc>
      </w:tr>
      <w:tr w:rsidR="00F36A42" w:rsidRPr="00457CE9" w14:paraId="475ABB9C" w14:textId="77777777" w:rsidTr="00C3477B">
        <w:trPr>
          <w:jc w:val="center"/>
        </w:trPr>
        <w:tc>
          <w:tcPr>
            <w:tcW w:w="1386" w:type="dxa"/>
          </w:tcPr>
          <w:p w14:paraId="48512BC4" w14:textId="7EDC2DB4" w:rsidR="00F36A42" w:rsidRPr="00457CE9" w:rsidRDefault="00F36A42"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1</w:t>
            </w:r>
          </w:p>
        </w:tc>
        <w:tc>
          <w:tcPr>
            <w:tcW w:w="1420" w:type="dxa"/>
          </w:tcPr>
          <w:p w14:paraId="6D08DDE2" w14:textId="5FD25105" w:rsidR="00F36A42" w:rsidRPr="00457CE9" w:rsidRDefault="00F36A42"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2</w:t>
            </w:r>
          </w:p>
        </w:tc>
        <w:tc>
          <w:tcPr>
            <w:tcW w:w="2155" w:type="dxa"/>
          </w:tcPr>
          <w:p w14:paraId="08352596" w14:textId="227B05C2" w:rsidR="00F36A42" w:rsidRPr="00457CE9" w:rsidRDefault="00F36A42"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3</w:t>
            </w:r>
          </w:p>
        </w:tc>
        <w:tc>
          <w:tcPr>
            <w:tcW w:w="2125" w:type="dxa"/>
          </w:tcPr>
          <w:p w14:paraId="79EF8FFB" w14:textId="6498AE41" w:rsidR="00F36A42" w:rsidRPr="00457CE9" w:rsidRDefault="00F36A42"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4</w:t>
            </w:r>
          </w:p>
        </w:tc>
        <w:tc>
          <w:tcPr>
            <w:tcW w:w="2525" w:type="dxa"/>
            <w:gridSpan w:val="2"/>
          </w:tcPr>
          <w:p w14:paraId="76737BA1" w14:textId="5061D817" w:rsidR="00F36A42" w:rsidRPr="00457CE9" w:rsidRDefault="00F36A42" w:rsidP="00782F91">
            <w:pPr>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5</w:t>
            </w:r>
          </w:p>
        </w:tc>
      </w:tr>
      <w:tr w:rsidR="00CD006F" w:rsidRPr="00B108D0" w14:paraId="65183B42" w14:textId="77777777" w:rsidTr="00C3477B">
        <w:trPr>
          <w:jc w:val="center"/>
        </w:trPr>
        <w:tc>
          <w:tcPr>
            <w:tcW w:w="1386" w:type="dxa"/>
          </w:tcPr>
          <w:p w14:paraId="4731BE6B" w14:textId="77777777" w:rsidR="00A914A8" w:rsidRPr="00457CE9" w:rsidRDefault="00A914A8"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Канада </w:t>
            </w:r>
          </w:p>
        </w:tc>
        <w:tc>
          <w:tcPr>
            <w:tcW w:w="1420" w:type="dxa"/>
          </w:tcPr>
          <w:p w14:paraId="5A62D7DA" w14:textId="77777777" w:rsidR="00A914A8" w:rsidRPr="00457CE9" w:rsidRDefault="00A914A8"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The Office of the Audit General </w:t>
            </w:r>
          </w:p>
        </w:tc>
        <w:tc>
          <w:tcPr>
            <w:tcW w:w="2155" w:type="dxa"/>
          </w:tcPr>
          <w:p w14:paraId="1CFF9CE4" w14:textId="2923D9C0" w:rsidR="00A914A8" w:rsidRPr="00457CE9" w:rsidRDefault="00A914A8"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Мемлекеттік ор</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гандар мен бағдар</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ламалық құжаттар қызметінің тиімді</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лігіне толыққанды бағалау жүргізу</w:t>
            </w:r>
          </w:p>
        </w:tc>
        <w:tc>
          <w:tcPr>
            <w:tcW w:w="2125" w:type="dxa"/>
          </w:tcPr>
          <w:p w14:paraId="15329060" w14:textId="171F5C47" w:rsidR="00A914A8" w:rsidRPr="00457CE9" w:rsidRDefault="004E56AE"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Мемлекеттік қара</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жатты пайдалана</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тын; мемлекеттік бағдарламаларды іске асыратын ұйымдар</w:t>
            </w:r>
          </w:p>
        </w:tc>
        <w:tc>
          <w:tcPr>
            <w:tcW w:w="2525" w:type="dxa"/>
            <w:gridSpan w:val="2"/>
          </w:tcPr>
          <w:p w14:paraId="4FD97988" w14:textId="7109197C" w:rsidR="00A914A8" w:rsidRPr="00457CE9" w:rsidRDefault="004E56AE" w:rsidP="00782F91">
            <w:pPr>
              <w:spacing w:line="228" w:lineRule="auto"/>
              <w:ind w:right="-47"/>
              <w:rPr>
                <w:rFonts w:ascii="Times New Roman" w:hAnsi="Times New Roman" w:cs="Times New Roman"/>
                <w:sz w:val="24"/>
                <w:szCs w:val="24"/>
                <w:lang w:val="kk-KZ"/>
              </w:rPr>
            </w:pPr>
            <w:r w:rsidRPr="00457CE9">
              <w:rPr>
                <w:rFonts w:ascii="Times New Roman" w:hAnsi="Times New Roman" w:cs="Times New Roman"/>
                <w:sz w:val="24"/>
                <w:szCs w:val="24"/>
                <w:lang w:val="kk-KZ"/>
              </w:rPr>
              <w:t>Canada's Performance Report-орындау бойын</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ша есеп (нәтиже). Жыл сайын</w:t>
            </w:r>
            <w:r w:rsidR="00FE7C70">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Канада қауым</w:t>
            </w:r>
            <w:r w:rsidR="00FE7C70">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дар палатасына тиім</w:t>
            </w:r>
            <w:r w:rsidR="00FE7C70">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ділік аудитінің төрт есебі беріледі</w:t>
            </w:r>
          </w:p>
        </w:tc>
      </w:tr>
      <w:tr w:rsidR="00CD006F" w:rsidRPr="00B108D0" w14:paraId="2408451B" w14:textId="77777777" w:rsidTr="00C3477B">
        <w:trPr>
          <w:jc w:val="center"/>
        </w:trPr>
        <w:tc>
          <w:tcPr>
            <w:tcW w:w="1386" w:type="dxa"/>
            <w:tcBorders>
              <w:bottom w:val="nil"/>
            </w:tcBorders>
          </w:tcPr>
          <w:p w14:paraId="6DA63F8C" w14:textId="77777777" w:rsidR="00A914A8" w:rsidRPr="00457CE9" w:rsidRDefault="00FB496D"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Ұлыбри</w:t>
            </w:r>
            <w:r w:rsidR="009D40A5" w:rsidRPr="00457CE9">
              <w:rPr>
                <w:rFonts w:ascii="Times New Roman" w:hAnsi="Times New Roman" w:cs="Times New Roman"/>
                <w:sz w:val="24"/>
                <w:szCs w:val="24"/>
              </w:rPr>
              <w:t>-</w:t>
            </w:r>
            <w:r w:rsidRPr="00457CE9">
              <w:rPr>
                <w:rFonts w:ascii="Times New Roman" w:hAnsi="Times New Roman" w:cs="Times New Roman"/>
                <w:sz w:val="24"/>
                <w:szCs w:val="24"/>
                <w:lang w:val="kk-KZ"/>
              </w:rPr>
              <w:t xml:space="preserve">тания </w:t>
            </w:r>
          </w:p>
        </w:tc>
        <w:tc>
          <w:tcPr>
            <w:tcW w:w="1420" w:type="dxa"/>
            <w:tcBorders>
              <w:bottom w:val="nil"/>
            </w:tcBorders>
          </w:tcPr>
          <w:p w14:paraId="1DE0BF45" w14:textId="77777777" w:rsidR="00A914A8" w:rsidRPr="00457CE9" w:rsidRDefault="00FB496D"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National Audit Office</w:t>
            </w:r>
          </w:p>
        </w:tc>
        <w:tc>
          <w:tcPr>
            <w:tcW w:w="2155" w:type="dxa"/>
            <w:tcBorders>
              <w:bottom w:val="nil"/>
            </w:tcBorders>
          </w:tcPr>
          <w:p w14:paraId="521672A3" w14:textId="56D411E1" w:rsidR="00A914A8" w:rsidRPr="00457CE9" w:rsidRDefault="00FB496D"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Негізгі тексеруге екпін тікелей және түпкілікті (әлеу</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меттік маңызы бар) нәтижелерге қол жеткізуге, ны</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саналы көрсеткіш</w:t>
            </w:r>
            <w:r w:rsidR="00782F91">
              <w:rPr>
                <w:rFonts w:ascii="Times New Roman" w:hAnsi="Times New Roman" w:cs="Times New Roman"/>
                <w:sz w:val="24"/>
                <w:szCs w:val="24"/>
                <w:lang w:val="kk-KZ"/>
              </w:rPr>
              <w:t xml:space="preserve"> </w:t>
            </w:r>
            <w:r w:rsidR="001E64ED" w:rsidRPr="00457CE9">
              <w:rPr>
                <w:rFonts w:ascii="Times New Roman" w:hAnsi="Times New Roman" w:cs="Times New Roman"/>
                <w:sz w:val="24"/>
                <w:szCs w:val="24"/>
                <w:lang w:val="kk-KZ"/>
              </w:rPr>
              <w:t>тердің орындалуы туралы тоқсан сайынғы есепке аударылады</w:t>
            </w:r>
          </w:p>
        </w:tc>
        <w:tc>
          <w:tcPr>
            <w:tcW w:w="2125" w:type="dxa"/>
            <w:tcBorders>
              <w:bottom w:val="nil"/>
            </w:tcBorders>
          </w:tcPr>
          <w:p w14:paraId="4238B660" w14:textId="41C0682C" w:rsidR="00A914A8" w:rsidRPr="00457CE9" w:rsidRDefault="009D40A5"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Мемлекеттік қара</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жатты пайдалана</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тын ұйымдар, су</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бъектілер; жария қорлардан 50%-дан астам табыс алған</w:t>
            </w:r>
          </w:p>
        </w:tc>
        <w:tc>
          <w:tcPr>
            <w:tcW w:w="2525" w:type="dxa"/>
            <w:gridSpan w:val="2"/>
            <w:tcBorders>
              <w:bottom w:val="nil"/>
            </w:tcBorders>
          </w:tcPr>
          <w:p w14:paraId="14B94E94" w14:textId="0D692778" w:rsidR="00A914A8" w:rsidRPr="00457CE9" w:rsidRDefault="009D40A5" w:rsidP="00782F91">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Бюджеттің атқарылуы туралы жыл сайынғы есеп пен Есеп және Есеп палатасының ау</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диторлық қорытын</w:t>
            </w:r>
            <w:r w:rsidR="00782F91">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дысы Парламентке ұсынылады</w:t>
            </w:r>
          </w:p>
        </w:tc>
      </w:tr>
      <w:tr w:rsidR="00CD006F" w:rsidRPr="00B108D0" w14:paraId="71504A5A" w14:textId="77777777" w:rsidTr="00C3477B">
        <w:trPr>
          <w:jc w:val="center"/>
        </w:trPr>
        <w:tc>
          <w:tcPr>
            <w:tcW w:w="1386" w:type="dxa"/>
          </w:tcPr>
          <w:p w14:paraId="6C4FDF45" w14:textId="77777777" w:rsidR="00A914A8" w:rsidRPr="00457CE9" w:rsidRDefault="009D40A5"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АҚШ</w:t>
            </w:r>
          </w:p>
        </w:tc>
        <w:tc>
          <w:tcPr>
            <w:tcW w:w="1420" w:type="dxa"/>
          </w:tcPr>
          <w:p w14:paraId="4F353853" w14:textId="77777777" w:rsidR="00A914A8" w:rsidRPr="00457CE9" w:rsidRDefault="009D40A5"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The Government Accountability Office (GAO)</w:t>
            </w:r>
          </w:p>
        </w:tc>
        <w:tc>
          <w:tcPr>
            <w:tcW w:w="2155" w:type="dxa"/>
          </w:tcPr>
          <w:p w14:paraId="47BEB579" w14:textId="05239965" w:rsidR="00A914A8" w:rsidRPr="00457CE9" w:rsidRDefault="009D40A5"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Мемлекеттік бағ</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дарламалардағы қателерді анық</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тауға және жоюға мүмкіндік береді. Ішкі аудит жүйесі мемлекеттік бас</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қару органдары</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ның міндетті атрибуты</w:t>
            </w:r>
          </w:p>
        </w:tc>
        <w:tc>
          <w:tcPr>
            <w:tcW w:w="2125" w:type="dxa"/>
          </w:tcPr>
          <w:p w14:paraId="7A44BD51" w14:textId="77777777" w:rsidR="00A914A8" w:rsidRPr="00457CE9" w:rsidRDefault="009D40A5"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Үкіметтік бағдарламаларды, мемлекеттік бағдарламаларды іске асыратын мемлекеттік ұйымдар</w:t>
            </w:r>
          </w:p>
        </w:tc>
        <w:tc>
          <w:tcPr>
            <w:tcW w:w="2525" w:type="dxa"/>
            <w:gridSpan w:val="2"/>
          </w:tcPr>
          <w:p w14:paraId="3A1FCEE0" w14:textId="161BE503" w:rsidR="00A914A8" w:rsidRPr="00457CE9" w:rsidRDefault="009D40A5"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Министрліктердің әрқайсысының орындалуы туралы жылдық есеп</w:t>
            </w:r>
          </w:p>
        </w:tc>
      </w:tr>
      <w:tr w:rsidR="00CD006F" w:rsidRPr="00B108D0" w14:paraId="4F1CA976" w14:textId="77777777" w:rsidTr="00C3477B">
        <w:trPr>
          <w:jc w:val="center"/>
        </w:trPr>
        <w:tc>
          <w:tcPr>
            <w:tcW w:w="1386" w:type="dxa"/>
            <w:tcBorders>
              <w:bottom w:val="nil"/>
            </w:tcBorders>
          </w:tcPr>
          <w:p w14:paraId="30415CE0" w14:textId="77777777" w:rsidR="00A914A8" w:rsidRPr="00457CE9" w:rsidRDefault="009D40A5"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Жаңа Зеландия</w:t>
            </w:r>
          </w:p>
        </w:tc>
        <w:tc>
          <w:tcPr>
            <w:tcW w:w="1420" w:type="dxa"/>
            <w:tcBorders>
              <w:bottom w:val="nil"/>
            </w:tcBorders>
          </w:tcPr>
          <w:p w14:paraId="5694D2B8" w14:textId="77777777" w:rsidR="00A914A8" w:rsidRPr="00457CE9" w:rsidRDefault="009D40A5"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Audit office</w:t>
            </w:r>
          </w:p>
        </w:tc>
        <w:tc>
          <w:tcPr>
            <w:tcW w:w="2155" w:type="dxa"/>
            <w:tcBorders>
              <w:bottom w:val="nil"/>
            </w:tcBorders>
          </w:tcPr>
          <w:p w14:paraId="2664B26A" w14:textId="491F86E0" w:rsidR="00A914A8" w:rsidRPr="00457CE9" w:rsidRDefault="00AB74D9"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Парламентке және жұртшылыққа мемлекеттік ұйым</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дардың </w:t>
            </w:r>
            <w:r w:rsidR="00CF1C12" w:rsidRPr="00457CE9">
              <w:rPr>
                <w:rFonts w:ascii="Times New Roman" w:hAnsi="Times New Roman" w:cs="Times New Roman"/>
                <w:sz w:val="24"/>
                <w:szCs w:val="24"/>
                <w:lang w:val="kk-KZ"/>
              </w:rPr>
              <w:t>олардан талап етілетініне және заңды және адал әрекет ететі</w:t>
            </w:r>
            <w:r w:rsidR="00252E88">
              <w:rPr>
                <w:rFonts w:ascii="Times New Roman" w:hAnsi="Times New Roman" w:cs="Times New Roman"/>
                <w:sz w:val="24"/>
                <w:szCs w:val="24"/>
                <w:lang w:val="kk-KZ"/>
              </w:rPr>
              <w:t xml:space="preserve"> </w:t>
            </w:r>
            <w:r w:rsidR="00CF1C12" w:rsidRPr="00457CE9">
              <w:rPr>
                <w:rFonts w:ascii="Times New Roman" w:hAnsi="Times New Roman" w:cs="Times New Roman"/>
                <w:sz w:val="24"/>
                <w:szCs w:val="24"/>
                <w:lang w:val="kk-KZ"/>
              </w:rPr>
              <w:t>ніне кепілдік беру</w:t>
            </w:r>
          </w:p>
        </w:tc>
        <w:tc>
          <w:tcPr>
            <w:tcW w:w="2125" w:type="dxa"/>
            <w:tcBorders>
              <w:bottom w:val="nil"/>
            </w:tcBorders>
          </w:tcPr>
          <w:p w14:paraId="001D509F" w14:textId="1394BF05" w:rsidR="00A914A8" w:rsidRPr="00457CE9" w:rsidRDefault="00AB74D9"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Ұлттық резервтік банкті қоспағанда, мемлекеттік ұйымдар және </w:t>
            </w:r>
            <w:r w:rsidR="00CF1C12" w:rsidRPr="00457CE9">
              <w:rPr>
                <w:rFonts w:ascii="Times New Roman" w:hAnsi="Times New Roman" w:cs="Times New Roman"/>
                <w:sz w:val="24"/>
                <w:szCs w:val="24"/>
                <w:lang w:val="kk-KZ"/>
              </w:rPr>
              <w:t>мемлекеттік жобалар</w:t>
            </w:r>
          </w:p>
        </w:tc>
        <w:tc>
          <w:tcPr>
            <w:tcW w:w="2525" w:type="dxa"/>
            <w:gridSpan w:val="2"/>
            <w:tcBorders>
              <w:bottom w:val="nil"/>
            </w:tcBorders>
          </w:tcPr>
          <w:p w14:paraId="7FAA9B81" w14:textId="43CB2DF5" w:rsidR="00A914A8" w:rsidRPr="00457CE9" w:rsidRDefault="00AB74D9" w:rsidP="00252E88">
            <w:pPr>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Қол жеткізілген нәти</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желер туралы есеп және Есеп палатасы</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ның </w:t>
            </w:r>
            <w:r w:rsidR="00CF1C12" w:rsidRPr="00457CE9">
              <w:rPr>
                <w:rFonts w:ascii="Times New Roman" w:hAnsi="Times New Roman" w:cs="Times New Roman"/>
                <w:sz w:val="24"/>
                <w:szCs w:val="24"/>
                <w:lang w:val="kk-KZ"/>
              </w:rPr>
              <w:t>аудиторлық қоры</w:t>
            </w:r>
            <w:r w:rsidR="00252E88">
              <w:rPr>
                <w:rFonts w:ascii="Times New Roman" w:hAnsi="Times New Roman" w:cs="Times New Roman"/>
                <w:sz w:val="24"/>
                <w:szCs w:val="24"/>
                <w:lang w:val="kk-KZ"/>
              </w:rPr>
              <w:t xml:space="preserve"> </w:t>
            </w:r>
            <w:r w:rsidR="00CF1C12" w:rsidRPr="00457CE9">
              <w:rPr>
                <w:rFonts w:ascii="Times New Roman" w:hAnsi="Times New Roman" w:cs="Times New Roman"/>
                <w:sz w:val="24"/>
                <w:szCs w:val="24"/>
                <w:lang w:val="kk-KZ"/>
              </w:rPr>
              <w:t>тындысы парламент өкілдерінің палатасы</w:t>
            </w:r>
            <w:r w:rsidR="00252E88">
              <w:rPr>
                <w:rFonts w:ascii="Times New Roman" w:hAnsi="Times New Roman" w:cs="Times New Roman"/>
                <w:sz w:val="24"/>
                <w:szCs w:val="24"/>
                <w:lang w:val="kk-KZ"/>
              </w:rPr>
              <w:t xml:space="preserve"> </w:t>
            </w:r>
            <w:r w:rsidR="00CF1C12" w:rsidRPr="00457CE9">
              <w:rPr>
                <w:rFonts w:ascii="Times New Roman" w:hAnsi="Times New Roman" w:cs="Times New Roman"/>
                <w:sz w:val="24"/>
                <w:szCs w:val="24"/>
                <w:lang w:val="kk-KZ"/>
              </w:rPr>
              <w:t>на ұсынылады</w:t>
            </w:r>
          </w:p>
        </w:tc>
      </w:tr>
      <w:tr w:rsidR="00252E88" w:rsidRPr="00B108D0" w14:paraId="7FA0F2BC" w14:textId="77777777" w:rsidTr="00C3477B">
        <w:trPr>
          <w:trHeight w:val="1811"/>
          <w:jc w:val="center"/>
        </w:trPr>
        <w:tc>
          <w:tcPr>
            <w:tcW w:w="1386" w:type="dxa"/>
          </w:tcPr>
          <w:p w14:paraId="4447F044" w14:textId="384F8028"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Австралия</w:t>
            </w:r>
          </w:p>
        </w:tc>
        <w:tc>
          <w:tcPr>
            <w:tcW w:w="1420" w:type="dxa"/>
          </w:tcPr>
          <w:p w14:paraId="530F7029" w14:textId="77777777"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Australian National Audit Office,</w:t>
            </w:r>
          </w:p>
          <w:p w14:paraId="16D93839" w14:textId="124EC464"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ANAO</w:t>
            </w:r>
          </w:p>
        </w:tc>
        <w:tc>
          <w:tcPr>
            <w:tcW w:w="2155" w:type="dxa"/>
          </w:tcPr>
          <w:p w14:paraId="46D5BF2E" w14:textId="77777777"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Адамға немесе органға қатысты тиімділік аудиті индивидтің немесе</w:t>
            </w:r>
          </w:p>
          <w:p w14:paraId="264E9C2E" w14:textId="44BA4B34"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ұйымның опера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циялық қызметі</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нің кез келген аспектісін шолуды немесе зерделеуді білдіреді</w:t>
            </w:r>
          </w:p>
        </w:tc>
        <w:tc>
          <w:tcPr>
            <w:tcW w:w="2125" w:type="dxa"/>
          </w:tcPr>
          <w:p w14:paraId="404BEA48" w14:textId="7416ADB1"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Бюджет қаражат</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тарын пайдалану</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шылар және Есеп</w:t>
            </w:r>
          </w:p>
          <w:p w14:paraId="30CA5067" w14:textId="3B679ECE"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палатасының өзіне қатысты тиімділік аудитін жүргізуді көздейді</w:t>
            </w:r>
          </w:p>
        </w:tc>
        <w:tc>
          <w:tcPr>
            <w:tcW w:w="2525" w:type="dxa"/>
            <w:gridSpan w:val="2"/>
          </w:tcPr>
          <w:p w14:paraId="5C7B4207" w14:textId="472D6354" w:rsidR="00252E88" w:rsidRPr="00457CE9" w:rsidRDefault="00252E88"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Бюджеттің атқарылуы туралы жыл сайынғы есеп, есептілік және Есеп</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палатасының ау</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диторлық қорытын</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дысы Парламентке ұсынылады</w:t>
            </w:r>
          </w:p>
        </w:tc>
      </w:tr>
      <w:tr w:rsidR="00CF1C12" w:rsidRPr="00B108D0" w14:paraId="1939A2B5" w14:textId="77777777" w:rsidTr="00C3477B">
        <w:trPr>
          <w:jc w:val="center"/>
        </w:trPr>
        <w:tc>
          <w:tcPr>
            <w:tcW w:w="1386" w:type="dxa"/>
          </w:tcPr>
          <w:p w14:paraId="56786213" w14:textId="4A2C0927" w:rsidR="00CF1C12" w:rsidRPr="00457CE9" w:rsidRDefault="00CF1C12"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Ресей Феде</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рациясы</w:t>
            </w:r>
          </w:p>
        </w:tc>
        <w:tc>
          <w:tcPr>
            <w:tcW w:w="1420" w:type="dxa"/>
          </w:tcPr>
          <w:p w14:paraId="63574AB7" w14:textId="77777777" w:rsidR="00CF1C12" w:rsidRPr="00457CE9" w:rsidRDefault="00CF1C12"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РФ Есеп Палатасы </w:t>
            </w:r>
          </w:p>
        </w:tc>
        <w:tc>
          <w:tcPr>
            <w:tcW w:w="2155" w:type="dxa"/>
          </w:tcPr>
          <w:p w14:paraId="26DA4A30" w14:textId="3C6CE005" w:rsidR="00CF1C12" w:rsidRPr="00457CE9" w:rsidRDefault="00CF1C12"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Федералдық мем</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лекеттік органдар, мемлекеттік бюд</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жеттен тыс қор</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лар, РФ Орталық </w:t>
            </w:r>
          </w:p>
        </w:tc>
        <w:tc>
          <w:tcPr>
            <w:tcW w:w="2125" w:type="dxa"/>
          </w:tcPr>
          <w:p w14:paraId="1F5CE902" w14:textId="77777777" w:rsidR="00CF1C12" w:rsidRPr="00457CE9" w:rsidRDefault="00CF1C12"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Бақылаудың ерекше түрі, оған мыналар кіреді: </w:t>
            </w:r>
          </w:p>
          <w:p w14:paraId="4A63B5D6" w14:textId="4D8F3150" w:rsidR="00CF1C12" w:rsidRPr="00457CE9" w:rsidRDefault="00CF1C12" w:rsidP="00C3477B">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бюджет қаража</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тын олардың тиім</w:t>
            </w:r>
            <w:r w:rsidR="00252E88">
              <w:rPr>
                <w:rFonts w:ascii="Times New Roman" w:hAnsi="Times New Roman" w:cs="Times New Roman"/>
                <w:sz w:val="24"/>
                <w:szCs w:val="24"/>
                <w:lang w:val="kk-KZ"/>
              </w:rPr>
              <w:t xml:space="preserve"> </w:t>
            </w:r>
          </w:p>
        </w:tc>
        <w:tc>
          <w:tcPr>
            <w:tcW w:w="2525" w:type="dxa"/>
            <w:gridSpan w:val="2"/>
          </w:tcPr>
          <w:p w14:paraId="6E43B0DA" w14:textId="7896F861" w:rsidR="00CF1C12" w:rsidRPr="00457CE9" w:rsidRDefault="00CF1C12"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Федералдық мемлекет</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тік органдар, мемле</w:t>
            </w:r>
            <w:r w:rsidR="00252E88">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кеттік бюджеттен тыс </w:t>
            </w:r>
          </w:p>
          <w:p w14:paraId="35E47A6E" w14:textId="173C4CF6" w:rsidR="00CF1C12" w:rsidRPr="00457CE9" w:rsidRDefault="00E562CA"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қ</w:t>
            </w:r>
            <w:r w:rsidR="00CF1C12" w:rsidRPr="00457CE9">
              <w:rPr>
                <w:rFonts w:ascii="Times New Roman" w:hAnsi="Times New Roman" w:cs="Times New Roman"/>
                <w:sz w:val="24"/>
                <w:szCs w:val="24"/>
                <w:lang w:val="kk-KZ"/>
              </w:rPr>
              <w:t>ойылған мақсаттарға сәйкес бақылау іс-</w:t>
            </w:r>
          </w:p>
        </w:tc>
      </w:tr>
      <w:tr w:rsidR="00C3477B" w14:paraId="71554E45" w14:textId="77777777" w:rsidTr="00C3477B">
        <w:trPr>
          <w:gridAfter w:val="1"/>
          <w:wAfter w:w="11" w:type="dxa"/>
          <w:jc w:val="center"/>
        </w:trPr>
        <w:tc>
          <w:tcPr>
            <w:tcW w:w="9600" w:type="dxa"/>
            <w:gridSpan w:val="5"/>
            <w:tcBorders>
              <w:top w:val="nil"/>
              <w:left w:val="nil"/>
              <w:bottom w:val="single" w:sz="4" w:space="0" w:color="auto"/>
              <w:right w:val="nil"/>
            </w:tcBorders>
          </w:tcPr>
          <w:p w14:paraId="631E0CCE" w14:textId="52002ADB" w:rsidR="00C3477B" w:rsidRDefault="00023296">
            <w:pPr>
              <w:spacing w:line="228" w:lineRule="auto"/>
              <w:ind w:hanging="110"/>
              <w:rPr>
                <w:rFonts w:ascii="Times New Roman" w:hAnsi="Times New Roman" w:cs="Times New Roman"/>
                <w:sz w:val="28"/>
                <w:szCs w:val="28"/>
                <w:lang w:val="kk-KZ"/>
              </w:rPr>
            </w:pPr>
            <w:r>
              <w:rPr>
                <w:rFonts w:ascii="Times New Roman" w:hAnsi="Times New Roman" w:cs="Times New Roman"/>
                <w:sz w:val="28"/>
                <w:szCs w:val="28"/>
                <w:lang w:val="kk-KZ"/>
              </w:rPr>
              <w:t>6</w:t>
            </w:r>
            <w:r w:rsidR="00C3477B">
              <w:rPr>
                <w:rFonts w:ascii="Times New Roman" w:hAnsi="Times New Roman" w:cs="Times New Roman"/>
                <w:sz w:val="28"/>
                <w:szCs w:val="28"/>
                <w:lang w:val="kk-KZ"/>
              </w:rPr>
              <w:t>-кестенің жалғасы</w:t>
            </w:r>
          </w:p>
          <w:p w14:paraId="12DE32F3" w14:textId="77777777" w:rsidR="00C3477B" w:rsidRDefault="00C3477B">
            <w:pPr>
              <w:spacing w:line="228" w:lineRule="auto"/>
              <w:rPr>
                <w:rFonts w:ascii="Times New Roman" w:hAnsi="Times New Roman" w:cs="Times New Roman"/>
                <w:sz w:val="16"/>
                <w:szCs w:val="16"/>
                <w:lang w:val="kk-KZ"/>
              </w:rPr>
            </w:pPr>
          </w:p>
        </w:tc>
      </w:tr>
      <w:tr w:rsidR="00C3477B" w14:paraId="78B34F1A" w14:textId="77777777" w:rsidTr="00C3477B">
        <w:trPr>
          <w:gridAfter w:val="1"/>
          <w:wAfter w:w="11" w:type="dxa"/>
          <w:jc w:val="center"/>
        </w:trPr>
        <w:tc>
          <w:tcPr>
            <w:tcW w:w="1381" w:type="dxa"/>
            <w:tcBorders>
              <w:top w:val="single" w:sz="4" w:space="0" w:color="auto"/>
              <w:left w:val="single" w:sz="4" w:space="0" w:color="auto"/>
              <w:bottom w:val="single" w:sz="4" w:space="0" w:color="auto"/>
              <w:right w:val="single" w:sz="4" w:space="0" w:color="auto"/>
            </w:tcBorders>
            <w:hideMark/>
          </w:tcPr>
          <w:p w14:paraId="70A89D88" w14:textId="77777777" w:rsidR="00C3477B" w:rsidRDefault="00C3477B">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20" w:type="dxa"/>
            <w:tcBorders>
              <w:top w:val="single" w:sz="4" w:space="0" w:color="auto"/>
              <w:left w:val="single" w:sz="4" w:space="0" w:color="auto"/>
              <w:bottom w:val="single" w:sz="4" w:space="0" w:color="auto"/>
              <w:right w:val="single" w:sz="4" w:space="0" w:color="auto"/>
            </w:tcBorders>
            <w:hideMark/>
          </w:tcPr>
          <w:p w14:paraId="0FB05CFA" w14:textId="77777777" w:rsidR="00C3477B" w:rsidRDefault="00C3477B">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155" w:type="dxa"/>
            <w:tcBorders>
              <w:top w:val="single" w:sz="4" w:space="0" w:color="auto"/>
              <w:left w:val="single" w:sz="4" w:space="0" w:color="auto"/>
              <w:bottom w:val="single" w:sz="4" w:space="0" w:color="auto"/>
              <w:right w:val="single" w:sz="4" w:space="0" w:color="auto"/>
            </w:tcBorders>
            <w:hideMark/>
          </w:tcPr>
          <w:p w14:paraId="7BEB8BF4" w14:textId="77777777" w:rsidR="00C3477B" w:rsidRDefault="00C3477B">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5" w:type="dxa"/>
            <w:tcBorders>
              <w:top w:val="single" w:sz="4" w:space="0" w:color="auto"/>
              <w:left w:val="single" w:sz="4" w:space="0" w:color="auto"/>
              <w:bottom w:val="single" w:sz="4" w:space="0" w:color="auto"/>
              <w:right w:val="single" w:sz="4" w:space="0" w:color="auto"/>
            </w:tcBorders>
            <w:hideMark/>
          </w:tcPr>
          <w:p w14:paraId="16650522" w14:textId="77777777" w:rsidR="00C3477B" w:rsidRDefault="00C3477B">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19" w:type="dxa"/>
            <w:tcBorders>
              <w:top w:val="single" w:sz="4" w:space="0" w:color="auto"/>
              <w:left w:val="single" w:sz="4" w:space="0" w:color="auto"/>
              <w:bottom w:val="single" w:sz="4" w:space="0" w:color="auto"/>
              <w:right w:val="single" w:sz="4" w:space="0" w:color="auto"/>
            </w:tcBorders>
            <w:hideMark/>
          </w:tcPr>
          <w:p w14:paraId="3C8295A2" w14:textId="77777777" w:rsidR="00C3477B" w:rsidRDefault="00C3477B">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C3477B" w:rsidRPr="00B108D0" w14:paraId="02BD4956" w14:textId="77777777" w:rsidTr="00C3477B">
        <w:trPr>
          <w:jc w:val="center"/>
        </w:trPr>
        <w:tc>
          <w:tcPr>
            <w:tcW w:w="1386" w:type="dxa"/>
          </w:tcPr>
          <w:p w14:paraId="3108C425" w14:textId="77777777" w:rsidR="00C3477B" w:rsidRPr="00457CE9" w:rsidRDefault="00C3477B" w:rsidP="00252E88">
            <w:pPr>
              <w:spacing w:line="216" w:lineRule="auto"/>
              <w:rPr>
                <w:rFonts w:ascii="Times New Roman" w:hAnsi="Times New Roman" w:cs="Times New Roman"/>
                <w:sz w:val="24"/>
                <w:szCs w:val="24"/>
                <w:lang w:val="kk-KZ"/>
              </w:rPr>
            </w:pPr>
          </w:p>
        </w:tc>
        <w:tc>
          <w:tcPr>
            <w:tcW w:w="1420" w:type="dxa"/>
          </w:tcPr>
          <w:p w14:paraId="38598D11" w14:textId="77777777" w:rsidR="00C3477B" w:rsidRPr="00457CE9" w:rsidRDefault="00C3477B" w:rsidP="00252E88">
            <w:pPr>
              <w:spacing w:line="216" w:lineRule="auto"/>
              <w:rPr>
                <w:rFonts w:ascii="Times New Roman" w:hAnsi="Times New Roman" w:cs="Times New Roman"/>
                <w:sz w:val="24"/>
                <w:szCs w:val="24"/>
                <w:lang w:val="kk-KZ"/>
              </w:rPr>
            </w:pPr>
          </w:p>
        </w:tc>
        <w:tc>
          <w:tcPr>
            <w:tcW w:w="2155" w:type="dxa"/>
          </w:tcPr>
          <w:p w14:paraId="5E85A5E8" w14:textId="37DB008D" w:rsidR="00C3477B" w:rsidRPr="00457CE9" w:rsidRDefault="00C3477B"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Банкі, олардың жарғылық (қойма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лық) капиталдары</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на Ресей Федера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циясының қаты</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суымен қоғамдар, Ресей Федерация</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сы субъектілерінің мемлекеттік орган</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дары Есеп палата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сының бақылау өкілеттіктері қолданылатын ұйымдар</w:t>
            </w:r>
          </w:p>
        </w:tc>
        <w:tc>
          <w:tcPr>
            <w:tcW w:w="2125" w:type="dxa"/>
          </w:tcPr>
          <w:p w14:paraId="7973A26E" w14:textId="77777777" w:rsidR="00C3477B" w:rsidRDefault="00C3477B" w:rsidP="00C3477B">
            <w:pPr>
              <w:spacing w:line="216" w:lineRule="auto"/>
              <w:jc w:val="left"/>
              <w:rPr>
                <w:rFonts w:ascii="Times New Roman" w:hAnsi="Times New Roman" w:cs="Times New Roman"/>
                <w:sz w:val="24"/>
                <w:szCs w:val="24"/>
                <w:lang w:val="kk-KZ"/>
              </w:rPr>
            </w:pPr>
            <w:r w:rsidRPr="00457CE9">
              <w:rPr>
                <w:rFonts w:ascii="Times New Roman" w:hAnsi="Times New Roman" w:cs="Times New Roman"/>
                <w:sz w:val="24"/>
                <w:szCs w:val="24"/>
                <w:lang w:val="kk-KZ"/>
              </w:rPr>
              <w:t>ділігін арттыру мақсатында пайда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лану жөніндегі ұйымның қызме</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тін талдау, кемші</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ліктерді анықтау және оларды жою жөнінде шешім қабылдауға көмек көрсету; </w:t>
            </w:r>
          </w:p>
          <w:p w14:paraId="483AA23A" w14:textId="642B4501" w:rsidR="00C3477B" w:rsidRPr="00457CE9" w:rsidRDefault="00C3477B" w:rsidP="00C3477B">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қаржыны неғұр</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лым тиімді пайда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лану резервтерін анықтау. Басты міндет-нәтижеге бағытталу</w:t>
            </w:r>
          </w:p>
        </w:tc>
        <w:tc>
          <w:tcPr>
            <w:tcW w:w="2525" w:type="dxa"/>
            <w:gridSpan w:val="2"/>
          </w:tcPr>
          <w:p w14:paraId="0C6E68F5" w14:textId="7F6129D8" w:rsidR="00C3477B" w:rsidRPr="00457CE9" w:rsidRDefault="00C3477B" w:rsidP="00252E88">
            <w:pPr>
              <w:spacing w:line="216"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шараларын жүргізу нә</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тижелері туралы есеп. Есеп пікірталас сипа</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тында болады; тиім</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ділікті бағалау өлшем</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дері негізінде нәтиже</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лер мен қорытын</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дылар, кемшіліктер мен проблемалардың бар-жоғына сендіре</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тін дәлелдер: конст</w:t>
            </w:r>
            <w:r>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руктивтілік, ұсынымдар</w:t>
            </w:r>
          </w:p>
        </w:tc>
      </w:tr>
      <w:tr w:rsidR="00CF1C12" w:rsidRPr="0047324C" w14:paraId="1D3A8545" w14:textId="77777777" w:rsidTr="00C3477B">
        <w:trPr>
          <w:jc w:val="center"/>
        </w:trPr>
        <w:tc>
          <w:tcPr>
            <w:tcW w:w="9611" w:type="dxa"/>
            <w:gridSpan w:val="6"/>
          </w:tcPr>
          <w:p w14:paraId="5323BDF0" w14:textId="044DB96C" w:rsidR="00CF1C12" w:rsidRPr="00457CE9" w:rsidRDefault="00252E88" w:rsidP="001E64ED">
            <w:pPr>
              <w:ind w:firstLine="585"/>
              <w:rPr>
                <w:rFonts w:ascii="Times New Roman" w:hAnsi="Times New Roman" w:cs="Times New Roman"/>
                <w:sz w:val="24"/>
                <w:szCs w:val="24"/>
                <w:lang w:val="kk-KZ"/>
              </w:rPr>
            </w:pPr>
            <w:r w:rsidRPr="004D5D51">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0258A6">
              <w:rPr>
                <w:rFonts w:ascii="Times New Roman" w:eastAsia="Calibri" w:hAnsi="Times New Roman" w:cs="Times New Roman"/>
                <w:bCs/>
                <w:sz w:val="24"/>
                <w:szCs w:val="24"/>
                <w:lang w:val="kk-KZ"/>
              </w:rPr>
              <w:t xml:space="preserve">Әдебиет негізінде құралған </w:t>
            </w:r>
            <w:r w:rsidR="002339BA" w:rsidRPr="000258A6">
              <w:rPr>
                <w:rFonts w:ascii="Times New Roman" w:hAnsi="Times New Roman" w:cs="Times New Roman"/>
                <w:sz w:val="24"/>
                <w:szCs w:val="24"/>
                <w:lang w:val="kk-KZ" w:eastAsia="zh-CN"/>
              </w:rPr>
              <w:t>[</w:t>
            </w:r>
            <w:r w:rsidR="00AE4375" w:rsidRPr="000258A6">
              <w:rPr>
                <w:rFonts w:ascii="Times New Roman" w:hAnsi="Times New Roman" w:cs="Times New Roman"/>
                <w:sz w:val="24"/>
                <w:szCs w:val="24"/>
                <w:lang w:val="kk-KZ" w:eastAsia="zh-CN"/>
              </w:rPr>
              <w:t>6</w:t>
            </w:r>
            <w:r w:rsidR="000258A6" w:rsidRPr="000258A6">
              <w:rPr>
                <w:rFonts w:ascii="Times New Roman" w:hAnsi="Times New Roman" w:cs="Times New Roman"/>
                <w:sz w:val="24"/>
                <w:szCs w:val="24"/>
                <w:lang w:val="en-US" w:eastAsia="zh-CN"/>
              </w:rPr>
              <w:t>8</w:t>
            </w:r>
            <w:r w:rsidR="002339BA" w:rsidRPr="000258A6">
              <w:rPr>
                <w:rFonts w:ascii="Times New Roman" w:hAnsi="Times New Roman" w:cs="Times New Roman"/>
                <w:sz w:val="24"/>
                <w:szCs w:val="24"/>
                <w:lang w:val="kk-KZ" w:eastAsia="zh-CN"/>
              </w:rPr>
              <w:t xml:space="preserve">] </w:t>
            </w:r>
          </w:p>
        </w:tc>
      </w:tr>
    </w:tbl>
    <w:p w14:paraId="20BED6EE" w14:textId="77777777" w:rsidR="001E64ED" w:rsidRDefault="001E64ED" w:rsidP="00252E88">
      <w:pPr>
        <w:tabs>
          <w:tab w:val="left" w:pos="851"/>
          <w:tab w:val="left" w:pos="993"/>
        </w:tabs>
        <w:spacing w:after="0" w:line="240" w:lineRule="auto"/>
        <w:ind w:firstLine="709"/>
        <w:jc w:val="both"/>
        <w:rPr>
          <w:rFonts w:ascii="Times New Roman" w:hAnsi="Times New Roman" w:cs="Times New Roman"/>
          <w:sz w:val="28"/>
          <w:szCs w:val="28"/>
          <w:lang w:val="kk-KZ"/>
        </w:rPr>
      </w:pPr>
    </w:p>
    <w:p w14:paraId="3D66DE9B" w14:textId="77777777" w:rsidR="00FE7C70" w:rsidRDefault="00FE7C70" w:rsidP="00FE7C70">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6-кестеде қарастырылған елдерде аудитті жүзеге асыру нысандарында белгілі бір айырмашылықтар бар екеніне назар аударған жөн.</w:t>
      </w:r>
    </w:p>
    <w:p w14:paraId="7F8850B4" w14:textId="77777777" w:rsidR="00580C40" w:rsidRDefault="00580C40" w:rsidP="004311FF">
      <w:pPr>
        <w:tabs>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Себебі экономикалық өсу қарқынының бәсеңдеуіне байланысты қаржылық тұрақтылықтың болмауы. Осының салдарынан әкімшілік органдар қызметінің өнімділігі мен нәтижелерін арттыруға бағытталған тиімділікті басқару әдістерін енгізу қажеттілігі туындады. </w:t>
      </w:r>
    </w:p>
    <w:p w14:paraId="03851E3E" w14:textId="77F4A5C4" w:rsidR="004311FF" w:rsidRDefault="004311FF" w:rsidP="004311FF">
      <w:pPr>
        <w:tabs>
          <w:tab w:val="left" w:pos="851"/>
          <w:tab w:val="left" w:pos="993"/>
        </w:tabs>
        <w:spacing w:after="0" w:line="240" w:lineRule="auto"/>
        <w:ind w:firstLine="709"/>
        <w:jc w:val="both"/>
        <w:rPr>
          <w:rFonts w:ascii="Times New Roman" w:hAnsi="Times New Roman" w:cs="Times New Roman"/>
          <w:sz w:val="28"/>
          <w:szCs w:val="28"/>
          <w:lang w:val="kk-KZ"/>
        </w:rPr>
      </w:pPr>
      <w:r w:rsidRPr="00F95506">
        <w:rPr>
          <w:rFonts w:ascii="Times New Roman" w:hAnsi="Times New Roman" w:cs="Times New Roman"/>
          <w:sz w:val="28"/>
          <w:szCs w:val="28"/>
          <w:lang w:val="kk-KZ"/>
        </w:rPr>
        <w:t xml:space="preserve">Әлемдік тәжірибе тиімділік аудитін бақылаудың дербес түрі ретінде пайдалану ұйымдардың </w:t>
      </w:r>
      <w:r>
        <w:rPr>
          <w:rFonts w:ascii="Times New Roman" w:hAnsi="Times New Roman" w:cs="Times New Roman"/>
          <w:sz w:val="28"/>
          <w:szCs w:val="28"/>
          <w:lang w:val="kk-KZ"/>
        </w:rPr>
        <w:t>– бюджет қаражатын пайдаланушылардың жұмыс істеу тиімділігі туралы толық, дұрыс және объективті ақпарат беру есебінен мемлекеттік ресурстарды басқару процесінің өзін жақсартатынын дәлелдейді.</w:t>
      </w:r>
    </w:p>
    <w:p w14:paraId="24E5E919" w14:textId="77777777" w:rsidR="004311FF" w:rsidRDefault="004311FF" w:rsidP="004311FF">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күні сыртқы бақылаудың бұл құралы орталық бақылау-тексеру органдары және Швециядағы Ұлттық аудит агенттігі, Германия мен Франциядағы Есеп палатасы, Ұлыбританиядағы мемлекеттік бақылау, Канадада бас тексерушінің кеңсесі, АҚШ-та жалпы бухгалтерлік есеп Басқармасы сияқты жоғары тексеру мекемелерінің қауымдастығы арқылы жүзеге асырылады.</w:t>
      </w:r>
    </w:p>
    <w:p w14:paraId="232C1CE1" w14:textId="6B73F43E" w:rsidR="004311FF" w:rsidRDefault="004311FF" w:rsidP="004311FF">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АҚШ үкіметі аудитінің стандарттары басқару мен қадағалауға жауапты басшылық пен тұлғалар бағдарламалар мен операциялардың орындалуын жақсарту, шығындарды азайту, қадағалау немесе түзету іс-қимылдарын бастамашылық жасауға жауапты тараптардың шешімдер қабылдауын жеңілдету үшін, сондай-ақ жұртшылықтың есеп берушілігіне жәрдемдесу үшін ақпаратты пайдалана алуы үшін объективті талдауды қамтамасыз ету ретінде тиімділік аудитін сипаттайды. Шетелдік тәжірибені зерттеу нәтижесінде бақылаудың құралы ретінде тиімділік аудиті оның тиімділігін куәландырады.</w:t>
      </w:r>
    </w:p>
    <w:p w14:paraId="52C8F0C3" w14:textId="136034FE" w:rsidR="00AB535F" w:rsidRPr="00457CE9" w:rsidRDefault="00AB535F" w:rsidP="00252E88">
      <w:pPr>
        <w:tabs>
          <w:tab w:val="left" w:pos="851"/>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дәлелдемелерді бизнес жүргізудің нақты талаптары, шаралары немесе белгілі бір әдістері сияқты белгіленген өлшемдерге сәйкес бағалайды. Тиімділік аудитінің осы анықтамасы халықаралық аудит стандарттарына сәйкес келеді. АҚШ үкіметі аудитінің ерекше екі тәжірибесі келесідей</w:t>
      </w:r>
      <w:r w:rsidR="002339BA" w:rsidRPr="00457CE9">
        <w:rPr>
          <w:rFonts w:ascii="Times New Roman" w:hAnsi="Times New Roman" w:cs="Times New Roman"/>
          <w:sz w:val="28"/>
          <w:szCs w:val="28"/>
          <w:lang w:val="kk-KZ"/>
        </w:rPr>
        <w:t xml:space="preserve"> [</w:t>
      </w:r>
      <w:r w:rsidR="00AE4375" w:rsidRPr="003D4F30">
        <w:rPr>
          <w:rFonts w:ascii="Times New Roman" w:hAnsi="Times New Roman" w:cs="Times New Roman"/>
          <w:sz w:val="28"/>
          <w:szCs w:val="28"/>
          <w:lang w:val="kk-KZ"/>
        </w:rPr>
        <w:t>6</w:t>
      </w:r>
      <w:r w:rsidR="00F95506" w:rsidRPr="00D30E48">
        <w:rPr>
          <w:rFonts w:ascii="Times New Roman" w:hAnsi="Times New Roman" w:cs="Times New Roman"/>
          <w:sz w:val="28"/>
          <w:szCs w:val="28"/>
          <w:lang w:val="kk-KZ"/>
        </w:rPr>
        <w:t>4</w:t>
      </w:r>
      <w:r w:rsidR="00AE4375" w:rsidRPr="003D4F30">
        <w:rPr>
          <w:rFonts w:ascii="Times New Roman" w:hAnsi="Times New Roman" w:cs="Times New Roman"/>
          <w:sz w:val="28"/>
          <w:szCs w:val="28"/>
          <w:lang w:val="kk-KZ"/>
        </w:rPr>
        <w:t>, p. 36</w:t>
      </w:r>
      <w:r w:rsidR="002339BA"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01C94588" w14:textId="6CA5CA69" w:rsidR="00AB535F" w:rsidRPr="00457CE9" w:rsidRDefault="00AB535F" w:rsidP="0097172E">
      <w:pPr>
        <w:pStyle w:val="a5"/>
        <w:numPr>
          <w:ilvl w:val="0"/>
          <w:numId w:val="16"/>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Құрама Штаттар Үкіметінің Есеп берушілігін басқару стратегиялық жоспарлау үрдісі Конгресс және Үкімет жақсы басқаруы тиіс негізгі тақырыптар мен жоғары тәуекел салаларын анықтауда басқа да мүдделі тараптарды қамтиды. Тәуекелі жоғары алаяқтық, ысырапшылдық, теріс пайдалану және иесіз болу тәуекелдерін тудыратын үкіметтік бағдарламаларға назар аударады</w:t>
      </w:r>
      <w:r w:rsidR="00252E88">
        <w:rPr>
          <w:rFonts w:ascii="Times New Roman" w:hAnsi="Times New Roman"/>
          <w:sz w:val="28"/>
          <w:szCs w:val="28"/>
          <w:lang w:val="kk-KZ"/>
        </w:rPr>
        <w:t>.</w:t>
      </w:r>
      <w:r w:rsidRPr="00457CE9">
        <w:rPr>
          <w:rFonts w:ascii="Times New Roman" w:hAnsi="Times New Roman"/>
          <w:sz w:val="28"/>
          <w:szCs w:val="28"/>
          <w:lang w:val="kk-KZ"/>
        </w:rPr>
        <w:t xml:space="preserve"> </w:t>
      </w:r>
    </w:p>
    <w:p w14:paraId="217D19F8" w14:textId="1E0304A8" w:rsidR="00AB535F" w:rsidRPr="00457CE9" w:rsidRDefault="00252E88" w:rsidP="0097172E">
      <w:pPr>
        <w:pStyle w:val="a5"/>
        <w:numPr>
          <w:ilvl w:val="0"/>
          <w:numId w:val="16"/>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w:t>
      </w:r>
      <w:r w:rsidR="00AB535F" w:rsidRPr="00457CE9">
        <w:rPr>
          <w:rFonts w:ascii="Times New Roman" w:hAnsi="Times New Roman"/>
          <w:sz w:val="28"/>
          <w:szCs w:val="28"/>
          <w:lang w:val="kk-KZ"/>
        </w:rPr>
        <w:t>індеттемелерді қабылдау процесі басшылықтың назарын тәуелсіздікке арналған тәуекелдерді қоса алғанда, әрбір сұрау салумен байланысты тәуекелдерге және осы тәуекелдердің қалай басқарылатынына назар аударады. Бұл жұмыс нақты нәтижелерге әкеледі. Жыл сайын АҚШ Үкіметінің Есеп Берушілігін Басқару Конгресстің алдындағы баяндамалар мен куәліктердегі қорытындылар мен ұсыныстарды ұсынады.</w:t>
      </w:r>
    </w:p>
    <w:p w14:paraId="575A1556" w14:textId="77777777" w:rsidR="00C67150" w:rsidRPr="00457CE9" w:rsidRDefault="00C67150" w:rsidP="00252E88">
      <w:pPr>
        <w:tabs>
          <w:tab w:val="left" w:pos="851"/>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объективті критерийлер негізінде бағдарламаның тиімділігін тәуелсіз бағалау және басқару қамтамасыз ету үшін нақты деректерді объективті және жүйелі зерттеуді қамтиды, сондай-ақ перспективалық бағыттылықты қамтамасыз ететін немесе озық туралы ақпаратты жинақтайтын бағалаулар тәжірибе немесе тікелей мәселелер. Тиімділік аудиттері келесі жағдайларды жақсарту үшін ақпарат береді:</w:t>
      </w:r>
    </w:p>
    <w:p w14:paraId="35F177B5" w14:textId="77777777" w:rsidR="00C67150" w:rsidRPr="00457CE9" w:rsidRDefault="00C67150" w:rsidP="0097172E">
      <w:pPr>
        <w:pStyle w:val="a5"/>
        <w:numPr>
          <w:ilvl w:val="0"/>
          <w:numId w:val="19"/>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қадағалау немесе бастамашылық жасауға жауапты тараптардың бағдарламалар жұмысы және шешімдер қабылдауды жеңілдету;</w:t>
      </w:r>
    </w:p>
    <w:p w14:paraId="0B8A3113" w14:textId="77777777" w:rsidR="00C67150" w:rsidRPr="00457CE9" w:rsidRDefault="00C67150" w:rsidP="0097172E">
      <w:pPr>
        <w:pStyle w:val="a5"/>
        <w:numPr>
          <w:ilvl w:val="0"/>
          <w:numId w:val="19"/>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сондай-ақ қоғамның алдында есептілікті арттыру үшін тиісті шаралар қабылдайды.</w:t>
      </w:r>
    </w:p>
    <w:p w14:paraId="4F8962F8" w14:textId="77777777" w:rsidR="00AB535F" w:rsidRPr="00457CE9" w:rsidRDefault="00AB535F" w:rsidP="00252E88">
      <w:pPr>
        <w:tabs>
          <w:tab w:val="left" w:pos="851"/>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АҚШ үкіметінің есеп берушілігінің басқармасы жүргізілген аудиттері бойынша есеп беріп отырады, және оның жұмысын ұйымдастыру үшін шыққан шығындардың нәтижелілігін бағалайды. АҚШ үкіметінің есеп берушілігінің басқармасы аудит нәтижелері бойынша берілген ұсынымдардың орындалуын жіті бақылап отырады. Жүргізілген аудиттерде маңызды бөлігін тиімділік аудиті алады, соның нәтижесі бойынша заңнаманы қалыптастырғанын, халыққа қызмет көрсету сапасын жақсарылғанын, үкімет қызметін күшейтетін артықшылықтары белгіленіп отырады. </w:t>
      </w:r>
    </w:p>
    <w:p w14:paraId="673C4909" w14:textId="16406B37" w:rsidR="00510CCA" w:rsidRPr="00457CE9" w:rsidRDefault="003E10A2" w:rsidP="00252E88">
      <w:pPr>
        <w:tabs>
          <w:tab w:val="left" w:pos="851"/>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ISSAI 100-де анықталғандай, мемлекеттік сектор аудитінің элементтері (аудитор, жауапты тарап, мақсатты пайдаланушылар, тексерудің мәні мен өлшемдері) тиімділік аудиті кезінде өзге сипатқа ие болуы мүмкін. Аудиторлар әрбір тексерудің элементтерін нақты анықтап, тексеруді тиісті түрде жүргізу үшін олардың салдарын түсінуі тиіс.</w:t>
      </w:r>
      <w:r w:rsidR="00AE4375" w:rsidRPr="00AE4375">
        <w:rPr>
          <w:rFonts w:ascii="Times New Roman" w:hAnsi="Times New Roman" w:cs="Times New Roman"/>
          <w:sz w:val="28"/>
          <w:szCs w:val="28"/>
          <w:lang w:val="kk-KZ"/>
        </w:rPr>
        <w:t xml:space="preserve"> </w:t>
      </w:r>
      <w:r w:rsidR="00510CCA" w:rsidRPr="00457CE9">
        <w:rPr>
          <w:rFonts w:ascii="Times New Roman" w:hAnsi="Times New Roman" w:cs="Times New Roman"/>
          <w:sz w:val="28"/>
          <w:szCs w:val="28"/>
          <w:lang w:val="kk-KZ"/>
        </w:rPr>
        <w:t>Тиімділік аудитінің үш жағы болады</w:t>
      </w:r>
      <w:r w:rsidR="002339BA" w:rsidRPr="00457CE9">
        <w:rPr>
          <w:rFonts w:ascii="Times New Roman" w:hAnsi="Times New Roman" w:cs="Times New Roman"/>
          <w:sz w:val="28"/>
          <w:szCs w:val="28"/>
          <w:lang w:val="kk-KZ"/>
        </w:rPr>
        <w:t xml:space="preserve"> [</w:t>
      </w:r>
      <w:r w:rsidR="00AE4375">
        <w:rPr>
          <w:rFonts w:ascii="Times New Roman" w:hAnsi="Times New Roman" w:cs="Times New Roman"/>
          <w:sz w:val="28"/>
          <w:szCs w:val="28"/>
          <w:lang w:val="en-US"/>
        </w:rPr>
        <w:t>4</w:t>
      </w:r>
      <w:r w:rsidR="00BD0044">
        <w:rPr>
          <w:rFonts w:ascii="Times New Roman" w:hAnsi="Times New Roman" w:cs="Times New Roman"/>
          <w:sz w:val="28"/>
          <w:szCs w:val="28"/>
          <w:lang w:val="en-US"/>
        </w:rPr>
        <w:t>7</w:t>
      </w:r>
      <w:r w:rsidR="00AE4375">
        <w:rPr>
          <w:rFonts w:ascii="Times New Roman" w:hAnsi="Times New Roman" w:cs="Times New Roman"/>
          <w:sz w:val="28"/>
          <w:szCs w:val="28"/>
          <w:lang w:val="en-US"/>
        </w:rPr>
        <w:t>, p. 1</w:t>
      </w:r>
      <w:r w:rsidR="00E703B1">
        <w:rPr>
          <w:rFonts w:ascii="Times New Roman" w:hAnsi="Times New Roman" w:cs="Times New Roman"/>
          <w:sz w:val="28"/>
          <w:szCs w:val="28"/>
          <w:lang w:val="en-US"/>
        </w:rPr>
        <w:t>2</w:t>
      </w:r>
      <w:r w:rsidR="002339BA" w:rsidRPr="00457CE9">
        <w:rPr>
          <w:rFonts w:ascii="Times New Roman" w:hAnsi="Times New Roman" w:cs="Times New Roman"/>
          <w:sz w:val="28"/>
          <w:szCs w:val="28"/>
          <w:lang w:val="kk-KZ"/>
        </w:rPr>
        <w:t>]</w:t>
      </w:r>
      <w:r w:rsidR="00510CCA" w:rsidRPr="00457CE9">
        <w:rPr>
          <w:rFonts w:ascii="Times New Roman" w:hAnsi="Times New Roman" w:cs="Times New Roman"/>
          <w:sz w:val="28"/>
          <w:szCs w:val="28"/>
          <w:lang w:val="kk-KZ"/>
        </w:rPr>
        <w:t>:</w:t>
      </w:r>
    </w:p>
    <w:p w14:paraId="0ECADC74" w14:textId="1F27D620" w:rsidR="003E10A2" w:rsidRPr="00457CE9" w:rsidRDefault="00510CCA" w:rsidP="00592171">
      <w:pPr>
        <w:pStyle w:val="a5"/>
        <w:numPr>
          <w:ilvl w:val="0"/>
          <w:numId w:val="2"/>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w:t>
      </w:r>
      <w:r w:rsidR="003E10A2" w:rsidRPr="00457CE9">
        <w:rPr>
          <w:rFonts w:ascii="Times New Roman" w:hAnsi="Times New Roman"/>
          <w:sz w:val="28"/>
          <w:szCs w:val="28"/>
          <w:lang w:val="kk-KZ"/>
        </w:rPr>
        <w:t>удиторлар өз кезегінде жауапты тараптар мен мақсатты пайдаланушыларды алдын ала анықтайтын пәнді таңдау және тексеру өлшемдерін анықтау кезінде жиі еркін болады. Аудиторлар ұсыныстар бере алатынына қарамастан, олар жауапты тараптардың міндеттерін өз мойнына алмауы үшін қамқорлық жасауы тиіс. Тиімділік аудитін жүргізетін аудиторлар әдетте мүшелері бір-бірін толықтыратын әртүрлі дағдыларға ие топпен жұмыс істейді</w:t>
      </w:r>
      <w:r w:rsidR="00252E88">
        <w:rPr>
          <w:rFonts w:ascii="Times New Roman" w:hAnsi="Times New Roman"/>
          <w:sz w:val="28"/>
          <w:szCs w:val="28"/>
          <w:lang w:val="kk-KZ"/>
        </w:rPr>
        <w:t>;</w:t>
      </w:r>
    </w:p>
    <w:p w14:paraId="1777FD20" w14:textId="49BC1637" w:rsidR="003E10A2" w:rsidRPr="00457CE9" w:rsidRDefault="00510CCA" w:rsidP="00592171">
      <w:pPr>
        <w:pStyle w:val="a5"/>
        <w:numPr>
          <w:ilvl w:val="0"/>
          <w:numId w:val="2"/>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w:t>
      </w:r>
      <w:r w:rsidR="003E10A2" w:rsidRPr="00457CE9">
        <w:rPr>
          <w:rFonts w:ascii="Times New Roman" w:hAnsi="Times New Roman"/>
          <w:sz w:val="28"/>
          <w:szCs w:val="28"/>
          <w:lang w:val="kk-KZ"/>
        </w:rPr>
        <w:t>ауапты тарап ретінде әрқайсысы тексеру нысанасының әртүрлі аспектісіне жауап беретін бірқатар жеке немесе заңды тұлғалар бірлесіп әрекет ете алады. Кейбір тараптар мәселелердің себебі болған іс-әрекеттерге жауап бере алады. Басқалары тиімділік аудитінің нәтижелері бойынша жасалған ұсыныстарға жауап ретінде өзгерістерге бастамашылық ете алады. Үшіншісі бұрынғысынша аудиторды ақпаратпен немесе дәлелдемелермен қамтамасыз ету үшін жауап бере алады</w:t>
      </w:r>
      <w:r w:rsidR="00252E88">
        <w:rPr>
          <w:rFonts w:ascii="Times New Roman" w:hAnsi="Times New Roman"/>
          <w:sz w:val="28"/>
          <w:szCs w:val="28"/>
          <w:lang w:val="kk-KZ"/>
        </w:rPr>
        <w:t>;</w:t>
      </w:r>
      <w:r w:rsidR="003E10A2" w:rsidRPr="00457CE9">
        <w:rPr>
          <w:rFonts w:ascii="Times New Roman" w:hAnsi="Times New Roman"/>
          <w:sz w:val="28"/>
          <w:szCs w:val="28"/>
          <w:lang w:val="kk-KZ"/>
        </w:rPr>
        <w:t xml:space="preserve"> </w:t>
      </w:r>
    </w:p>
    <w:p w14:paraId="713663D4" w14:textId="77777777" w:rsidR="003E10A2" w:rsidRPr="00457CE9" w:rsidRDefault="00510CCA" w:rsidP="00592171">
      <w:pPr>
        <w:pStyle w:val="a5"/>
        <w:numPr>
          <w:ilvl w:val="0"/>
          <w:numId w:val="2"/>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w:t>
      </w:r>
      <w:r w:rsidR="003E10A2" w:rsidRPr="00457CE9">
        <w:rPr>
          <w:rFonts w:ascii="Times New Roman" w:hAnsi="Times New Roman"/>
          <w:sz w:val="28"/>
          <w:szCs w:val="28"/>
          <w:lang w:val="kk-KZ"/>
        </w:rPr>
        <w:t>ақсатты пайдаланушылар</w:t>
      </w:r>
      <w:r w:rsidR="0082268F" w:rsidRPr="00457CE9">
        <w:rPr>
          <w:rFonts w:ascii="Times New Roman" w:hAnsi="Times New Roman"/>
          <w:sz w:val="28"/>
          <w:szCs w:val="28"/>
          <w:lang w:val="kk-KZ"/>
        </w:rPr>
        <w:t xml:space="preserve"> – </w:t>
      </w:r>
      <w:r w:rsidR="003E10A2" w:rsidRPr="00457CE9">
        <w:rPr>
          <w:rFonts w:ascii="Times New Roman" w:hAnsi="Times New Roman"/>
          <w:sz w:val="28"/>
          <w:szCs w:val="28"/>
          <w:lang w:val="kk-KZ"/>
        </w:rPr>
        <w:t xml:space="preserve">бұл аудитор тиімділік аудитінің қорытындылары бойынша есеп дайындайтын тұлғалар. Мақсатты пайдаланушылар заңнамалық органдар, үкіметтік ведомстволар және </w:t>
      </w:r>
      <w:r w:rsidR="0082268F" w:rsidRPr="00457CE9">
        <w:rPr>
          <w:rFonts w:ascii="Times New Roman" w:hAnsi="Times New Roman"/>
          <w:sz w:val="28"/>
          <w:szCs w:val="28"/>
          <w:lang w:val="kk-KZ"/>
        </w:rPr>
        <w:t>басқа да пайдаланушылар болуы мүмкін. Жауапты тарап т</w:t>
      </w:r>
      <w:r w:rsidR="003E10A2" w:rsidRPr="00457CE9">
        <w:rPr>
          <w:rFonts w:ascii="Times New Roman" w:hAnsi="Times New Roman"/>
          <w:sz w:val="28"/>
          <w:szCs w:val="28"/>
          <w:lang w:val="kk-KZ"/>
        </w:rPr>
        <w:t>а мақсатты пайдаланушы бола алады, бірақ бұл жағдайда ол осындай жалғыз пайдаланушы болады.</w:t>
      </w:r>
    </w:p>
    <w:p w14:paraId="4EA0A67D" w14:textId="27D98DF6" w:rsidR="00510CCA" w:rsidRPr="00457CE9" w:rsidRDefault="00510CCA" w:rsidP="00252E88">
      <w:pPr>
        <w:tabs>
          <w:tab w:val="left" w:pos="851"/>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аудитінің тексеру пәні мен критерийлері.</w:t>
      </w:r>
      <w:r w:rsidR="002B0EB0"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Тиімділік аудиті кезінде тексеру пәні нақты бағдарламалармен, ведомстволармен немесе қорлармен шектелмеуі тиіс, өйткені іс-әрекеттерді (олардың тікелей және түпкілікті нәтижелерімен бірге, сондай-ақ салдарлар) немесе бар жағдайларды (себептері мен салдарын қоса алғанда) қамтуы мүмкін. Мысал ретінде жауапты тараптардың қызмет көрсетуі немесе үкіметтік саясат пен нормативтік құқықтық актілердің басқаруға, мүдделі тараптарға, коммерциялық ұйымдарға, азаматтар мен қоғамға әсері болуы мүмкін. Тексеру пәні аудит мақсатымен анықталады және мәселелерінде тұжырымдалады.</w:t>
      </w:r>
      <w:r w:rsidRPr="00457CE9">
        <w:rPr>
          <w:lang w:val="kk-KZ"/>
        </w:rPr>
        <w:t xml:space="preserve"> </w:t>
      </w:r>
      <w:r w:rsidRPr="00457CE9">
        <w:rPr>
          <w:rFonts w:ascii="Times New Roman" w:hAnsi="Times New Roman" w:cs="Times New Roman"/>
          <w:sz w:val="28"/>
          <w:szCs w:val="28"/>
          <w:lang w:val="kk-KZ"/>
        </w:rPr>
        <w:t>Тиімділік аудиті кезінде аудитор аудит критерийлерін әзірлеуге немесе іріктеуге қатысады</w:t>
      </w:r>
      <w:r w:rsidR="00BD0044" w:rsidRPr="00BD0044">
        <w:rPr>
          <w:rFonts w:ascii="Times New Roman" w:hAnsi="Times New Roman" w:cs="Times New Roman"/>
          <w:sz w:val="28"/>
          <w:szCs w:val="28"/>
          <w:lang w:val="kk-KZ"/>
        </w:rPr>
        <w:t xml:space="preserve"> [45, p. 13]</w:t>
      </w:r>
      <w:r w:rsidRPr="00457CE9">
        <w:rPr>
          <w:rFonts w:ascii="Times New Roman" w:hAnsi="Times New Roman" w:cs="Times New Roman"/>
          <w:sz w:val="28"/>
          <w:szCs w:val="28"/>
          <w:lang w:val="kk-KZ"/>
        </w:rPr>
        <w:t>.</w:t>
      </w:r>
    </w:p>
    <w:p w14:paraId="5704986B" w14:textId="6E1DBB9E" w:rsidR="00510CCA" w:rsidRPr="00457CE9" w:rsidRDefault="00876C15" w:rsidP="00252E88">
      <w:pPr>
        <w:tabs>
          <w:tab w:val="left" w:pos="851"/>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Барлық аудиттердегідей</w:t>
      </w:r>
      <w:r w:rsidR="00510CCA" w:rsidRPr="00457CE9">
        <w:rPr>
          <w:rFonts w:ascii="Times New Roman" w:hAnsi="Times New Roman" w:cs="Times New Roman"/>
          <w:sz w:val="28"/>
          <w:szCs w:val="28"/>
          <w:lang w:val="kk-KZ"/>
        </w:rPr>
        <w:t xml:space="preserve">, тиімділік аудиті туралы есептерді пайдаланушылар шешімдер қабылдау кезінде пайдаланатын ақпараттың </w:t>
      </w:r>
      <w:r w:rsidRPr="00457CE9">
        <w:rPr>
          <w:rFonts w:ascii="Times New Roman" w:hAnsi="Times New Roman" w:cs="Times New Roman"/>
          <w:sz w:val="28"/>
          <w:szCs w:val="28"/>
          <w:lang w:val="kk-KZ"/>
        </w:rPr>
        <w:t xml:space="preserve">шынайылығына сенімді болғысы келеді. </w:t>
      </w:r>
      <w:r w:rsidR="00510CCA" w:rsidRPr="00457CE9">
        <w:rPr>
          <w:rFonts w:ascii="Times New Roman" w:hAnsi="Times New Roman" w:cs="Times New Roman"/>
          <w:sz w:val="28"/>
          <w:szCs w:val="28"/>
          <w:lang w:val="kk-KZ"/>
        </w:rPr>
        <w:t xml:space="preserve">Сондықтан олар дәлелдемелерге негізделген тексеру пәні бойынша </w:t>
      </w:r>
      <w:r w:rsidRPr="00457CE9">
        <w:rPr>
          <w:rFonts w:ascii="Times New Roman" w:hAnsi="Times New Roman" w:cs="Times New Roman"/>
          <w:sz w:val="28"/>
          <w:szCs w:val="28"/>
          <w:lang w:val="kk-KZ"/>
        </w:rPr>
        <w:t xml:space="preserve">ЖАО-ның </w:t>
      </w:r>
      <w:r w:rsidR="00510CCA" w:rsidRPr="00457CE9">
        <w:rPr>
          <w:rFonts w:ascii="Times New Roman" w:hAnsi="Times New Roman" w:cs="Times New Roman"/>
          <w:sz w:val="28"/>
          <w:szCs w:val="28"/>
          <w:lang w:val="kk-KZ"/>
        </w:rPr>
        <w:t>позициясын білдіретін сенімді есептерді алуды күтеді. Тиісінше, тиімділік аудитін жүргізетін аудиторлар жеткілікті және тиісті дәлелдемелерге негізделе отырып, тексерулердің нәтижелерін әрдайым қамтамасыз етуі және тиісті емес есептердің тәуекелін белсенді басқаруы қажет. Алайда, тиімділік аудитін жүргізетін аудиторлардан, әдетте, қаржылық есептілік жөніндегі қорытынды</w:t>
      </w:r>
      <w:r w:rsidR="00E703B1">
        <w:rPr>
          <w:rFonts w:ascii="Times New Roman" w:hAnsi="Times New Roman" w:cs="Times New Roman"/>
          <w:sz w:val="28"/>
          <w:szCs w:val="28"/>
          <w:lang w:val="kk-KZ"/>
        </w:rPr>
        <w:t>мен</w:t>
      </w:r>
      <w:r w:rsidR="00510CCA" w:rsidRPr="00457CE9">
        <w:rPr>
          <w:rFonts w:ascii="Times New Roman" w:hAnsi="Times New Roman" w:cs="Times New Roman"/>
          <w:sz w:val="28"/>
          <w:szCs w:val="28"/>
          <w:lang w:val="kk-KZ"/>
        </w:rPr>
        <w:t xml:space="preserve"> </w:t>
      </w:r>
      <w:r w:rsidR="00E703B1">
        <w:rPr>
          <w:rFonts w:ascii="Times New Roman" w:hAnsi="Times New Roman" w:cs="Times New Roman"/>
          <w:sz w:val="28"/>
          <w:szCs w:val="28"/>
          <w:lang w:val="kk-KZ"/>
        </w:rPr>
        <w:t>салыстыруға болатын</w:t>
      </w:r>
      <w:r w:rsidR="00510CCA" w:rsidRPr="00457CE9">
        <w:rPr>
          <w:rFonts w:ascii="Times New Roman" w:hAnsi="Times New Roman" w:cs="Times New Roman"/>
          <w:sz w:val="28"/>
          <w:szCs w:val="28"/>
          <w:lang w:val="kk-KZ"/>
        </w:rPr>
        <w:t>, аудит объектісінің үнемділікке, тиімділікке және нәтижелілікке қол жеткізуі бойынша жалпы қорытынды беруді күтпейді. Бұл шын мәнінде ISSAI стандарттар жүйесінің талабы емес</w:t>
      </w:r>
      <w:r w:rsidR="00745535" w:rsidRPr="00457CE9">
        <w:rPr>
          <w:rFonts w:ascii="Times New Roman" w:hAnsi="Times New Roman" w:cs="Times New Roman"/>
          <w:sz w:val="28"/>
          <w:szCs w:val="28"/>
          <w:lang w:val="kk-KZ"/>
        </w:rPr>
        <w:t xml:space="preserve"> </w:t>
      </w:r>
      <w:r w:rsidR="00745535" w:rsidRPr="00E703B1">
        <w:rPr>
          <w:rFonts w:ascii="Times New Roman" w:hAnsi="Times New Roman" w:cs="Times New Roman"/>
          <w:sz w:val="28"/>
          <w:szCs w:val="28"/>
          <w:lang w:val="kk-KZ"/>
        </w:rPr>
        <w:t>[</w:t>
      </w:r>
      <w:r w:rsidR="00AE4375" w:rsidRPr="00E703B1">
        <w:rPr>
          <w:rFonts w:ascii="Times New Roman" w:hAnsi="Times New Roman" w:cs="Times New Roman"/>
          <w:sz w:val="28"/>
          <w:szCs w:val="28"/>
          <w:lang w:val="kk-KZ"/>
        </w:rPr>
        <w:t>4</w:t>
      </w:r>
      <w:r w:rsidR="00BD0044" w:rsidRPr="00B50D5C">
        <w:rPr>
          <w:rFonts w:ascii="Times New Roman" w:hAnsi="Times New Roman" w:cs="Times New Roman"/>
          <w:sz w:val="28"/>
          <w:szCs w:val="28"/>
          <w:lang w:val="kk-KZ"/>
        </w:rPr>
        <w:t>5</w:t>
      </w:r>
      <w:r w:rsidR="00AE4375" w:rsidRPr="00E703B1">
        <w:rPr>
          <w:rFonts w:ascii="Times New Roman" w:hAnsi="Times New Roman" w:cs="Times New Roman"/>
          <w:sz w:val="28"/>
          <w:szCs w:val="28"/>
          <w:lang w:val="kk-KZ"/>
        </w:rPr>
        <w:t>,</w:t>
      </w:r>
      <w:r w:rsidR="00AE4375" w:rsidRPr="003D4F30">
        <w:rPr>
          <w:rFonts w:ascii="Times New Roman" w:hAnsi="Times New Roman" w:cs="Times New Roman"/>
          <w:sz w:val="28"/>
          <w:szCs w:val="28"/>
          <w:lang w:val="kk-KZ"/>
        </w:rPr>
        <w:t xml:space="preserve"> p. 1</w:t>
      </w:r>
      <w:r w:rsidR="00E703B1">
        <w:rPr>
          <w:rFonts w:ascii="Times New Roman" w:hAnsi="Times New Roman" w:cs="Times New Roman"/>
          <w:sz w:val="28"/>
          <w:szCs w:val="28"/>
          <w:lang w:val="kk-KZ"/>
        </w:rPr>
        <w:t>4</w:t>
      </w:r>
      <w:r w:rsidR="00745535" w:rsidRPr="00457CE9">
        <w:rPr>
          <w:rFonts w:ascii="Times New Roman" w:hAnsi="Times New Roman" w:cs="Times New Roman"/>
          <w:sz w:val="28"/>
          <w:szCs w:val="28"/>
          <w:lang w:val="kk-KZ"/>
        </w:rPr>
        <w:t>]</w:t>
      </w:r>
      <w:r w:rsidR="00510CCA" w:rsidRPr="00457CE9">
        <w:rPr>
          <w:rFonts w:ascii="Times New Roman" w:hAnsi="Times New Roman" w:cs="Times New Roman"/>
          <w:sz w:val="28"/>
          <w:szCs w:val="28"/>
          <w:lang w:val="kk-KZ"/>
        </w:rPr>
        <w:t xml:space="preserve">. </w:t>
      </w:r>
    </w:p>
    <w:p w14:paraId="665837C8" w14:textId="4FAD0C61" w:rsidR="00510CCA" w:rsidRPr="00457CE9" w:rsidRDefault="00510CCA"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аудитімен қамтамасыз етілетін сенімділік деңгейі ашық</w:t>
      </w:r>
      <w:r w:rsidR="00876C15" w:rsidRPr="00457CE9">
        <w:rPr>
          <w:rFonts w:ascii="Times New Roman" w:hAnsi="Times New Roman" w:cs="Times New Roman"/>
          <w:sz w:val="28"/>
          <w:szCs w:val="28"/>
          <w:lang w:val="kk-KZ"/>
        </w:rPr>
        <w:t xml:space="preserve"> орнатылуы тиіс. Тиімділікке, үнем</w:t>
      </w:r>
      <w:r w:rsidRPr="00457CE9">
        <w:rPr>
          <w:rFonts w:ascii="Times New Roman" w:hAnsi="Times New Roman" w:cs="Times New Roman"/>
          <w:sz w:val="28"/>
          <w:szCs w:val="28"/>
          <w:lang w:val="kk-KZ"/>
        </w:rPr>
        <w:t>ділікке және нәтижелілікке қол жеткізу дәрежесі тиімділік аудитінің нәтижелері бойынша есепте әр түрлі тәсілдермен көрсетілу</w:t>
      </w:r>
      <w:r w:rsidR="00876C15" w:rsidRPr="00457CE9">
        <w:rPr>
          <w:rFonts w:ascii="Times New Roman" w:hAnsi="Times New Roman" w:cs="Times New Roman"/>
          <w:sz w:val="28"/>
          <w:szCs w:val="28"/>
          <w:lang w:val="kk-KZ"/>
        </w:rPr>
        <w:t>і мүмкін</w:t>
      </w:r>
      <w:r w:rsidRPr="00457CE9">
        <w:rPr>
          <w:rFonts w:ascii="Times New Roman" w:hAnsi="Times New Roman" w:cs="Times New Roman"/>
          <w:sz w:val="28"/>
          <w:szCs w:val="28"/>
          <w:lang w:val="kk-KZ"/>
        </w:rPr>
        <w:t xml:space="preserve">: </w:t>
      </w:r>
    </w:p>
    <w:p w14:paraId="6160D79C" w14:textId="77777777" w:rsidR="00876C15" w:rsidRPr="00457CE9" w:rsidRDefault="00510CCA" w:rsidP="00592171">
      <w:pPr>
        <w:pStyle w:val="a5"/>
        <w:numPr>
          <w:ilvl w:val="0"/>
          <w:numId w:val="3"/>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 мақсаты, оның мәні, алынған дәлелдемелер мен қол жеткізілген нәтижелер осындай қорытынды жасауға мүмкіндік беретін үнемділік, тиімділік және нәтижелілік аспектіл</w:t>
      </w:r>
      <w:r w:rsidR="00876C15" w:rsidRPr="00457CE9">
        <w:rPr>
          <w:rFonts w:ascii="Times New Roman" w:hAnsi="Times New Roman"/>
          <w:sz w:val="28"/>
          <w:szCs w:val="28"/>
          <w:lang w:val="kk-KZ"/>
        </w:rPr>
        <w:t xml:space="preserve">еріне жалпы шолу жасай отырып; </w:t>
      </w:r>
    </w:p>
    <w:p w14:paraId="5B3C6159" w14:textId="063BD519" w:rsidR="00510CCA" w:rsidRPr="00457CE9" w:rsidRDefault="00510CCA" w:rsidP="00592171">
      <w:pPr>
        <w:pStyle w:val="a5"/>
        <w:numPr>
          <w:ilvl w:val="0"/>
          <w:numId w:val="3"/>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аудиттің мақсатын, қойылған мәселелерді, алынған дәлелдемелерді, пайдаланылатын критерийлерді, қол жеткізілген нәтижелер мен нақты қорытындыларды қоса алғанда, бірқатар ережелер бойынша нақты ақпарат бере отырып, аудит жүргізуге міндетті</w:t>
      </w:r>
      <w:r w:rsidR="00BD0044" w:rsidRPr="00BD0044">
        <w:rPr>
          <w:rFonts w:ascii="Times New Roman" w:hAnsi="Times New Roman"/>
          <w:sz w:val="28"/>
          <w:szCs w:val="28"/>
          <w:lang w:val="kk-KZ"/>
        </w:rPr>
        <w:t xml:space="preserve"> [45, p. 15]</w:t>
      </w:r>
      <w:r w:rsidRPr="00457CE9">
        <w:rPr>
          <w:rFonts w:ascii="Times New Roman" w:hAnsi="Times New Roman"/>
          <w:sz w:val="28"/>
          <w:szCs w:val="28"/>
          <w:lang w:val="kk-KZ"/>
        </w:rPr>
        <w:t>.</w:t>
      </w:r>
    </w:p>
    <w:p w14:paraId="366F7FD4" w14:textId="7B4BEF09" w:rsidR="00DB2881" w:rsidRPr="00457CE9" w:rsidRDefault="00876C15"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Тексеру нәтижелері туралы есептерге жеткілікті және тиісті дәлелдеме базасы бар нәтижелер</w:t>
      </w:r>
      <w:r w:rsidR="00D31E7C" w:rsidRPr="00457CE9">
        <w:rPr>
          <w:rFonts w:ascii="Times New Roman" w:hAnsi="Times New Roman" w:cs="Times New Roman"/>
          <w:sz w:val="28"/>
          <w:szCs w:val="28"/>
          <w:lang w:val="kk-KZ"/>
        </w:rPr>
        <w:t>ді ғана енгізу қажет. Теңдестірілген</w:t>
      </w:r>
      <w:r w:rsidRPr="00457CE9">
        <w:rPr>
          <w:rFonts w:ascii="Times New Roman" w:hAnsi="Times New Roman" w:cs="Times New Roman"/>
          <w:sz w:val="28"/>
          <w:szCs w:val="28"/>
          <w:lang w:val="kk-KZ"/>
        </w:rPr>
        <w:t xml:space="preserve"> есепті жасау кезінде, қорытындыларды және ұсынымдарды қалыптастыру кезінде қабылданған шешімдер мақсатты пайдаланушыны қажетті ақпаратпен қамтамасыз ету үшін пысықтауды жиі қажет етеді. Тиімділік аудитін жүргізетін аудиторлар олардың тексерулері бойынша деректердің тұтас бірқатар қорытындыларға және қажет болған жағдайда бірыңғай жалпы қорытындыға әкелгенін нақты сипаттау қажет. Бұл қандай критерийлер әзірленгенін және пайдаланылғандығын және неге түсіндіруді</w:t>
      </w:r>
      <w:r w:rsidR="00D31E7C" w:rsidRPr="00457CE9">
        <w:rPr>
          <w:rFonts w:ascii="Times New Roman" w:hAnsi="Times New Roman" w:cs="Times New Roman"/>
          <w:sz w:val="28"/>
          <w:szCs w:val="28"/>
          <w:lang w:val="kk-KZ"/>
        </w:rPr>
        <w:t>, сондай-ақ теңдестірілген</w:t>
      </w:r>
      <w:r w:rsidRPr="00457CE9">
        <w:rPr>
          <w:rFonts w:ascii="Times New Roman" w:hAnsi="Times New Roman" w:cs="Times New Roman"/>
          <w:sz w:val="28"/>
          <w:szCs w:val="28"/>
          <w:lang w:val="kk-KZ"/>
        </w:rPr>
        <w:t xml:space="preserve"> есепті қалыптастыру үшін барлық тиісті көзқарастар ескерілгенін көрсетуді білдіреді. Есептілік </w:t>
      </w:r>
      <w:r w:rsidR="00D31E7C" w:rsidRPr="00457CE9">
        <w:rPr>
          <w:rFonts w:ascii="Times New Roman" w:hAnsi="Times New Roman" w:cs="Times New Roman"/>
          <w:sz w:val="28"/>
          <w:szCs w:val="28"/>
          <w:lang w:val="kk-KZ"/>
        </w:rPr>
        <w:t>қағидалары</w:t>
      </w:r>
      <w:r w:rsidRPr="00457CE9">
        <w:rPr>
          <w:rFonts w:ascii="Times New Roman" w:hAnsi="Times New Roman" w:cs="Times New Roman"/>
          <w:sz w:val="28"/>
          <w:szCs w:val="28"/>
          <w:lang w:val="kk-KZ"/>
        </w:rPr>
        <w:t xml:space="preserve"> осы </w:t>
      </w:r>
      <w:r w:rsidR="00D31E7C" w:rsidRPr="00457CE9">
        <w:rPr>
          <w:rFonts w:ascii="Times New Roman" w:hAnsi="Times New Roman" w:cs="Times New Roman"/>
          <w:sz w:val="28"/>
          <w:szCs w:val="28"/>
          <w:lang w:val="kk-KZ"/>
        </w:rPr>
        <w:t>үрді</w:t>
      </w:r>
      <w:r w:rsidRPr="00457CE9">
        <w:rPr>
          <w:rFonts w:ascii="Times New Roman" w:hAnsi="Times New Roman" w:cs="Times New Roman"/>
          <w:sz w:val="28"/>
          <w:szCs w:val="28"/>
          <w:lang w:val="kk-KZ"/>
        </w:rPr>
        <w:t>с бойынша одан әрі нұсқауларды қамтиды</w:t>
      </w:r>
      <w:r w:rsidR="00BD0044" w:rsidRPr="00BD0044">
        <w:rPr>
          <w:rFonts w:ascii="Times New Roman" w:hAnsi="Times New Roman" w:cs="Times New Roman"/>
          <w:sz w:val="28"/>
          <w:szCs w:val="28"/>
          <w:lang w:val="kk-KZ"/>
        </w:rPr>
        <w:t xml:space="preserve"> [45, p. </w:t>
      </w:r>
      <w:r w:rsidR="00BD0044" w:rsidRPr="00725206">
        <w:rPr>
          <w:rFonts w:ascii="Times New Roman" w:hAnsi="Times New Roman" w:cs="Times New Roman"/>
          <w:sz w:val="28"/>
          <w:szCs w:val="28"/>
          <w:lang w:val="kk-KZ"/>
        </w:rPr>
        <w:t>17</w:t>
      </w:r>
      <w:r w:rsidR="00BD0044" w:rsidRPr="00BD0044">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693BBF32" w14:textId="7C0BF97C" w:rsidR="00953561" w:rsidRPr="00457CE9" w:rsidRDefault="00953561"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Жалпы қағидаттар тиімділік аудиті үрдісіндегі барлық аспектілерге қатысты ұсынымдар береді. Бұл қағидаларға қатысты кейбір аймақтар ISSAI 100-де жарияланбайды. Оларға тексеру тақырыптарын таңдау, тексеру мақсаттарын сәйкестендіру және тексеру жүргізу тәсілі мен критерийлерін айқындау жатады. Аудиторлық тәуекел, байланыстар, дағдылар, кәсіби пікір, сапаны бақылау, мәнділік және құжаттама сияқты басқа салаларда жалпы қағидаттар ISSAI 100 қағидаттарына негізделеді және олардың тиімділік аудитінде қалай қолданылатынын түсіндіреді</w:t>
      </w:r>
      <w:r w:rsidR="002339BA" w:rsidRPr="00457CE9">
        <w:rPr>
          <w:rFonts w:ascii="Times New Roman" w:hAnsi="Times New Roman" w:cs="Times New Roman"/>
          <w:sz w:val="28"/>
          <w:szCs w:val="28"/>
          <w:lang w:val="kk-KZ"/>
        </w:rPr>
        <w:t xml:space="preserve"> [</w:t>
      </w:r>
      <w:r w:rsidR="00AE4375" w:rsidRPr="00AE4375">
        <w:rPr>
          <w:rFonts w:ascii="Times New Roman" w:hAnsi="Times New Roman" w:cs="Times New Roman"/>
          <w:sz w:val="28"/>
          <w:szCs w:val="28"/>
          <w:lang w:val="kk-KZ"/>
        </w:rPr>
        <w:t>4</w:t>
      </w:r>
      <w:r w:rsidR="00F95506" w:rsidRPr="00F95506">
        <w:rPr>
          <w:rFonts w:ascii="Times New Roman" w:hAnsi="Times New Roman" w:cs="Times New Roman"/>
          <w:sz w:val="28"/>
          <w:szCs w:val="28"/>
          <w:lang w:val="kk-KZ"/>
        </w:rPr>
        <w:t>7</w:t>
      </w:r>
      <w:r w:rsidR="00AE4375" w:rsidRPr="00AE4375">
        <w:rPr>
          <w:rFonts w:ascii="Times New Roman" w:hAnsi="Times New Roman" w:cs="Times New Roman"/>
          <w:sz w:val="28"/>
          <w:szCs w:val="28"/>
          <w:lang w:val="kk-KZ"/>
        </w:rPr>
        <w:t>, p. 26</w:t>
      </w:r>
      <w:r w:rsidR="002339BA"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3422C019" w14:textId="77777777" w:rsidR="00253478" w:rsidRPr="00457CE9" w:rsidRDefault="00253478"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Ауыл шаруашылығы аудиті </w:t>
      </w:r>
      <w:r w:rsidR="00660F37" w:rsidRPr="00457CE9">
        <w:rPr>
          <w:rFonts w:ascii="Times New Roman" w:hAnsi="Times New Roman" w:cs="Times New Roman"/>
          <w:sz w:val="28"/>
          <w:szCs w:val="28"/>
          <w:lang w:val="kk-KZ"/>
        </w:rPr>
        <w:t>көптеген</w:t>
      </w:r>
      <w:r w:rsidRPr="00457CE9">
        <w:rPr>
          <w:rFonts w:ascii="Times New Roman" w:hAnsi="Times New Roman" w:cs="Times New Roman"/>
          <w:sz w:val="28"/>
          <w:szCs w:val="28"/>
          <w:lang w:val="kk-KZ"/>
        </w:rPr>
        <w:t xml:space="preserve"> елдер үшін маңызды болып табылады, үкімет пайдаланылған қаражатқа тиісті бақылауды қамтамасыз етпей, ауыл шаруашылығы жобаларын қолдауға мемл</w:t>
      </w:r>
      <w:r w:rsidR="00660F37" w:rsidRPr="00457CE9">
        <w:rPr>
          <w:rFonts w:ascii="Times New Roman" w:hAnsi="Times New Roman" w:cs="Times New Roman"/>
          <w:sz w:val="28"/>
          <w:szCs w:val="28"/>
          <w:lang w:val="kk-KZ"/>
        </w:rPr>
        <w:t>екеттік қаражаттың үлкен сомасы жиі жұмсала</w:t>
      </w:r>
      <w:r w:rsidRPr="00457CE9">
        <w:rPr>
          <w:rFonts w:ascii="Times New Roman" w:hAnsi="Times New Roman" w:cs="Times New Roman"/>
          <w:sz w:val="28"/>
          <w:szCs w:val="28"/>
          <w:lang w:val="kk-KZ"/>
        </w:rPr>
        <w:t>ды. Сонымен қатар, бірқатар субсидияланатын бағдарламаларды тексеру нәтижелері мемлекеттік қаражаттың мақсаты бойынша пайдаланылмағанын және нарықтағы қажетті басшылық нәтиж</w:t>
      </w:r>
      <w:r w:rsidR="00660F37" w:rsidRPr="00457CE9">
        <w:rPr>
          <w:rFonts w:ascii="Times New Roman" w:hAnsi="Times New Roman" w:cs="Times New Roman"/>
          <w:sz w:val="28"/>
          <w:szCs w:val="28"/>
          <w:lang w:val="kk-KZ"/>
        </w:rPr>
        <w:t>еге қол жеткізілмегенін көрсетеді</w:t>
      </w:r>
      <w:r w:rsidRPr="00457CE9">
        <w:rPr>
          <w:rFonts w:ascii="Times New Roman" w:hAnsi="Times New Roman" w:cs="Times New Roman"/>
          <w:sz w:val="28"/>
          <w:szCs w:val="28"/>
          <w:lang w:val="kk-KZ"/>
        </w:rPr>
        <w:t>.</w:t>
      </w:r>
      <w:r w:rsidR="00660F37" w:rsidRPr="00457CE9">
        <w:rPr>
          <w:rFonts w:ascii="Times New Roman" w:hAnsi="Times New Roman" w:cs="Times New Roman"/>
          <w:sz w:val="28"/>
          <w:szCs w:val="28"/>
          <w:lang w:val="kk-KZ"/>
        </w:rPr>
        <w:t xml:space="preserve"> К</w:t>
      </w:r>
      <w:r w:rsidRPr="00457CE9">
        <w:rPr>
          <w:rFonts w:ascii="Times New Roman" w:hAnsi="Times New Roman" w:cs="Times New Roman"/>
          <w:sz w:val="28"/>
          <w:szCs w:val="28"/>
          <w:lang w:val="kk-KZ"/>
        </w:rPr>
        <w:t>елесі сұрақтар негізгі мәнге ие:</w:t>
      </w:r>
    </w:p>
    <w:p w14:paraId="34305E3E" w14:textId="77777777" w:rsidR="00253478" w:rsidRPr="00457CE9" w:rsidRDefault="00660F37" w:rsidP="0097172E">
      <w:pPr>
        <w:pStyle w:val="a5"/>
        <w:numPr>
          <w:ilvl w:val="0"/>
          <w:numId w:val="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w:t>
      </w:r>
      <w:r w:rsidR="00253478" w:rsidRPr="00457CE9">
        <w:rPr>
          <w:rFonts w:ascii="Times New Roman" w:hAnsi="Times New Roman"/>
          <w:sz w:val="28"/>
          <w:szCs w:val="28"/>
          <w:lang w:val="kk-KZ"/>
        </w:rPr>
        <w:t xml:space="preserve">ағдарламаның мемлекеттік ауыл шаруашылығы қызметін қаржыландыру мен жүзеге асыруда шаруашылықсыздықтың алдын алу үшін тиісті құқықтық </w:t>
      </w:r>
      <w:r w:rsidR="00E57AED" w:rsidRPr="00457CE9">
        <w:rPr>
          <w:rFonts w:ascii="Times New Roman" w:hAnsi="Times New Roman"/>
          <w:sz w:val="28"/>
          <w:szCs w:val="28"/>
          <w:lang w:val="kk-KZ"/>
        </w:rPr>
        <w:t>және әкімшілік шеңберлерді құру;</w:t>
      </w:r>
    </w:p>
    <w:p w14:paraId="3E9C3E39" w14:textId="77777777" w:rsidR="00253478" w:rsidRPr="00457CE9" w:rsidRDefault="00253478" w:rsidP="0097172E">
      <w:pPr>
        <w:pStyle w:val="a5"/>
        <w:numPr>
          <w:ilvl w:val="0"/>
          <w:numId w:val="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арнайы ноу-хауды жетілдіру үшін аудиторларды одан әрі оқыту және дайындау. </w:t>
      </w:r>
      <w:r w:rsidR="00E57AED" w:rsidRPr="00457CE9">
        <w:rPr>
          <w:rFonts w:ascii="Times New Roman" w:hAnsi="Times New Roman"/>
          <w:sz w:val="28"/>
          <w:szCs w:val="28"/>
          <w:lang w:val="kk-KZ"/>
        </w:rPr>
        <w:t>Б</w:t>
      </w:r>
      <w:r w:rsidRPr="00457CE9">
        <w:rPr>
          <w:rFonts w:ascii="Times New Roman" w:hAnsi="Times New Roman"/>
          <w:sz w:val="28"/>
          <w:szCs w:val="28"/>
          <w:lang w:val="kk-KZ"/>
        </w:rPr>
        <w:t xml:space="preserve">ағдарламаның </w:t>
      </w:r>
      <w:r w:rsidR="00E57AED" w:rsidRPr="00457CE9">
        <w:rPr>
          <w:rFonts w:ascii="Times New Roman" w:hAnsi="Times New Roman"/>
          <w:sz w:val="28"/>
          <w:szCs w:val="28"/>
          <w:lang w:val="kk-KZ"/>
        </w:rPr>
        <w:t>м</w:t>
      </w:r>
      <w:r w:rsidRPr="00457CE9">
        <w:rPr>
          <w:rFonts w:ascii="Times New Roman" w:hAnsi="Times New Roman"/>
          <w:sz w:val="28"/>
          <w:szCs w:val="28"/>
          <w:lang w:val="kk-KZ"/>
        </w:rPr>
        <w:t>емлекеттік аграрлық саясатын жүзеге асырудағы кемшіліктерді анықтау талап етіледі</w:t>
      </w:r>
      <w:r w:rsidR="00E57AED" w:rsidRPr="00457CE9">
        <w:rPr>
          <w:rFonts w:ascii="Times New Roman" w:hAnsi="Times New Roman"/>
          <w:sz w:val="28"/>
          <w:szCs w:val="28"/>
          <w:lang w:val="kk-KZ"/>
        </w:rPr>
        <w:t>;</w:t>
      </w:r>
    </w:p>
    <w:p w14:paraId="0B0BF869" w14:textId="2673873F" w:rsidR="00253478" w:rsidRPr="00457CE9" w:rsidRDefault="00E57AED" w:rsidP="0097172E">
      <w:pPr>
        <w:pStyle w:val="a5"/>
        <w:numPr>
          <w:ilvl w:val="0"/>
          <w:numId w:val="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w:t>
      </w:r>
      <w:r w:rsidR="00253478" w:rsidRPr="00457CE9">
        <w:rPr>
          <w:rFonts w:ascii="Times New Roman" w:hAnsi="Times New Roman"/>
          <w:sz w:val="28"/>
          <w:szCs w:val="28"/>
          <w:lang w:val="kk-KZ"/>
        </w:rPr>
        <w:t>удит нәтижелерінің міндеттілігі (санкцияларды енгізу мүмкіндігі, қаржылық, экономикалық (күрделі және кейінгі шығындар) және техникалық аспектілерді ескере отырып, ауыл шаруашылығы саласындағы тиімділік аудиті, аудиторлардың тиімділік аудитіндегі техникалық дағдылары, сондай-ақ бірлесіп қаржыландырылатын жобаларда SAI халықаралық немесе екі жақты ынтымақтастық мүмкіндігі</w:t>
      </w:r>
      <w:r w:rsidR="002339BA" w:rsidRPr="00457CE9">
        <w:rPr>
          <w:rFonts w:ascii="Times New Roman" w:hAnsi="Times New Roman"/>
          <w:sz w:val="28"/>
          <w:szCs w:val="28"/>
          <w:lang w:val="kk-KZ"/>
        </w:rPr>
        <w:t xml:space="preserve"> [6</w:t>
      </w:r>
      <w:r w:rsidR="00F95506" w:rsidRPr="00F95506">
        <w:rPr>
          <w:rFonts w:ascii="Times New Roman" w:hAnsi="Times New Roman"/>
          <w:sz w:val="28"/>
          <w:szCs w:val="28"/>
          <w:lang w:val="kk-KZ"/>
        </w:rPr>
        <w:t>4</w:t>
      </w:r>
      <w:r w:rsidR="005B5873" w:rsidRPr="005B5873">
        <w:rPr>
          <w:rFonts w:ascii="Times New Roman" w:hAnsi="Times New Roman"/>
          <w:sz w:val="28"/>
          <w:szCs w:val="28"/>
          <w:lang w:val="kk-KZ"/>
        </w:rPr>
        <w:t xml:space="preserve">, p. </w:t>
      </w:r>
      <w:r w:rsidR="009E4FA1" w:rsidRPr="009E4FA1">
        <w:rPr>
          <w:rFonts w:ascii="Times New Roman" w:hAnsi="Times New Roman"/>
          <w:sz w:val="28"/>
          <w:szCs w:val="28"/>
          <w:lang w:val="kk-KZ"/>
        </w:rPr>
        <w:t>2</w:t>
      </w:r>
      <w:r w:rsidR="002339BA" w:rsidRPr="00457CE9">
        <w:rPr>
          <w:rFonts w:ascii="Times New Roman" w:hAnsi="Times New Roman"/>
          <w:sz w:val="28"/>
          <w:szCs w:val="28"/>
          <w:lang w:val="kk-KZ"/>
        </w:rPr>
        <w:t>]</w:t>
      </w:r>
      <w:r w:rsidR="00253478" w:rsidRPr="00457CE9">
        <w:rPr>
          <w:rFonts w:ascii="Times New Roman" w:hAnsi="Times New Roman"/>
          <w:sz w:val="28"/>
          <w:szCs w:val="28"/>
          <w:lang w:val="kk-KZ"/>
        </w:rPr>
        <w:t>.</w:t>
      </w:r>
    </w:p>
    <w:p w14:paraId="39AF9692" w14:textId="3D5E49C1" w:rsidR="00FA65A9" w:rsidRPr="00457CE9" w:rsidRDefault="00253478"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Аудиторлар ауыл шаруашылығы саласындағы мемлекеттік субсидиялардың тиімділігі мен нәтижелілігіне аудит жүргізу мүмкіндігіне ие болу үшін аудит саласында әдіснамалық, сондай-ақ пәндік құзыреттілікке ие болуы тиіс.</w:t>
      </w:r>
      <w:r w:rsidR="005B5873" w:rsidRPr="005B5873">
        <w:rPr>
          <w:rFonts w:ascii="Times New Roman" w:hAnsi="Times New Roman" w:cs="Times New Roman"/>
          <w:sz w:val="28"/>
          <w:szCs w:val="28"/>
          <w:lang w:val="kk-KZ"/>
        </w:rPr>
        <w:t xml:space="preserve"> </w:t>
      </w:r>
      <w:r w:rsidR="002C01AA" w:rsidRPr="00457CE9">
        <w:rPr>
          <w:rFonts w:ascii="Times New Roman" w:hAnsi="Times New Roman" w:cs="Times New Roman"/>
          <w:sz w:val="28"/>
          <w:szCs w:val="28"/>
          <w:lang w:val="kk-KZ"/>
        </w:rPr>
        <w:t xml:space="preserve">Ауыл шаруашылығы мал және өсімдік өнімдерін өндіру үшін топырақты коммерциялық пайдалану деп түсініледі. Ауыл шаруашылығы бастапқы өндірістің бір бөлігі (бастапқы сектор). Ауыл шаруашылығы қызметі табиғатқа жаппай араласуға, жасанды суару, жасыл революция сияқты оң салдарлармен, сондай-ақ жерді шамадан тыс тазалау, топырақтың шамадан тыс тыңайтқышы, су объектілерінің ластануы және тағы басқалар сияқты теріс салдарлармен әкелді. </w:t>
      </w:r>
    </w:p>
    <w:p w14:paraId="7228C242" w14:textId="711B2493" w:rsidR="00FA65A9" w:rsidRPr="00457CE9" w:rsidRDefault="002C01AA"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Бүгінгі күні ауыл шаруашылығы экологиялық қажеттіліктерді (экоәлеуметтік нарықтық экономика) ескере отырып жүзеге асырылуы тиіс деген ортақ пікір қалыптасты. </w:t>
      </w:r>
      <w:r w:rsidR="00FA65A9" w:rsidRPr="00457CE9">
        <w:rPr>
          <w:rFonts w:ascii="Times New Roman" w:hAnsi="Times New Roman" w:cs="Times New Roman"/>
          <w:sz w:val="28"/>
          <w:szCs w:val="28"/>
          <w:lang w:val="kk-KZ"/>
        </w:rPr>
        <w:t>Бүгінгі күні ауыл шаруашылығында жұмыс істейтін адамдардың үлесі әлемнің әр түрлі аймақтарында қатты ерекшеленеді. Дамушы елдерде ауыл шаруашылығында жұмыспен қамтылғандар үлесі өте жоғары болғанымен, өнеркәсіптік дамыған елдерде ол механикаландыру нәтижесінде 5%-ға дейін немесе одан аз төмендеді</w:t>
      </w:r>
      <w:r w:rsidR="009E7CF6" w:rsidRPr="00457CE9">
        <w:rPr>
          <w:rFonts w:ascii="Times New Roman" w:hAnsi="Times New Roman" w:cs="Times New Roman"/>
          <w:sz w:val="28"/>
          <w:szCs w:val="28"/>
          <w:lang w:val="kk-KZ"/>
        </w:rPr>
        <w:t>. Егер өндіріс деңгейіне қараса</w:t>
      </w:r>
      <w:r w:rsidR="00FA65A9" w:rsidRPr="00457CE9">
        <w:rPr>
          <w:rFonts w:ascii="Times New Roman" w:hAnsi="Times New Roman" w:cs="Times New Roman"/>
          <w:sz w:val="28"/>
          <w:szCs w:val="28"/>
          <w:lang w:val="kk-KZ"/>
        </w:rPr>
        <w:t xml:space="preserve">, дамушы елдер көбінесе ауыл шаруашылығы өнімдерінің жеткілікті мөлшерін өндіре алмайды, ал өнеркәсіптік дамыған елдер артық өндіріс проблемасына тап болады. Мемлекеттік қаражат ауыл шаруашылығы саласында дамушы және дамыған елдердегі сияқты, алайда әр түрлі мақсаттар үшін жұмсалады. </w:t>
      </w:r>
    </w:p>
    <w:p w14:paraId="4B498C91" w14:textId="498915F0" w:rsidR="009E7CF6" w:rsidRPr="00457CE9" w:rsidRDefault="00FA65A9"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Дамушы елдерде олар өндіріс деңгейін арттыру үшін қызмет етеді,</w:t>
      </w:r>
      <w:r w:rsidR="009E7CF6"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ал өнеркәсіптік дамыған елдерде олар өндірісті тежеу үшін пайдаланылады. Екі жағдайда да SAI алдында мемлекеттік қаражаттың қалай жұмсалуына аудит жүргізу міндеті тұр.</w:t>
      </w:r>
      <w:r w:rsidR="00FA4D1B" w:rsidRPr="00457CE9">
        <w:rPr>
          <w:rFonts w:ascii="Times New Roman" w:hAnsi="Times New Roman" w:cs="Times New Roman"/>
          <w:sz w:val="28"/>
          <w:szCs w:val="28"/>
          <w:lang w:val="kk-KZ"/>
        </w:rPr>
        <w:t xml:space="preserve"> </w:t>
      </w:r>
      <w:r w:rsidR="009E7CF6" w:rsidRPr="00457CE9">
        <w:rPr>
          <w:rFonts w:ascii="Times New Roman" w:hAnsi="Times New Roman" w:cs="Times New Roman"/>
          <w:sz w:val="28"/>
          <w:szCs w:val="28"/>
          <w:lang w:val="kk-KZ"/>
        </w:rPr>
        <w:t xml:space="preserve">Ауыл шаруашылығы саласындағы мемлекеттік қаражатқа бақылауды күшейту мыңжылдық декларациясының қолданылу аясына кіреді, оның мақсаты кедейшілікті тұрақты дамыту және жою болып табылады. </w:t>
      </w:r>
      <w:r w:rsidR="000B3A67" w:rsidRPr="00457CE9">
        <w:rPr>
          <w:rFonts w:ascii="Times New Roman" w:hAnsi="Times New Roman" w:cs="Times New Roman"/>
          <w:sz w:val="28"/>
          <w:szCs w:val="28"/>
          <w:lang w:val="kk-KZ"/>
        </w:rPr>
        <w:t>Д</w:t>
      </w:r>
      <w:r w:rsidR="009E7CF6" w:rsidRPr="00457CE9">
        <w:rPr>
          <w:rFonts w:ascii="Times New Roman" w:hAnsi="Times New Roman" w:cs="Times New Roman"/>
          <w:sz w:val="28"/>
          <w:szCs w:val="28"/>
          <w:lang w:val="kk-KZ"/>
        </w:rPr>
        <w:t>амушы елдер, әсіресе қосалқы аймақ елдері, негізінен өзінің ауыл шаруашылығы өніміне сүйенеді. Мемлекеттік қаражатты тиімсіз пайдалану және онсыз да күрделі экономикалық және қаржылық салдарға әкеп соғады.</w:t>
      </w:r>
    </w:p>
    <w:p w14:paraId="5FA27589" w14:textId="77777777" w:rsidR="009E7CF6" w:rsidRPr="00457CE9" w:rsidRDefault="009E7CF6"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Көптеген елдерде мемлекеттің ауыл шаруашылығы мүдделеріне жәрдемдесу және өндірілетін тамақ өнімдерінің сапасына кепілдіктерді қамтамасыз ету үшін министрлік немесе ауыл шаруашылығы департаменті құрылады. Қаржы қызметтері әдетте бухгалтерлік есеп пен қаржылық есептілік үшін жауап береді. Әрбір </w:t>
      </w:r>
      <w:r w:rsidR="000B3A67" w:rsidRPr="00457CE9">
        <w:rPr>
          <w:rFonts w:ascii="Times New Roman" w:hAnsi="Times New Roman" w:cs="Times New Roman"/>
          <w:sz w:val="28"/>
          <w:szCs w:val="28"/>
          <w:lang w:val="kk-KZ"/>
        </w:rPr>
        <w:t>аудитті</w:t>
      </w:r>
      <w:r w:rsidRPr="00457CE9">
        <w:rPr>
          <w:rFonts w:ascii="Times New Roman" w:hAnsi="Times New Roman" w:cs="Times New Roman"/>
          <w:sz w:val="28"/>
          <w:szCs w:val="28"/>
          <w:lang w:val="kk-KZ"/>
        </w:rPr>
        <w:t>ң мақсаты қаржылық көмек бағдарламаларын басқаруға байланысты қолданылатын әкімшілік бақылауды қоса алғанда, ішкі бақылау құрылымдарының барабарлығын бағалауға негізделуі тиіс.</w:t>
      </w:r>
    </w:p>
    <w:p w14:paraId="7683E0F5" w14:textId="72D4B250" w:rsidR="009E7CF6" w:rsidRPr="00457CE9" w:rsidRDefault="009E7CF6"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Аудиттің тағы бір мақсаты департаменттің </w:t>
      </w:r>
      <w:r w:rsidR="000B3A67"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аржы кестелері мен қаржылық көмектің федералдық бағдарламаларына елеулі әсер етуі мүмкін заңдар мен штаттар ережелері мен федералдық заңдардың сақталуын бағалау болып табылады. Ауыл шаруашылығы саясатын қ</w:t>
      </w:r>
      <w:r w:rsidR="000B3A67" w:rsidRPr="00457CE9">
        <w:rPr>
          <w:rFonts w:ascii="Times New Roman" w:hAnsi="Times New Roman" w:cs="Times New Roman"/>
          <w:sz w:val="28"/>
          <w:szCs w:val="28"/>
          <w:lang w:val="kk-KZ"/>
        </w:rPr>
        <w:t>олдау схемаларына келетін болса</w:t>
      </w:r>
      <w:r w:rsidRPr="00457CE9">
        <w:rPr>
          <w:rFonts w:ascii="Times New Roman" w:hAnsi="Times New Roman" w:cs="Times New Roman"/>
          <w:sz w:val="28"/>
          <w:szCs w:val="28"/>
          <w:lang w:val="kk-KZ"/>
        </w:rPr>
        <w:t xml:space="preserve">, SAI биліктердің заң бұзушылықтарға қарсы күрес үшін қолданатын әдістерін зерттеу қажет. Сонымен қатар, SAI </w:t>
      </w:r>
      <w:r w:rsidR="000B3A67" w:rsidRPr="00457CE9">
        <w:rPr>
          <w:rFonts w:ascii="Times New Roman" w:hAnsi="Times New Roman" w:cs="Times New Roman"/>
          <w:sz w:val="28"/>
          <w:szCs w:val="28"/>
          <w:lang w:val="kk-KZ"/>
        </w:rPr>
        <w:t xml:space="preserve">көмегімен билік бұзушылықтарға қарсы күрес өз әдістерін дамытуды жалғастыру жолдарын ұсынуы </w:t>
      </w:r>
      <w:r w:rsidRPr="00457CE9">
        <w:rPr>
          <w:rFonts w:ascii="Times New Roman" w:hAnsi="Times New Roman" w:cs="Times New Roman"/>
          <w:sz w:val="28"/>
          <w:szCs w:val="28"/>
          <w:lang w:val="kk-KZ"/>
        </w:rPr>
        <w:t>тиіс.</w:t>
      </w:r>
      <w:r w:rsidR="00BA32BF"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SAI сондай-ақ ауыл шаруашылығы саласында зияткерлік меншікті (мысалы, патенттерді) қорғауға және оны коммерциялық пайдалануға аудит жүргізуге, сондай-ақ тиісті шараларға ықпал етуі тиіс</w:t>
      </w:r>
      <w:r w:rsidR="00676E3D" w:rsidRPr="00457CE9">
        <w:rPr>
          <w:rFonts w:ascii="Times New Roman" w:hAnsi="Times New Roman" w:cs="Times New Roman"/>
          <w:sz w:val="28"/>
          <w:szCs w:val="28"/>
          <w:lang w:val="kk-KZ"/>
        </w:rPr>
        <w:t xml:space="preserve"> [</w:t>
      </w:r>
      <w:r w:rsidR="009E4FA1" w:rsidRPr="009E4FA1">
        <w:rPr>
          <w:rFonts w:ascii="Times New Roman" w:hAnsi="Times New Roman" w:cs="Times New Roman"/>
          <w:sz w:val="28"/>
          <w:szCs w:val="28"/>
          <w:lang w:val="kk-KZ"/>
        </w:rPr>
        <w:t>6</w:t>
      </w:r>
      <w:r w:rsidR="00F95506" w:rsidRPr="00F95506">
        <w:rPr>
          <w:rFonts w:ascii="Times New Roman" w:hAnsi="Times New Roman" w:cs="Times New Roman"/>
          <w:sz w:val="28"/>
          <w:szCs w:val="28"/>
          <w:lang w:val="kk-KZ"/>
        </w:rPr>
        <w:t>4</w:t>
      </w:r>
      <w:r w:rsidR="009E4FA1" w:rsidRPr="009E4FA1">
        <w:rPr>
          <w:rFonts w:ascii="Times New Roman" w:hAnsi="Times New Roman" w:cs="Times New Roman"/>
          <w:sz w:val="28"/>
          <w:szCs w:val="28"/>
          <w:lang w:val="kk-KZ"/>
        </w:rPr>
        <w:t>, p. 4</w:t>
      </w:r>
      <w:r w:rsidR="00676E3D"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3C5A0F30" w14:textId="25008606" w:rsidR="00BA32BF" w:rsidRPr="00457CE9" w:rsidRDefault="009E7CF6"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Азық-түлік пен тыңайтқыштарға арналған субсидиялар ұлттық үкіметтердің айқын субсидияларының арасында үнемі ұлғаюда. Көбінесе олар өндіріс пен бөлудің тиімсіздігін жасыру үшін ғана қызмет етеді. Мұндай жағдайларда SAI оны </w:t>
      </w:r>
      <w:r w:rsidR="00BA32B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кіметтің назарына жеткізу және осы субсидияларды қайта қарау процесін ынталандыру қажет.</w:t>
      </w:r>
      <w:r w:rsidR="00BA32BF"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SAI аудиторлық есептері әлсіз жерлерді анықтап қана қоймай, анықталған кемшіліктерді жою үшін, әсіресе бухгалтерлік есеп пен қаржылық басқару жүйелеріне қатысты шаралар қабылдауға кеңес береді.</w:t>
      </w:r>
      <w:r w:rsidR="0014641E" w:rsidRPr="00457CE9">
        <w:rPr>
          <w:rFonts w:ascii="Times New Roman" w:hAnsi="Times New Roman" w:cs="Times New Roman" w:hint="eastAsia"/>
          <w:sz w:val="28"/>
          <w:szCs w:val="28"/>
          <w:lang w:val="kk-KZ" w:eastAsia="zh-CN"/>
        </w:rPr>
        <w:t xml:space="preserve"> </w:t>
      </w:r>
      <w:r w:rsidR="00BA32BF" w:rsidRPr="00457CE9">
        <w:rPr>
          <w:rFonts w:ascii="Times New Roman" w:hAnsi="Times New Roman" w:cs="Times New Roman"/>
          <w:sz w:val="28"/>
          <w:szCs w:val="28"/>
          <w:lang w:val="kk-KZ"/>
        </w:rPr>
        <w:t>Мемлекеттік қаржыны басқару жүйесі мемлекеттік ресурстардың қалай пайдаланылғанын және қол жеткізілген нәтижелерді бағалайтын тиісті аудит жүйесіне сүйенуге тиіс. Бұл тұрақты экономикалық өсу мен демократияны нығайту үшін қажет. Тиісінше, SAI рөлі мен олардың аудиторлық жұмысы мемлекеттік жүйелер мен тәжірибені жетілдіру құралы ретінде ғана емес, сонымен қатар есеп берушілік пен ашықтықты күшейту үшін де үлкен маңызға ие</w:t>
      </w:r>
      <w:r w:rsidR="00745535" w:rsidRPr="00457CE9">
        <w:rPr>
          <w:rFonts w:ascii="Times New Roman" w:hAnsi="Times New Roman" w:cs="Times New Roman"/>
          <w:sz w:val="28"/>
          <w:szCs w:val="28"/>
          <w:lang w:val="kk-KZ"/>
        </w:rPr>
        <w:t xml:space="preserve"> [</w:t>
      </w:r>
      <w:r w:rsidR="009E4FA1" w:rsidRPr="009E4FA1">
        <w:rPr>
          <w:rFonts w:ascii="Times New Roman" w:hAnsi="Times New Roman" w:cs="Times New Roman"/>
          <w:sz w:val="28"/>
          <w:szCs w:val="28"/>
          <w:lang w:val="kk-KZ"/>
        </w:rPr>
        <w:t>6</w:t>
      </w:r>
      <w:r w:rsidR="00F95506" w:rsidRPr="00F95506">
        <w:rPr>
          <w:rFonts w:ascii="Times New Roman" w:hAnsi="Times New Roman" w:cs="Times New Roman"/>
          <w:sz w:val="28"/>
          <w:szCs w:val="28"/>
          <w:lang w:val="kk-KZ"/>
        </w:rPr>
        <w:t>4</w:t>
      </w:r>
      <w:r w:rsidR="009E4FA1" w:rsidRPr="009E4FA1">
        <w:rPr>
          <w:rFonts w:ascii="Times New Roman" w:hAnsi="Times New Roman" w:cs="Times New Roman"/>
          <w:sz w:val="28"/>
          <w:szCs w:val="28"/>
          <w:lang w:val="kk-KZ"/>
        </w:rPr>
        <w:t>, p. 5</w:t>
      </w:r>
      <w:r w:rsidR="00745535" w:rsidRPr="00457CE9">
        <w:rPr>
          <w:rFonts w:ascii="Times New Roman" w:hAnsi="Times New Roman" w:cs="Times New Roman"/>
          <w:sz w:val="28"/>
          <w:szCs w:val="28"/>
          <w:lang w:val="kk-KZ"/>
        </w:rPr>
        <w:t>]</w:t>
      </w:r>
      <w:r w:rsidR="00BA32BF" w:rsidRPr="00457CE9">
        <w:rPr>
          <w:rFonts w:ascii="Times New Roman" w:hAnsi="Times New Roman" w:cs="Times New Roman"/>
          <w:sz w:val="28"/>
          <w:szCs w:val="28"/>
          <w:lang w:val="kk-KZ"/>
        </w:rPr>
        <w:t>.</w:t>
      </w:r>
    </w:p>
    <w:p w14:paraId="66058BC3" w14:textId="77777777" w:rsidR="00BA32BF" w:rsidRPr="00457CE9" w:rsidRDefault="00BA32BF" w:rsidP="00252E88">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SAI өз жұмысында аудит стандарттарына сүйенуі тиіс. Аудиттің нақты анықталған мақсаттары, аудиттің бағдарламалары мен басшылық қағидаттары, жүйелілік, аудиторлық тексерулер мен аудиторлық есептердің тиімділігі мен сақталуы, түйінді проблемаларды анықтауы және ұсыныстарды тұжырымдауы, ауыл шаруашылығы саласында қаражатты неғұрлым тиімді пайдалануға ықпал етеді. ЅАІ жұмысының алдын алу әсерін және оның иесіз және сыбайлас жемқорлықпен күреске қосқан үлесін жете бағаламаған жөн.</w:t>
      </w:r>
    </w:p>
    <w:p w14:paraId="7DCFA42F" w14:textId="6179834B" w:rsidR="00BA32BF" w:rsidRPr="00457CE9" w:rsidRDefault="00BA32BF" w:rsidP="00252E88">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Біріккен Корольдіктің SAI техникалық төрағасы және өкілі Карен Джексон ханым барлық елдердегі ауыл шаруашылығы аудитінің негізгі қызметін баяндады. Ол азық-түліктің қарапайым өндірісіне қарағанда әлдеқайда көп жауапты екенін белгілейді. Бұл міндеттер әлеуметтік, экономикалық және экологиялық сипатқа ие. Тіпті ауыл шаруашылығы жұм</w:t>
      </w:r>
      <w:r w:rsidR="00B71CCE" w:rsidRPr="00457CE9">
        <w:rPr>
          <w:rFonts w:ascii="Times New Roman" w:hAnsi="Times New Roman" w:cs="Times New Roman"/>
          <w:sz w:val="28"/>
          <w:szCs w:val="28"/>
          <w:lang w:val="kk-KZ"/>
        </w:rPr>
        <w:t>ыс күшінің жалпы санының 2,2%-</w:t>
      </w:r>
      <w:r w:rsidRPr="00457CE9">
        <w:rPr>
          <w:rFonts w:ascii="Times New Roman" w:hAnsi="Times New Roman" w:cs="Times New Roman"/>
          <w:sz w:val="28"/>
          <w:szCs w:val="28"/>
          <w:lang w:val="kk-KZ"/>
        </w:rPr>
        <w:t>ын ғана құрайтын Ұлыбританияда үкімет ауыл экономикасын және ауыл шаруашылығын басқаруды өте маңызды деп қарастырады</w:t>
      </w:r>
      <w:r w:rsidR="00745535" w:rsidRPr="00457CE9">
        <w:rPr>
          <w:rFonts w:ascii="Times New Roman" w:hAnsi="Times New Roman" w:cs="Times New Roman"/>
          <w:sz w:val="28"/>
          <w:szCs w:val="28"/>
          <w:lang w:val="kk-KZ"/>
        </w:rPr>
        <w:t xml:space="preserve"> [</w:t>
      </w:r>
      <w:r w:rsidR="009E4FA1" w:rsidRPr="009E4FA1">
        <w:rPr>
          <w:rFonts w:ascii="Times New Roman" w:hAnsi="Times New Roman" w:cs="Times New Roman"/>
          <w:sz w:val="28"/>
          <w:szCs w:val="28"/>
          <w:lang w:val="kk-KZ"/>
        </w:rPr>
        <w:t>6</w:t>
      </w:r>
      <w:r w:rsidR="00F95506" w:rsidRPr="00F95506">
        <w:rPr>
          <w:rFonts w:ascii="Times New Roman" w:hAnsi="Times New Roman" w:cs="Times New Roman"/>
          <w:sz w:val="28"/>
          <w:szCs w:val="28"/>
          <w:lang w:val="kk-KZ"/>
        </w:rPr>
        <w:t>4</w:t>
      </w:r>
      <w:r w:rsidR="009E4FA1" w:rsidRPr="009E4FA1">
        <w:rPr>
          <w:rFonts w:ascii="Times New Roman" w:hAnsi="Times New Roman" w:cs="Times New Roman"/>
          <w:sz w:val="28"/>
          <w:szCs w:val="28"/>
          <w:lang w:val="kk-KZ"/>
        </w:rPr>
        <w:t>, p. 84</w:t>
      </w:r>
      <w:r w:rsidR="00745535"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21DA91F1" w14:textId="77777777" w:rsidR="00BA32BF" w:rsidRPr="00457CE9" w:rsidRDefault="00BA32BF"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Ұлыбританияның қоршаған орта, азық-түлік және ауылдық аудандарының істері жөніндегі Министрлігінің мақсаттары қоршаған ортаны жақсарту және табиғи ресурстарды тұрақты пайдалану, тұрақты ауыл шаруашылығы, балық аулау, су ресурстарын басқару және ауылдық аудандардағы экономика мен қауымдастықтардың гүлденуі арқылы экономикалық өркендеу болып табылады.</w:t>
      </w:r>
    </w:p>
    <w:p w14:paraId="591D8F8F" w14:textId="77777777" w:rsidR="00BA32BF" w:rsidRPr="00457CE9" w:rsidRDefault="00BA32BF"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Ауыл шаруашылығы проблемаларына дамушы елдерде тамақ жемеу және өнеркәсіптік дамыған елдерде қайта өндіру, табиғи апаттардан туындаған төтенше жағдайлар, судың жетіспеушілігі, жануарлардың денсаулығын қорғау саласындағы дағдарыстар, ауыл халқының жұмыспен қамтылуы, субсидиялар, экологиялық проблемалар, азық-түлік қауіпсіздігі және жануарлардың әл-ауқаты жатады. SAI олардың елдері үшін қандай аймақтар маңызды екенін анықтау керек.</w:t>
      </w:r>
    </w:p>
    <w:p w14:paraId="5E1945F3" w14:textId="10BC0374" w:rsidR="00BA32BF" w:rsidRPr="00457CE9" w:rsidRDefault="00BA32BF"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Аудиттің негізгі мәселел</w:t>
      </w:r>
      <w:r w:rsidR="008E0B7D" w:rsidRPr="00457CE9">
        <w:rPr>
          <w:rFonts w:ascii="Times New Roman" w:hAnsi="Times New Roman" w:cs="Times New Roman"/>
          <w:sz w:val="28"/>
          <w:szCs w:val="28"/>
          <w:lang w:val="kk-KZ"/>
        </w:rPr>
        <w:t>ерінің бірі субсидия аудиті бол</w:t>
      </w:r>
      <w:r w:rsidRPr="00457CE9">
        <w:rPr>
          <w:rFonts w:ascii="Times New Roman" w:hAnsi="Times New Roman" w:cs="Times New Roman"/>
          <w:sz w:val="28"/>
          <w:szCs w:val="28"/>
          <w:lang w:val="kk-KZ"/>
        </w:rPr>
        <w:t>ы</w:t>
      </w:r>
      <w:r w:rsidR="008E0B7D" w:rsidRPr="00457CE9">
        <w:rPr>
          <w:rFonts w:ascii="Times New Roman" w:hAnsi="Times New Roman" w:cs="Times New Roman"/>
          <w:sz w:val="28"/>
          <w:szCs w:val="28"/>
          <w:lang w:val="kk-KZ"/>
        </w:rPr>
        <w:t>п табылады</w:t>
      </w:r>
      <w:r w:rsidRPr="00457CE9">
        <w:rPr>
          <w:rFonts w:ascii="Times New Roman" w:hAnsi="Times New Roman" w:cs="Times New Roman"/>
          <w:sz w:val="28"/>
          <w:szCs w:val="28"/>
          <w:lang w:val="kk-KZ"/>
        </w:rPr>
        <w:t>. Ұлыбританияда фермер</w:t>
      </w:r>
      <w:r w:rsidR="008E0B7D" w:rsidRPr="00457CE9">
        <w:rPr>
          <w:rFonts w:ascii="Times New Roman" w:hAnsi="Times New Roman" w:cs="Times New Roman"/>
          <w:sz w:val="28"/>
          <w:szCs w:val="28"/>
          <w:lang w:val="kk-KZ"/>
        </w:rPr>
        <w:t>лер жыл сайын 2,</w:t>
      </w:r>
      <w:r w:rsidRPr="00457CE9">
        <w:rPr>
          <w:rFonts w:ascii="Times New Roman" w:hAnsi="Times New Roman" w:cs="Times New Roman"/>
          <w:sz w:val="28"/>
          <w:szCs w:val="28"/>
          <w:lang w:val="kk-KZ"/>
        </w:rPr>
        <w:t>500 миллион фунт стерлинг мөлшерінде субсидия алады. Бірінші кезектегі міндет</w:t>
      </w:r>
      <w:r w:rsidR="008E0B7D" w:rsidRPr="00457CE9">
        <w:rPr>
          <w:rFonts w:ascii="Times New Roman" w:hAnsi="Times New Roman" w:cs="Times New Roman"/>
          <w:sz w:val="28"/>
          <w:szCs w:val="28"/>
          <w:lang w:val="kk-KZ"/>
        </w:rPr>
        <w:t xml:space="preserve"> – </w:t>
      </w:r>
      <w:r w:rsidRPr="00457CE9">
        <w:rPr>
          <w:rFonts w:ascii="Times New Roman" w:hAnsi="Times New Roman" w:cs="Times New Roman"/>
          <w:sz w:val="28"/>
          <w:szCs w:val="28"/>
          <w:lang w:val="kk-KZ"/>
        </w:rPr>
        <w:t>бұл ақшаның билік-эмитенттер</w:t>
      </w:r>
      <w:r w:rsidR="008E0B7D" w:rsidRPr="00457CE9">
        <w:rPr>
          <w:rFonts w:ascii="Times New Roman" w:hAnsi="Times New Roman" w:cs="Times New Roman"/>
          <w:sz w:val="28"/>
          <w:szCs w:val="28"/>
          <w:lang w:val="kk-KZ"/>
        </w:rPr>
        <w:t xml:space="preserve">дің ниеттеріне сәйкес жұмсалуын, </w:t>
      </w:r>
      <w:r w:rsidRPr="00457CE9">
        <w:rPr>
          <w:rFonts w:ascii="Times New Roman" w:hAnsi="Times New Roman" w:cs="Times New Roman"/>
          <w:sz w:val="28"/>
          <w:szCs w:val="28"/>
          <w:lang w:val="kk-KZ"/>
        </w:rPr>
        <w:t>тиісті және тұрақты шығындар болуын қамтамасыз ету. Ресурстарға байланысты баға мен сапаның ара</w:t>
      </w:r>
      <w:r w:rsidR="008E0B7D"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қатынасына тексеру жүргізілетін болады</w:t>
      </w:r>
      <w:r w:rsidR="00676E3D" w:rsidRPr="00457CE9">
        <w:rPr>
          <w:rFonts w:ascii="Times New Roman" w:hAnsi="Times New Roman" w:cs="Times New Roman"/>
          <w:sz w:val="28"/>
          <w:szCs w:val="28"/>
          <w:lang w:val="kk-KZ"/>
        </w:rPr>
        <w:t xml:space="preserve"> [</w:t>
      </w:r>
      <w:r w:rsidR="009E4FA1" w:rsidRPr="009E4FA1">
        <w:rPr>
          <w:rFonts w:ascii="Times New Roman" w:hAnsi="Times New Roman" w:cs="Times New Roman"/>
          <w:sz w:val="28"/>
          <w:szCs w:val="28"/>
          <w:lang w:val="kk-KZ"/>
        </w:rPr>
        <w:t>6</w:t>
      </w:r>
      <w:r w:rsidR="00F95506" w:rsidRPr="00F95506">
        <w:rPr>
          <w:rFonts w:ascii="Times New Roman" w:hAnsi="Times New Roman" w:cs="Times New Roman"/>
          <w:sz w:val="28"/>
          <w:szCs w:val="28"/>
          <w:lang w:val="kk-KZ"/>
        </w:rPr>
        <w:t>4</w:t>
      </w:r>
      <w:r w:rsidR="009E4FA1" w:rsidRPr="009E4FA1">
        <w:rPr>
          <w:rFonts w:ascii="Times New Roman" w:hAnsi="Times New Roman" w:cs="Times New Roman"/>
          <w:sz w:val="28"/>
          <w:szCs w:val="28"/>
          <w:lang w:val="kk-KZ"/>
        </w:rPr>
        <w:t>, p. 85</w:t>
      </w:r>
      <w:r w:rsidR="00676E3D"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Мемлекеттік мекемелер субсидияларды төлеу кезінде қаржылық бұзушылықтарға байланысты алдын алу, анықтау және шаралар қолдану жөнінде зерттеу жүргіз</w:t>
      </w:r>
      <w:r w:rsidR="00725206">
        <w:rPr>
          <w:rFonts w:ascii="Times New Roman" w:hAnsi="Times New Roman" w:cs="Times New Roman"/>
          <w:sz w:val="28"/>
          <w:szCs w:val="28"/>
          <w:lang w:val="kk-KZ"/>
        </w:rPr>
        <w:t>д</w:t>
      </w:r>
      <w:r w:rsidRPr="00457CE9">
        <w:rPr>
          <w:rFonts w:ascii="Times New Roman" w:hAnsi="Times New Roman" w:cs="Times New Roman"/>
          <w:sz w:val="28"/>
          <w:szCs w:val="28"/>
          <w:lang w:val="kk-KZ"/>
        </w:rPr>
        <w:t>і. Сонымен қатар, жыртылған жерлер мен қойларды төлеу жүйелерін экономикалық және тиімді басқару, сондай-ақ ерекше сұлулық аудандарын қорғау және ішкі су тасқынынан қорғау саласында егжей-тегжейлі зерттеулер жүргізілді. Болашақ зерттеулер, бәлкім, мал басын қадағалау, жануарлардың денсаулығын бақылау және фермерлік бизнеске көмектесу үшін қолдау шараларын қамтиды.</w:t>
      </w:r>
      <w:r w:rsidR="008E0B7D"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Мұндай тексерулерді жүргізу көп шығынды талап етеді. Өзара тәжірибе және ақпарат алмасу SAI үшін осы күрделі міндетті жеңілдетеді және аудитті неғұрлым тиімді өткізуге ықпал етеді.</w:t>
      </w:r>
    </w:p>
    <w:p w14:paraId="55BC792F" w14:textId="5A4B8E19" w:rsidR="008E0B7D" w:rsidRPr="00457CE9" w:rsidRDefault="008E0B7D"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SAI үкіметтің есеп беруін қамтамасыз етуге және ауыл шаруашылығы саласында тұрақты және мақсатты тексерулер жүргізу жолымен мемлекеттік қаражатты тиімді және пәрменді пайдалануға тиімді үлес қосуда. Жалпы  ауыл шаруашылығы саласының мемлекеттік аудитін жетілдірудің қорытынды түйіндемесі келесідей:</w:t>
      </w:r>
      <w:r w:rsidR="00146D67" w:rsidRPr="00457CE9">
        <w:rPr>
          <w:rFonts w:ascii="Times New Roman" w:hAnsi="Times New Roman" w:cs="Times New Roman"/>
          <w:sz w:val="28"/>
          <w:szCs w:val="28"/>
          <w:lang w:val="kk-KZ"/>
        </w:rPr>
        <w:t xml:space="preserve"> а</w:t>
      </w:r>
      <w:r w:rsidRPr="00457CE9">
        <w:rPr>
          <w:rFonts w:ascii="Times New Roman" w:hAnsi="Times New Roman" w:cs="Times New Roman"/>
          <w:sz w:val="28"/>
          <w:szCs w:val="28"/>
          <w:lang w:val="kk-KZ"/>
        </w:rPr>
        <w:t xml:space="preserve">уыл шаруашылығы барлық елдер үшін оның тиісті елдің жалпы ішкі өніміне қосқан үлесіне қарамастан маңызды мәнге ие. Көптеген елдерде ауыл шаруашылығы экономикада өте маңызды рөл атқарады және халықты тамақтандырудың маңызды көзі болып табылады. Кейбір елдерде ауыл шаруашылығы қатты субсидияланады, ал басқаларында ол шектеулі мемлекеттік шығындарды тартады, бірақ әлі де маңызды әлеуметтік және экологиялық зардаптарға ие. Бұл SAI радикалды өзгеше жағдайларда жұмыс істейді дегенді білдіреді. </w:t>
      </w:r>
      <w:r w:rsidR="002E7D75" w:rsidRPr="00457CE9">
        <w:rPr>
          <w:rFonts w:ascii="Times New Roman" w:hAnsi="Times New Roman" w:cs="Times New Roman"/>
          <w:sz w:val="28"/>
          <w:szCs w:val="28"/>
          <w:lang w:val="kk-KZ"/>
        </w:rPr>
        <w:t>Ауыл шаруашылығының тиімділік аудитін жетілдірудің негізгі сұрақтары:</w:t>
      </w:r>
    </w:p>
    <w:p w14:paraId="3A81DFC2" w14:textId="77777777" w:rsidR="008E0B7D" w:rsidRPr="00457CE9" w:rsidRDefault="002E7D75" w:rsidP="0097172E">
      <w:pPr>
        <w:pStyle w:val="a5"/>
        <w:numPr>
          <w:ilvl w:val="0"/>
          <w:numId w:val="6"/>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ұ</w:t>
      </w:r>
      <w:r w:rsidR="008E0B7D" w:rsidRPr="00457CE9">
        <w:rPr>
          <w:rFonts w:ascii="Times New Roman" w:hAnsi="Times New Roman"/>
          <w:sz w:val="28"/>
          <w:szCs w:val="28"/>
          <w:lang w:val="kk-KZ"/>
        </w:rPr>
        <w:t xml:space="preserve">сынымдарды орындау және аудит нәтижелерін бақылау; </w:t>
      </w:r>
    </w:p>
    <w:p w14:paraId="2371ED98" w14:textId="77777777" w:rsidR="008E0B7D" w:rsidRPr="00457CE9" w:rsidRDefault="008E0B7D" w:rsidP="0097172E">
      <w:pPr>
        <w:pStyle w:val="a5"/>
        <w:numPr>
          <w:ilvl w:val="0"/>
          <w:numId w:val="6"/>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басқа аудиторлық органдармен үйлестіру; </w:t>
      </w:r>
    </w:p>
    <w:p w14:paraId="64B4AB12" w14:textId="77777777" w:rsidR="008E0B7D" w:rsidRPr="00457CE9" w:rsidRDefault="008E0B7D" w:rsidP="0097172E">
      <w:pPr>
        <w:pStyle w:val="a5"/>
        <w:numPr>
          <w:ilvl w:val="0"/>
          <w:numId w:val="6"/>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қаржылық аудит шеңберінен тыс аудит саласын кеңейту; және </w:t>
      </w:r>
    </w:p>
    <w:p w14:paraId="0213BCFE" w14:textId="248B4AC1" w:rsidR="008E0B7D" w:rsidRPr="00457CE9" w:rsidRDefault="008E0B7D" w:rsidP="0097172E">
      <w:pPr>
        <w:pStyle w:val="a5"/>
        <w:numPr>
          <w:ilvl w:val="0"/>
          <w:numId w:val="6"/>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 әдіснамасын жетілдіру</w:t>
      </w:r>
      <w:r w:rsidR="00676E3D" w:rsidRPr="00457CE9">
        <w:rPr>
          <w:rFonts w:ascii="Times New Roman" w:hAnsi="Times New Roman"/>
          <w:sz w:val="28"/>
          <w:szCs w:val="28"/>
          <w:lang w:val="en-US"/>
        </w:rPr>
        <w:t xml:space="preserve"> [</w:t>
      </w:r>
      <w:r w:rsidR="009E4FA1">
        <w:rPr>
          <w:rFonts w:ascii="Times New Roman" w:hAnsi="Times New Roman"/>
          <w:sz w:val="28"/>
          <w:szCs w:val="28"/>
          <w:lang w:val="en-US"/>
        </w:rPr>
        <w:t>6</w:t>
      </w:r>
      <w:r w:rsidR="00F95506">
        <w:rPr>
          <w:rFonts w:ascii="Times New Roman" w:hAnsi="Times New Roman"/>
          <w:sz w:val="28"/>
          <w:szCs w:val="28"/>
          <w:lang w:val="en-US"/>
        </w:rPr>
        <w:t>4</w:t>
      </w:r>
      <w:r w:rsidR="009E4FA1">
        <w:rPr>
          <w:rFonts w:ascii="Times New Roman" w:hAnsi="Times New Roman"/>
          <w:sz w:val="28"/>
          <w:szCs w:val="28"/>
          <w:lang w:val="en-US"/>
        </w:rPr>
        <w:t>, p. 15</w:t>
      </w:r>
      <w:r w:rsidR="00676E3D" w:rsidRPr="00457CE9">
        <w:rPr>
          <w:rFonts w:ascii="Times New Roman" w:hAnsi="Times New Roman"/>
          <w:sz w:val="28"/>
          <w:szCs w:val="28"/>
          <w:lang w:val="en-US"/>
        </w:rPr>
        <w:t>]</w:t>
      </w:r>
      <w:r w:rsidRPr="00457CE9">
        <w:rPr>
          <w:rFonts w:ascii="Times New Roman" w:hAnsi="Times New Roman"/>
          <w:sz w:val="28"/>
          <w:szCs w:val="28"/>
          <w:lang w:val="kk-KZ"/>
        </w:rPr>
        <w:t>.</w:t>
      </w:r>
    </w:p>
    <w:p w14:paraId="4A45FB85" w14:textId="2BA1BC4B" w:rsidR="008E0B7D" w:rsidRPr="00457CE9" w:rsidRDefault="002E7D75" w:rsidP="00252E88">
      <w:pPr>
        <w:tabs>
          <w:tab w:val="left" w:pos="993"/>
        </w:tabs>
        <w:spacing w:after="0" w:line="240" w:lineRule="auto"/>
        <w:ind w:firstLine="709"/>
        <w:jc w:val="both"/>
        <w:rPr>
          <w:rFonts w:ascii="Times New Roman" w:hAnsi="Times New Roman"/>
          <w:sz w:val="28"/>
          <w:szCs w:val="28"/>
          <w:lang w:val="kk-KZ"/>
        </w:rPr>
      </w:pPr>
      <w:r w:rsidRPr="00457CE9">
        <w:rPr>
          <w:rFonts w:ascii="Times New Roman" w:hAnsi="Times New Roman" w:cs="Times New Roman"/>
          <w:sz w:val="28"/>
          <w:szCs w:val="28"/>
          <w:lang w:val="kk-KZ"/>
        </w:rPr>
        <w:t>А</w:t>
      </w:r>
      <w:r w:rsidR="008E0B7D" w:rsidRPr="00457CE9">
        <w:rPr>
          <w:rFonts w:ascii="Times New Roman" w:hAnsi="Times New Roman" w:cs="Times New Roman"/>
          <w:sz w:val="28"/>
          <w:szCs w:val="28"/>
          <w:lang w:val="kk-KZ"/>
        </w:rPr>
        <w:t>удит қорытындылары мен ұсынымдарына сәйкес іс-әрекет жасауына қатысты тексерілетін тұлғамен кейінгі іс-қи</w:t>
      </w:r>
      <w:r w:rsidRPr="00457CE9">
        <w:rPr>
          <w:rFonts w:ascii="Times New Roman" w:hAnsi="Times New Roman" w:cs="Times New Roman"/>
          <w:sz w:val="28"/>
          <w:szCs w:val="28"/>
          <w:lang w:val="kk-KZ"/>
        </w:rPr>
        <w:t>мыл жасауға дайын болуы маңызды. Бірақ кейбір мемлекеттерде SAI</w:t>
      </w:r>
      <w:r w:rsidR="008E0B7D" w:rsidRPr="00457CE9">
        <w:rPr>
          <w:rFonts w:ascii="Times New Roman" w:hAnsi="Times New Roman" w:cs="Times New Roman"/>
          <w:sz w:val="28"/>
          <w:szCs w:val="28"/>
          <w:lang w:val="kk-KZ"/>
        </w:rPr>
        <w:t xml:space="preserve"> ұсыныстары міндетті болып табылады, ал басқа </w:t>
      </w:r>
      <w:r w:rsidRPr="00457CE9">
        <w:rPr>
          <w:rFonts w:ascii="Times New Roman" w:hAnsi="Times New Roman" w:cs="Times New Roman"/>
          <w:sz w:val="28"/>
          <w:szCs w:val="28"/>
          <w:lang w:val="kk-KZ"/>
        </w:rPr>
        <w:t xml:space="preserve">мемлекеттерде </w:t>
      </w:r>
      <w:r w:rsidR="008E0B7D" w:rsidRPr="00457CE9">
        <w:rPr>
          <w:rFonts w:ascii="Times New Roman" w:hAnsi="Times New Roman" w:cs="Times New Roman"/>
          <w:sz w:val="28"/>
          <w:szCs w:val="28"/>
          <w:lang w:val="kk-KZ"/>
        </w:rPr>
        <w:t>S</w:t>
      </w:r>
      <w:r w:rsidRPr="00457CE9">
        <w:rPr>
          <w:rFonts w:ascii="Times New Roman" w:hAnsi="Times New Roman" w:cs="Times New Roman"/>
          <w:sz w:val="28"/>
          <w:szCs w:val="28"/>
          <w:lang w:val="kk-KZ"/>
        </w:rPr>
        <w:t>AI</w:t>
      </w:r>
      <w:r w:rsidR="008E0B7D" w:rsidRPr="00457CE9">
        <w:rPr>
          <w:rFonts w:ascii="Times New Roman" w:hAnsi="Times New Roman" w:cs="Times New Roman"/>
          <w:sz w:val="28"/>
          <w:szCs w:val="28"/>
          <w:lang w:val="kk-KZ"/>
        </w:rPr>
        <w:t xml:space="preserve"> мәжбүрлеу деңгейі айтарлықтай төмен. SAI қатысушыларының көпшілігі өздерінің тәуелсіздігімен қанағаттанғанымен,</w:t>
      </w:r>
      <w:r w:rsidR="00745535"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ә</w:t>
      </w:r>
      <w:r w:rsidR="008E0B7D" w:rsidRPr="00457CE9">
        <w:rPr>
          <w:rFonts w:ascii="Times New Roman" w:hAnsi="Times New Roman" w:cs="Times New Roman"/>
          <w:sz w:val="28"/>
          <w:szCs w:val="28"/>
          <w:lang w:val="kk-KZ"/>
        </w:rPr>
        <w:t>деп кодексін қабылдау арқылы SAI тәуелсіздігін нығайту</w:t>
      </w:r>
      <w:r w:rsidRPr="00457CE9">
        <w:rPr>
          <w:rFonts w:ascii="Times New Roman" w:hAnsi="Times New Roman" w:cs="Times New Roman"/>
          <w:sz w:val="28"/>
          <w:szCs w:val="28"/>
          <w:lang w:val="kk-KZ"/>
        </w:rPr>
        <w:t xml:space="preserve"> қажет</w:t>
      </w:r>
      <w:r w:rsidR="008E0B7D" w:rsidRPr="00457CE9">
        <w:rPr>
          <w:rFonts w:ascii="Times New Roman" w:hAnsi="Times New Roman" w:cs="Times New Roman"/>
          <w:sz w:val="28"/>
          <w:szCs w:val="28"/>
          <w:lang w:val="kk-KZ"/>
        </w:rPr>
        <w:t>.</w:t>
      </w:r>
      <w:r w:rsidR="00E82ABB" w:rsidRPr="00457CE9">
        <w:rPr>
          <w:rFonts w:ascii="Times New Roman" w:hAnsi="Times New Roman" w:cs="Times New Roman"/>
          <w:sz w:val="28"/>
          <w:szCs w:val="28"/>
          <w:lang w:val="kk-KZ"/>
        </w:rPr>
        <w:t xml:space="preserve"> </w:t>
      </w:r>
      <w:r w:rsidR="00E82ABB" w:rsidRPr="00457CE9">
        <w:rPr>
          <w:rFonts w:ascii="Times New Roman" w:hAnsi="Times New Roman"/>
          <w:sz w:val="28"/>
          <w:szCs w:val="28"/>
          <w:lang w:val="kk-KZ"/>
        </w:rPr>
        <w:t>Ұ</w:t>
      </w:r>
      <w:r w:rsidR="008E0B7D" w:rsidRPr="00457CE9">
        <w:rPr>
          <w:rFonts w:ascii="Times New Roman" w:hAnsi="Times New Roman"/>
          <w:sz w:val="28"/>
          <w:szCs w:val="28"/>
          <w:lang w:val="kk-KZ"/>
        </w:rPr>
        <w:t>сыныстар міндетті емес S</w:t>
      </w:r>
      <w:r w:rsidRPr="00457CE9">
        <w:rPr>
          <w:rFonts w:ascii="Times New Roman" w:hAnsi="Times New Roman"/>
          <w:sz w:val="28"/>
          <w:szCs w:val="28"/>
          <w:lang w:val="kk-KZ"/>
        </w:rPr>
        <w:t>AI</w:t>
      </w:r>
      <w:r w:rsidR="008E0B7D" w:rsidRPr="00457CE9">
        <w:rPr>
          <w:rFonts w:ascii="Times New Roman" w:hAnsi="Times New Roman"/>
          <w:sz w:val="28"/>
          <w:szCs w:val="28"/>
          <w:lang w:val="kk-KZ"/>
        </w:rPr>
        <w:t xml:space="preserve"> үшін жұмыс топтары жүзеге асыру дәрежесін жақсарту бой</w:t>
      </w:r>
      <w:r w:rsidRPr="00457CE9">
        <w:rPr>
          <w:rFonts w:ascii="Times New Roman" w:hAnsi="Times New Roman"/>
          <w:sz w:val="28"/>
          <w:szCs w:val="28"/>
          <w:lang w:val="kk-KZ"/>
        </w:rPr>
        <w:t>ынша мынадай ұсыныстар енгізді:</w:t>
      </w:r>
    </w:p>
    <w:p w14:paraId="79CEED57" w14:textId="77777777" w:rsidR="002E7D75" w:rsidRPr="00457CE9" w:rsidRDefault="002E7D75"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ұ</w:t>
      </w:r>
      <w:r w:rsidR="008E0B7D" w:rsidRPr="00457CE9">
        <w:rPr>
          <w:rFonts w:ascii="Times New Roman" w:hAnsi="Times New Roman"/>
          <w:sz w:val="28"/>
          <w:szCs w:val="28"/>
          <w:lang w:val="kk-KZ"/>
        </w:rPr>
        <w:t xml:space="preserve">сынымдардың анық, нақты және </w:t>
      </w:r>
      <w:r w:rsidR="00B71CCE" w:rsidRPr="00457CE9">
        <w:rPr>
          <w:rFonts w:ascii="Times New Roman" w:hAnsi="Times New Roman"/>
          <w:sz w:val="28"/>
          <w:szCs w:val="28"/>
          <w:lang w:val="kk-KZ"/>
        </w:rPr>
        <w:t>тәжірибелік</w:t>
      </w:r>
      <w:r w:rsidR="008E0B7D" w:rsidRPr="00457CE9">
        <w:rPr>
          <w:rFonts w:ascii="Times New Roman" w:hAnsi="Times New Roman"/>
          <w:sz w:val="28"/>
          <w:szCs w:val="28"/>
          <w:lang w:val="kk-KZ"/>
        </w:rPr>
        <w:t xml:space="preserve"> болуын қамтамасыз ету; </w:t>
      </w:r>
    </w:p>
    <w:p w14:paraId="12741327" w14:textId="77777777" w:rsidR="002E7D75" w:rsidRPr="00457CE9" w:rsidRDefault="008E0B7D"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тексерілушілерге қандай да бір қиындықтар жасауға мүмкіндік беру үшін ықтимал ұсыныстар туралы алдын ала хабарлау; </w:t>
      </w:r>
    </w:p>
    <w:p w14:paraId="0A0F6C0E" w14:textId="77777777" w:rsidR="002E7D75" w:rsidRPr="00457CE9" w:rsidRDefault="008E0B7D"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шынайы уақыт шкалаларымен жүз</w:t>
      </w:r>
      <w:r w:rsidR="002E7D75" w:rsidRPr="00457CE9">
        <w:rPr>
          <w:rFonts w:ascii="Times New Roman" w:hAnsi="Times New Roman"/>
          <w:sz w:val="28"/>
          <w:szCs w:val="28"/>
          <w:lang w:val="kk-KZ"/>
        </w:rPr>
        <w:t xml:space="preserve">еге асыру жоспарларын әзірлеу; </w:t>
      </w:r>
    </w:p>
    <w:p w14:paraId="0CB100FF" w14:textId="77777777" w:rsidR="002E7D75" w:rsidRPr="00457CE9" w:rsidRDefault="008E0B7D"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егер ұсынымдар орындалмаса, тексерілетін сәтсіздіктің маңыздылығын көрсету үшін қол жетімді механизмдерді пайдалану; </w:t>
      </w:r>
    </w:p>
    <w:p w14:paraId="7D7FFB0B" w14:textId="77777777" w:rsidR="002E7D75" w:rsidRPr="00457CE9" w:rsidRDefault="008E0B7D"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ұсыныстардың неге орындалмағанын талдау және оларға өзгерістерді, егер олар орынсыз болса келісу; және </w:t>
      </w:r>
    </w:p>
    <w:p w14:paraId="31CECEFB" w14:textId="77777777" w:rsidR="008E0B7D" w:rsidRPr="00457CE9" w:rsidRDefault="008E0B7D"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 нәтижелерін, қорытындылар мен ұсыныстарды мүмкіндігінше кеңірек жариялау, мысалы, интернетте.</w:t>
      </w:r>
    </w:p>
    <w:p w14:paraId="65E741EE" w14:textId="657EFCA5" w:rsidR="008E0B7D" w:rsidRPr="00457CE9" w:rsidRDefault="002E7D75" w:rsidP="0097172E">
      <w:pPr>
        <w:pStyle w:val="a5"/>
        <w:numPr>
          <w:ilvl w:val="0"/>
          <w:numId w:val="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w:t>
      </w:r>
      <w:r w:rsidR="008E0B7D" w:rsidRPr="00457CE9">
        <w:rPr>
          <w:rFonts w:ascii="Times New Roman" w:hAnsi="Times New Roman"/>
          <w:sz w:val="28"/>
          <w:szCs w:val="28"/>
          <w:lang w:val="kk-KZ"/>
        </w:rPr>
        <w:t>асқа аудиторлық органдармен үйлестіру</w:t>
      </w:r>
      <w:r w:rsidR="00676E3D" w:rsidRPr="009E4FA1">
        <w:rPr>
          <w:rFonts w:ascii="Times New Roman" w:hAnsi="Times New Roman"/>
          <w:sz w:val="28"/>
          <w:szCs w:val="28"/>
        </w:rPr>
        <w:t xml:space="preserve"> [</w:t>
      </w:r>
      <w:r w:rsidR="009E4FA1" w:rsidRPr="009E4FA1">
        <w:rPr>
          <w:rFonts w:ascii="Times New Roman" w:hAnsi="Times New Roman"/>
          <w:sz w:val="28"/>
          <w:szCs w:val="28"/>
        </w:rPr>
        <w:t>6</w:t>
      </w:r>
      <w:r w:rsidR="00F95506" w:rsidRPr="00F95506">
        <w:rPr>
          <w:rFonts w:ascii="Times New Roman" w:hAnsi="Times New Roman"/>
          <w:sz w:val="28"/>
          <w:szCs w:val="28"/>
        </w:rPr>
        <w:t>4</w:t>
      </w:r>
      <w:r w:rsidR="009E4FA1" w:rsidRPr="009E4FA1">
        <w:rPr>
          <w:rFonts w:ascii="Times New Roman" w:hAnsi="Times New Roman"/>
          <w:sz w:val="28"/>
          <w:szCs w:val="28"/>
        </w:rPr>
        <w:t xml:space="preserve">, </w:t>
      </w:r>
      <w:r w:rsidR="009E4FA1">
        <w:rPr>
          <w:rFonts w:ascii="Times New Roman" w:hAnsi="Times New Roman"/>
          <w:sz w:val="28"/>
          <w:szCs w:val="28"/>
          <w:lang w:val="en-US"/>
        </w:rPr>
        <w:t>p</w:t>
      </w:r>
      <w:r w:rsidR="009E4FA1" w:rsidRPr="009E4FA1">
        <w:rPr>
          <w:rFonts w:ascii="Times New Roman" w:hAnsi="Times New Roman"/>
          <w:sz w:val="28"/>
          <w:szCs w:val="28"/>
        </w:rPr>
        <w:t>. 9</w:t>
      </w:r>
      <w:r w:rsidR="00676E3D" w:rsidRPr="009E4FA1">
        <w:rPr>
          <w:rFonts w:ascii="Times New Roman" w:hAnsi="Times New Roman"/>
          <w:sz w:val="28"/>
          <w:szCs w:val="28"/>
        </w:rPr>
        <w:t>]</w:t>
      </w:r>
      <w:r w:rsidRPr="00457CE9">
        <w:rPr>
          <w:rFonts w:ascii="Times New Roman" w:hAnsi="Times New Roman"/>
          <w:sz w:val="28"/>
          <w:szCs w:val="28"/>
          <w:lang w:val="kk-KZ"/>
        </w:rPr>
        <w:t>.</w:t>
      </w:r>
    </w:p>
    <w:p w14:paraId="63B20EC8" w14:textId="63145C8B" w:rsidR="008E0B7D" w:rsidRPr="00457CE9" w:rsidRDefault="00CC19AF" w:rsidP="00252E88">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w:t>
      </w:r>
      <w:r w:rsidR="008E0B7D" w:rsidRPr="00457CE9">
        <w:rPr>
          <w:rFonts w:ascii="Times New Roman" w:hAnsi="Times New Roman" w:cs="Times New Roman"/>
          <w:sz w:val="28"/>
          <w:szCs w:val="28"/>
          <w:lang w:val="kk-KZ"/>
        </w:rPr>
        <w:t xml:space="preserve">ірқатар </w:t>
      </w:r>
      <w:r w:rsidR="002E7D75" w:rsidRPr="00457CE9">
        <w:rPr>
          <w:rFonts w:ascii="Times New Roman" w:hAnsi="Times New Roman" w:cs="Times New Roman"/>
          <w:sz w:val="28"/>
          <w:szCs w:val="28"/>
          <w:lang w:val="kk-KZ"/>
        </w:rPr>
        <w:t xml:space="preserve">елдерде </w:t>
      </w:r>
      <w:r w:rsidR="008E0B7D" w:rsidRPr="00457CE9">
        <w:rPr>
          <w:rFonts w:ascii="Times New Roman" w:hAnsi="Times New Roman" w:cs="Times New Roman"/>
          <w:sz w:val="28"/>
          <w:szCs w:val="28"/>
          <w:lang w:val="kk-KZ"/>
        </w:rPr>
        <w:t xml:space="preserve">әртүрлі </w:t>
      </w:r>
      <w:r w:rsidRPr="00457CE9">
        <w:rPr>
          <w:rFonts w:ascii="Times New Roman" w:hAnsi="Times New Roman" w:cs="Times New Roman"/>
          <w:sz w:val="28"/>
          <w:szCs w:val="28"/>
          <w:lang w:val="kk-KZ"/>
        </w:rPr>
        <w:t>аудит</w:t>
      </w:r>
      <w:r w:rsidR="008E0B7D" w:rsidRPr="00457CE9">
        <w:rPr>
          <w:rFonts w:ascii="Times New Roman" w:hAnsi="Times New Roman" w:cs="Times New Roman"/>
          <w:sz w:val="28"/>
          <w:szCs w:val="28"/>
          <w:lang w:val="kk-KZ"/>
        </w:rPr>
        <w:t xml:space="preserve"> және инспекциялық органдардың көптігіне байланысты қиындықтарға тап бол</w:t>
      </w:r>
      <w:r w:rsidR="00627CE3" w:rsidRPr="00457CE9">
        <w:rPr>
          <w:rFonts w:ascii="Times New Roman" w:hAnsi="Times New Roman" w:cs="Times New Roman"/>
          <w:sz w:val="28"/>
          <w:szCs w:val="28"/>
          <w:lang w:val="kk-KZ"/>
        </w:rPr>
        <w:t>а</w:t>
      </w:r>
      <w:r w:rsidR="008E0B7D" w:rsidRPr="00457CE9">
        <w:rPr>
          <w:rFonts w:ascii="Times New Roman" w:hAnsi="Times New Roman" w:cs="Times New Roman"/>
          <w:sz w:val="28"/>
          <w:szCs w:val="28"/>
          <w:lang w:val="kk-KZ"/>
        </w:rPr>
        <w:t xml:space="preserve">ды, бұл </w:t>
      </w:r>
      <w:r w:rsidR="00627CE3" w:rsidRPr="00457CE9">
        <w:rPr>
          <w:rFonts w:ascii="Times New Roman" w:hAnsi="Times New Roman" w:cs="Times New Roman"/>
          <w:sz w:val="28"/>
          <w:szCs w:val="28"/>
          <w:lang w:val="kk-KZ"/>
        </w:rPr>
        <w:t>п</w:t>
      </w:r>
      <w:r w:rsidR="008E0B7D" w:rsidRPr="00457CE9">
        <w:rPr>
          <w:rFonts w:ascii="Times New Roman" w:hAnsi="Times New Roman" w:cs="Times New Roman"/>
          <w:sz w:val="28"/>
          <w:szCs w:val="28"/>
          <w:lang w:val="kk-KZ"/>
        </w:rPr>
        <w:t>арламентке есеп берудің төмендеуіне және тексерілетін адамдардың шамадан тыс бақылауға шағымдарының төмендеуіне әкеп со</w:t>
      </w:r>
      <w:r w:rsidR="00627CE3" w:rsidRPr="00457CE9">
        <w:rPr>
          <w:rFonts w:ascii="Times New Roman" w:hAnsi="Times New Roman" w:cs="Times New Roman"/>
          <w:sz w:val="28"/>
          <w:szCs w:val="28"/>
          <w:lang w:val="kk-KZ"/>
        </w:rPr>
        <w:t>ғад</w:t>
      </w:r>
      <w:r w:rsidR="008E0B7D" w:rsidRPr="00457CE9">
        <w:rPr>
          <w:rFonts w:ascii="Times New Roman" w:hAnsi="Times New Roman" w:cs="Times New Roman"/>
          <w:sz w:val="28"/>
          <w:szCs w:val="28"/>
          <w:lang w:val="kk-KZ"/>
        </w:rPr>
        <w:t>ы. Қаржылық аудит шегінен тыс аудит саласын кеңейту</w:t>
      </w:r>
      <w:r w:rsidR="00E534AD" w:rsidRPr="00457CE9">
        <w:rPr>
          <w:rFonts w:ascii="Times New Roman" w:hAnsi="Times New Roman" w:cs="Times New Roman"/>
          <w:sz w:val="28"/>
          <w:szCs w:val="28"/>
          <w:lang w:val="kk-KZ"/>
        </w:rPr>
        <w:t xml:space="preserve"> </w:t>
      </w:r>
      <w:r w:rsidR="008E0B7D" w:rsidRPr="00457CE9">
        <w:rPr>
          <w:rFonts w:ascii="Times New Roman" w:hAnsi="Times New Roman" w:cs="Times New Roman"/>
          <w:sz w:val="28"/>
          <w:szCs w:val="28"/>
          <w:lang w:val="kk-KZ"/>
        </w:rPr>
        <w:t xml:space="preserve">SAI үшін тұрақты, тиісті және заңды (қаржылық) аудит пен тиімділік аудитін қоса алғанда, аудиторлық міндеттердің толық спектрі болуы маңызды. </w:t>
      </w:r>
      <w:r w:rsidR="00875482" w:rsidRPr="00457CE9">
        <w:rPr>
          <w:rFonts w:ascii="Times New Roman" w:hAnsi="Times New Roman" w:cs="Times New Roman"/>
          <w:sz w:val="28"/>
          <w:szCs w:val="28"/>
          <w:lang w:val="kk-KZ"/>
        </w:rPr>
        <w:t>К</w:t>
      </w:r>
      <w:r w:rsidR="008E0B7D" w:rsidRPr="00457CE9">
        <w:rPr>
          <w:rFonts w:ascii="Times New Roman" w:hAnsi="Times New Roman" w:cs="Times New Roman"/>
          <w:sz w:val="28"/>
          <w:szCs w:val="28"/>
          <w:lang w:val="kk-KZ"/>
        </w:rPr>
        <w:t xml:space="preserve">ейбір SAI міндеттерінің толық шеңбері бар, бірақ бұл жауапкершілік жақында ғана кейбір SAI-ге жүктелген, ал басқалары тиімділік аудитін жүргізуге мандаты жоқ. </w:t>
      </w:r>
      <w:r w:rsidR="00875482" w:rsidRPr="00457CE9">
        <w:rPr>
          <w:rFonts w:ascii="Times New Roman" w:hAnsi="Times New Roman" w:cs="Times New Roman"/>
          <w:sz w:val="28"/>
          <w:szCs w:val="28"/>
          <w:lang w:val="kk-KZ"/>
        </w:rPr>
        <w:t>А</w:t>
      </w:r>
      <w:r w:rsidR="008E0B7D" w:rsidRPr="00457CE9">
        <w:rPr>
          <w:rFonts w:ascii="Times New Roman" w:hAnsi="Times New Roman" w:cs="Times New Roman"/>
          <w:sz w:val="28"/>
          <w:szCs w:val="28"/>
          <w:lang w:val="kk-KZ"/>
        </w:rPr>
        <w:t>удит саласын</w:t>
      </w:r>
      <w:r w:rsidR="00875482" w:rsidRPr="00457CE9">
        <w:rPr>
          <w:rFonts w:ascii="Times New Roman" w:hAnsi="Times New Roman" w:cs="Times New Roman"/>
          <w:sz w:val="28"/>
          <w:szCs w:val="28"/>
          <w:lang w:val="kk-KZ"/>
        </w:rPr>
        <w:t xml:space="preserve"> кеңейтуде бірқатар қиындықтар</w:t>
      </w:r>
      <w:r w:rsidR="008E0B7D" w:rsidRPr="00457CE9">
        <w:rPr>
          <w:rFonts w:ascii="Times New Roman" w:hAnsi="Times New Roman" w:cs="Times New Roman"/>
          <w:sz w:val="28"/>
          <w:szCs w:val="28"/>
          <w:lang w:val="kk-KZ"/>
        </w:rPr>
        <w:t xml:space="preserve"> анықта</w:t>
      </w:r>
      <w:r w:rsidR="00875482" w:rsidRPr="00457CE9">
        <w:rPr>
          <w:rFonts w:ascii="Times New Roman" w:hAnsi="Times New Roman" w:cs="Times New Roman"/>
          <w:sz w:val="28"/>
          <w:szCs w:val="28"/>
          <w:lang w:val="kk-KZ"/>
        </w:rPr>
        <w:t>л</w:t>
      </w:r>
      <w:r w:rsidR="008E0B7D" w:rsidRPr="00457CE9">
        <w:rPr>
          <w:rFonts w:ascii="Times New Roman" w:hAnsi="Times New Roman" w:cs="Times New Roman"/>
          <w:sz w:val="28"/>
          <w:szCs w:val="28"/>
          <w:lang w:val="kk-KZ"/>
        </w:rPr>
        <w:t>ды:</w:t>
      </w:r>
    </w:p>
    <w:p w14:paraId="40EDF7EE" w14:textId="77777777" w:rsidR="008E0B7D" w:rsidRPr="00457CE9" w:rsidRDefault="00E534AD" w:rsidP="0097172E">
      <w:pPr>
        <w:pStyle w:val="a5"/>
        <w:widowControl w:val="0"/>
        <w:numPr>
          <w:ilvl w:val="0"/>
          <w:numId w:val="8"/>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w:t>
      </w:r>
      <w:r w:rsidR="008E0B7D" w:rsidRPr="00457CE9">
        <w:rPr>
          <w:rFonts w:ascii="Times New Roman" w:hAnsi="Times New Roman"/>
          <w:sz w:val="28"/>
          <w:szCs w:val="28"/>
          <w:lang w:val="kk-KZ"/>
        </w:rPr>
        <w:t xml:space="preserve">иімділік аудитін жүргізу үшін құзыретті және шығармашылық персоналдың жетіспеушілігі; </w:t>
      </w:r>
    </w:p>
    <w:p w14:paraId="044D472C" w14:textId="77777777" w:rsidR="008E0B7D" w:rsidRPr="00457CE9" w:rsidRDefault="008E0B7D" w:rsidP="0097172E">
      <w:pPr>
        <w:pStyle w:val="a5"/>
        <w:numPr>
          <w:ilvl w:val="0"/>
          <w:numId w:val="8"/>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тиімділік аудитінің жалпы қабылданған стандарттарының немесе нормаларының болмауы; </w:t>
      </w:r>
    </w:p>
    <w:p w14:paraId="23B01111" w14:textId="02237928" w:rsidR="008E0B7D" w:rsidRPr="00457CE9" w:rsidRDefault="008E0B7D" w:rsidP="0097172E">
      <w:pPr>
        <w:pStyle w:val="a5"/>
        <w:numPr>
          <w:ilvl w:val="0"/>
          <w:numId w:val="8"/>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тиімділік аудитін жүргізуге мандаттың болмауы</w:t>
      </w:r>
      <w:r w:rsidR="00745535" w:rsidRPr="00457CE9">
        <w:rPr>
          <w:rFonts w:ascii="Times New Roman" w:hAnsi="Times New Roman"/>
          <w:sz w:val="28"/>
          <w:szCs w:val="28"/>
          <w:lang w:val="kk-KZ"/>
        </w:rPr>
        <w:t xml:space="preserve"> [</w:t>
      </w:r>
      <w:r w:rsidR="009E4FA1" w:rsidRPr="009E4FA1">
        <w:rPr>
          <w:rFonts w:ascii="Times New Roman" w:hAnsi="Times New Roman"/>
          <w:sz w:val="28"/>
          <w:szCs w:val="28"/>
          <w:lang w:val="kk-KZ"/>
        </w:rPr>
        <w:t>6</w:t>
      </w:r>
      <w:r w:rsidR="00F95506" w:rsidRPr="00F95506">
        <w:rPr>
          <w:rFonts w:ascii="Times New Roman" w:hAnsi="Times New Roman"/>
          <w:sz w:val="28"/>
          <w:szCs w:val="28"/>
          <w:lang w:val="kk-KZ"/>
        </w:rPr>
        <w:t>4</w:t>
      </w:r>
      <w:r w:rsidR="009E4FA1" w:rsidRPr="009E4FA1">
        <w:rPr>
          <w:rFonts w:ascii="Times New Roman" w:hAnsi="Times New Roman"/>
          <w:sz w:val="28"/>
          <w:szCs w:val="28"/>
          <w:lang w:val="kk-KZ"/>
        </w:rPr>
        <w:t>, p. 10</w:t>
      </w:r>
      <w:r w:rsidR="00745535" w:rsidRPr="00457CE9">
        <w:rPr>
          <w:rFonts w:ascii="Times New Roman" w:hAnsi="Times New Roman"/>
          <w:sz w:val="28"/>
          <w:szCs w:val="28"/>
          <w:lang w:val="kk-KZ"/>
        </w:rPr>
        <w:t>]</w:t>
      </w:r>
      <w:r w:rsidRPr="00457CE9">
        <w:rPr>
          <w:rFonts w:ascii="Times New Roman" w:hAnsi="Times New Roman"/>
          <w:sz w:val="28"/>
          <w:szCs w:val="28"/>
          <w:lang w:val="kk-KZ"/>
        </w:rPr>
        <w:t>.</w:t>
      </w:r>
    </w:p>
    <w:p w14:paraId="348B87DA" w14:textId="77777777" w:rsidR="008E0B7D" w:rsidRPr="00457CE9" w:rsidRDefault="00E534AD"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w:t>
      </w:r>
      <w:r w:rsidR="00337602" w:rsidRPr="00457CE9">
        <w:rPr>
          <w:rFonts w:ascii="Times New Roman" w:hAnsi="Times New Roman" w:cs="Times New Roman"/>
          <w:sz w:val="28"/>
          <w:szCs w:val="28"/>
          <w:lang w:val="kk-KZ"/>
        </w:rPr>
        <w:t>иімділік аудиті тексеріл</w:t>
      </w:r>
      <w:r w:rsidR="008E0B7D" w:rsidRPr="00457CE9">
        <w:rPr>
          <w:rFonts w:ascii="Times New Roman" w:hAnsi="Times New Roman" w:cs="Times New Roman"/>
          <w:sz w:val="28"/>
          <w:szCs w:val="28"/>
          <w:lang w:val="kk-KZ"/>
        </w:rPr>
        <w:t xml:space="preserve">ушілерге олардың экономикасын, олардың қаржылық, адам және табиғи ресурстарын басқарудағы тиімділігі мен нәтижелілігін жақсартуға көмектесуге тиіс екендігіне келісті. Жұмыс нәтижелерін тәуелсіз бағалау жауапты тұлғалардың басқаруды жақсартуға және шешім қабылдауына ықпал етуі тиіс және анықталған кемшіліктерді түзету жөнінде шаралар ұсынуы тиіс. </w:t>
      </w:r>
      <w:r w:rsidR="00516380" w:rsidRPr="00457CE9">
        <w:rPr>
          <w:rFonts w:ascii="Times New Roman" w:hAnsi="Times New Roman" w:cs="Times New Roman"/>
          <w:sz w:val="28"/>
          <w:szCs w:val="28"/>
          <w:lang w:val="kk-KZ"/>
        </w:rPr>
        <w:t>К</w:t>
      </w:r>
      <w:r w:rsidR="008E0B7D" w:rsidRPr="00457CE9">
        <w:rPr>
          <w:rFonts w:ascii="Times New Roman" w:hAnsi="Times New Roman" w:cs="Times New Roman"/>
          <w:sz w:val="28"/>
          <w:szCs w:val="28"/>
          <w:lang w:val="kk-KZ"/>
        </w:rPr>
        <w:t>өрсетілген қиындықтарды еңсе</w:t>
      </w:r>
      <w:r w:rsidR="00516380" w:rsidRPr="00457CE9">
        <w:rPr>
          <w:rFonts w:ascii="Times New Roman" w:hAnsi="Times New Roman" w:cs="Times New Roman"/>
          <w:sz w:val="28"/>
          <w:szCs w:val="28"/>
          <w:lang w:val="kk-KZ"/>
        </w:rPr>
        <w:t>рудің кейбір жолдары</w:t>
      </w:r>
      <w:r w:rsidR="008E0B7D" w:rsidRPr="00457CE9">
        <w:rPr>
          <w:rFonts w:ascii="Times New Roman" w:hAnsi="Times New Roman" w:cs="Times New Roman"/>
          <w:sz w:val="28"/>
          <w:szCs w:val="28"/>
          <w:lang w:val="kk-KZ"/>
        </w:rPr>
        <w:t>:</w:t>
      </w:r>
    </w:p>
    <w:p w14:paraId="67E78564" w14:textId="77777777" w:rsidR="008E0B7D" w:rsidRPr="00457CE9" w:rsidRDefault="00516380" w:rsidP="0097172E">
      <w:pPr>
        <w:pStyle w:val="a5"/>
        <w:numPr>
          <w:ilvl w:val="0"/>
          <w:numId w:val="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w:t>
      </w:r>
      <w:r w:rsidR="008E0B7D" w:rsidRPr="00457CE9">
        <w:rPr>
          <w:rFonts w:ascii="Times New Roman" w:hAnsi="Times New Roman"/>
          <w:sz w:val="28"/>
          <w:szCs w:val="28"/>
          <w:lang w:val="kk-KZ"/>
        </w:rPr>
        <w:t xml:space="preserve">иімділік аудитін жүргізу үшін кадрлық әлеуетті қайта даярлау және дамыту; </w:t>
      </w:r>
    </w:p>
    <w:p w14:paraId="37F54D4E" w14:textId="77777777" w:rsidR="008E0B7D" w:rsidRPr="00457CE9" w:rsidRDefault="008E0B7D" w:rsidP="0097172E">
      <w:pPr>
        <w:pStyle w:val="a5"/>
        <w:numPr>
          <w:ilvl w:val="0"/>
          <w:numId w:val="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ауыл шаруашылығы саласындағы білім деңгейін интеграциялау үшін тиімділік аудиторларын тарту және ұстап тұру; </w:t>
      </w:r>
    </w:p>
    <w:p w14:paraId="58A38C77" w14:textId="77777777" w:rsidR="008E0B7D" w:rsidRPr="00457CE9" w:rsidRDefault="008E0B7D" w:rsidP="0097172E">
      <w:pPr>
        <w:pStyle w:val="a5"/>
        <w:numPr>
          <w:ilvl w:val="0"/>
          <w:numId w:val="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тиімділік аудиті саласында неғұрлым озық SAI-мен жұмыс істеу; және </w:t>
      </w:r>
    </w:p>
    <w:p w14:paraId="155096FC" w14:textId="77777777" w:rsidR="00516380" w:rsidRPr="00457CE9" w:rsidRDefault="008E0B7D" w:rsidP="0097172E">
      <w:pPr>
        <w:pStyle w:val="a5"/>
        <w:numPr>
          <w:ilvl w:val="0"/>
          <w:numId w:val="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тиімділік аудиті үшін кеңейтілген мандатты іздестіруді қолдау үшін н</w:t>
      </w:r>
      <w:r w:rsidR="00516380" w:rsidRPr="00457CE9">
        <w:rPr>
          <w:rFonts w:ascii="Times New Roman" w:hAnsi="Times New Roman"/>
          <w:sz w:val="28"/>
          <w:szCs w:val="28"/>
          <w:lang w:val="kk-KZ"/>
        </w:rPr>
        <w:t>егізгі мүдделі тараптарды тарту</w:t>
      </w:r>
      <w:r w:rsidRPr="00457CE9">
        <w:rPr>
          <w:rFonts w:ascii="Times New Roman" w:hAnsi="Times New Roman"/>
          <w:sz w:val="28"/>
          <w:szCs w:val="28"/>
          <w:lang w:val="kk-KZ"/>
        </w:rPr>
        <w:t>.</w:t>
      </w:r>
    </w:p>
    <w:p w14:paraId="4FBD0EA6" w14:textId="77777777" w:rsidR="008E0B7D" w:rsidRPr="00457CE9" w:rsidRDefault="00516380"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w:t>
      </w:r>
      <w:r w:rsidR="008E0B7D" w:rsidRPr="00457CE9">
        <w:rPr>
          <w:rFonts w:ascii="Times New Roman" w:hAnsi="Times New Roman" w:cs="Times New Roman"/>
          <w:sz w:val="28"/>
          <w:szCs w:val="28"/>
          <w:lang w:val="kk-KZ"/>
        </w:rPr>
        <w:t>удит әдістемесін жетілдіру тиімділіктің тиімді аудиті үшін халықаралық деңгейде келісілген стандарттардың бо</w:t>
      </w:r>
      <w:r w:rsidRPr="00457CE9">
        <w:rPr>
          <w:rFonts w:ascii="Times New Roman" w:hAnsi="Times New Roman" w:cs="Times New Roman"/>
          <w:sz w:val="28"/>
          <w:szCs w:val="28"/>
          <w:lang w:val="kk-KZ"/>
        </w:rPr>
        <w:t>лмауы кедергі болып табылады</w:t>
      </w:r>
      <w:r w:rsidR="008E0B7D" w:rsidRPr="00457CE9">
        <w:rPr>
          <w:rFonts w:ascii="Times New Roman" w:hAnsi="Times New Roman" w:cs="Times New Roman"/>
          <w:sz w:val="28"/>
          <w:szCs w:val="28"/>
          <w:lang w:val="kk-KZ"/>
        </w:rPr>
        <w:t>. Басқа да мәселелер анықталды:</w:t>
      </w:r>
    </w:p>
    <w:p w14:paraId="22E7CCA0" w14:textId="77777777" w:rsidR="00516380" w:rsidRPr="00457CE9" w:rsidRDefault="00516380" w:rsidP="0097172E">
      <w:pPr>
        <w:pStyle w:val="a5"/>
        <w:numPr>
          <w:ilvl w:val="0"/>
          <w:numId w:val="10"/>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w:t>
      </w:r>
      <w:r w:rsidR="008E0B7D" w:rsidRPr="00457CE9">
        <w:rPr>
          <w:rFonts w:ascii="Times New Roman" w:hAnsi="Times New Roman"/>
          <w:sz w:val="28"/>
          <w:szCs w:val="28"/>
          <w:lang w:val="kk-KZ"/>
        </w:rPr>
        <w:t xml:space="preserve">уыл шаруашылығын және оның шекараларын анықтаудың күрделілігі және тиісінше SAI шеңберінде аудиторлық міндеттерді бөлу; </w:t>
      </w:r>
    </w:p>
    <w:p w14:paraId="31A1D331" w14:textId="77777777" w:rsidR="00516380" w:rsidRPr="00457CE9" w:rsidRDefault="008E0B7D" w:rsidP="0097172E">
      <w:pPr>
        <w:pStyle w:val="a5"/>
        <w:numPr>
          <w:ilvl w:val="0"/>
          <w:numId w:val="10"/>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тексерілетін тұлғаның қызметінің нәтижелерін бағалауға болатын көрсеткіштердің болмауы (тексерілушінің тіркелген мақсаттары мен міндеттері жоқ кездегі ерекше мәселе); және </w:t>
      </w:r>
    </w:p>
    <w:p w14:paraId="282FDA11" w14:textId="77777777" w:rsidR="008E0B7D" w:rsidRPr="00457CE9" w:rsidRDefault="008E0B7D" w:rsidP="0097172E">
      <w:pPr>
        <w:pStyle w:val="a5"/>
        <w:numPr>
          <w:ilvl w:val="0"/>
          <w:numId w:val="10"/>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негізгі ақпараттың болмауы немесе қолда бар деректердің дұрыс еместігі.</w:t>
      </w:r>
    </w:p>
    <w:p w14:paraId="4ECD7ACB" w14:textId="77777777" w:rsidR="008E0B7D" w:rsidRPr="00457CE9" w:rsidRDefault="00516380"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w:t>
      </w:r>
      <w:r w:rsidR="008E0B7D" w:rsidRPr="00457CE9">
        <w:rPr>
          <w:rFonts w:ascii="Times New Roman" w:hAnsi="Times New Roman" w:cs="Times New Roman"/>
          <w:sz w:val="28"/>
          <w:szCs w:val="28"/>
          <w:lang w:val="kk-KZ"/>
        </w:rPr>
        <w:t>удит әдіснамасын жетілдірудің және жоғарыда аталған проблемалардың кейбірін шеш</w:t>
      </w:r>
      <w:r w:rsidRPr="00457CE9">
        <w:rPr>
          <w:rFonts w:ascii="Times New Roman" w:hAnsi="Times New Roman" w:cs="Times New Roman"/>
          <w:sz w:val="28"/>
          <w:szCs w:val="28"/>
          <w:lang w:val="kk-KZ"/>
        </w:rPr>
        <w:t>удің бірқатар жолдары келесідей</w:t>
      </w:r>
      <w:r w:rsidR="008E0B7D" w:rsidRPr="00457CE9">
        <w:rPr>
          <w:rFonts w:ascii="Times New Roman" w:hAnsi="Times New Roman" w:cs="Times New Roman"/>
          <w:sz w:val="28"/>
          <w:szCs w:val="28"/>
          <w:lang w:val="kk-KZ"/>
        </w:rPr>
        <w:t>:</w:t>
      </w:r>
    </w:p>
    <w:p w14:paraId="3BEC9590" w14:textId="77777777" w:rsidR="008E0B7D" w:rsidRPr="00457CE9" w:rsidRDefault="00516380" w:rsidP="0097172E">
      <w:pPr>
        <w:pStyle w:val="a5"/>
        <w:numPr>
          <w:ilvl w:val="0"/>
          <w:numId w:val="1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w:t>
      </w:r>
      <w:r w:rsidR="008E0B7D" w:rsidRPr="00457CE9">
        <w:rPr>
          <w:rFonts w:ascii="Times New Roman" w:hAnsi="Times New Roman"/>
          <w:sz w:val="28"/>
          <w:szCs w:val="28"/>
          <w:lang w:val="kk-KZ"/>
        </w:rPr>
        <w:t xml:space="preserve">ағдарламалар аудиттің екі саласын қамтитын бірлескен жұмыс туралы келісіммен SAI шеңберіндегі міндеттерді нақты анықтау; </w:t>
      </w:r>
    </w:p>
    <w:p w14:paraId="7E328AA7" w14:textId="5B7B4900" w:rsidR="008E0B7D" w:rsidRPr="00457CE9" w:rsidRDefault="008E0B7D" w:rsidP="0097172E">
      <w:pPr>
        <w:pStyle w:val="a5"/>
        <w:numPr>
          <w:ilvl w:val="0"/>
          <w:numId w:val="1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макро</w:t>
      </w:r>
      <w:r w:rsidR="00252E88">
        <w:rPr>
          <w:rFonts w:ascii="Times New Roman" w:hAnsi="Times New Roman"/>
          <w:sz w:val="28"/>
          <w:szCs w:val="28"/>
          <w:lang w:val="kk-KZ"/>
        </w:rPr>
        <w:t>-</w:t>
      </w:r>
      <w:r w:rsidRPr="00457CE9">
        <w:rPr>
          <w:rFonts w:ascii="Times New Roman" w:hAnsi="Times New Roman"/>
          <w:sz w:val="28"/>
          <w:szCs w:val="28"/>
          <w:lang w:val="kk-KZ"/>
        </w:rPr>
        <w:t xml:space="preserve"> (</w:t>
      </w:r>
      <w:r w:rsidR="00516380" w:rsidRPr="00457CE9">
        <w:rPr>
          <w:rFonts w:ascii="Times New Roman" w:hAnsi="Times New Roman"/>
          <w:sz w:val="28"/>
          <w:szCs w:val="28"/>
          <w:lang w:val="kk-KZ"/>
        </w:rPr>
        <w:t>с</w:t>
      </w:r>
      <w:r w:rsidRPr="00457CE9">
        <w:rPr>
          <w:rFonts w:ascii="Times New Roman" w:hAnsi="Times New Roman"/>
          <w:sz w:val="28"/>
          <w:szCs w:val="28"/>
          <w:lang w:val="kk-KZ"/>
        </w:rPr>
        <w:t>тр</w:t>
      </w:r>
      <w:r w:rsidR="00516380" w:rsidRPr="00457CE9">
        <w:rPr>
          <w:rFonts w:ascii="Times New Roman" w:hAnsi="Times New Roman"/>
          <w:sz w:val="28"/>
          <w:szCs w:val="28"/>
          <w:lang w:val="kk-KZ"/>
        </w:rPr>
        <w:t>атегиялық жоспарлау) және микро</w:t>
      </w:r>
      <w:r w:rsidR="00252E88">
        <w:rPr>
          <w:rFonts w:ascii="Times New Roman" w:hAnsi="Times New Roman"/>
          <w:sz w:val="28"/>
          <w:szCs w:val="28"/>
          <w:lang w:val="kk-KZ"/>
        </w:rPr>
        <w:t>-</w:t>
      </w:r>
      <w:r w:rsidR="00516380"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(жеке жоба) деңгейлерде аудиттерді мұқият жоспарлау; </w:t>
      </w:r>
    </w:p>
    <w:p w14:paraId="73FE2499" w14:textId="77777777" w:rsidR="008E0B7D" w:rsidRPr="00457CE9" w:rsidRDefault="008E0B7D" w:rsidP="0097172E">
      <w:pPr>
        <w:pStyle w:val="a5"/>
        <w:numPr>
          <w:ilvl w:val="0"/>
          <w:numId w:val="1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тиімділік көрсеткіштері болмаған жағдайда тиісті көрсеткіштерді келісу үшін аудитормен жұмыс істеу; </w:t>
      </w:r>
    </w:p>
    <w:p w14:paraId="77CEEC34" w14:textId="77777777" w:rsidR="008E0B7D" w:rsidRPr="00457CE9" w:rsidRDefault="008E0B7D" w:rsidP="0097172E">
      <w:pPr>
        <w:pStyle w:val="a5"/>
        <w:widowControl w:val="0"/>
        <w:numPr>
          <w:ilvl w:val="0"/>
          <w:numId w:val="1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басқа SAI-мен білім және тәжірибе алмасу; </w:t>
      </w:r>
    </w:p>
    <w:p w14:paraId="58487303" w14:textId="77777777" w:rsidR="008E0B7D" w:rsidRPr="00457CE9" w:rsidRDefault="00516380" w:rsidP="0097172E">
      <w:pPr>
        <w:pStyle w:val="a5"/>
        <w:widowControl w:val="0"/>
        <w:numPr>
          <w:ilvl w:val="0"/>
          <w:numId w:val="1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ә</w:t>
      </w:r>
      <w:r w:rsidR="008E0B7D" w:rsidRPr="00457CE9">
        <w:rPr>
          <w:rFonts w:ascii="Times New Roman" w:hAnsi="Times New Roman"/>
          <w:sz w:val="28"/>
          <w:szCs w:val="28"/>
          <w:lang w:val="kk-KZ"/>
        </w:rPr>
        <w:t xml:space="preserve">дістемеде аудитордың құжаттарын жан-жақты зерделеуді, тиісті статистикалық және қаржылық талдау мен бағалауды қамтуын қамтамасыз ету; </w:t>
      </w:r>
    </w:p>
    <w:p w14:paraId="6E71181F" w14:textId="77777777" w:rsidR="008E0B7D" w:rsidRPr="00457CE9" w:rsidRDefault="008E0B7D" w:rsidP="0097172E">
      <w:pPr>
        <w:pStyle w:val="a5"/>
        <w:widowControl w:val="0"/>
        <w:numPr>
          <w:ilvl w:val="0"/>
          <w:numId w:val="1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нәтижелерді қабылдауды қамтамасыз ету үшін аудиторлық жұмыстар басталғанға дейін аудитормен әдіснаманы келісу.</w:t>
      </w:r>
    </w:p>
    <w:p w14:paraId="03B75BE5" w14:textId="5DC5FA24" w:rsidR="008E0B7D" w:rsidRPr="00457CE9" w:rsidRDefault="003F4C1E" w:rsidP="00252E88">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Ауыл шаруашылығына жұмсалған бюджет шығындарының мемлекеттік аудитті жетілдіру қ</w:t>
      </w:r>
      <w:r w:rsidR="008E0B7D" w:rsidRPr="00457CE9">
        <w:rPr>
          <w:rFonts w:ascii="Times New Roman" w:hAnsi="Times New Roman" w:cs="Times New Roman"/>
          <w:sz w:val="28"/>
          <w:szCs w:val="28"/>
          <w:lang w:val="kk-KZ"/>
        </w:rPr>
        <w:t>орытындылар</w:t>
      </w:r>
      <w:r w:rsidRPr="00457CE9">
        <w:rPr>
          <w:rFonts w:ascii="Times New Roman" w:hAnsi="Times New Roman" w:cs="Times New Roman"/>
          <w:sz w:val="28"/>
          <w:szCs w:val="28"/>
          <w:lang w:val="kk-KZ"/>
        </w:rPr>
        <w:t>ы келесідей деп анықтауға болады</w:t>
      </w:r>
      <w:r w:rsidR="00676E3D" w:rsidRPr="00457CE9">
        <w:rPr>
          <w:rFonts w:ascii="Times New Roman" w:hAnsi="Times New Roman" w:cs="Times New Roman"/>
          <w:sz w:val="28"/>
          <w:szCs w:val="28"/>
          <w:lang w:val="kk-KZ"/>
        </w:rPr>
        <w:t xml:space="preserve"> [</w:t>
      </w:r>
      <w:r w:rsidR="009E4FA1" w:rsidRPr="009E4FA1">
        <w:rPr>
          <w:rFonts w:ascii="Times New Roman" w:hAnsi="Times New Roman" w:cs="Times New Roman"/>
          <w:sz w:val="28"/>
          <w:szCs w:val="28"/>
          <w:lang w:val="kk-KZ"/>
        </w:rPr>
        <w:t>6</w:t>
      </w:r>
      <w:r w:rsidR="00F95506" w:rsidRPr="00F95506">
        <w:rPr>
          <w:rFonts w:ascii="Times New Roman" w:hAnsi="Times New Roman" w:cs="Times New Roman"/>
          <w:sz w:val="28"/>
          <w:szCs w:val="28"/>
          <w:lang w:val="kk-KZ"/>
        </w:rPr>
        <w:t>4</w:t>
      </w:r>
      <w:r w:rsidR="009E4FA1" w:rsidRPr="009E4FA1">
        <w:rPr>
          <w:rFonts w:ascii="Times New Roman" w:hAnsi="Times New Roman" w:cs="Times New Roman"/>
          <w:sz w:val="28"/>
          <w:szCs w:val="28"/>
          <w:lang w:val="kk-KZ"/>
        </w:rPr>
        <w:t>, p. 12</w:t>
      </w:r>
      <w:r w:rsidR="00676E3D"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2C4D12C5" w14:textId="519948B8" w:rsidR="008E0B7D" w:rsidRPr="00457CE9" w:rsidRDefault="008E0B7D" w:rsidP="0097172E">
      <w:pPr>
        <w:pStyle w:val="a5"/>
        <w:widowControl w:val="0"/>
        <w:numPr>
          <w:ilvl w:val="0"/>
          <w:numId w:val="1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шаруашылығы аудитінің маңызды мәселесі бойынша білім, тәжірибе және қиынд</w:t>
      </w:r>
      <w:r w:rsidR="00516380" w:rsidRPr="00457CE9">
        <w:rPr>
          <w:rFonts w:ascii="Times New Roman" w:hAnsi="Times New Roman"/>
          <w:sz w:val="28"/>
          <w:szCs w:val="28"/>
          <w:lang w:val="kk-KZ"/>
        </w:rPr>
        <w:t>ықтар</w:t>
      </w:r>
      <w:r w:rsidR="00E44B1C" w:rsidRPr="00457CE9">
        <w:rPr>
          <w:rFonts w:ascii="Times New Roman" w:hAnsi="Times New Roman"/>
          <w:sz w:val="28"/>
          <w:szCs w:val="28"/>
          <w:lang w:val="kk-KZ"/>
        </w:rPr>
        <w:t xml:space="preserve"> алмасу мүмкіндігінің болуы. Т</w:t>
      </w:r>
      <w:r w:rsidRPr="00457CE9">
        <w:rPr>
          <w:rFonts w:ascii="Times New Roman" w:hAnsi="Times New Roman"/>
          <w:sz w:val="28"/>
          <w:szCs w:val="28"/>
          <w:lang w:val="kk-KZ"/>
        </w:rPr>
        <w:t>әжірибе және стандарттар мен аудит әдістемелерімен және тұрақты негізде</w:t>
      </w:r>
      <w:r w:rsidR="00516380" w:rsidRPr="00457CE9">
        <w:rPr>
          <w:rFonts w:ascii="Times New Roman" w:hAnsi="Times New Roman"/>
          <w:sz w:val="28"/>
          <w:szCs w:val="28"/>
          <w:lang w:val="kk-KZ"/>
        </w:rPr>
        <w:t xml:space="preserve"> INTOSAI-мен алмасуды жалғастыру</w:t>
      </w:r>
      <w:r w:rsidRPr="00457CE9">
        <w:rPr>
          <w:rFonts w:ascii="Times New Roman" w:hAnsi="Times New Roman"/>
          <w:sz w:val="28"/>
          <w:szCs w:val="28"/>
          <w:lang w:val="kk-KZ"/>
        </w:rPr>
        <w:t xml:space="preserve">. </w:t>
      </w:r>
      <w:r w:rsidR="00516380" w:rsidRPr="00457CE9">
        <w:rPr>
          <w:rFonts w:ascii="Times New Roman" w:hAnsi="Times New Roman"/>
          <w:sz w:val="28"/>
          <w:szCs w:val="28"/>
          <w:lang w:val="kk-KZ"/>
        </w:rPr>
        <w:t xml:space="preserve">SAI </w:t>
      </w:r>
      <w:r w:rsidRPr="00457CE9">
        <w:rPr>
          <w:rFonts w:ascii="Times New Roman" w:hAnsi="Times New Roman"/>
          <w:sz w:val="28"/>
          <w:szCs w:val="28"/>
          <w:lang w:val="kk-KZ"/>
        </w:rPr>
        <w:t xml:space="preserve">ең дамыған елдерден INTOSAI ұсынатын кез келген аудит әдістері мен рәсімдері ноу-хаудың шынайы берілуіне қол жеткізу және өзінің жұмыс әдістерін нығайтуға және топтастыруға ұмтылатын </w:t>
      </w:r>
      <w:r w:rsidR="00516380" w:rsidRPr="00457CE9">
        <w:rPr>
          <w:rFonts w:ascii="Times New Roman" w:hAnsi="Times New Roman"/>
          <w:sz w:val="28"/>
          <w:szCs w:val="28"/>
          <w:lang w:val="kk-KZ"/>
        </w:rPr>
        <w:t>SAI</w:t>
      </w:r>
      <w:r w:rsidRPr="00457CE9">
        <w:rPr>
          <w:rFonts w:ascii="Times New Roman" w:hAnsi="Times New Roman"/>
          <w:sz w:val="28"/>
          <w:szCs w:val="28"/>
          <w:lang w:val="kk-KZ"/>
        </w:rPr>
        <w:t xml:space="preserve">-мен ынтымақтастықты күшейту үшін </w:t>
      </w:r>
      <w:r w:rsidR="00516380" w:rsidRPr="00457CE9">
        <w:rPr>
          <w:rFonts w:ascii="Times New Roman" w:hAnsi="Times New Roman"/>
          <w:sz w:val="28"/>
          <w:szCs w:val="28"/>
          <w:lang w:val="kk-KZ"/>
        </w:rPr>
        <w:t xml:space="preserve">SAI </w:t>
      </w:r>
      <w:r w:rsidRPr="00457CE9">
        <w:rPr>
          <w:rFonts w:ascii="Times New Roman" w:hAnsi="Times New Roman"/>
          <w:sz w:val="28"/>
          <w:szCs w:val="28"/>
          <w:lang w:val="kk-KZ"/>
        </w:rPr>
        <w:t xml:space="preserve">дамушы елдер үшін түсінікті және қолдануға болатындай етіп ұсынылуы тиіс. </w:t>
      </w:r>
      <w:r w:rsidR="00146D67" w:rsidRPr="00457CE9">
        <w:rPr>
          <w:rFonts w:ascii="Times New Roman" w:hAnsi="Times New Roman"/>
          <w:sz w:val="28"/>
          <w:szCs w:val="28"/>
          <w:lang w:val="en-US"/>
        </w:rPr>
        <w:t>INTO</w:t>
      </w:r>
      <w:r w:rsidRPr="00457CE9">
        <w:rPr>
          <w:rFonts w:ascii="Times New Roman" w:hAnsi="Times New Roman"/>
          <w:sz w:val="28"/>
          <w:szCs w:val="28"/>
          <w:lang w:val="kk-KZ"/>
        </w:rPr>
        <w:t>ЅАІ осы ақпаратты барлық тиісті құралдармен таратуды ұсынды</w:t>
      </w:r>
      <w:r w:rsidR="00252E88">
        <w:rPr>
          <w:rFonts w:ascii="Times New Roman" w:hAnsi="Times New Roman"/>
          <w:sz w:val="28"/>
          <w:szCs w:val="28"/>
          <w:lang w:val="kk-KZ"/>
        </w:rPr>
        <w:t>;</w:t>
      </w:r>
    </w:p>
    <w:p w14:paraId="23D5DA59" w14:textId="1F267B14" w:rsidR="00516380" w:rsidRPr="00457CE9" w:rsidRDefault="00E44B1C" w:rsidP="0097172E">
      <w:pPr>
        <w:pStyle w:val="a5"/>
        <w:widowControl w:val="0"/>
        <w:numPr>
          <w:ilvl w:val="0"/>
          <w:numId w:val="1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w:t>
      </w:r>
      <w:r w:rsidR="003F4C1E" w:rsidRPr="00457CE9">
        <w:rPr>
          <w:rFonts w:ascii="Times New Roman" w:hAnsi="Times New Roman"/>
          <w:sz w:val="28"/>
          <w:szCs w:val="28"/>
          <w:lang w:val="kk-KZ"/>
        </w:rPr>
        <w:t>оғары мемлекеттік аудиттің ауыл шаруашылығы аудитіні</w:t>
      </w:r>
      <w:r w:rsidR="00516380" w:rsidRPr="00457CE9">
        <w:rPr>
          <w:rFonts w:ascii="Times New Roman" w:hAnsi="Times New Roman"/>
          <w:sz w:val="28"/>
          <w:szCs w:val="28"/>
          <w:lang w:val="kk-KZ"/>
        </w:rPr>
        <w:t>ң бірнеше перспективалы аспектілері қар</w:t>
      </w:r>
      <w:r w:rsidR="003F4C1E" w:rsidRPr="00457CE9">
        <w:rPr>
          <w:rFonts w:ascii="Times New Roman" w:hAnsi="Times New Roman"/>
          <w:sz w:val="28"/>
          <w:szCs w:val="28"/>
          <w:lang w:val="kk-KZ"/>
        </w:rPr>
        <w:t>алды</w:t>
      </w:r>
      <w:r w:rsidR="009506C1">
        <w:rPr>
          <w:rFonts w:ascii="Times New Roman" w:hAnsi="Times New Roman"/>
          <w:sz w:val="28"/>
          <w:szCs w:val="28"/>
          <w:lang w:val="kk-KZ"/>
        </w:rPr>
        <w:t>;</w:t>
      </w:r>
    </w:p>
    <w:p w14:paraId="5E264672" w14:textId="2C1360F0" w:rsidR="00516380" w:rsidRPr="00457CE9" w:rsidRDefault="00516380" w:rsidP="0097172E">
      <w:pPr>
        <w:pStyle w:val="a5"/>
        <w:numPr>
          <w:ilvl w:val="0"/>
          <w:numId w:val="1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аудиторлық мекемелер арасындағы үйлестіруге деген сұраныстың өсуі</w:t>
      </w:r>
      <w:r w:rsidR="003F4C1E"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Ауыл шаруашылығы субсидиялары аудитінің негізгі тақырыбы (алдын ала) </w:t>
      </w:r>
      <w:r w:rsidR="003F4C1E" w:rsidRPr="00457CE9">
        <w:rPr>
          <w:rFonts w:ascii="Times New Roman" w:hAnsi="Times New Roman"/>
          <w:sz w:val="28"/>
          <w:szCs w:val="28"/>
          <w:lang w:val="kk-KZ"/>
        </w:rPr>
        <w:t>а</w:t>
      </w:r>
      <w:r w:rsidRPr="00457CE9">
        <w:rPr>
          <w:rFonts w:ascii="Times New Roman" w:hAnsi="Times New Roman"/>
          <w:sz w:val="28"/>
          <w:szCs w:val="28"/>
          <w:lang w:val="kk-KZ"/>
        </w:rPr>
        <w:t>лаяқтықпен күрес болып табылады. Әсіресе, халықаралық аудиторлық мекемелер (мысалы, Еуропалық аудиторлық палата) мен ұлттық мекемелер арасындағы аудит мақсаттарына қатысты ынтымақтастық қажеттілігі өсуде, бұл ауыл шаруашылығын үдемелі интернационализациялаумен, мысалы сауда қатынастары саласында</w:t>
      </w:r>
      <w:r w:rsidR="009506C1">
        <w:rPr>
          <w:rFonts w:ascii="Times New Roman" w:hAnsi="Times New Roman"/>
          <w:sz w:val="28"/>
          <w:szCs w:val="28"/>
          <w:lang w:val="kk-KZ"/>
        </w:rPr>
        <w:t xml:space="preserve">, </w:t>
      </w:r>
      <w:r w:rsidRPr="00457CE9">
        <w:rPr>
          <w:rFonts w:ascii="Times New Roman" w:hAnsi="Times New Roman"/>
          <w:sz w:val="28"/>
          <w:szCs w:val="28"/>
          <w:lang w:val="kk-KZ"/>
        </w:rPr>
        <w:t>Орталық және Шығыс Еуропадан жаңа мүше мемлекеттердің (мысалы, ұлттық SAI, ішкі аудит сияқты мемлекетішілік мекемелер) Еуропалық Одақтың жоспарланып отырған кеңеюімен байланысты. Ұлттық және ұлттықтан жоғары аудиторлық мекемелер тәуелсіз болып табылатындығына және үйлестіру процесіне тең құқылы серіктестер ретінде қатысатындығына ерекше назар аудару қажет</w:t>
      </w:r>
      <w:r w:rsidR="00252E88">
        <w:rPr>
          <w:rFonts w:ascii="Times New Roman" w:hAnsi="Times New Roman"/>
          <w:sz w:val="28"/>
          <w:szCs w:val="28"/>
          <w:lang w:val="kk-KZ"/>
        </w:rPr>
        <w:t>;</w:t>
      </w:r>
    </w:p>
    <w:p w14:paraId="7D697381" w14:textId="50B9E7A4" w:rsidR="00F32168" w:rsidRPr="00457CE9" w:rsidRDefault="00516380" w:rsidP="0097172E">
      <w:pPr>
        <w:pStyle w:val="a5"/>
        <w:widowControl w:val="0"/>
        <w:numPr>
          <w:ilvl w:val="0"/>
          <w:numId w:val="1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тиімділік аудитіне назар аударуды күшейту</w:t>
      </w:r>
      <w:r w:rsidR="00970C25"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Ауыл шаруашылығы саласында SAI жүргізетін тексерулер жүйелі түрде қате көздері туралы қорытынды жасауға және тексеру нәтижесінен негізделген ұсыныстар алу мүмкіндігіне ие болу үшін </w:t>
      </w:r>
      <w:r w:rsidR="00970C25" w:rsidRPr="00457CE9">
        <w:rPr>
          <w:rFonts w:ascii="Times New Roman" w:hAnsi="Times New Roman"/>
          <w:sz w:val="28"/>
          <w:szCs w:val="28"/>
          <w:lang w:val="kk-KZ"/>
        </w:rPr>
        <w:t>ү</w:t>
      </w:r>
      <w:r w:rsidRPr="00457CE9">
        <w:rPr>
          <w:rFonts w:ascii="Times New Roman" w:hAnsi="Times New Roman"/>
          <w:sz w:val="28"/>
          <w:szCs w:val="28"/>
          <w:lang w:val="kk-KZ"/>
        </w:rPr>
        <w:t xml:space="preserve">кімет қызметінің әсерін талдауға мүмкіндік беруі тиіс екендігі анық. Нақты саяси мақсаттарға сүйене отырып, бұл ұсынымдар </w:t>
      </w:r>
      <w:r w:rsidR="00970C25" w:rsidRPr="00457CE9">
        <w:rPr>
          <w:rFonts w:ascii="Times New Roman" w:hAnsi="Times New Roman"/>
          <w:sz w:val="28"/>
          <w:szCs w:val="28"/>
          <w:lang w:val="kk-KZ"/>
        </w:rPr>
        <w:t>д</w:t>
      </w:r>
      <w:r w:rsidRPr="00457CE9">
        <w:rPr>
          <w:rFonts w:ascii="Times New Roman" w:hAnsi="Times New Roman"/>
          <w:sz w:val="28"/>
          <w:szCs w:val="28"/>
          <w:lang w:val="kk-KZ"/>
        </w:rPr>
        <w:t>ирективті органдарға ауыл шаруашылығындағы әкімшілік жүйелерді жетілдіру құралдары ретінде қызмет етуге тиіс.</w:t>
      </w:r>
      <w:r w:rsidR="00F32168" w:rsidRPr="00457CE9">
        <w:rPr>
          <w:rFonts w:ascii="Times New Roman" w:hAnsi="Times New Roman"/>
          <w:sz w:val="28"/>
          <w:szCs w:val="28"/>
          <w:lang w:val="kk-KZ"/>
        </w:rPr>
        <w:t xml:space="preserve"> </w:t>
      </w:r>
      <w:r w:rsidRPr="00457CE9">
        <w:rPr>
          <w:rFonts w:ascii="Times New Roman" w:hAnsi="Times New Roman"/>
          <w:sz w:val="28"/>
          <w:szCs w:val="28"/>
          <w:lang w:val="kk-KZ"/>
        </w:rPr>
        <w:t>Қатысушылар қалыптастырған бұл постулат Аудит жөніндегі Еуропалық сот Еуропалық комиссияның қаржылық басқару негізінде жатқан шоттар мен операциялардың дұрыстығын растау үшін жыл сайын Еуропалық парламенттің алдында шығаруы тиіс декларация мақсатында ЕО шартының негізінде жүргізу</w:t>
      </w:r>
      <w:r w:rsidR="00970C25" w:rsidRPr="00457CE9">
        <w:rPr>
          <w:rFonts w:ascii="Times New Roman" w:hAnsi="Times New Roman"/>
          <w:sz w:val="28"/>
          <w:szCs w:val="28"/>
          <w:lang w:val="kk-KZ"/>
        </w:rPr>
        <w:t>і тиіс аудитке қарсы қойылады (</w:t>
      </w:r>
      <w:r w:rsidR="003C56BE" w:rsidRPr="00457CE9">
        <w:rPr>
          <w:rFonts w:ascii="Times New Roman" w:hAnsi="Times New Roman"/>
          <w:sz w:val="28"/>
          <w:szCs w:val="28"/>
          <w:lang w:val="kk-KZ"/>
        </w:rPr>
        <w:t>«</w:t>
      </w:r>
      <w:r w:rsidRPr="00457CE9">
        <w:rPr>
          <w:rFonts w:ascii="Times New Roman" w:hAnsi="Times New Roman"/>
          <w:sz w:val="28"/>
          <w:szCs w:val="28"/>
          <w:lang w:val="kk-KZ"/>
        </w:rPr>
        <w:t xml:space="preserve">кепілдіктер туралы </w:t>
      </w:r>
      <w:r w:rsidR="00970C25" w:rsidRPr="00457CE9">
        <w:rPr>
          <w:rFonts w:ascii="Times New Roman" w:hAnsi="Times New Roman"/>
          <w:sz w:val="28"/>
          <w:szCs w:val="28"/>
          <w:lang w:val="kk-KZ"/>
        </w:rPr>
        <w:t>декларация</w:t>
      </w:r>
      <w:r w:rsidR="003C56BE" w:rsidRPr="00457CE9">
        <w:rPr>
          <w:rFonts w:ascii="Times New Roman" w:hAnsi="Times New Roman"/>
          <w:sz w:val="28"/>
          <w:szCs w:val="28"/>
          <w:lang w:val="kk-KZ"/>
        </w:rPr>
        <w:t>»</w:t>
      </w:r>
      <w:r w:rsidR="00970C25"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деп аталатын). Бұл аудит статистикаға негізделген болса да, олар тиімділік аудиті сияқты шешімдер қабылдайтын тұлғалар (Еуропалық парламент сияқты) үшін аз ақпараттық құндылығы бар аудиттің формальды аспектілерін атап көрсетеді, өйткені олар белгілі бір салалардағы (мысалы, өңірлерде, қоғамдастық саясатында) қателер көздері туралы немесе қажетті дәрежеде қаржылық басқарудағы нақты кемшіліктер туралы </w:t>
      </w:r>
      <w:r w:rsidR="00970C25" w:rsidRPr="00457CE9">
        <w:rPr>
          <w:rFonts w:ascii="Times New Roman" w:hAnsi="Times New Roman"/>
          <w:sz w:val="28"/>
          <w:szCs w:val="28"/>
          <w:lang w:val="kk-KZ"/>
        </w:rPr>
        <w:t>е</w:t>
      </w:r>
      <w:r w:rsidRPr="00457CE9">
        <w:rPr>
          <w:rFonts w:ascii="Times New Roman" w:hAnsi="Times New Roman"/>
          <w:sz w:val="28"/>
          <w:szCs w:val="28"/>
          <w:lang w:val="kk-KZ"/>
        </w:rPr>
        <w:t>леулі қорытындылар жасауға мүмкіндік бермейді. Бұдан басқа, кепілдіктер туралы декларация шеңберінде (жылына 400 жуық) өткізілетін аудит</w:t>
      </w:r>
      <w:r w:rsidR="00725206">
        <w:rPr>
          <w:rFonts w:ascii="Times New Roman" w:hAnsi="Times New Roman"/>
          <w:sz w:val="28"/>
          <w:szCs w:val="28"/>
          <w:lang w:val="kk-KZ"/>
        </w:rPr>
        <w:t>те</w:t>
      </w:r>
      <w:r w:rsidRPr="00457CE9">
        <w:rPr>
          <w:rFonts w:ascii="Times New Roman" w:hAnsi="Times New Roman"/>
          <w:sz w:val="28"/>
          <w:szCs w:val="28"/>
          <w:lang w:val="kk-KZ"/>
        </w:rPr>
        <w:t>р Еуропалық аудиторлар палатасының ауыл шаруашылығы саласындағы тиімділік аудитін жүргізу үшін аздаған ресурстарын алады.</w:t>
      </w:r>
      <w:r w:rsidR="00970C25" w:rsidRPr="00457CE9">
        <w:rPr>
          <w:rFonts w:ascii="Times New Roman" w:hAnsi="Times New Roman"/>
          <w:sz w:val="28"/>
          <w:szCs w:val="28"/>
          <w:lang w:val="kk-KZ"/>
        </w:rPr>
        <w:t xml:space="preserve"> </w:t>
      </w:r>
      <w:r w:rsidRPr="00457CE9">
        <w:rPr>
          <w:rFonts w:ascii="Times New Roman" w:hAnsi="Times New Roman"/>
          <w:sz w:val="28"/>
          <w:szCs w:val="28"/>
          <w:lang w:val="kk-KZ"/>
        </w:rPr>
        <w:t>Кеңейтілген Еуропалық Одақтағы ауыл шаруашылығы саласындағы тиімділік аудитінің өсіп келе жатқан мәнін ескере отырып, жүйелі негізде ауыл шаруашылығы бағдарламаларының тиімділігі мен нәтижелілігінің өлшемдері негізінде тексерулер жүргізе алатын еуропалық аудиторлар палатасының аудиторлық әл</w:t>
      </w:r>
      <w:r w:rsidR="00B71CCE" w:rsidRPr="00457CE9">
        <w:rPr>
          <w:rFonts w:ascii="Times New Roman" w:hAnsi="Times New Roman"/>
          <w:sz w:val="28"/>
          <w:szCs w:val="28"/>
          <w:lang w:val="kk-KZ"/>
        </w:rPr>
        <w:t>еуетін нығайту маңызды</w:t>
      </w:r>
      <w:r w:rsidRPr="00457CE9">
        <w:rPr>
          <w:rFonts w:ascii="Times New Roman" w:hAnsi="Times New Roman"/>
          <w:sz w:val="28"/>
          <w:szCs w:val="28"/>
          <w:lang w:val="kk-KZ"/>
        </w:rPr>
        <w:t>. Еуропалық Одақ кеңе</w:t>
      </w:r>
      <w:r w:rsidR="00970C25" w:rsidRPr="00457CE9">
        <w:rPr>
          <w:rFonts w:ascii="Times New Roman" w:hAnsi="Times New Roman"/>
          <w:sz w:val="28"/>
          <w:szCs w:val="28"/>
          <w:lang w:val="kk-KZ"/>
        </w:rPr>
        <w:t>й</w:t>
      </w:r>
      <w:r w:rsidRPr="00457CE9">
        <w:rPr>
          <w:rFonts w:ascii="Times New Roman" w:hAnsi="Times New Roman"/>
          <w:sz w:val="28"/>
          <w:szCs w:val="28"/>
          <w:lang w:val="kk-KZ"/>
        </w:rPr>
        <w:t>ген жағдайда белгілі бір уақыт кезеңі ішінде, әсіресе саяси шешімдер қабылдайтын тұлғалар үшін ерекше маңызы бар немесе бар тексерулердің жиілігін қысқартудан аулақ болу өте маңызды</w:t>
      </w:r>
      <w:r w:rsidR="00252E88">
        <w:rPr>
          <w:rFonts w:ascii="Times New Roman" w:hAnsi="Times New Roman"/>
          <w:sz w:val="28"/>
          <w:szCs w:val="28"/>
          <w:lang w:val="kk-KZ"/>
        </w:rPr>
        <w:t>;</w:t>
      </w:r>
    </w:p>
    <w:p w14:paraId="518111E0" w14:textId="1FE48EF9" w:rsidR="00F32168" w:rsidRPr="00457CE9" w:rsidRDefault="00516380" w:rsidP="0097172E">
      <w:pPr>
        <w:pStyle w:val="a5"/>
        <w:widowControl w:val="0"/>
        <w:numPr>
          <w:ilvl w:val="0"/>
          <w:numId w:val="1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макроэкономикалық өзара тәуелділікті қарау</w:t>
      </w:r>
      <w:r w:rsidR="00970C25" w:rsidRPr="00457CE9">
        <w:rPr>
          <w:rFonts w:ascii="Times New Roman" w:hAnsi="Times New Roman"/>
          <w:sz w:val="28"/>
          <w:szCs w:val="28"/>
          <w:lang w:val="kk-KZ"/>
        </w:rPr>
        <w:t xml:space="preserve">. </w:t>
      </w:r>
      <w:r w:rsidRPr="00457CE9">
        <w:rPr>
          <w:rFonts w:ascii="Times New Roman" w:hAnsi="Times New Roman"/>
          <w:sz w:val="28"/>
          <w:szCs w:val="28"/>
          <w:lang w:val="kk-KZ"/>
        </w:rPr>
        <w:t>SAI ауыл шаруашылығы аудиттерін жүргізу кезінде елдердің, әсіресе ауыл шаруашылығы саласындағы жалпы үрдістерін ұстануға және макроэкономикалық аспектілерге (әлеуметтік стандарттар, қоршаған ортаны қорғау сияқты) көбірек назар аударуға бағытталған; олар бұған тексерілетін шаралардың тікелей және ұзақ мерзімді салдарын, сондай-ақ бастамашылық етуі мүмкін қарама-қайшы мақсаттарды ерте анықтау жолымен қол жеткізе алады.</w:t>
      </w:r>
      <w:r w:rsidR="00F32168"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Бұл жағдайда SAI өз міндетін алдын алу әсері бар ұсынымдарды әзірлеу ретінде, мысалы, қоршаған ортаға мемлекеттік субсидиядан пайда табуы мүмкін </w:t>
      </w:r>
      <w:r w:rsidR="00886E59" w:rsidRPr="00457CE9">
        <w:rPr>
          <w:rFonts w:ascii="Times New Roman" w:hAnsi="Times New Roman"/>
          <w:sz w:val="28"/>
          <w:szCs w:val="28"/>
          <w:lang w:val="kk-KZ"/>
        </w:rPr>
        <w:t>а</w:t>
      </w:r>
      <w:r w:rsidRPr="00457CE9">
        <w:rPr>
          <w:rFonts w:ascii="Times New Roman" w:hAnsi="Times New Roman"/>
          <w:sz w:val="28"/>
          <w:szCs w:val="28"/>
          <w:lang w:val="kk-KZ"/>
        </w:rPr>
        <w:t xml:space="preserve">уыл шаруашылығы </w:t>
      </w:r>
      <w:r w:rsidR="00886E59" w:rsidRPr="00457CE9">
        <w:rPr>
          <w:rFonts w:ascii="Times New Roman" w:hAnsi="Times New Roman"/>
          <w:sz w:val="28"/>
          <w:szCs w:val="28"/>
          <w:lang w:val="kk-KZ"/>
        </w:rPr>
        <w:t>тәжірибесіні</w:t>
      </w:r>
      <w:r w:rsidRPr="00457CE9">
        <w:rPr>
          <w:rFonts w:ascii="Times New Roman" w:hAnsi="Times New Roman"/>
          <w:sz w:val="28"/>
          <w:szCs w:val="28"/>
          <w:lang w:val="kk-KZ"/>
        </w:rPr>
        <w:t xml:space="preserve">ң кейбір түрлерінің әлеуетті немесе жасырын зиянды әсерін ұсыну арқылы қарастыруы тиіс. Алдын алу әсері бар ұсынымдарды тұжырымдай отырып, SAI қабылданған экологиялық стандарттардың бұзылуын көрсетуі және айқын болған (немесе болатын) экологиялық залалды жоюға байланысты </w:t>
      </w:r>
      <w:r w:rsidR="00886E59" w:rsidRPr="00457CE9">
        <w:rPr>
          <w:rFonts w:ascii="Times New Roman" w:hAnsi="Times New Roman"/>
          <w:sz w:val="28"/>
          <w:szCs w:val="28"/>
          <w:lang w:val="kk-KZ"/>
        </w:rPr>
        <w:t>ү</w:t>
      </w:r>
      <w:r w:rsidRPr="00457CE9">
        <w:rPr>
          <w:rFonts w:ascii="Times New Roman" w:hAnsi="Times New Roman"/>
          <w:sz w:val="28"/>
          <w:szCs w:val="28"/>
          <w:lang w:val="kk-KZ"/>
        </w:rPr>
        <w:t>кімет үшін туындайтын неғұрлым жоғары шығындардан аулақ болуы мүмкін.</w:t>
      </w:r>
      <w:r w:rsidR="00F32168"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Мемлекеттік келісім-шарттар жасасу кезінде </w:t>
      </w:r>
      <w:r w:rsidR="00886E59" w:rsidRPr="00457CE9">
        <w:rPr>
          <w:rFonts w:ascii="Times New Roman" w:hAnsi="Times New Roman"/>
          <w:sz w:val="28"/>
          <w:szCs w:val="28"/>
          <w:lang w:val="kk-KZ"/>
        </w:rPr>
        <w:t>ә</w:t>
      </w:r>
      <w:r w:rsidRPr="00457CE9">
        <w:rPr>
          <w:rFonts w:ascii="Times New Roman" w:hAnsi="Times New Roman"/>
          <w:sz w:val="28"/>
          <w:szCs w:val="28"/>
          <w:lang w:val="kk-KZ"/>
        </w:rPr>
        <w:t xml:space="preserve">леуметтік және экологиялық аспектілерді іске асыру (мысалы, ауыл шаруашылығына мемлекеттік инвестициялардың ауылдық аудандардың әлеуметтік құрылымына әсері), сондай-ақ макроэкономикалық көрсеткіштер көмегімен </w:t>
      </w:r>
      <w:r w:rsidR="00F32168" w:rsidRPr="00457CE9">
        <w:rPr>
          <w:rFonts w:ascii="Times New Roman" w:hAnsi="Times New Roman"/>
          <w:sz w:val="28"/>
          <w:szCs w:val="28"/>
          <w:lang w:val="kk-KZ"/>
        </w:rPr>
        <w:t>ө</w:t>
      </w:r>
      <w:r w:rsidRPr="00457CE9">
        <w:rPr>
          <w:rFonts w:ascii="Times New Roman" w:hAnsi="Times New Roman"/>
          <w:sz w:val="28"/>
          <w:szCs w:val="28"/>
          <w:lang w:val="kk-KZ"/>
        </w:rPr>
        <w:t xml:space="preserve">ңірлік даму деңгейлерін сандық бағалау (мысалы, ауыл тұрғындарының табыстарына немесе ауыл шаруашылығында құрылған немесе сақталған жұмыс орындарының санына ауыл шаруашылығы субсидияларының әсері) </w:t>
      </w:r>
      <w:r w:rsidR="00F32168" w:rsidRPr="00457CE9">
        <w:rPr>
          <w:rFonts w:ascii="Times New Roman" w:hAnsi="Times New Roman"/>
          <w:sz w:val="28"/>
          <w:szCs w:val="28"/>
          <w:lang w:val="kk-KZ"/>
        </w:rPr>
        <w:t>SAI</w:t>
      </w:r>
      <w:r w:rsidRPr="00457CE9">
        <w:rPr>
          <w:rFonts w:ascii="Times New Roman" w:hAnsi="Times New Roman"/>
          <w:sz w:val="28"/>
          <w:szCs w:val="28"/>
          <w:lang w:val="kk-KZ"/>
        </w:rPr>
        <w:t xml:space="preserve"> жүргізетін ауыл шаруашылығы аудитінен дами алатын макроэкономикалық аудиттің басқа да тәсілдері болып табылады</w:t>
      </w:r>
      <w:r w:rsidR="00252E88">
        <w:rPr>
          <w:rFonts w:ascii="Times New Roman" w:hAnsi="Times New Roman"/>
          <w:sz w:val="28"/>
          <w:szCs w:val="28"/>
          <w:lang w:val="kk-KZ"/>
        </w:rPr>
        <w:t>;</w:t>
      </w:r>
    </w:p>
    <w:p w14:paraId="5F979B82" w14:textId="7C806254" w:rsidR="00516380" w:rsidRPr="00457CE9" w:rsidRDefault="00516380" w:rsidP="0097172E">
      <w:pPr>
        <w:pStyle w:val="a5"/>
        <w:numPr>
          <w:ilvl w:val="0"/>
          <w:numId w:val="12"/>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жоғары қаржы бақылау органдарының қаражаттың пайдаланылуына жалпы жауапкершілігі</w:t>
      </w:r>
      <w:r w:rsidR="00F32168" w:rsidRPr="00457CE9">
        <w:rPr>
          <w:rFonts w:ascii="Times New Roman" w:hAnsi="Times New Roman"/>
          <w:sz w:val="28"/>
          <w:szCs w:val="28"/>
          <w:lang w:val="kk-KZ"/>
        </w:rPr>
        <w:t xml:space="preserve">. </w:t>
      </w:r>
      <w:r w:rsidRPr="00457CE9">
        <w:rPr>
          <w:rFonts w:ascii="Times New Roman" w:hAnsi="Times New Roman"/>
          <w:sz w:val="28"/>
          <w:szCs w:val="28"/>
          <w:lang w:val="kk-KZ"/>
        </w:rPr>
        <w:t>SAI ауыл шаруашылығы субсидияларын мақсатты пайдалануды қамтамасыз ету үшін бірлескен жауапкершілікте екендігі туралы бірыңғай пікірге келді.</w:t>
      </w:r>
      <w:r w:rsidR="00F32168"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Ауыл шаруашылығы саласындағы аудит әдістерін жетілдіруге деген жалпы қажеттілікке қарамастан, </w:t>
      </w:r>
      <w:r w:rsidR="00F32168" w:rsidRPr="00457CE9">
        <w:rPr>
          <w:rFonts w:ascii="Times New Roman" w:hAnsi="Times New Roman"/>
          <w:sz w:val="28"/>
          <w:szCs w:val="28"/>
          <w:lang w:val="kk-KZ"/>
        </w:rPr>
        <w:t xml:space="preserve">әр </w:t>
      </w:r>
      <w:r w:rsidRPr="00457CE9">
        <w:rPr>
          <w:rFonts w:ascii="Times New Roman" w:hAnsi="Times New Roman"/>
          <w:sz w:val="28"/>
          <w:szCs w:val="28"/>
          <w:lang w:val="kk-KZ"/>
        </w:rPr>
        <w:t>елдер</w:t>
      </w:r>
      <w:r w:rsidR="00F32168" w:rsidRPr="00457CE9">
        <w:rPr>
          <w:rFonts w:ascii="Times New Roman" w:hAnsi="Times New Roman"/>
          <w:sz w:val="28"/>
          <w:szCs w:val="28"/>
          <w:lang w:val="kk-KZ"/>
        </w:rPr>
        <w:t>де</w:t>
      </w:r>
      <w:r w:rsidRPr="00457CE9">
        <w:rPr>
          <w:rFonts w:ascii="Times New Roman" w:hAnsi="Times New Roman"/>
          <w:sz w:val="28"/>
          <w:szCs w:val="28"/>
          <w:lang w:val="kk-KZ"/>
        </w:rPr>
        <w:t xml:space="preserve"> құқықтық және экономикалық жағдайындағы айырмашылықтарға байланысты ауыл шаруашылығына арналған INTOSAI аудит</w:t>
      </w:r>
      <w:r w:rsidR="00F32168" w:rsidRPr="00457CE9">
        <w:rPr>
          <w:rFonts w:ascii="Times New Roman" w:hAnsi="Times New Roman"/>
          <w:sz w:val="28"/>
          <w:szCs w:val="28"/>
          <w:lang w:val="kk-KZ"/>
        </w:rPr>
        <w:t>інің нақты басшылық қағидаттары</w:t>
      </w:r>
      <w:r w:rsidRPr="00457CE9">
        <w:rPr>
          <w:rFonts w:ascii="Times New Roman" w:hAnsi="Times New Roman"/>
          <w:sz w:val="28"/>
          <w:szCs w:val="28"/>
          <w:lang w:val="kk-KZ"/>
        </w:rPr>
        <w:t xml:space="preserve"> мұқият әзірле</w:t>
      </w:r>
      <w:r w:rsidR="00F32168" w:rsidRPr="00457CE9">
        <w:rPr>
          <w:rFonts w:ascii="Times New Roman" w:hAnsi="Times New Roman"/>
          <w:sz w:val="28"/>
          <w:szCs w:val="28"/>
          <w:lang w:val="kk-KZ"/>
        </w:rPr>
        <w:t>н</w:t>
      </w:r>
      <w:r w:rsidRPr="00457CE9">
        <w:rPr>
          <w:rFonts w:ascii="Times New Roman" w:hAnsi="Times New Roman"/>
          <w:sz w:val="28"/>
          <w:szCs w:val="28"/>
          <w:lang w:val="kk-KZ"/>
        </w:rPr>
        <w:t>ді.</w:t>
      </w:r>
      <w:r w:rsidR="00F32168" w:rsidRPr="00457CE9">
        <w:rPr>
          <w:rFonts w:ascii="Times New Roman" w:hAnsi="Times New Roman"/>
          <w:sz w:val="28"/>
          <w:szCs w:val="28"/>
          <w:lang w:val="kk-KZ"/>
        </w:rPr>
        <w:t xml:space="preserve"> </w:t>
      </w:r>
      <w:r w:rsidR="00944FBB">
        <w:rPr>
          <w:rFonts w:ascii="Times New Roman" w:hAnsi="Times New Roman"/>
          <w:sz w:val="28"/>
          <w:szCs w:val="28"/>
          <w:lang w:val="kk-KZ"/>
        </w:rPr>
        <w:t>INTOSAI</w:t>
      </w:r>
      <w:r w:rsidRPr="00457CE9">
        <w:rPr>
          <w:rFonts w:ascii="Times New Roman" w:hAnsi="Times New Roman"/>
          <w:sz w:val="28"/>
          <w:szCs w:val="28"/>
          <w:lang w:val="kk-KZ"/>
        </w:rPr>
        <w:t xml:space="preserve"> </w:t>
      </w:r>
      <w:r w:rsidR="00944FBB">
        <w:rPr>
          <w:rFonts w:ascii="Times New Roman" w:hAnsi="Times New Roman"/>
          <w:sz w:val="28"/>
          <w:szCs w:val="28"/>
          <w:lang w:val="kk-KZ"/>
        </w:rPr>
        <w:t>БҰҰ-</w:t>
      </w:r>
      <w:r w:rsidRPr="00457CE9">
        <w:rPr>
          <w:rFonts w:ascii="Times New Roman" w:hAnsi="Times New Roman"/>
          <w:sz w:val="28"/>
          <w:szCs w:val="28"/>
          <w:lang w:val="kk-KZ"/>
        </w:rPr>
        <w:t xml:space="preserve">мен бірге үнемі қолдау көрсеткен және мысалы, көмекті бөлу ревизиясына қатысты қолдайтын өзінің тексеру әдістерін тұрақты жетілдіру бойынша SAI жалпы күш-жігеріне қарамастан, SAI донор ел (немесе ұйым) мен алушы ел арасындағы келіссөздерге қатысуға және өзінің қатысуы арқылы </w:t>
      </w:r>
      <w:r w:rsidR="00F32168" w:rsidRPr="00457CE9">
        <w:rPr>
          <w:rFonts w:ascii="Times New Roman" w:hAnsi="Times New Roman"/>
          <w:sz w:val="28"/>
          <w:szCs w:val="28"/>
          <w:lang w:val="kk-KZ"/>
        </w:rPr>
        <w:t>аудит</w:t>
      </w:r>
      <w:r w:rsidRPr="00457CE9">
        <w:rPr>
          <w:rFonts w:ascii="Times New Roman" w:hAnsi="Times New Roman"/>
          <w:sz w:val="28"/>
          <w:szCs w:val="28"/>
          <w:lang w:val="kk-KZ"/>
        </w:rPr>
        <w:t xml:space="preserve"> стандарттары мен әдістеріне қатысты уағдаластықтарды келісуге және қажет болған жағдайда осы мақсатта өзінің аудиторлық мандаттарын кеңейтуге тиіс. Егер ұлттық SAI-ге қажетті аудиторлық мандат берілмеген болса, онда донор-ел (немесе ұйым) донор-елдің аудиторлық мандатын ұзарту туралы сұрауға және осындай талапты орындауға қаражат беруді негіздеуге құқығы болуы тиіс.</w:t>
      </w:r>
    </w:p>
    <w:p w14:paraId="675EDE3F" w14:textId="51A2D725" w:rsidR="00516380" w:rsidRPr="00457CE9" w:rsidRDefault="00516380" w:rsidP="00252E88">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SAI аудитінің алдында тікелей өз жұмысын орындайтын ішкі аудит сияқты ішкі институттар SAI-ге өзінің бірлескен жауапкершілігін табысты орындау мүмкіндігін беру туралы сөз болғанда ерекше рөл атқарады. Сондықтан мемлекеттік қорларды қаржылық басқару мониторингінің жалпы </w:t>
      </w:r>
      <w:r w:rsidR="00F32168" w:rsidRPr="00457CE9">
        <w:rPr>
          <w:rFonts w:ascii="Times New Roman" w:hAnsi="Times New Roman" w:cs="Times New Roman"/>
          <w:sz w:val="28"/>
          <w:szCs w:val="28"/>
          <w:lang w:val="kk-KZ"/>
        </w:rPr>
        <w:t>үрді</w:t>
      </w:r>
      <w:r w:rsidRPr="00457CE9">
        <w:rPr>
          <w:rFonts w:ascii="Times New Roman" w:hAnsi="Times New Roman" w:cs="Times New Roman"/>
          <w:sz w:val="28"/>
          <w:szCs w:val="28"/>
          <w:lang w:val="kk-KZ"/>
        </w:rPr>
        <w:t>сінде ішкі бақылау тетіктерін неғұрлым тығыз іске қосу аса маңызды.</w:t>
      </w:r>
      <w:r w:rsidR="00146D67"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SAI аудиторлары бағынуы тиіс </w:t>
      </w:r>
      <w:r w:rsidR="00F32168" w:rsidRPr="00457CE9">
        <w:rPr>
          <w:rFonts w:ascii="Times New Roman" w:hAnsi="Times New Roman" w:cs="Times New Roman"/>
          <w:sz w:val="28"/>
          <w:szCs w:val="28"/>
          <w:lang w:val="kk-KZ"/>
        </w:rPr>
        <w:t>э</w:t>
      </w:r>
      <w:r w:rsidRPr="00457CE9">
        <w:rPr>
          <w:rFonts w:ascii="Times New Roman" w:hAnsi="Times New Roman" w:cs="Times New Roman"/>
          <w:sz w:val="28"/>
          <w:szCs w:val="28"/>
          <w:lang w:val="kk-KZ"/>
        </w:rPr>
        <w:t>тика кодексі жалпы сыртқы мемлекеттік аудит жүйесін нығайтуға өмірлік маңызды үлес қосады және SAI өз міндеттерін жауапкершілікпен орындауға мүмкіндік береді.</w:t>
      </w:r>
    </w:p>
    <w:p w14:paraId="3D80F599" w14:textId="77777777" w:rsidR="000D6D7B" w:rsidRPr="00457CE9" w:rsidRDefault="000D6D7B"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Ұлыбритания, Швеция және Нидерланды елдерінің жоғары аудит органдары ауыл шаруашылығына бөлінген бюджет қаражаттарын бөлуді басқару сызбасының тиімділігін бағалауын жүргізген. Барлық үш елде персоналдың шығындары немесе уақыты бойынша қолда бар деректердің шектеулілігі ЖАО аймақтық көрсеткіштерді салыстыру үшін бағалауды сұратуы немесе өзінің жеке есебін жасауы тиіс екенін білдіреді. </w:t>
      </w:r>
    </w:p>
    <w:p w14:paraId="175AB8D7" w14:textId="77D9D088" w:rsidR="000D6D7B" w:rsidRPr="004D5D51" w:rsidRDefault="000D6D7B"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Нидерландыда Есеп палатасы әр өңір кінәраттарды өңдеуге уақыт жұмсайтындай айырмашылықтардың нақты сандық және сапалық түсініктемелері туралы мәселені қарастыруды ұсынды. Бұл сыртқы (мысалы, шағымдардың сипаты) және ішкі (мысалы, басқару) факторлар арасындағы айырмашылықты жүргізу </w:t>
      </w:r>
      <w:r w:rsidRPr="004D5D51">
        <w:rPr>
          <w:rFonts w:ascii="Times New Roman" w:hAnsi="Times New Roman" w:cs="Times New Roman"/>
          <w:sz w:val="28"/>
          <w:szCs w:val="28"/>
          <w:lang w:val="kk-KZ"/>
        </w:rPr>
        <w:t>үшін қажет. Бұдан басқа, статистикалық деректердің біркелкілігіне және шығыстар туралы деректерді жинауға назар аудару қажет</w:t>
      </w:r>
      <w:r w:rsidR="0062056C" w:rsidRPr="004D5D51">
        <w:rPr>
          <w:rFonts w:ascii="Times New Roman" w:hAnsi="Times New Roman" w:cs="Times New Roman"/>
          <w:sz w:val="28"/>
          <w:szCs w:val="28"/>
          <w:lang w:val="kk-KZ"/>
        </w:rPr>
        <w:t xml:space="preserve"> деп ЖАО қорытынды берген</w:t>
      </w:r>
      <w:r w:rsidR="00745535" w:rsidRPr="004D5D51">
        <w:rPr>
          <w:rFonts w:ascii="Times New Roman" w:hAnsi="Times New Roman" w:cs="Times New Roman"/>
          <w:sz w:val="28"/>
          <w:szCs w:val="28"/>
          <w:lang w:val="kk-KZ"/>
        </w:rPr>
        <w:t xml:space="preserve"> [</w:t>
      </w:r>
      <w:r w:rsidR="009E4FA1" w:rsidRPr="004D5D51">
        <w:rPr>
          <w:rFonts w:ascii="Times New Roman" w:hAnsi="Times New Roman" w:cs="Times New Roman"/>
          <w:sz w:val="28"/>
          <w:szCs w:val="28"/>
          <w:lang w:val="kk-KZ"/>
        </w:rPr>
        <w:t>6</w:t>
      </w:r>
      <w:r w:rsidR="00E232BF">
        <w:rPr>
          <w:rFonts w:ascii="Times New Roman" w:hAnsi="Times New Roman" w:cs="Times New Roman"/>
          <w:sz w:val="28"/>
          <w:szCs w:val="28"/>
          <w:lang w:val="kk-KZ"/>
        </w:rPr>
        <w:t>9</w:t>
      </w:r>
      <w:r w:rsidR="00745535" w:rsidRPr="004D5D51">
        <w:rPr>
          <w:rFonts w:ascii="Times New Roman" w:hAnsi="Times New Roman" w:cs="Times New Roman"/>
          <w:sz w:val="28"/>
          <w:szCs w:val="28"/>
          <w:lang w:val="kk-KZ"/>
        </w:rPr>
        <w:t>]</w:t>
      </w:r>
      <w:r w:rsidRPr="004D5D51">
        <w:rPr>
          <w:rFonts w:ascii="Times New Roman" w:hAnsi="Times New Roman" w:cs="Times New Roman"/>
          <w:sz w:val="28"/>
          <w:szCs w:val="28"/>
          <w:lang w:val="kk-KZ"/>
        </w:rPr>
        <w:t>.</w:t>
      </w:r>
    </w:p>
    <w:p w14:paraId="0E71C3CF" w14:textId="37007E59" w:rsidR="000D6D7B" w:rsidRPr="00457CE9" w:rsidRDefault="000D6D7B"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Швецияда наразылықтарды өңдеу үшін қажетті уақыт кестелері арасында біршама үлкен айырмашылықтар болды. Бір кестеде бұл уақыт екіншісіне</w:t>
      </w:r>
      <w:r w:rsidR="00252E88">
        <w:rPr>
          <w:rFonts w:ascii="Times New Roman" w:hAnsi="Times New Roman" w:cs="Times New Roman"/>
          <w:sz w:val="28"/>
          <w:szCs w:val="28"/>
          <w:lang w:val="kk-KZ"/>
        </w:rPr>
        <w:t xml:space="preserve">н екі-үш есе көп болуы мүмкін. </w:t>
      </w:r>
      <w:r w:rsidRPr="00457CE9">
        <w:rPr>
          <w:rFonts w:ascii="Times New Roman" w:hAnsi="Times New Roman" w:cs="Times New Roman"/>
          <w:sz w:val="28"/>
          <w:szCs w:val="28"/>
          <w:lang w:val="kk-KZ"/>
        </w:rPr>
        <w:t>Әкімшілік шығыстардың жалпы сомасы 1,5 млн. АҚШ долларын құрады, бұл 24 округтің 11-і қанағаттандырылды, бір шағымға ең жоғары шығындарға сәйкес келеді</w:t>
      </w:r>
      <w:r w:rsidR="004D5D51" w:rsidRPr="004D5D51">
        <w:rPr>
          <w:rFonts w:ascii="Times New Roman" w:hAnsi="Times New Roman" w:cs="Times New Roman"/>
          <w:sz w:val="28"/>
          <w:szCs w:val="28"/>
          <w:lang w:val="kk-KZ"/>
        </w:rPr>
        <w:t xml:space="preserve"> [3</w:t>
      </w:r>
      <w:r w:rsidR="00317258" w:rsidRPr="00317258">
        <w:rPr>
          <w:rFonts w:ascii="Times New Roman" w:hAnsi="Times New Roman" w:cs="Times New Roman"/>
          <w:sz w:val="28"/>
          <w:szCs w:val="28"/>
          <w:lang w:val="kk-KZ"/>
        </w:rPr>
        <w:t>5</w:t>
      </w:r>
      <w:r w:rsidR="004D5D51" w:rsidRPr="004D5D51">
        <w:rPr>
          <w:rFonts w:ascii="Times New Roman" w:hAnsi="Times New Roman" w:cs="Times New Roman"/>
          <w:sz w:val="28"/>
          <w:szCs w:val="28"/>
          <w:lang w:val="kk-KZ"/>
        </w:rPr>
        <w:t>, p. 108]</w:t>
      </w:r>
      <w:r w:rsidRPr="00457CE9">
        <w:rPr>
          <w:rFonts w:ascii="Times New Roman" w:hAnsi="Times New Roman" w:cs="Times New Roman"/>
          <w:sz w:val="28"/>
          <w:szCs w:val="28"/>
          <w:lang w:val="kk-KZ"/>
        </w:rPr>
        <w:t>. Бөлімшелер арасындағы тығыз ынтымақтастық оларға ресурстарды пайдалануды жақсартуға мүмкіндік береді</w:t>
      </w:r>
      <w:r w:rsidR="0062056C" w:rsidRPr="00457CE9">
        <w:rPr>
          <w:rFonts w:ascii="Times New Roman" w:hAnsi="Times New Roman" w:cs="Times New Roman"/>
          <w:sz w:val="28"/>
          <w:szCs w:val="28"/>
          <w:lang w:val="kk-KZ"/>
        </w:rPr>
        <w:t xml:space="preserve"> деп ЖАО қорытынды берген</w:t>
      </w:r>
      <w:r w:rsidRPr="00457CE9">
        <w:rPr>
          <w:rFonts w:ascii="Times New Roman" w:hAnsi="Times New Roman" w:cs="Times New Roman"/>
          <w:sz w:val="28"/>
          <w:szCs w:val="28"/>
          <w:lang w:val="kk-KZ"/>
        </w:rPr>
        <w:t>.</w:t>
      </w:r>
    </w:p>
    <w:p w14:paraId="38E6661F" w14:textId="4803133D" w:rsidR="003615D0" w:rsidRPr="00457CE9" w:rsidRDefault="0062056C" w:rsidP="00944FBB">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Ұлыбритани</w:t>
      </w:r>
      <w:r w:rsidR="000D6D7B" w:rsidRPr="00457CE9">
        <w:rPr>
          <w:rFonts w:ascii="Times New Roman" w:hAnsi="Times New Roman" w:cs="Times New Roman"/>
          <w:sz w:val="28"/>
          <w:szCs w:val="28"/>
          <w:lang w:val="kk-KZ"/>
        </w:rPr>
        <w:t xml:space="preserve">яда </w:t>
      </w:r>
      <w:r w:rsidR="000A77A4" w:rsidRPr="00457CE9">
        <w:rPr>
          <w:rFonts w:ascii="Times New Roman" w:hAnsi="Times New Roman" w:cs="Times New Roman"/>
          <w:sz w:val="28"/>
          <w:szCs w:val="28"/>
          <w:lang w:val="kk-KZ"/>
        </w:rPr>
        <w:t xml:space="preserve">ауыл шаруашылығына бөлінген бюджет қаражатын бөлуді басқару </w:t>
      </w:r>
      <w:r w:rsidR="000D6D7B" w:rsidRPr="00457CE9">
        <w:rPr>
          <w:rFonts w:ascii="Times New Roman" w:hAnsi="Times New Roman" w:cs="Times New Roman"/>
          <w:sz w:val="28"/>
          <w:szCs w:val="28"/>
          <w:lang w:val="kk-KZ"/>
        </w:rPr>
        <w:t>с</w:t>
      </w:r>
      <w:r w:rsidRPr="00457CE9">
        <w:rPr>
          <w:rFonts w:ascii="Times New Roman" w:hAnsi="Times New Roman" w:cs="Times New Roman"/>
          <w:sz w:val="28"/>
          <w:szCs w:val="28"/>
          <w:lang w:val="kk-KZ"/>
        </w:rPr>
        <w:t>ызба</w:t>
      </w:r>
      <w:r w:rsidR="000A77A4" w:rsidRPr="00457CE9">
        <w:rPr>
          <w:rFonts w:ascii="Times New Roman" w:hAnsi="Times New Roman" w:cs="Times New Roman"/>
          <w:sz w:val="28"/>
          <w:szCs w:val="28"/>
          <w:lang w:val="kk-KZ"/>
        </w:rPr>
        <w:t>сы</w:t>
      </w:r>
      <w:r w:rsidR="000D6D7B" w:rsidRPr="00457CE9">
        <w:rPr>
          <w:rFonts w:ascii="Times New Roman" w:hAnsi="Times New Roman" w:cs="Times New Roman"/>
          <w:sz w:val="28"/>
          <w:szCs w:val="28"/>
          <w:lang w:val="kk-KZ"/>
        </w:rPr>
        <w:t xml:space="preserve">ның күрделілігі мен әкімшілік талаптары жыл сайын өсті. Мемлекеттік бақылау өңірлік бөлімшелер арасындағы айырмашылықтың себептерін зерделеуді ұсынды, өйткені, мысалы, шағымдардың мөлшері, саны және күрделілігі өңірлік бөлімшелер арасындағы барлық айырмашылықтарды түсіндірмейді. Мысалы, тексеру есебінен үнемделген шығындар мен сомалар туралы толығырақ ақпарат тиімділікті басқару мен бақылаудың тиімділігін арттыруы мүмкін. Министрлік </w:t>
      </w:r>
      <w:r w:rsidRPr="00457CE9">
        <w:rPr>
          <w:rFonts w:ascii="Times New Roman" w:hAnsi="Times New Roman" w:cs="Times New Roman"/>
          <w:sz w:val="28"/>
          <w:szCs w:val="28"/>
          <w:lang w:val="kk-KZ"/>
        </w:rPr>
        <w:t xml:space="preserve">Ұлыбританияда осы сызбаны әкімшілендіру шығындары фермерлерге төлемдер құнының бір пайызын ғана құрағанына қарамастан </w:t>
      </w:r>
      <w:r w:rsidR="000D6D7B" w:rsidRPr="00457CE9">
        <w:rPr>
          <w:rFonts w:ascii="Times New Roman" w:hAnsi="Times New Roman" w:cs="Times New Roman"/>
          <w:sz w:val="28"/>
          <w:szCs w:val="28"/>
          <w:lang w:val="kk-KZ"/>
        </w:rPr>
        <w:t>бұл мәсе</w:t>
      </w:r>
      <w:r w:rsidRPr="00457CE9">
        <w:rPr>
          <w:rFonts w:ascii="Times New Roman" w:hAnsi="Times New Roman" w:cs="Times New Roman"/>
          <w:sz w:val="28"/>
          <w:szCs w:val="28"/>
          <w:lang w:val="kk-KZ"/>
        </w:rPr>
        <w:t>лелерді зерттеуді ұсынды</w:t>
      </w:r>
      <w:r w:rsidR="000D6D7B" w:rsidRPr="00457CE9">
        <w:rPr>
          <w:rFonts w:ascii="Times New Roman" w:hAnsi="Times New Roman" w:cs="Times New Roman"/>
          <w:sz w:val="28"/>
          <w:szCs w:val="28"/>
          <w:lang w:val="kk-KZ"/>
        </w:rPr>
        <w:t>.</w:t>
      </w:r>
      <w:r w:rsidR="003615D0" w:rsidRPr="00457CE9">
        <w:rPr>
          <w:rFonts w:ascii="Times New Roman" w:hAnsi="Times New Roman" w:cs="Times New Roman"/>
          <w:sz w:val="28"/>
          <w:szCs w:val="28"/>
          <w:lang w:val="kk-KZ"/>
        </w:rPr>
        <w:t xml:space="preserve"> Сызба әр ел үшін бірдей және әкімшілік тетіктер өте ұқсас. Өңірлік бөлімшелердің саны мен мөлшерлерінде, сондай-ақ негізгі немесе оңайлатылған сызбалар бойынша өтінімдер санында айырмашылықтар бар; бұдан басқа, әкімшілік қызмет көрсетуге жұмсалатын шығындар мен уақыт туралы басқарушылық ақпараттың болуына қатысты шектеулер бар. Сонымен қатар, салыстыру жұмыстың тиімділігін бағалау мақсатында ұлттық әкімшіліктердің неғұрлым толық ақпарат жинау қажеттігі сияқты мәселелер бойынша ұлттық баяндамалардың қорытындыларын бекітті.</w:t>
      </w:r>
      <w:r w:rsidR="00944FBB">
        <w:rPr>
          <w:rFonts w:ascii="Times New Roman" w:hAnsi="Times New Roman" w:cs="Times New Roman"/>
          <w:sz w:val="28"/>
          <w:szCs w:val="28"/>
          <w:lang w:val="kk-KZ"/>
        </w:rPr>
        <w:t xml:space="preserve"> </w:t>
      </w:r>
      <w:r w:rsidR="003615D0" w:rsidRPr="00457CE9">
        <w:rPr>
          <w:rFonts w:ascii="Times New Roman" w:hAnsi="Times New Roman" w:cs="Times New Roman"/>
          <w:sz w:val="28"/>
          <w:szCs w:val="28"/>
          <w:lang w:val="kk-KZ"/>
        </w:rPr>
        <w:t>Бұл іс-шара әр түрлі ұлттық әкімшіліктердің ауыл шаруашылығы саясатының жалпы с</w:t>
      </w:r>
      <w:r w:rsidR="0095499C" w:rsidRPr="00457CE9">
        <w:rPr>
          <w:rFonts w:ascii="Times New Roman" w:hAnsi="Times New Roman" w:cs="Times New Roman"/>
          <w:sz w:val="28"/>
          <w:szCs w:val="28"/>
          <w:lang w:val="kk-KZ"/>
        </w:rPr>
        <w:t>ызб</w:t>
      </w:r>
      <w:r w:rsidR="003615D0" w:rsidRPr="00457CE9">
        <w:rPr>
          <w:rFonts w:ascii="Times New Roman" w:hAnsi="Times New Roman" w:cs="Times New Roman"/>
          <w:sz w:val="28"/>
          <w:szCs w:val="28"/>
          <w:lang w:val="kk-KZ"/>
        </w:rPr>
        <w:t>асын жүзеге асыру жөніндегі жұмысын бірлесіп зерттеу ісінде тексеру басқармаларымен жасалған қадам болып табылады. Бұл фермерлердің наразылықтарын тексеруге байланысты әкімшілік шығындар мен күш-жігердің негізінде жатқан факторларды, сондай-ақ с</w:t>
      </w:r>
      <w:r w:rsidR="0095499C" w:rsidRPr="00457CE9">
        <w:rPr>
          <w:rFonts w:ascii="Times New Roman" w:hAnsi="Times New Roman" w:cs="Times New Roman"/>
          <w:sz w:val="28"/>
          <w:szCs w:val="28"/>
          <w:lang w:val="kk-KZ"/>
        </w:rPr>
        <w:t>ызб</w:t>
      </w:r>
      <w:r w:rsidR="003615D0" w:rsidRPr="00457CE9">
        <w:rPr>
          <w:rFonts w:ascii="Times New Roman" w:hAnsi="Times New Roman" w:cs="Times New Roman"/>
          <w:sz w:val="28"/>
          <w:szCs w:val="28"/>
          <w:lang w:val="kk-KZ"/>
        </w:rPr>
        <w:t>аға бақылау жасалатын қаталдықты түсіндіруге көмектесті. Сондықтан ол ауыл шаруашылығы саясатының жалпы с</w:t>
      </w:r>
      <w:r w:rsidR="0095499C" w:rsidRPr="00457CE9">
        <w:rPr>
          <w:rFonts w:ascii="Times New Roman" w:hAnsi="Times New Roman" w:cs="Times New Roman"/>
          <w:sz w:val="28"/>
          <w:szCs w:val="28"/>
          <w:lang w:val="kk-KZ"/>
        </w:rPr>
        <w:t>ызб</w:t>
      </w:r>
      <w:r w:rsidR="003615D0" w:rsidRPr="00457CE9">
        <w:rPr>
          <w:rFonts w:ascii="Times New Roman" w:hAnsi="Times New Roman" w:cs="Times New Roman"/>
          <w:sz w:val="28"/>
          <w:szCs w:val="28"/>
          <w:lang w:val="kk-KZ"/>
        </w:rPr>
        <w:t>алары жүзеге асырылатын тиімділікті арттыруға ұмтылыста пайдалы болады</w:t>
      </w:r>
      <w:r w:rsidR="004D5D51" w:rsidRPr="004D5D51">
        <w:rPr>
          <w:rFonts w:ascii="Times New Roman" w:hAnsi="Times New Roman" w:cs="Times New Roman"/>
          <w:sz w:val="28"/>
          <w:szCs w:val="28"/>
          <w:lang w:val="kk-KZ"/>
        </w:rPr>
        <w:t xml:space="preserve"> [6</w:t>
      </w:r>
      <w:r w:rsidR="00317258" w:rsidRPr="00317258">
        <w:rPr>
          <w:rFonts w:ascii="Times New Roman" w:hAnsi="Times New Roman" w:cs="Times New Roman"/>
          <w:sz w:val="28"/>
          <w:szCs w:val="28"/>
          <w:lang w:val="kk-KZ"/>
        </w:rPr>
        <w:t>4</w:t>
      </w:r>
      <w:r w:rsidR="004D5D51" w:rsidRPr="004D5D51">
        <w:rPr>
          <w:rFonts w:ascii="Times New Roman" w:hAnsi="Times New Roman" w:cs="Times New Roman"/>
          <w:sz w:val="28"/>
          <w:szCs w:val="28"/>
          <w:lang w:val="kk-KZ"/>
        </w:rPr>
        <w:t>, p. 85]</w:t>
      </w:r>
      <w:r w:rsidR="003615D0" w:rsidRPr="00457CE9">
        <w:rPr>
          <w:rFonts w:ascii="Times New Roman" w:hAnsi="Times New Roman" w:cs="Times New Roman"/>
          <w:sz w:val="28"/>
          <w:szCs w:val="28"/>
          <w:lang w:val="kk-KZ"/>
        </w:rPr>
        <w:t>.</w:t>
      </w:r>
    </w:p>
    <w:p w14:paraId="79E87472" w14:textId="2EEDB5D6" w:rsidR="00300FB1" w:rsidRPr="00457CE9" w:rsidRDefault="00300FB1"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Еуропалық Есеп Палатасы (ЕЕП) аудиторлық топтар, секторлар мен бөлімшелер түрінде ұйымдастырылған. Тексеру топтары бірнеше сектордан тұрады, олардың әрқайсысын сот мүшесі басқарады. Әрбір сектордың бөлімше басшыларының басшылығымен бір немесе екі бөлімшесі бар. Директор бөлімшелердің жұмысын үйлестіреді, топтық кездесулерді ұйымдастырады және жұмыс пен есептердің сапасын бақылауға жауап береді.</w:t>
      </w:r>
      <w:r w:rsidR="00101559"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Есептер мен қорытындыларды аудиторлық топқа осы топқа жауапты мүше ұсынады. Топтар баяндамалар мен пікірлерді қабылдайды және оларды соттың, яғни барлық мүшелердің қабылдауына дайындайды. Осылайша, соттың әрбір мүшесі сот шығарған кез келген баяндаманы немесе қорытындыны қабылдаған </w:t>
      </w:r>
      <w:r w:rsidR="00101559" w:rsidRPr="00457CE9">
        <w:rPr>
          <w:rFonts w:ascii="Times New Roman" w:hAnsi="Times New Roman" w:cs="Times New Roman"/>
          <w:sz w:val="28"/>
          <w:szCs w:val="28"/>
          <w:lang w:val="kk-KZ"/>
        </w:rPr>
        <w:t>т</w:t>
      </w:r>
      <w:r w:rsidRPr="00457CE9">
        <w:rPr>
          <w:rFonts w:ascii="Times New Roman" w:hAnsi="Times New Roman" w:cs="Times New Roman"/>
          <w:sz w:val="28"/>
          <w:szCs w:val="28"/>
          <w:lang w:val="kk-KZ"/>
        </w:rPr>
        <w:t>арап болып табылады</w:t>
      </w:r>
      <w:r w:rsidR="00745535" w:rsidRPr="00457CE9">
        <w:rPr>
          <w:rFonts w:ascii="Times New Roman" w:hAnsi="Times New Roman" w:cs="Times New Roman"/>
          <w:sz w:val="28"/>
          <w:szCs w:val="28"/>
          <w:lang w:val="kk-KZ"/>
        </w:rPr>
        <w:t xml:space="preserve"> [</w:t>
      </w:r>
      <w:r w:rsidR="00F55EB3" w:rsidRPr="00457CE9">
        <w:rPr>
          <w:rFonts w:ascii="Times New Roman" w:hAnsi="Times New Roman" w:cs="Times New Roman"/>
          <w:sz w:val="28"/>
          <w:szCs w:val="28"/>
          <w:lang w:val="kk-KZ"/>
        </w:rPr>
        <w:t>6</w:t>
      </w:r>
      <w:r w:rsidR="00317258" w:rsidRPr="00317258">
        <w:rPr>
          <w:rFonts w:ascii="Times New Roman" w:hAnsi="Times New Roman" w:cs="Times New Roman"/>
          <w:sz w:val="28"/>
          <w:szCs w:val="28"/>
          <w:lang w:val="kk-KZ"/>
        </w:rPr>
        <w:t>4</w:t>
      </w:r>
      <w:r w:rsidR="004D5D51" w:rsidRPr="004D5D51">
        <w:rPr>
          <w:rFonts w:ascii="Times New Roman" w:hAnsi="Times New Roman" w:cs="Times New Roman"/>
          <w:sz w:val="28"/>
          <w:szCs w:val="28"/>
          <w:lang w:val="kk-KZ"/>
        </w:rPr>
        <w:t xml:space="preserve">, p. </w:t>
      </w:r>
      <w:r w:rsidR="00525ED4" w:rsidRPr="00525ED4">
        <w:rPr>
          <w:rFonts w:ascii="Times New Roman" w:hAnsi="Times New Roman" w:cs="Times New Roman"/>
          <w:sz w:val="28"/>
          <w:szCs w:val="28"/>
          <w:lang w:val="kk-KZ"/>
        </w:rPr>
        <w:t>17</w:t>
      </w:r>
      <w:r w:rsidR="00745535"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r w:rsidR="00101559" w:rsidRPr="00457CE9">
        <w:rPr>
          <w:rFonts w:ascii="Times New Roman" w:hAnsi="Times New Roman" w:cs="Times New Roman"/>
          <w:sz w:val="28"/>
          <w:szCs w:val="28"/>
          <w:lang w:val="kk-KZ"/>
        </w:rPr>
        <w:t xml:space="preserve"> </w:t>
      </w:r>
    </w:p>
    <w:p w14:paraId="0F7973D4" w14:textId="78068C66" w:rsidR="000A77A4" w:rsidRPr="00457CE9" w:rsidRDefault="000A77A4" w:rsidP="00252E88">
      <w:pPr>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Еуропалық есеп палатасы еуро саясаты мен бағдарламалардың тиімділігі, әрекеттілігі және үнемділі</w:t>
      </w:r>
      <w:r w:rsidR="00205DE6" w:rsidRPr="00457CE9">
        <w:rPr>
          <w:rFonts w:ascii="Times New Roman" w:hAnsi="Times New Roman" w:cs="Times New Roman"/>
          <w:sz w:val="28"/>
          <w:szCs w:val="28"/>
          <w:lang w:val="kk-KZ"/>
        </w:rPr>
        <w:t>гі</w:t>
      </w:r>
      <w:r w:rsidRPr="00457CE9">
        <w:rPr>
          <w:rFonts w:ascii="Times New Roman" w:hAnsi="Times New Roman" w:cs="Times New Roman"/>
          <w:sz w:val="28"/>
          <w:szCs w:val="28"/>
          <w:lang w:val="kk-KZ"/>
        </w:rPr>
        <w:t xml:space="preserve"> </w:t>
      </w:r>
      <w:r w:rsidR="00205DE6" w:rsidRPr="00457CE9">
        <w:rPr>
          <w:rFonts w:ascii="Times New Roman" w:hAnsi="Times New Roman" w:cs="Times New Roman"/>
          <w:sz w:val="28"/>
          <w:szCs w:val="28"/>
          <w:lang w:val="kk-KZ"/>
        </w:rPr>
        <w:t>деп аталатын</w:t>
      </w:r>
      <w:r w:rsidRPr="00457CE9">
        <w:rPr>
          <w:rFonts w:ascii="Times New Roman" w:hAnsi="Times New Roman" w:cs="Times New Roman"/>
          <w:sz w:val="28"/>
          <w:szCs w:val="28"/>
          <w:lang w:val="kk-KZ"/>
        </w:rPr>
        <w:t xml:space="preserve"> аудит</w:t>
      </w:r>
      <w:r w:rsidR="00205DE6" w:rsidRPr="00457CE9">
        <w:rPr>
          <w:rFonts w:ascii="Times New Roman" w:hAnsi="Times New Roman" w:cs="Times New Roman"/>
          <w:sz w:val="28"/>
          <w:szCs w:val="28"/>
          <w:lang w:val="kk-KZ"/>
        </w:rPr>
        <w:t>тер</w:t>
      </w:r>
      <w:r w:rsidRPr="00457CE9">
        <w:rPr>
          <w:rFonts w:ascii="Times New Roman" w:hAnsi="Times New Roman" w:cs="Times New Roman"/>
          <w:sz w:val="28"/>
          <w:szCs w:val="28"/>
          <w:lang w:val="kk-KZ"/>
        </w:rPr>
        <w:t xml:space="preserve">ін жүргізеді. Бұл </w:t>
      </w:r>
      <w:r w:rsidR="00205DE6" w:rsidRPr="00457CE9">
        <w:rPr>
          <w:rFonts w:ascii="Times New Roman" w:hAnsi="Times New Roman" w:cs="Times New Roman"/>
          <w:sz w:val="28"/>
          <w:szCs w:val="28"/>
          <w:lang w:val="kk-KZ"/>
        </w:rPr>
        <w:t xml:space="preserve">құндылық аудиттері нақты басқару немесе бюджеттік тақырыптарға бағытталған. Олар қоғамдық қызығушылық, жақсарту әлеуеті, нашар жұмыс қаупі немесе бұзылу қаупі сияқты критерийлер негізінде таңдалады. </w:t>
      </w:r>
    </w:p>
    <w:p w14:paraId="683D1AEB" w14:textId="77991309" w:rsidR="00146D67" w:rsidRPr="00457CE9" w:rsidRDefault="00300FB1" w:rsidP="00252E88">
      <w:pPr>
        <w:widowControl w:val="0"/>
        <w:tabs>
          <w:tab w:val="left" w:pos="993"/>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Ауыл шаруашылығы шығыстарын тексеру үш сектордан, екі бөліммен және бір ғана бір сектордан тұратын тексеру тобы шеңберінде шоғырланған. Бір бөлімше қаржылық аудитке маманданған, яғни ол есептілікті тексереді және шығыстардың және кірістердің белгілі бір түрлерінің заңдылығы мен тұрақтылығын тексереді. Екінші бөлім мониторингпен және ауыл шаруашылығы саласындағы бұзушылықтарға қарсы күреспен, сондай-ақ </w:t>
      </w:r>
      <w:r w:rsidR="00033EBF" w:rsidRPr="00457CE9">
        <w:rPr>
          <w:rFonts w:ascii="Times New Roman" w:hAnsi="Times New Roman" w:cs="Times New Roman"/>
          <w:sz w:val="28"/>
          <w:szCs w:val="28"/>
          <w:lang w:val="kk-KZ"/>
        </w:rPr>
        <w:t>м</w:t>
      </w:r>
      <w:r w:rsidRPr="00457CE9">
        <w:rPr>
          <w:rFonts w:ascii="Times New Roman" w:hAnsi="Times New Roman" w:cs="Times New Roman"/>
          <w:sz w:val="28"/>
          <w:szCs w:val="28"/>
          <w:lang w:val="kk-KZ"/>
        </w:rPr>
        <w:t>емлекеттік сақтау немесе экспорттық қайтару сияқты бірнеше көмек көрсету жүйелері үшін ортақ аспектілерді қамтитын кейбір трансшекаралық ревизиялармен айналысады. Басқа екі бөлімнің аудиторлық жұмысы, әдетте, ұтымды қаржылық басқару аспектілеріне шоғырланған. Жалпы нарықтың ірі ұйымдары, осылайша, бір бөлімшемен (жыртылған дақылдар, сиыр және бұзау және сүт өнімдері) қамтылған, ал екіншісі зәйтүн майы, темекі, қой, ешкі, шошқа және құс еті, шарап, жеміс және көкөніс, мақта және т. б. сияқты орта және шағын секторларда тексерумен айналысады. Бұл аудиторлық топта 66-ға жуық адам жұмыс істейді, бұл ECA аудиторлық мүмкіндіктерінің үштен бір бөлігіне сәйкес келеді.</w:t>
      </w:r>
      <w:r w:rsidR="00146D67" w:rsidRPr="00457CE9">
        <w:rPr>
          <w:rFonts w:ascii="Times New Roman" w:hAnsi="Times New Roman" w:cs="Times New Roman"/>
          <w:sz w:val="28"/>
          <w:szCs w:val="28"/>
          <w:lang w:val="kk-KZ"/>
        </w:rPr>
        <w:t xml:space="preserve"> </w:t>
      </w:r>
      <w:r w:rsidR="00B2268F" w:rsidRPr="00457CE9">
        <w:rPr>
          <w:rFonts w:ascii="Times New Roman" w:hAnsi="Times New Roman" w:cs="Times New Roman"/>
          <w:sz w:val="28"/>
          <w:szCs w:val="28"/>
          <w:lang w:val="kk-KZ"/>
        </w:rPr>
        <w:t>Экономикалық даму және ынтымақтастық ұйымына 37 дамыған мемлекет кіреді, ұйым</w:t>
      </w:r>
      <w:r w:rsidR="008B4F51">
        <w:rPr>
          <w:rFonts w:ascii="Times New Roman" w:hAnsi="Times New Roman" w:cs="Times New Roman"/>
          <w:sz w:val="28"/>
          <w:szCs w:val="28"/>
          <w:lang w:val="kk-KZ"/>
        </w:rPr>
        <w:t>да</w:t>
      </w:r>
      <w:r w:rsidR="00B2268F" w:rsidRPr="00457CE9">
        <w:rPr>
          <w:rFonts w:ascii="Times New Roman" w:hAnsi="Times New Roman" w:cs="Times New Roman"/>
          <w:sz w:val="28"/>
          <w:szCs w:val="28"/>
          <w:lang w:val="kk-KZ"/>
        </w:rPr>
        <w:t xml:space="preserve"> ауыл шаруашылығын мемлекеттік қолдауды бағалаудың әдістемесі бекітілген. </w:t>
      </w:r>
      <w:r w:rsidR="00B2268F" w:rsidRPr="00457CE9">
        <w:rPr>
          <w:rFonts w:ascii="Times New Roman" w:hAnsi="Times New Roman" w:cs="Times New Roman"/>
          <w:color w:val="000000"/>
          <w:sz w:val="28"/>
          <w:szCs w:val="28"/>
          <w:lang w:val="kk-KZ"/>
        </w:rPr>
        <w:t>Ауыл шаруашылығын қолдау мақсаты мен экономикалық салдарына қарамастан саланы қолдайтын мемлекеттік саясат нәтижесінде тұтынушылар мен салық төлеушілерден ауыл шаруашылығына жалпы трансферттердің жылдық ақшалай құны ретінде анықталады, яғни, секторды жиынтық қолдау үш элементтің қосындысын білдіреді: өндірушілерді қолдау, аграрлық секторға көрсетілетін жалпы қызметтерді қолдау, тұтынушыларға субсидиялар</w:t>
      </w:r>
      <w:r w:rsidR="00146D67" w:rsidRPr="00457CE9">
        <w:rPr>
          <w:rFonts w:ascii="Times New Roman" w:hAnsi="Times New Roman" w:cs="Times New Roman"/>
          <w:color w:val="000000"/>
          <w:sz w:val="28"/>
          <w:szCs w:val="28"/>
          <w:lang w:val="kk-KZ"/>
        </w:rPr>
        <w:t xml:space="preserve">. </w:t>
      </w:r>
      <w:r w:rsidR="00B2268F" w:rsidRPr="00457CE9">
        <w:rPr>
          <w:rFonts w:ascii="Times New Roman" w:hAnsi="Times New Roman" w:cs="Times New Roman"/>
          <w:sz w:val="28"/>
          <w:szCs w:val="28"/>
          <w:lang w:val="kk-KZ"/>
        </w:rPr>
        <w:t xml:space="preserve">Шетелдерде агроөнеркәсіп кешенін қолдау әр түрлі, дегенмен </w:t>
      </w:r>
      <w:r w:rsidR="001E2869">
        <w:rPr>
          <w:rFonts w:ascii="Times New Roman" w:hAnsi="Times New Roman" w:cs="Times New Roman"/>
          <w:sz w:val="28"/>
          <w:szCs w:val="28"/>
          <w:lang w:val="kk-KZ"/>
        </w:rPr>
        <w:t>азық-түлік</w:t>
      </w:r>
      <w:r w:rsidR="00B2268F" w:rsidRPr="00457CE9">
        <w:rPr>
          <w:rFonts w:ascii="Times New Roman" w:hAnsi="Times New Roman" w:cs="Times New Roman"/>
          <w:sz w:val="28"/>
          <w:szCs w:val="28"/>
          <w:lang w:val="kk-KZ"/>
        </w:rPr>
        <w:t>тік қауіпсіздікті қамтамасыз ету мақсатында кез келген мемлекет бұл саланы қолдау үшін бюджет қаражарын шығындайды, яғни әр мемлекет ауыл шаруашылығын дамыту үшін жағдай жасайды</w:t>
      </w:r>
      <w:r w:rsidR="00525ED4" w:rsidRPr="00525ED4">
        <w:rPr>
          <w:rFonts w:ascii="Times New Roman" w:hAnsi="Times New Roman" w:cs="Times New Roman"/>
          <w:sz w:val="28"/>
          <w:szCs w:val="28"/>
          <w:lang w:val="kk-KZ"/>
        </w:rPr>
        <w:t xml:space="preserve"> </w:t>
      </w:r>
      <w:r w:rsidR="00146D67" w:rsidRPr="00457CE9">
        <w:rPr>
          <w:rFonts w:ascii="Times New Roman" w:hAnsi="Times New Roman" w:cs="Times New Roman"/>
          <w:color w:val="000000"/>
          <w:sz w:val="28"/>
          <w:szCs w:val="28"/>
          <w:lang w:val="kk-KZ"/>
        </w:rPr>
        <w:t>[</w:t>
      </w:r>
      <w:r w:rsidR="00525ED4" w:rsidRPr="00525ED4">
        <w:rPr>
          <w:rFonts w:ascii="Times New Roman" w:hAnsi="Times New Roman" w:cs="Times New Roman"/>
          <w:color w:val="000000"/>
          <w:sz w:val="28"/>
          <w:szCs w:val="28"/>
          <w:lang w:val="kk-KZ"/>
        </w:rPr>
        <w:t>6</w:t>
      </w:r>
      <w:r w:rsidR="00317258" w:rsidRPr="00317258">
        <w:rPr>
          <w:rFonts w:ascii="Times New Roman" w:hAnsi="Times New Roman" w:cs="Times New Roman"/>
          <w:color w:val="000000"/>
          <w:sz w:val="28"/>
          <w:szCs w:val="28"/>
          <w:lang w:val="kk-KZ"/>
        </w:rPr>
        <w:t>4</w:t>
      </w:r>
      <w:r w:rsidR="00525ED4" w:rsidRPr="00525ED4">
        <w:rPr>
          <w:rFonts w:ascii="Times New Roman" w:hAnsi="Times New Roman" w:cs="Times New Roman"/>
          <w:color w:val="000000"/>
          <w:sz w:val="28"/>
          <w:szCs w:val="28"/>
          <w:lang w:val="kk-KZ"/>
        </w:rPr>
        <w:t>, p. 18</w:t>
      </w:r>
      <w:r w:rsidR="00146D67" w:rsidRPr="00457CE9">
        <w:rPr>
          <w:rFonts w:ascii="Times New Roman" w:hAnsi="Times New Roman" w:cs="Times New Roman"/>
          <w:color w:val="000000"/>
          <w:sz w:val="28"/>
          <w:szCs w:val="28"/>
          <w:lang w:val="kk-KZ"/>
        </w:rPr>
        <w:t>].</w:t>
      </w:r>
    </w:p>
    <w:p w14:paraId="632EB663" w14:textId="2920E3EE" w:rsidR="008C137A" w:rsidRDefault="00B2268F" w:rsidP="00252E88">
      <w:pPr>
        <w:widowControl w:val="0"/>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sz w:val="28"/>
          <w:szCs w:val="28"/>
          <w:lang w:val="kk-KZ"/>
        </w:rPr>
        <w:t>Ресей Федерациясы әлемде ең үлкен жер алқаптарына ие және табиғи жағдайлары әр аймақта әр түрлі. Ресей Федерациясында ауыл шаруашылығын дамытудың 2018-2025 жж. мемлекеттік бағдарламасы әрекет етуде</w:t>
      </w:r>
      <w:r w:rsidR="00745535" w:rsidRPr="00457CE9">
        <w:rPr>
          <w:rFonts w:ascii="Times New Roman" w:hAnsi="Times New Roman" w:cs="Times New Roman"/>
          <w:sz w:val="28"/>
          <w:szCs w:val="28"/>
          <w:lang w:val="kk-KZ"/>
        </w:rPr>
        <w:t xml:space="preserve"> [</w:t>
      </w:r>
      <w:r w:rsidR="00317258" w:rsidRPr="00317258">
        <w:rPr>
          <w:rFonts w:ascii="Times New Roman" w:hAnsi="Times New Roman" w:cs="Times New Roman"/>
          <w:sz w:val="28"/>
          <w:szCs w:val="28"/>
          <w:lang w:val="kk-KZ"/>
        </w:rPr>
        <w:t>70</w:t>
      </w:r>
      <w:r w:rsidR="00745535"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Бағдарламаның негізгі мақсаты импортты алмастыру негізінде </w:t>
      </w:r>
      <w:r w:rsidR="001E2869">
        <w:rPr>
          <w:rFonts w:ascii="Times New Roman" w:hAnsi="Times New Roman" w:cs="Times New Roman"/>
          <w:sz w:val="28"/>
          <w:szCs w:val="28"/>
          <w:lang w:val="kk-KZ"/>
        </w:rPr>
        <w:t>азық-түлік</w:t>
      </w:r>
      <w:r w:rsidRPr="00457CE9">
        <w:rPr>
          <w:rFonts w:ascii="Times New Roman" w:hAnsi="Times New Roman" w:cs="Times New Roman"/>
          <w:sz w:val="28"/>
          <w:szCs w:val="28"/>
          <w:lang w:val="kk-KZ"/>
        </w:rPr>
        <w:t>тік қауіпсіздікті қамтамасыз ету болып табылады. Бағдарламада отбасылық фермерлік және ауылдық ынтымақтастыққа көп көңіл бөлінеді. Ресей Федерациясында ауыл шаруашылығын мемлекеттік қолдаудың көптеген түрлері қолданылады, несиелер пайыздарын субсидиялау, сақтандыруды субсидиялау, ішкі бағаларды реттеу, несиелік жеңілдікте</w:t>
      </w:r>
      <w:r w:rsidR="008C137A">
        <w:rPr>
          <w:rFonts w:ascii="Times New Roman" w:hAnsi="Times New Roman" w:cs="Times New Roman"/>
          <w:sz w:val="28"/>
          <w:szCs w:val="28"/>
          <w:lang w:val="kk-KZ"/>
        </w:rPr>
        <w:t>р</w:t>
      </w:r>
      <w:r w:rsidRPr="00457CE9">
        <w:rPr>
          <w:rFonts w:ascii="Times New Roman" w:hAnsi="Times New Roman" w:cs="Times New Roman"/>
          <w:sz w:val="28"/>
          <w:szCs w:val="28"/>
          <w:lang w:val="kk-KZ"/>
        </w:rPr>
        <w:t>, салықтық преференциялар. Ресей Федерациясында агроөнеркәсіп кешенін дамытуға бағытталған бюджет қаражат</w:t>
      </w:r>
      <w:r w:rsidR="008C137A">
        <w:rPr>
          <w:rFonts w:ascii="Times New Roman" w:hAnsi="Times New Roman" w:cs="Times New Roman"/>
          <w:sz w:val="28"/>
          <w:szCs w:val="28"/>
          <w:lang w:val="kk-KZ"/>
        </w:rPr>
        <w:t>ы</w:t>
      </w:r>
      <w:r w:rsidRPr="00457CE9">
        <w:rPr>
          <w:rFonts w:ascii="Times New Roman" w:hAnsi="Times New Roman" w:cs="Times New Roman"/>
          <w:sz w:val="28"/>
          <w:szCs w:val="28"/>
          <w:lang w:val="kk-KZ"/>
        </w:rPr>
        <w:t xml:space="preserve">ның тиімділік аудитін Есеп палатасымен </w:t>
      </w:r>
      <w:r w:rsidRPr="00457CE9">
        <w:rPr>
          <w:rFonts w:ascii="Times New Roman" w:hAnsi="Times New Roman" w:cs="Times New Roman"/>
          <w:color w:val="000000"/>
          <w:sz w:val="28"/>
          <w:szCs w:val="28"/>
          <w:lang w:val="kk-KZ"/>
        </w:rPr>
        <w:t xml:space="preserve">бақылау және сараптамалық-талдау шараларын кейінгі аудит нысаны </w:t>
      </w:r>
      <w:r w:rsidRPr="00525ED4">
        <w:rPr>
          <w:rFonts w:ascii="Times New Roman" w:hAnsi="Times New Roman" w:cs="Times New Roman"/>
          <w:sz w:val="28"/>
          <w:szCs w:val="28"/>
          <w:lang w:val="kk-KZ"/>
        </w:rPr>
        <w:t xml:space="preserve">түрінде 104 </w:t>
      </w:r>
      <w:r w:rsidR="003C56BE" w:rsidRPr="00525ED4">
        <w:rPr>
          <w:rFonts w:ascii="Times New Roman" w:hAnsi="Times New Roman" w:cs="Times New Roman"/>
          <w:sz w:val="28"/>
          <w:szCs w:val="28"/>
          <w:lang w:val="kk-KZ"/>
        </w:rPr>
        <w:t>«</w:t>
      </w:r>
      <w:r w:rsidRPr="00525ED4">
        <w:rPr>
          <w:rFonts w:ascii="Times New Roman" w:hAnsi="Times New Roman" w:cs="Times New Roman"/>
          <w:sz w:val="28"/>
          <w:szCs w:val="28"/>
          <w:lang w:val="kk-KZ"/>
        </w:rPr>
        <w:t>Тиімділік аудиті</w:t>
      </w:r>
      <w:r w:rsidR="003C56BE" w:rsidRPr="00525ED4">
        <w:rPr>
          <w:rFonts w:ascii="Times New Roman" w:hAnsi="Times New Roman" w:cs="Times New Roman"/>
          <w:sz w:val="28"/>
          <w:szCs w:val="28"/>
          <w:lang w:val="kk-KZ"/>
        </w:rPr>
        <w:t>»</w:t>
      </w:r>
      <w:r w:rsidRPr="00525ED4">
        <w:rPr>
          <w:rFonts w:ascii="Times New Roman" w:hAnsi="Times New Roman" w:cs="Times New Roman"/>
          <w:sz w:val="28"/>
          <w:szCs w:val="28"/>
          <w:lang w:val="kk-KZ"/>
        </w:rPr>
        <w:t xml:space="preserve"> сыртқы мемлекеттік аудиті стандарты негізінде қолдану ерекшелігін ескере отырып нәтижеге-бағдарланған, жүйелік-бағдарланған </w:t>
      </w:r>
      <w:r w:rsidRPr="00457CE9">
        <w:rPr>
          <w:rFonts w:ascii="Times New Roman" w:hAnsi="Times New Roman" w:cs="Times New Roman"/>
          <w:color w:val="000000"/>
          <w:sz w:val="28"/>
          <w:szCs w:val="28"/>
          <w:lang w:val="kk-KZ"/>
        </w:rPr>
        <w:t>және проблемалық-бағдарланған тәсілдердің үш түрі бойынша жүргізеді</w:t>
      </w:r>
      <w:r w:rsidR="00676E3D" w:rsidRPr="00457CE9">
        <w:rPr>
          <w:rFonts w:ascii="Times New Roman" w:hAnsi="Times New Roman" w:cs="Times New Roman"/>
          <w:color w:val="000000"/>
          <w:sz w:val="28"/>
          <w:szCs w:val="28"/>
          <w:lang w:val="kk-KZ"/>
        </w:rPr>
        <w:t xml:space="preserve"> [</w:t>
      </w:r>
      <w:r w:rsidR="00E232BF">
        <w:rPr>
          <w:rFonts w:ascii="Times New Roman" w:hAnsi="Times New Roman" w:cs="Times New Roman"/>
          <w:color w:val="000000"/>
          <w:sz w:val="28"/>
          <w:szCs w:val="28"/>
          <w:lang w:val="kk-KZ"/>
        </w:rPr>
        <w:t>7</w:t>
      </w:r>
      <w:r w:rsidR="00317258" w:rsidRPr="00317258">
        <w:rPr>
          <w:rFonts w:ascii="Times New Roman" w:hAnsi="Times New Roman" w:cs="Times New Roman"/>
          <w:color w:val="000000"/>
          <w:sz w:val="28"/>
          <w:szCs w:val="28"/>
          <w:lang w:val="kk-KZ"/>
        </w:rPr>
        <w:t>1</w:t>
      </w:r>
      <w:r w:rsidR="00676E3D" w:rsidRPr="00457CE9">
        <w:rPr>
          <w:rFonts w:ascii="Times New Roman" w:hAnsi="Times New Roman" w:cs="Times New Roman"/>
          <w:color w:val="000000"/>
          <w:sz w:val="28"/>
          <w:szCs w:val="28"/>
          <w:lang w:val="kk-KZ"/>
        </w:rPr>
        <w:t>]</w:t>
      </w:r>
      <w:r w:rsidRPr="00457CE9">
        <w:rPr>
          <w:rFonts w:ascii="Times New Roman" w:hAnsi="Times New Roman" w:cs="Times New Roman"/>
          <w:color w:val="000000"/>
          <w:sz w:val="28"/>
          <w:szCs w:val="28"/>
          <w:lang w:val="kk-KZ"/>
        </w:rPr>
        <w:t>.</w:t>
      </w:r>
      <w:r w:rsidR="00617945" w:rsidRPr="00457CE9">
        <w:rPr>
          <w:rFonts w:ascii="Times New Roman" w:hAnsi="Times New Roman" w:cs="Times New Roman"/>
          <w:color w:val="000000"/>
          <w:sz w:val="28"/>
          <w:szCs w:val="28"/>
          <w:lang w:val="kk-KZ"/>
        </w:rPr>
        <w:t xml:space="preserve"> </w:t>
      </w:r>
    </w:p>
    <w:p w14:paraId="208134F8" w14:textId="77777777" w:rsidR="00B50D5C" w:rsidRDefault="00B2268F" w:rsidP="00252E88">
      <w:pPr>
        <w:widowControl w:val="0"/>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Тиімділік аудитінің нәтижеге-бағдарланған тәсілі кезінде объектінің нақты нәтижелері, яғни, федералды және басқада ресурстарды пайдалану тиімділігі көзқарасынан бағаланады.</w:t>
      </w:r>
      <w:r w:rsidR="00970F98" w:rsidRPr="00457CE9">
        <w:rPr>
          <w:rFonts w:ascii="Times New Roman" w:hAnsi="Times New Roman" w:cs="Times New Roman"/>
          <w:color w:val="000000"/>
          <w:sz w:val="28"/>
          <w:szCs w:val="28"/>
          <w:lang w:val="kk-KZ"/>
        </w:rPr>
        <w:t xml:space="preserve"> </w:t>
      </w:r>
    </w:p>
    <w:p w14:paraId="1A9B706B" w14:textId="77777777" w:rsidR="00B50D5C" w:rsidRDefault="00B2268F" w:rsidP="00252E88">
      <w:pPr>
        <w:widowControl w:val="0"/>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Тиімділік аудитінің жүйелік-бағдарланған тәсілі кезінде әр түрлі басқару жүйелерінің немесе тиісті жүйелер элементтерінің жұмыс істеуі осындай жүйелер жұмыс істеген кезде федералды ресурстарды пайдалану тиімділігі тұрғысынан бағаланады.</w:t>
      </w:r>
      <w:r w:rsidR="00FE49AB" w:rsidRPr="00457CE9">
        <w:rPr>
          <w:rFonts w:ascii="Times New Roman" w:hAnsi="Times New Roman" w:cs="Times New Roman"/>
          <w:color w:val="000000"/>
          <w:sz w:val="28"/>
          <w:szCs w:val="28"/>
          <w:lang w:val="kk-KZ"/>
        </w:rPr>
        <w:t xml:space="preserve"> </w:t>
      </w:r>
    </w:p>
    <w:p w14:paraId="2E847A8C" w14:textId="17D9D3B4" w:rsidR="00B2268F" w:rsidRPr="00457CE9" w:rsidRDefault="00B2268F" w:rsidP="00252E88">
      <w:pPr>
        <w:widowControl w:val="0"/>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sz w:val="28"/>
          <w:szCs w:val="28"/>
          <w:lang w:val="kk-KZ"/>
        </w:rPr>
        <w:t xml:space="preserve">Тиімділік аудитінің </w:t>
      </w:r>
      <w:r w:rsidRPr="00457CE9">
        <w:rPr>
          <w:rFonts w:ascii="Times New Roman" w:hAnsi="Times New Roman" w:cs="Times New Roman"/>
          <w:color w:val="000000"/>
          <w:sz w:val="28"/>
          <w:szCs w:val="28"/>
          <w:lang w:val="kk-KZ"/>
        </w:rPr>
        <w:t>проблемалық-бағдарланған тәсілмен федералды және басқа ресурстарды пайдалану тиімділігіне байланысты тиімділік аудитінің критерийлерінен ауытқу проблемаларының болуы талданады, олардың пайда болуының тиісті себептері анықталады, осы проблемалардың себептерін жоюға бағытталған ұсыныстар жасалады. Берілген әдістерге толықтырушы түрінде жүргізіледі</w:t>
      </w:r>
      <w:r w:rsidR="008C137A">
        <w:rPr>
          <w:rFonts w:ascii="Times New Roman" w:hAnsi="Times New Roman" w:cs="Times New Roman"/>
          <w:color w:val="000000"/>
          <w:sz w:val="28"/>
          <w:szCs w:val="28"/>
          <w:lang w:val="kk-KZ"/>
        </w:rPr>
        <w:t xml:space="preserve"> </w:t>
      </w:r>
      <w:r w:rsidR="008C137A" w:rsidRPr="008C137A">
        <w:rPr>
          <w:rFonts w:ascii="Times New Roman" w:hAnsi="Times New Roman" w:cs="Times New Roman"/>
          <w:color w:val="000000"/>
          <w:sz w:val="28"/>
          <w:szCs w:val="28"/>
          <w:lang w:val="kk-KZ"/>
        </w:rPr>
        <w:t>[71]</w:t>
      </w:r>
      <w:r w:rsidRPr="00457CE9">
        <w:rPr>
          <w:rFonts w:ascii="Times New Roman" w:hAnsi="Times New Roman" w:cs="Times New Roman"/>
          <w:color w:val="000000"/>
          <w:sz w:val="28"/>
          <w:szCs w:val="28"/>
          <w:lang w:val="kk-KZ"/>
        </w:rPr>
        <w:t>.</w:t>
      </w:r>
    </w:p>
    <w:p w14:paraId="51706734" w14:textId="3A1AC063" w:rsidR="00B2268F" w:rsidRPr="00457CE9" w:rsidRDefault="00B2268F" w:rsidP="00252E88">
      <w:pPr>
        <w:widowControl w:val="0"/>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Ресей Федерациясында агроөнеркәсіп кешенін дамытуға бағытталған бюджет қаражатының тиімділік аудитінің пәніне: АӨК дамытудың өзекті мәселелері, тікелей және қорытынды нәтижелерге жету үшін федералды және басқа ресурстарды пайдалану кезінде АӨК қызмет етуімен байланысты мемлекеттік басқару аясындағы сұрақтар, тікелей және қорытынды нәтижелерге жету үшін бюджет қаражатын пайдалану бойынша АӨК субъектілерінің қызметі жатады. АӨК дамытуға бағытталған бюджет қаражатының тиімділік аудитінің негізгі тапсырмалары келесідей деп анықталған</w:t>
      </w:r>
      <w:r w:rsidR="00217674" w:rsidRPr="00457CE9">
        <w:rPr>
          <w:rFonts w:ascii="Times New Roman" w:hAnsi="Times New Roman" w:cs="Times New Roman"/>
          <w:color w:val="000000"/>
          <w:sz w:val="28"/>
          <w:szCs w:val="28"/>
          <w:lang w:val="kk-KZ"/>
        </w:rPr>
        <w:t xml:space="preserve"> [</w:t>
      </w:r>
      <w:r w:rsidR="00525ED4">
        <w:rPr>
          <w:rFonts w:ascii="Times New Roman" w:hAnsi="Times New Roman" w:cs="Times New Roman"/>
          <w:color w:val="000000"/>
          <w:sz w:val="28"/>
          <w:szCs w:val="28"/>
          <w:lang w:val="kk-KZ"/>
        </w:rPr>
        <w:t>6</w:t>
      </w:r>
      <w:r w:rsidR="00317258" w:rsidRPr="00317258">
        <w:rPr>
          <w:rFonts w:ascii="Times New Roman" w:hAnsi="Times New Roman" w:cs="Times New Roman"/>
          <w:color w:val="000000"/>
          <w:sz w:val="28"/>
          <w:szCs w:val="28"/>
          <w:lang w:val="kk-KZ"/>
        </w:rPr>
        <w:t>9</w:t>
      </w:r>
      <w:r w:rsidR="00525ED4">
        <w:rPr>
          <w:rFonts w:ascii="Times New Roman" w:hAnsi="Times New Roman" w:cs="Times New Roman"/>
          <w:color w:val="000000"/>
          <w:sz w:val="28"/>
          <w:szCs w:val="28"/>
          <w:lang w:val="kk-KZ"/>
        </w:rPr>
        <w:t>, с. 30</w:t>
      </w:r>
      <w:r w:rsidR="00217674" w:rsidRPr="00457CE9">
        <w:rPr>
          <w:rFonts w:ascii="Times New Roman" w:hAnsi="Times New Roman" w:cs="Times New Roman"/>
          <w:color w:val="000000"/>
          <w:sz w:val="28"/>
          <w:szCs w:val="28"/>
          <w:lang w:val="kk-KZ"/>
        </w:rPr>
        <w:t>]</w:t>
      </w:r>
      <w:r w:rsidRPr="00457CE9">
        <w:rPr>
          <w:rFonts w:ascii="Times New Roman" w:hAnsi="Times New Roman" w:cs="Times New Roman"/>
          <w:color w:val="000000"/>
          <w:sz w:val="28"/>
          <w:szCs w:val="28"/>
          <w:lang w:val="kk-KZ"/>
        </w:rPr>
        <w:t>:</w:t>
      </w:r>
    </w:p>
    <w:p w14:paraId="603426CE"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федералды және басқа да ресурстарды пайдалану тиімділігін бағалауын жүргізу;</w:t>
      </w:r>
    </w:p>
    <w:p w14:paraId="4BC1A2C6"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оларды тиімсіз пайдалану себептерін анықтау;</w:t>
      </w:r>
    </w:p>
    <w:p w14:paraId="5E8E5C05"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анықталған кемшіліктер нәтижелері бойынша қорытындылар мен ұсыныстар құрау;</w:t>
      </w:r>
    </w:p>
    <w:p w14:paraId="166D20B5"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аудит (бақылау) объектілеріне және басқа да мүдделі органдар мен ұйымдарға федералды және басқа ресурстарды пайдалану тиімділігін арттыру бойынша талаптарды, ұсыныстарды дайындау және жіберу;</w:t>
      </w:r>
    </w:p>
    <w:p w14:paraId="738C8103"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федералдық және басқа да ресурстарды пайдалануды ұйымдастыру мен үрдістерін жетілдіру;</w:t>
      </w:r>
    </w:p>
    <w:p w14:paraId="703E584F" w14:textId="2095051E"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аудит объектілеріне басқа да мүдделі ұйымдарға тиімділік аудиті</w:t>
      </w:r>
      <w:r w:rsidR="00291A72" w:rsidRPr="00457CE9">
        <w:rPr>
          <w:rFonts w:ascii="Times New Roman" w:hAnsi="Times New Roman"/>
          <w:color w:val="000000"/>
          <w:sz w:val="28"/>
          <w:szCs w:val="28"/>
          <w:lang w:val="kk-KZ"/>
        </w:rPr>
        <w:t xml:space="preserve"> </w:t>
      </w:r>
      <w:r w:rsidRPr="00457CE9">
        <w:rPr>
          <w:rFonts w:ascii="Times New Roman" w:hAnsi="Times New Roman"/>
          <w:color w:val="000000"/>
          <w:sz w:val="28"/>
          <w:szCs w:val="28"/>
          <w:lang w:val="kk-KZ"/>
        </w:rPr>
        <w:t>нәтижесі туралы ақпарат беру.</w:t>
      </w:r>
    </w:p>
    <w:p w14:paraId="6E71F8E0" w14:textId="16611C7E" w:rsidR="00B2268F" w:rsidRPr="00457CE9" w:rsidRDefault="00B2268F" w:rsidP="00252E88">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Ресей Федерациясының АӨК дамытумен байланысты Есеп палатасымен жүргізілетін аудиторлық шаралар тақырыбы көптеген аспектілерді қамтиды. Тиімділік аудиті шегінде бақылау шараларының пәні ретінде АӨК реттейтін нормативті-құқықтық актілері, мемлекеттік бағдарламалар, атқарушы үкіметтің федералды органдары, ауыл шаруашылық субъ</w:t>
      </w:r>
      <w:r w:rsidR="008C137A">
        <w:rPr>
          <w:rFonts w:ascii="Times New Roman" w:hAnsi="Times New Roman" w:cs="Times New Roman"/>
          <w:sz w:val="28"/>
          <w:szCs w:val="28"/>
          <w:lang w:val="kk-KZ"/>
        </w:rPr>
        <w:t>е</w:t>
      </w:r>
      <w:r w:rsidRPr="00457CE9">
        <w:rPr>
          <w:rFonts w:ascii="Times New Roman" w:hAnsi="Times New Roman" w:cs="Times New Roman"/>
          <w:sz w:val="28"/>
          <w:szCs w:val="28"/>
          <w:lang w:val="kk-KZ"/>
        </w:rPr>
        <w:t>ктілері қызметінің ішкі нормативтік құжаттары, орталық мемлекеттік органдардың есептіліктері және тағы басқа құжаттар танылады.</w:t>
      </w:r>
      <w:r w:rsidR="00970F98"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Тиімділік аудиті кезінде әр сұрақ бойынша жауап алу үшін оның критерийлері анықталады. АӨК дамытуға бағытталған бюджет қаражатын пайдаланудың тиімділік аудитінің критерийлері аудит объектісі мен пәнін олардың модификациясын ескере отырып белгіленеді</w:t>
      </w:r>
      <w:r w:rsidR="00217674" w:rsidRPr="00457CE9">
        <w:rPr>
          <w:rFonts w:ascii="Times New Roman" w:hAnsi="Times New Roman" w:cs="Times New Roman"/>
          <w:sz w:val="28"/>
          <w:szCs w:val="28"/>
          <w:lang w:val="kk-KZ"/>
        </w:rPr>
        <w:t xml:space="preserve"> [</w:t>
      </w:r>
      <w:r w:rsidR="00525ED4">
        <w:rPr>
          <w:rFonts w:ascii="Times New Roman" w:hAnsi="Times New Roman" w:cs="Times New Roman"/>
          <w:sz w:val="28"/>
          <w:szCs w:val="28"/>
          <w:lang w:val="kk-KZ"/>
        </w:rPr>
        <w:t>6</w:t>
      </w:r>
      <w:r w:rsidR="00317258" w:rsidRPr="00317258">
        <w:rPr>
          <w:rFonts w:ascii="Times New Roman" w:hAnsi="Times New Roman" w:cs="Times New Roman"/>
          <w:sz w:val="28"/>
          <w:szCs w:val="28"/>
          <w:lang w:val="kk-KZ"/>
        </w:rPr>
        <w:t>9</w:t>
      </w:r>
      <w:r w:rsidR="00525ED4">
        <w:rPr>
          <w:rFonts w:ascii="Times New Roman" w:hAnsi="Times New Roman" w:cs="Times New Roman"/>
          <w:sz w:val="28"/>
          <w:szCs w:val="28"/>
          <w:lang w:val="kk-KZ"/>
        </w:rPr>
        <w:t>, с. 33</w:t>
      </w:r>
      <w:r w:rsidR="00217674"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25659E6A"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АӨК дамытудың мемлекеттік бағдарламалары шеңберінде көзделген жоспарланған нәтижелері;</w:t>
      </w:r>
    </w:p>
    <w:p w14:paraId="467B17DB" w14:textId="7777777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АӨК дамытудың мемлекеттік бағдарламалары шегінде жоспарланған көрсеткіштер;</w:t>
      </w:r>
    </w:p>
    <w:p w14:paraId="7B4F141B" w14:textId="7E6D3347"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 xml:space="preserve">пайдаланылған ресурстар есебінен </w:t>
      </w:r>
      <w:r w:rsidR="00575788">
        <w:rPr>
          <w:rFonts w:ascii="Times New Roman" w:hAnsi="Times New Roman"/>
          <w:color w:val="000000"/>
          <w:sz w:val="28"/>
          <w:szCs w:val="28"/>
          <w:lang w:val="kk-KZ"/>
        </w:rPr>
        <w:t>АӨК-н</w:t>
      </w:r>
      <w:r w:rsidRPr="00457CE9">
        <w:rPr>
          <w:rFonts w:ascii="Times New Roman" w:hAnsi="Times New Roman"/>
          <w:color w:val="000000"/>
          <w:sz w:val="28"/>
          <w:szCs w:val="28"/>
          <w:lang w:val="kk-KZ"/>
        </w:rPr>
        <w:t xml:space="preserve"> дамытуға байланысты мемлекеттік бағдарламалардың нәтижелілігін бағалау кезінде ең үздік сандық және сапалық нәтижелер;</w:t>
      </w:r>
    </w:p>
    <w:p w14:paraId="23C35110" w14:textId="072FC25E"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 xml:space="preserve">аз ресурсты пайдалану есебінен </w:t>
      </w:r>
      <w:r w:rsidR="00575788">
        <w:rPr>
          <w:rFonts w:ascii="Times New Roman" w:hAnsi="Times New Roman"/>
          <w:color w:val="000000"/>
          <w:sz w:val="28"/>
          <w:szCs w:val="28"/>
          <w:lang w:val="kk-KZ"/>
        </w:rPr>
        <w:t>АӨК-н</w:t>
      </w:r>
      <w:r w:rsidRPr="00457CE9">
        <w:rPr>
          <w:rFonts w:ascii="Times New Roman" w:hAnsi="Times New Roman"/>
          <w:color w:val="000000"/>
          <w:sz w:val="28"/>
          <w:szCs w:val="28"/>
          <w:lang w:val="kk-KZ"/>
        </w:rPr>
        <w:t xml:space="preserve"> дамытуға байланысты мемлекеттік бағдарламалардың үнемділігін бағалау кезінде алынған нәтижелер;</w:t>
      </w:r>
    </w:p>
    <w:p w14:paraId="17099307" w14:textId="1A222F38" w:rsidR="00B2268F" w:rsidRPr="00457CE9" w:rsidRDefault="00B2268F" w:rsidP="00592171">
      <w:pPr>
        <w:pStyle w:val="a5"/>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 xml:space="preserve">жоспарланған немесе жоспарланғаннан жақсы сандық және сапалық нәтижелерге қол жеткізу үшін қосымша ресурстар қажеттілігінің болмауы. </w:t>
      </w:r>
    </w:p>
    <w:p w14:paraId="3D13786B" w14:textId="2B8CF703" w:rsidR="00E232BF" w:rsidRDefault="001E64ED" w:rsidP="00E232BF">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Канадада АӨК көрсетілетін мемлекеттік қолдаудың тиімділік аудитін Office of the Auditor General, яғни, Канаданың бас аудиторының басқармасы «</w:t>
      </w:r>
      <w:r w:rsidRPr="00457CE9">
        <w:rPr>
          <w:rFonts w:ascii="Times New Roman" w:hAnsi="Times New Roman" w:cs="Times New Roman"/>
          <w:color w:val="000000"/>
          <w:sz w:val="28"/>
          <w:szCs w:val="28"/>
          <w:lang w:val="kk-KZ"/>
        </w:rPr>
        <w:t>Аудиттелетін тұлғаның тиімділік аудиті процесі жөніндегі басшылығы</w:t>
      </w:r>
      <w:r w:rsidRPr="00457CE9">
        <w:rPr>
          <w:rFonts w:ascii="Times New Roman" w:hAnsi="Times New Roman" w:cs="Times New Roman"/>
          <w:sz w:val="28"/>
          <w:szCs w:val="28"/>
          <w:lang w:val="kk-KZ"/>
        </w:rPr>
        <w:t>» және «</w:t>
      </w:r>
      <w:r w:rsidRPr="00457CE9">
        <w:rPr>
          <w:rFonts w:ascii="Times New Roman" w:hAnsi="Times New Roman" w:cs="Times New Roman"/>
          <w:color w:val="000000"/>
          <w:sz w:val="28"/>
          <w:szCs w:val="28"/>
          <w:lang w:val="kk-KZ"/>
        </w:rPr>
        <w:t>Аумақтардағы тиімділік аудитінің аудит үрдісі бойынша аудитордың басшылығы</w:t>
      </w:r>
      <w:r w:rsidRPr="00457CE9">
        <w:rPr>
          <w:rFonts w:ascii="Times New Roman" w:hAnsi="Times New Roman" w:cs="Times New Roman"/>
          <w:sz w:val="28"/>
          <w:szCs w:val="28"/>
          <w:lang w:val="kk-KZ"/>
        </w:rPr>
        <w:t xml:space="preserve">» негізінде жүргізеді. АӨК </w:t>
      </w:r>
      <w:r w:rsidRPr="00457CE9">
        <w:rPr>
          <w:rFonts w:ascii="Times New Roman" w:hAnsi="Times New Roman" w:cs="Times New Roman"/>
          <w:color w:val="000000"/>
          <w:sz w:val="28"/>
          <w:szCs w:val="28"/>
          <w:lang w:val="kk-KZ"/>
        </w:rPr>
        <w:t>қолдаудың тиімділік аудиті фермерлерге тікелей қаржылық көмек көрсететін мемлекеттік қолдау бағдарламаларын қамтиды, олардың арасында AgriStability, өндірісті сақтандыру, Онтарио тәуекелдерін басқару бағдарламасы, Agriinvest және стратегиялық бастамалардың шығындарын бөлу бағдарламасы, темекіге көшу бағдарламасы бар</w:t>
      </w:r>
      <w:r w:rsidR="00525ED4">
        <w:rPr>
          <w:rFonts w:ascii="Times New Roman" w:hAnsi="Times New Roman" w:cs="Times New Roman"/>
          <w:color w:val="000000"/>
          <w:sz w:val="28"/>
          <w:szCs w:val="28"/>
          <w:lang w:val="kk-KZ"/>
        </w:rPr>
        <w:t xml:space="preserve"> </w:t>
      </w:r>
      <w:r w:rsidR="00525ED4" w:rsidRPr="00525ED4">
        <w:rPr>
          <w:rFonts w:ascii="Times New Roman" w:hAnsi="Times New Roman" w:cs="Times New Roman"/>
          <w:color w:val="000000"/>
          <w:sz w:val="28"/>
          <w:szCs w:val="28"/>
          <w:lang w:val="kk-KZ"/>
        </w:rPr>
        <w:t>[6</w:t>
      </w:r>
      <w:r w:rsidR="00317258" w:rsidRPr="00317258">
        <w:rPr>
          <w:rFonts w:ascii="Times New Roman" w:hAnsi="Times New Roman" w:cs="Times New Roman"/>
          <w:color w:val="000000"/>
          <w:sz w:val="28"/>
          <w:szCs w:val="28"/>
          <w:lang w:val="kk-KZ"/>
        </w:rPr>
        <w:t>9</w:t>
      </w:r>
      <w:r w:rsidR="00525ED4" w:rsidRPr="00525ED4">
        <w:rPr>
          <w:rFonts w:ascii="Times New Roman" w:hAnsi="Times New Roman" w:cs="Times New Roman"/>
          <w:color w:val="000000"/>
          <w:sz w:val="28"/>
          <w:szCs w:val="28"/>
          <w:lang w:val="kk-KZ"/>
        </w:rPr>
        <w:t>, c. 43]</w:t>
      </w:r>
      <w:r w:rsidRPr="00457CE9">
        <w:rPr>
          <w:rFonts w:ascii="Times New Roman" w:hAnsi="Times New Roman" w:cs="Times New Roman"/>
          <w:color w:val="000000"/>
          <w:sz w:val="28"/>
          <w:szCs w:val="28"/>
          <w:lang w:val="kk-KZ"/>
        </w:rPr>
        <w:t xml:space="preserve">. </w:t>
      </w:r>
      <w:r w:rsidR="00E232BF">
        <w:rPr>
          <w:rFonts w:ascii="Times New Roman" w:hAnsi="Times New Roman" w:cs="Times New Roman"/>
          <w:sz w:val="28"/>
          <w:szCs w:val="28"/>
          <w:lang w:val="kk-KZ"/>
        </w:rPr>
        <w:t xml:space="preserve">Шетелдерде АӨК дамыту үшін бағытталған бюджет қаражатының тиімділік аудиті бойынша критерийлер </w:t>
      </w:r>
      <w:r w:rsidR="00023296">
        <w:rPr>
          <w:rFonts w:ascii="Times New Roman" w:hAnsi="Times New Roman" w:cs="Times New Roman"/>
          <w:sz w:val="28"/>
          <w:szCs w:val="28"/>
          <w:lang w:val="kk-KZ"/>
        </w:rPr>
        <w:t>7</w:t>
      </w:r>
      <w:r w:rsidR="00E232BF">
        <w:rPr>
          <w:rFonts w:ascii="Times New Roman" w:hAnsi="Times New Roman" w:cs="Times New Roman"/>
          <w:sz w:val="28"/>
          <w:szCs w:val="28"/>
          <w:lang w:val="kk-KZ"/>
        </w:rPr>
        <w:t>-кестеде келтірілген.</w:t>
      </w:r>
    </w:p>
    <w:p w14:paraId="58FEB89A" w14:textId="24165592" w:rsidR="00BA3F26" w:rsidRDefault="00CC5447" w:rsidP="00457CE9">
      <w:pPr>
        <w:widowControl w:val="0"/>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Кесте</w:t>
      </w:r>
      <w:r w:rsidR="009E7EDE" w:rsidRPr="00457CE9">
        <w:rPr>
          <w:rFonts w:ascii="Times New Roman" w:hAnsi="Times New Roman" w:cs="Times New Roman"/>
          <w:sz w:val="28"/>
          <w:szCs w:val="28"/>
          <w:lang w:val="kk-KZ"/>
        </w:rPr>
        <w:t xml:space="preserve"> </w:t>
      </w:r>
      <w:r w:rsidR="00023296">
        <w:rPr>
          <w:rFonts w:ascii="Times New Roman" w:hAnsi="Times New Roman" w:cs="Times New Roman"/>
          <w:sz w:val="28"/>
          <w:szCs w:val="28"/>
          <w:lang w:val="kk-KZ"/>
        </w:rPr>
        <w:t>7</w:t>
      </w:r>
      <w:r w:rsidR="009E7EDE"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 Шетелдерде АӨК дамыту үшін бағытталған бюджет қаражатының тиімділік аудиті бойынша тағайындалатын критерийлер</w:t>
      </w:r>
    </w:p>
    <w:p w14:paraId="63174E73" w14:textId="77777777" w:rsidR="004D4A9B" w:rsidRPr="004D4A9B" w:rsidRDefault="004D4A9B" w:rsidP="00457CE9">
      <w:pPr>
        <w:widowControl w:val="0"/>
        <w:spacing w:after="0" w:line="240" w:lineRule="auto"/>
        <w:jc w:val="both"/>
        <w:rPr>
          <w:rFonts w:ascii="Times New Roman" w:hAnsi="Times New Roman" w:cs="Times New Roman"/>
          <w:sz w:val="16"/>
          <w:szCs w:val="16"/>
          <w:lang w:val="kk-KZ"/>
        </w:rPr>
      </w:pPr>
    </w:p>
    <w:tbl>
      <w:tblPr>
        <w:tblStyle w:val="a3"/>
        <w:tblW w:w="9615" w:type="dxa"/>
        <w:jc w:val="center"/>
        <w:tblLook w:val="04A0" w:firstRow="1" w:lastRow="0" w:firstColumn="1" w:lastColumn="0" w:noHBand="0" w:noVBand="1"/>
      </w:tblPr>
      <w:tblGrid>
        <w:gridCol w:w="1383"/>
        <w:gridCol w:w="8232"/>
      </w:tblGrid>
      <w:tr w:rsidR="00CC5447" w:rsidRPr="00457CE9" w14:paraId="4508FEE4" w14:textId="77777777" w:rsidTr="001E64ED">
        <w:trPr>
          <w:jc w:val="center"/>
        </w:trPr>
        <w:tc>
          <w:tcPr>
            <w:tcW w:w="1383" w:type="dxa"/>
          </w:tcPr>
          <w:p w14:paraId="671AFDA8" w14:textId="3DFFF396" w:rsidR="00CC5447" w:rsidRPr="00457CE9" w:rsidRDefault="00CC5447" w:rsidP="004D4A9B">
            <w:pPr>
              <w:widowControl w:val="0"/>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Ел атауы</w:t>
            </w:r>
          </w:p>
        </w:tc>
        <w:tc>
          <w:tcPr>
            <w:tcW w:w="8232" w:type="dxa"/>
          </w:tcPr>
          <w:p w14:paraId="11820EF8" w14:textId="6D85A9BB" w:rsidR="00CC5447" w:rsidRPr="00457CE9" w:rsidRDefault="00CC5447" w:rsidP="004D4A9B">
            <w:pPr>
              <w:widowControl w:val="0"/>
              <w:spacing w:line="228" w:lineRule="auto"/>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Критерий</w:t>
            </w:r>
            <w:r w:rsidR="00677B23" w:rsidRPr="00457CE9">
              <w:rPr>
                <w:rFonts w:ascii="Times New Roman" w:hAnsi="Times New Roman" w:cs="Times New Roman"/>
                <w:sz w:val="24"/>
                <w:szCs w:val="24"/>
                <w:lang w:val="kk-KZ"/>
              </w:rPr>
              <w:t>лер</w:t>
            </w:r>
          </w:p>
        </w:tc>
      </w:tr>
      <w:tr w:rsidR="009E7EDE" w:rsidRPr="00B108D0" w14:paraId="4344A3ED" w14:textId="77777777" w:rsidTr="001E64ED">
        <w:trPr>
          <w:jc w:val="center"/>
        </w:trPr>
        <w:tc>
          <w:tcPr>
            <w:tcW w:w="1383" w:type="dxa"/>
            <w:vMerge w:val="restart"/>
          </w:tcPr>
          <w:p w14:paraId="052740A1" w14:textId="1C29EA91"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Ресей Федера</w:t>
            </w:r>
            <w:r w:rsidR="00A373B1" w:rsidRPr="00457CE9">
              <w:rPr>
                <w:rFonts w:ascii="Times New Roman" w:hAnsi="Times New Roman" w:cs="Times New Roman"/>
                <w:sz w:val="24"/>
                <w:szCs w:val="24"/>
                <w:lang w:val="en-US"/>
              </w:rPr>
              <w:t>-</w:t>
            </w:r>
            <w:r w:rsidRPr="00457CE9">
              <w:rPr>
                <w:rFonts w:ascii="Times New Roman" w:hAnsi="Times New Roman" w:cs="Times New Roman"/>
                <w:sz w:val="24"/>
                <w:szCs w:val="24"/>
                <w:lang w:val="kk-KZ"/>
              </w:rPr>
              <w:t>циясы</w:t>
            </w:r>
          </w:p>
        </w:tc>
        <w:tc>
          <w:tcPr>
            <w:tcW w:w="8232" w:type="dxa"/>
          </w:tcPr>
          <w:p w14:paraId="4DE7251F" w14:textId="68F66BB5"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 шегінде мемлекеттік бағдарламаларда қарастырылған жоспарлы нәтижелерге қол жеткізу</w:t>
            </w:r>
          </w:p>
        </w:tc>
      </w:tr>
      <w:tr w:rsidR="009E7EDE" w:rsidRPr="00B108D0" w14:paraId="20094EB5" w14:textId="77777777" w:rsidTr="001E64ED">
        <w:trPr>
          <w:jc w:val="center"/>
        </w:trPr>
        <w:tc>
          <w:tcPr>
            <w:tcW w:w="1383" w:type="dxa"/>
            <w:vMerge/>
          </w:tcPr>
          <w:p w14:paraId="3B518E1E"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42C5F8A1" w14:textId="47A56352"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дамытудың мемлекеттік бағдарламасымен қарастырылған бастапқы жоспарлы көлем шегінде ресурстарды пайдалану</w:t>
            </w:r>
          </w:p>
        </w:tc>
      </w:tr>
      <w:tr w:rsidR="009E7EDE" w:rsidRPr="00B108D0" w14:paraId="3321822B" w14:textId="77777777" w:rsidTr="001E64ED">
        <w:trPr>
          <w:jc w:val="center"/>
        </w:trPr>
        <w:tc>
          <w:tcPr>
            <w:tcW w:w="1383" w:type="dxa"/>
            <w:vMerge/>
          </w:tcPr>
          <w:p w14:paraId="201D45A1"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1E04FD18" w14:textId="257A0C50"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дамытумен байланысты мемлекеттік бағдарламалардың нәтижелілігін бағалау кезінде қолданылған ресурстар есебінен ең жақсы сандық және сапалық нәтижелерге қол жеткізу</w:t>
            </w:r>
          </w:p>
        </w:tc>
      </w:tr>
      <w:tr w:rsidR="009E7EDE" w:rsidRPr="00B108D0" w14:paraId="24399D20" w14:textId="77777777" w:rsidTr="001E64ED">
        <w:trPr>
          <w:jc w:val="center"/>
        </w:trPr>
        <w:tc>
          <w:tcPr>
            <w:tcW w:w="1383" w:type="dxa"/>
            <w:vMerge/>
          </w:tcPr>
          <w:p w14:paraId="278B798C"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2CC2C61A" w14:textId="6ABD5AE6"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АӨК дамытумен байланысты мемлекеттік бағдарламаның үнемділігін бағалау кезінде ресурстардың аз мөлшерін пайдалану есебінен, алынған нәтижелерге қол жеткізу</w:t>
            </w:r>
          </w:p>
        </w:tc>
      </w:tr>
      <w:tr w:rsidR="009E7EDE" w:rsidRPr="00B108D0" w14:paraId="135C95EB" w14:textId="77777777" w:rsidTr="001E64ED">
        <w:trPr>
          <w:jc w:val="center"/>
        </w:trPr>
        <w:tc>
          <w:tcPr>
            <w:tcW w:w="1383" w:type="dxa"/>
            <w:vMerge/>
          </w:tcPr>
          <w:p w14:paraId="144534A8"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3E01D631" w14:textId="6BD2E2E1"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Жоспарланған сандық және сапалық көрсеткіштерге жету үшін қосымша ресурстардың қажеттілігінің болмауы</w:t>
            </w:r>
          </w:p>
        </w:tc>
      </w:tr>
      <w:tr w:rsidR="009E7EDE" w:rsidRPr="00B108D0" w14:paraId="28026F96" w14:textId="77777777" w:rsidTr="001E64ED">
        <w:trPr>
          <w:jc w:val="center"/>
        </w:trPr>
        <w:tc>
          <w:tcPr>
            <w:tcW w:w="1383" w:type="dxa"/>
            <w:vMerge w:val="restart"/>
          </w:tcPr>
          <w:p w14:paraId="31A6D50F" w14:textId="728F50F4"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Финляндия </w:t>
            </w:r>
          </w:p>
        </w:tc>
        <w:tc>
          <w:tcPr>
            <w:tcW w:w="8232" w:type="dxa"/>
          </w:tcPr>
          <w:p w14:paraId="68485BB7" w14:textId="29C387C3"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Қосымша қаржыландыруды жоспарлау кезінде ауыл шаруашылық саясаты мақсаттарының сәйкестелуі</w:t>
            </w:r>
          </w:p>
        </w:tc>
      </w:tr>
      <w:tr w:rsidR="009E7EDE" w:rsidRPr="00B108D0" w14:paraId="795A173F" w14:textId="77777777" w:rsidTr="001E64ED">
        <w:trPr>
          <w:jc w:val="center"/>
        </w:trPr>
        <w:tc>
          <w:tcPr>
            <w:tcW w:w="1383" w:type="dxa"/>
            <w:vMerge/>
          </w:tcPr>
          <w:p w14:paraId="57D437D0"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036E0C65" w14:textId="72905352"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Әр түрлі құралдарда көрсетілетін мемлекеттік қолдаулардың экономикалық тиімділік мен нәтижелілік қағидаларына сәйкестігін бағалау</w:t>
            </w:r>
          </w:p>
        </w:tc>
      </w:tr>
      <w:tr w:rsidR="009E7EDE" w:rsidRPr="00B108D0" w14:paraId="7DE5C84B" w14:textId="77777777" w:rsidTr="001E64ED">
        <w:trPr>
          <w:jc w:val="center"/>
        </w:trPr>
        <w:tc>
          <w:tcPr>
            <w:tcW w:w="1383" w:type="dxa"/>
            <w:vMerge/>
          </w:tcPr>
          <w:p w14:paraId="6D987EDC"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0E47AAA5" w14:textId="4519E01C"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Нормативті актілер мен ережелердің АӨК дамыту стратегияларына сәйкестігі</w:t>
            </w:r>
          </w:p>
        </w:tc>
      </w:tr>
      <w:tr w:rsidR="009E7EDE" w:rsidRPr="00B108D0" w14:paraId="58F259C2" w14:textId="77777777" w:rsidTr="001E64ED">
        <w:trPr>
          <w:jc w:val="center"/>
        </w:trPr>
        <w:tc>
          <w:tcPr>
            <w:tcW w:w="1383" w:type="dxa"/>
            <w:vMerge/>
          </w:tcPr>
          <w:p w14:paraId="7627B638"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6C867DD3" w14:textId="41EA51F2"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Грантберушілер мен өтініш берушілерге жағдайлар мен басқару қағидаларының түсініктілігі</w:t>
            </w:r>
          </w:p>
        </w:tc>
      </w:tr>
      <w:tr w:rsidR="009E7EDE" w:rsidRPr="00B108D0" w14:paraId="55864482" w14:textId="77777777" w:rsidTr="001E64ED">
        <w:trPr>
          <w:jc w:val="center"/>
        </w:trPr>
        <w:tc>
          <w:tcPr>
            <w:tcW w:w="1383" w:type="dxa"/>
            <w:vMerge/>
          </w:tcPr>
          <w:p w14:paraId="498E6D51"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78048F4B" w14:textId="47E514C4"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Жағдайлар мен басшылықтарда мемлекеттік қолдаулардағы тәуекелдер есебі</w:t>
            </w:r>
          </w:p>
        </w:tc>
      </w:tr>
      <w:tr w:rsidR="009E7EDE" w:rsidRPr="00B108D0" w14:paraId="339DD1D9" w14:textId="77777777" w:rsidTr="001E64ED">
        <w:trPr>
          <w:jc w:val="center"/>
        </w:trPr>
        <w:tc>
          <w:tcPr>
            <w:tcW w:w="1383" w:type="dxa"/>
            <w:vMerge w:val="restart"/>
          </w:tcPr>
          <w:p w14:paraId="36435374" w14:textId="0C3F795B"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Норвегия </w:t>
            </w:r>
          </w:p>
        </w:tc>
        <w:tc>
          <w:tcPr>
            <w:tcW w:w="8232" w:type="dxa"/>
          </w:tcPr>
          <w:p w14:paraId="4FE5508C" w14:textId="076678FF"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Ауыл шаруашылығының қысқа және ұзақ мерзімде қоғамдық пайдаға жалпы салымы, ауылшаруашылығының көпфункционалдығының рөлі</w:t>
            </w:r>
          </w:p>
        </w:tc>
      </w:tr>
      <w:tr w:rsidR="009E7EDE" w:rsidRPr="00B108D0" w14:paraId="3F9E4D63" w14:textId="77777777" w:rsidTr="001E64ED">
        <w:trPr>
          <w:jc w:val="center"/>
        </w:trPr>
        <w:tc>
          <w:tcPr>
            <w:tcW w:w="1383" w:type="dxa"/>
            <w:vMerge/>
          </w:tcPr>
          <w:p w14:paraId="18E27742"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4305CD5B" w14:textId="40BC2E48"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Барлық ел бойынша ауыл шаруашылығын белсенді және әр тарапты қолдау деңгейі</w:t>
            </w:r>
          </w:p>
        </w:tc>
      </w:tr>
      <w:tr w:rsidR="009E7EDE" w:rsidRPr="00B108D0" w14:paraId="314A63F0" w14:textId="77777777" w:rsidTr="001E64ED">
        <w:trPr>
          <w:jc w:val="center"/>
        </w:trPr>
        <w:tc>
          <w:tcPr>
            <w:tcW w:w="1383" w:type="dxa"/>
            <w:vMerge/>
          </w:tcPr>
          <w:p w14:paraId="7CEC0C5E"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06A36C83" w14:textId="7595900C"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Мемлекеттің ауыл шаруашылығының қоғамдық игіліктерді өндірумен байланысты талаптарға сәйкестігі, яғни, аймақтарда қоныстануы, жер және ландшафт ресурстарын экологиялық сақтау</w:t>
            </w:r>
          </w:p>
        </w:tc>
      </w:tr>
      <w:tr w:rsidR="009E7EDE" w:rsidRPr="00B108D0" w14:paraId="19BF13FB" w14:textId="77777777" w:rsidTr="001E64ED">
        <w:trPr>
          <w:jc w:val="center"/>
        </w:trPr>
        <w:tc>
          <w:tcPr>
            <w:tcW w:w="1383" w:type="dxa"/>
            <w:vMerge/>
          </w:tcPr>
          <w:p w14:paraId="47E632AE" w14:textId="77777777" w:rsidR="009E7EDE" w:rsidRPr="00457CE9" w:rsidRDefault="009E7EDE" w:rsidP="004D4A9B">
            <w:pPr>
              <w:widowControl w:val="0"/>
              <w:spacing w:line="228" w:lineRule="auto"/>
              <w:rPr>
                <w:rFonts w:ascii="Times New Roman" w:hAnsi="Times New Roman" w:cs="Times New Roman"/>
                <w:sz w:val="24"/>
                <w:szCs w:val="24"/>
                <w:lang w:val="kk-KZ"/>
              </w:rPr>
            </w:pPr>
          </w:p>
        </w:tc>
        <w:tc>
          <w:tcPr>
            <w:tcW w:w="8232" w:type="dxa"/>
          </w:tcPr>
          <w:p w14:paraId="65332582" w14:textId="615C4912" w:rsidR="009E7EDE" w:rsidRPr="00457CE9" w:rsidRDefault="009E7EDE"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Өнімділігін басқару нысаны ретінде және есептілік рәсімдерін бекіту ретінде мақсаттар мен нәтижелерді басқаруға қатысты әкімшілік органына талаптар қою</w:t>
            </w:r>
          </w:p>
        </w:tc>
      </w:tr>
      <w:tr w:rsidR="00CC5447" w:rsidRPr="00B108D0" w14:paraId="0EB33FCC" w14:textId="77777777" w:rsidTr="001E64ED">
        <w:trPr>
          <w:jc w:val="center"/>
        </w:trPr>
        <w:tc>
          <w:tcPr>
            <w:tcW w:w="1383" w:type="dxa"/>
          </w:tcPr>
          <w:p w14:paraId="7EC52B67" w14:textId="30C66471" w:rsidR="00CC5447" w:rsidRPr="00457CE9" w:rsidRDefault="00CC5447"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АҚШ</w:t>
            </w:r>
          </w:p>
        </w:tc>
        <w:tc>
          <w:tcPr>
            <w:tcW w:w="8232" w:type="dxa"/>
          </w:tcPr>
          <w:p w14:paraId="6D1EFC1C" w14:textId="50950523" w:rsidR="00CC5447" w:rsidRPr="00457CE9" w:rsidRDefault="00CC5447" w:rsidP="004D4A9B">
            <w:pPr>
              <w:widowControl w:val="0"/>
              <w:spacing w:line="228" w:lineRule="auto"/>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Ауыл шаруашылығы мен қайта өңдеу өнеркәсібі саласын реттеуші заңдар мен нормативтік актілер; Ауыл шаруашылық Министрлігімен бекітілген мақсаттар, саясат және рәсімдер; ауыл шаруашылық қызметін реттеуші техникалық стандарттар мен нормативтер; нысаналы көрсеткіштер тиімділігі басқа секторлардың көрсеткіштерімен салыстырылады </w:t>
            </w:r>
          </w:p>
        </w:tc>
      </w:tr>
      <w:tr w:rsidR="00CC5447" w:rsidRPr="00B108D0" w14:paraId="423A9939" w14:textId="77777777" w:rsidTr="001E64ED">
        <w:trPr>
          <w:jc w:val="center"/>
        </w:trPr>
        <w:tc>
          <w:tcPr>
            <w:tcW w:w="1383" w:type="dxa"/>
          </w:tcPr>
          <w:p w14:paraId="72991E36" w14:textId="15BD6C04" w:rsidR="00CC5447" w:rsidRPr="00457CE9" w:rsidRDefault="00CC5447"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Канада </w:t>
            </w:r>
          </w:p>
        </w:tc>
        <w:tc>
          <w:tcPr>
            <w:tcW w:w="8232" w:type="dxa"/>
          </w:tcPr>
          <w:p w14:paraId="7728E4CA" w14:textId="3BCD5ED9" w:rsidR="00CC5447" w:rsidRPr="00457CE9" w:rsidRDefault="00CC5447"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Фермерлік шаруашылықтарды қолдау бағдарламаларын жасау және өткізуді тиісті ақпараттандыру үшін фермерлік шаруашылықтар мен ауыл шаруа</w:t>
            </w:r>
            <w:r w:rsidR="004D4A9B">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шылық сектор туралы өзекті, толық, нақты ақпараттың Министрлікте болуы</w:t>
            </w:r>
          </w:p>
        </w:tc>
      </w:tr>
      <w:tr w:rsidR="00CC5447" w:rsidRPr="00457CE9" w14:paraId="039CB103" w14:textId="77777777" w:rsidTr="001E64ED">
        <w:trPr>
          <w:jc w:val="center"/>
        </w:trPr>
        <w:tc>
          <w:tcPr>
            <w:tcW w:w="1383" w:type="dxa"/>
          </w:tcPr>
          <w:p w14:paraId="01EC33E8" w14:textId="5B3C976E" w:rsidR="00CC5447" w:rsidRPr="00457CE9" w:rsidRDefault="00CC5447"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Австралия </w:t>
            </w:r>
          </w:p>
        </w:tc>
        <w:tc>
          <w:tcPr>
            <w:tcW w:w="8232" w:type="dxa"/>
          </w:tcPr>
          <w:p w14:paraId="5D8FFB75" w14:textId="68F14860" w:rsidR="00CC5447" w:rsidRPr="00457CE9" w:rsidRDefault="00CC5447" w:rsidP="00457CE9">
            <w:pPr>
              <w:widowControl w:val="0"/>
              <w:rPr>
                <w:rFonts w:ascii="Times New Roman" w:hAnsi="Times New Roman" w:cs="Times New Roman"/>
                <w:sz w:val="24"/>
                <w:szCs w:val="24"/>
                <w:lang w:val="kk-KZ"/>
              </w:rPr>
            </w:pPr>
            <w:r w:rsidRPr="00457CE9">
              <w:rPr>
                <w:rFonts w:ascii="Times New Roman" w:hAnsi="Times New Roman" w:cs="Times New Roman"/>
                <w:sz w:val="24"/>
                <w:szCs w:val="24"/>
                <w:lang w:val="kk-KZ"/>
              </w:rPr>
              <w:t>Тәуекелдерді бірегейлендіру механизмдерінің тиімділігін анықтау. Бағдар</w:t>
            </w:r>
            <w:r w:rsidR="004D4A9B">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ламаны дайындау сапасы мен оны өткізуді жоспарлау тиімділігі. Жеңілдік несиелерін беру негізділігін анықтау. Бағдарлама есептілігін мониторингілеу механизмдерінің тиімділігін анықтау. Құрғақшылықпен күресуде көмек беру механизмдері. Тиімділік туралы есептілік мен мониторинг.</w:t>
            </w:r>
          </w:p>
        </w:tc>
      </w:tr>
      <w:tr w:rsidR="00AB735D" w:rsidRPr="00457CE9" w14:paraId="23E5AEC7" w14:textId="77777777" w:rsidTr="004D4A9B">
        <w:trPr>
          <w:jc w:val="center"/>
        </w:trPr>
        <w:tc>
          <w:tcPr>
            <w:tcW w:w="9615" w:type="dxa"/>
            <w:gridSpan w:val="2"/>
          </w:tcPr>
          <w:p w14:paraId="632880E5" w14:textId="1BC3BE3E" w:rsidR="00AB735D" w:rsidRPr="00457CE9" w:rsidRDefault="004D4A9B" w:rsidP="004D4A9B">
            <w:pPr>
              <w:widowControl w:val="0"/>
              <w:ind w:firstLine="601"/>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603AB6" w:rsidRPr="00457CE9">
              <w:rPr>
                <w:rFonts w:ascii="Times New Roman" w:hAnsi="Times New Roman" w:cs="Times New Roman"/>
                <w:sz w:val="24"/>
                <w:szCs w:val="24"/>
              </w:rPr>
              <w:t>[</w:t>
            </w:r>
            <w:r w:rsidR="00525ED4">
              <w:rPr>
                <w:rFonts w:ascii="Times New Roman" w:hAnsi="Times New Roman" w:cs="Times New Roman"/>
                <w:sz w:val="24"/>
                <w:szCs w:val="24"/>
                <w:lang w:val="en-US"/>
              </w:rPr>
              <w:t>6</w:t>
            </w:r>
            <w:r w:rsidR="00317258">
              <w:rPr>
                <w:rFonts w:ascii="Times New Roman" w:hAnsi="Times New Roman" w:cs="Times New Roman"/>
                <w:sz w:val="24"/>
                <w:szCs w:val="24"/>
                <w:lang w:val="en-US"/>
              </w:rPr>
              <w:t>9</w:t>
            </w:r>
            <w:r w:rsidR="00603AB6" w:rsidRPr="00457CE9">
              <w:rPr>
                <w:rFonts w:ascii="Times New Roman" w:hAnsi="Times New Roman" w:cs="Times New Roman"/>
                <w:sz w:val="24"/>
                <w:szCs w:val="24"/>
              </w:rPr>
              <w:t xml:space="preserve">] </w:t>
            </w:r>
          </w:p>
        </w:tc>
      </w:tr>
    </w:tbl>
    <w:p w14:paraId="7E727D6F" w14:textId="77777777" w:rsidR="00525ED4" w:rsidRDefault="00525ED4" w:rsidP="00525ED4">
      <w:pPr>
        <w:widowControl w:val="0"/>
        <w:spacing w:after="0" w:line="240" w:lineRule="auto"/>
        <w:ind w:firstLine="709"/>
        <w:jc w:val="both"/>
        <w:rPr>
          <w:rFonts w:ascii="Times New Roman" w:hAnsi="Times New Roman" w:cs="Times New Roman"/>
          <w:color w:val="000000"/>
          <w:sz w:val="28"/>
          <w:szCs w:val="28"/>
          <w:lang w:val="kk-KZ"/>
        </w:rPr>
      </w:pPr>
    </w:p>
    <w:p w14:paraId="63D6145D" w14:textId="2E303C86" w:rsidR="00B50D5C" w:rsidRDefault="00B50D5C" w:rsidP="00B50D5C">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Канаданың аудиторлары Ауыл шаруашылығы, азық-түлік және ауылдық аудандар министрлігінен, агрокорпорациялардан және басқа да байланысты ұйымдардан сұраулар жіберу арқылы аудиторлық есеп берудегі қорытындыға маңызды ықпал ететін ақпараттарды жинауды ұйымдастырады. Сонымен қатар фермерлік шаруашылықтарды қолдаудың мемлекеттік бағдарламалары туралы пікірді зерделеу мақсатында министрліктер мен агрокорпорациялардың қызметкерлеріне сауалнама жүргізеді, ауыл шаруашылығы экономикасы аясындағы эксперттермен, ауыл шаруашылығы федерациясының өкілдерімен, ауыл шаруашылығы өнімдерін өндіруші фермерлермен кездесулер ұйымдастырады. Бұдан басқа э</w:t>
      </w:r>
      <w:r>
        <w:rPr>
          <w:rFonts w:ascii="Times New Roman" w:hAnsi="Times New Roman" w:cs="Times New Roman"/>
          <w:sz w:val="28"/>
          <w:szCs w:val="28"/>
          <w:lang w:val="kk-KZ"/>
        </w:rPr>
        <w:t>кономикалық даму және ынтымақтастық ұйымының мамандарымен ауыл шаруашылық тәуекелдерін басқару бағдарламасының және фермерлік шаруашылықтарды қолдаудың алдыңғы қатарлы тәжірибесін алу мақсатында интервью әдісі қолданылады.</w:t>
      </w:r>
    </w:p>
    <w:p w14:paraId="7B029323" w14:textId="07CB8400" w:rsidR="007A0305" w:rsidRDefault="007A0305" w:rsidP="007A0305">
      <w:pPr>
        <w:widowControl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Канаданың </w:t>
      </w:r>
      <w:r>
        <w:rPr>
          <w:rFonts w:ascii="Times New Roman" w:hAnsi="Times New Roman" w:cs="Times New Roman"/>
          <w:color w:val="000000"/>
          <w:sz w:val="28"/>
          <w:szCs w:val="28"/>
          <w:lang w:val="kk-KZ"/>
        </w:rPr>
        <w:t>мемлекеттік қолдау бағдарламалары шеңберінде бөлінген бюджет қаражатын пайдалану тиімділігіне аудит жүргізудің мақсаты министрлікте тиімді жүйелер мен процестердің болуын айқындау болып табылады, яғни олар келесіге мүмкіндік береді [6</w:t>
      </w:r>
      <w:r w:rsidR="00317258" w:rsidRPr="00317258">
        <w:rPr>
          <w:rFonts w:ascii="Times New Roman" w:hAnsi="Times New Roman" w:cs="Times New Roman"/>
          <w:color w:val="000000"/>
          <w:sz w:val="28"/>
          <w:szCs w:val="28"/>
          <w:lang w:val="kk-KZ"/>
        </w:rPr>
        <w:t>9</w:t>
      </w:r>
      <w:r>
        <w:rPr>
          <w:rFonts w:ascii="Times New Roman" w:hAnsi="Times New Roman" w:cs="Times New Roman"/>
          <w:color w:val="000000"/>
          <w:sz w:val="28"/>
          <w:szCs w:val="28"/>
          <w:lang w:val="kk-KZ"/>
        </w:rPr>
        <w:t>, c. 43]:</w:t>
      </w:r>
    </w:p>
    <w:p w14:paraId="2CD39CA1" w14:textId="77777777" w:rsidR="007A0305" w:rsidRDefault="007A0305" w:rsidP="0097172E">
      <w:pPr>
        <w:pStyle w:val="a5"/>
        <w:widowControl w:val="0"/>
        <w:numPr>
          <w:ilvl w:val="0"/>
          <w:numId w:val="62"/>
        </w:numPr>
        <w:tabs>
          <w:tab w:val="left" w:pos="993"/>
        </w:tabs>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заңнамаға, келісімдерге, саясаттарға сәйкес келетін фермерлік шаруашылықтарды қолдау бағдарламаларын әзірлеу және іске асыру кезінде тәуекелге-бағдарланған тәсілді қолдануға;</w:t>
      </w:r>
    </w:p>
    <w:p w14:paraId="4D2C8A27" w14:textId="77777777" w:rsidR="007A0305" w:rsidRDefault="007A0305" w:rsidP="0097172E">
      <w:pPr>
        <w:pStyle w:val="a5"/>
        <w:widowControl w:val="0"/>
        <w:numPr>
          <w:ilvl w:val="0"/>
          <w:numId w:val="62"/>
        </w:numPr>
        <w:tabs>
          <w:tab w:val="left" w:pos="993"/>
        </w:tabs>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фермерлік шаруашылықтарды қолдаудың мемлекеттік бағдарламаларының стратегиялық және операциялық тиімділігі туралы, олардың есеп берушілігі мен мониторингінің нақты тәжірибесімен бағалау және жариялы хабарлауға.</w:t>
      </w:r>
    </w:p>
    <w:p w14:paraId="450190F3" w14:textId="77777777" w:rsidR="00CC3A34" w:rsidRPr="00457CE9" w:rsidRDefault="00CC3A34" w:rsidP="004D4A9B">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аудитінің мақсатына жету үшін қолданыстағы заңдарды, директиваларды, саясатты, ішкі және сыртқы зерттеулерді, алдыңғы қатарлы әлемдік тәжірибені талдау негізінде аудит критерийлері анықталады.</w:t>
      </w:r>
    </w:p>
    <w:p w14:paraId="681BF228" w14:textId="178E2CA6" w:rsidR="00240810" w:rsidRPr="00457CE9" w:rsidRDefault="00240810" w:rsidP="004D4A9B">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Аудит мақсатына жету үшін келесі сұрақтарға жауап алынады</w:t>
      </w:r>
      <w:r w:rsidR="00525ED4" w:rsidRPr="00525ED4">
        <w:rPr>
          <w:rFonts w:ascii="Times New Roman" w:hAnsi="Times New Roman" w:cs="Times New Roman"/>
          <w:sz w:val="28"/>
          <w:szCs w:val="28"/>
          <w:lang w:val="kk-KZ"/>
        </w:rPr>
        <w:t xml:space="preserve"> [6</w:t>
      </w:r>
      <w:r w:rsidR="00317258" w:rsidRPr="00317258">
        <w:rPr>
          <w:rFonts w:ascii="Times New Roman" w:hAnsi="Times New Roman" w:cs="Times New Roman"/>
          <w:sz w:val="28"/>
          <w:szCs w:val="28"/>
          <w:lang w:val="kk-KZ"/>
        </w:rPr>
        <w:t>9</w:t>
      </w:r>
      <w:r w:rsidR="00525ED4" w:rsidRPr="00525ED4">
        <w:rPr>
          <w:rFonts w:ascii="Times New Roman" w:hAnsi="Times New Roman" w:cs="Times New Roman"/>
          <w:sz w:val="28"/>
          <w:szCs w:val="28"/>
          <w:lang w:val="kk-KZ"/>
        </w:rPr>
        <w:t>, c. 44]</w:t>
      </w:r>
      <w:r w:rsidRPr="00457CE9">
        <w:rPr>
          <w:rFonts w:ascii="Times New Roman" w:hAnsi="Times New Roman" w:cs="Times New Roman"/>
          <w:sz w:val="28"/>
          <w:szCs w:val="28"/>
          <w:lang w:val="kk-KZ"/>
        </w:rPr>
        <w:t>:</w:t>
      </w:r>
    </w:p>
    <w:p w14:paraId="1325C465" w14:textId="77777777" w:rsidR="00240810" w:rsidRPr="00457CE9" w:rsidRDefault="00240810" w:rsidP="0097172E">
      <w:pPr>
        <w:pStyle w:val="a5"/>
        <w:widowControl w:val="0"/>
        <w:numPr>
          <w:ilvl w:val="0"/>
          <w:numId w:val="3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фермерлердің нақты жағдайы мен қажеттілігі тарапынан бағалау және талдау;</w:t>
      </w:r>
    </w:p>
    <w:p w14:paraId="2AEC24B2" w14:textId="77777777" w:rsidR="00240810" w:rsidRPr="00457CE9" w:rsidRDefault="00240810" w:rsidP="0097172E">
      <w:pPr>
        <w:pStyle w:val="a5"/>
        <w:widowControl w:val="0"/>
        <w:numPr>
          <w:ilvl w:val="0"/>
          <w:numId w:val="3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қолдау бағдарламаларының нәтижелілігінің болмау себебін анықтау мен ондағы фермерлердің қатысу деңгейінің төмен болуын талдау;</w:t>
      </w:r>
    </w:p>
    <w:p w14:paraId="40487783" w14:textId="77777777" w:rsidR="00240810" w:rsidRPr="00457CE9" w:rsidRDefault="00240810" w:rsidP="0097172E">
      <w:pPr>
        <w:pStyle w:val="a5"/>
        <w:widowControl w:val="0"/>
        <w:numPr>
          <w:ilvl w:val="0"/>
          <w:numId w:val="3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дағдарыс кезінде фермаларды қолдау үшін қосымша іс-қимыл жоспарларының болуы;</w:t>
      </w:r>
    </w:p>
    <w:p w14:paraId="371DB4EE" w14:textId="77777777" w:rsidR="00240810" w:rsidRPr="00457CE9" w:rsidRDefault="00240810" w:rsidP="0097172E">
      <w:pPr>
        <w:pStyle w:val="a5"/>
        <w:widowControl w:val="0"/>
        <w:numPr>
          <w:ilvl w:val="0"/>
          <w:numId w:val="3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мемлекеттік қолдау алу үшін фермерлер ұсынатын құжаттаманың дұрыстығын талдау;</w:t>
      </w:r>
    </w:p>
    <w:p w14:paraId="09B2EE39" w14:textId="77777777" w:rsidR="00240810" w:rsidRPr="00457CE9" w:rsidRDefault="00240810" w:rsidP="0097172E">
      <w:pPr>
        <w:pStyle w:val="a5"/>
        <w:widowControl w:val="0"/>
        <w:numPr>
          <w:ilvl w:val="0"/>
          <w:numId w:val="35"/>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color w:val="000000"/>
          <w:sz w:val="28"/>
          <w:szCs w:val="28"/>
          <w:lang w:val="kk-KZ"/>
        </w:rPr>
        <w:t>фермерлердің мемлекеттік қолдау бағдарламаларына қатысуы бойынша қате ақпарат алуына жол бермеу мақсатында Agricorp ат-жүйесін талдау.</w:t>
      </w:r>
    </w:p>
    <w:p w14:paraId="3069B96E" w14:textId="77777777" w:rsidR="00240810" w:rsidRPr="00457CE9" w:rsidRDefault="00240810" w:rsidP="004D4A9B">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Қойылған сұрақтарға жауаптар алынған соң аудиторлар фермерлік шаруашылықтарға мемлекеттік қолдауды жеткізу механизмін жақсарту бойынша ұсыныстар шығарады. </w:t>
      </w:r>
    </w:p>
    <w:p w14:paraId="62FB77B1" w14:textId="1958A898" w:rsidR="00240810" w:rsidRPr="00457CE9" w:rsidRDefault="00240810" w:rsidP="004D4A9B">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Еуро Одаққа кіретін елдерде ауыл шаруашылығын қолдауы Еуро Одақтың жалпы ауыл шаруашылық саясаты (CAP) негізінде құрылған Ауыл аймақтарын дамытудың еуропалық ауыл шаруашылық қоры (EAFRD), Ауылшаруашылық кепілдіктердің еуропалық қоры (EAGF) арқылы жүзеге асырылады. Еуро Одақтың бірегей аграрлық саясатының негізгі мақсаттарына ауыл шаруашылығында еңбек өнімділігін арттыру, ауыл тұрғындарының табысын көбейту және өмір сүру деңгейін сақтау, нарықты тұрақтандыру, халықтың </w:t>
      </w:r>
      <w:r w:rsidR="001E2869">
        <w:rPr>
          <w:rFonts w:ascii="Times New Roman" w:hAnsi="Times New Roman" w:cs="Times New Roman"/>
          <w:sz w:val="28"/>
          <w:szCs w:val="28"/>
          <w:lang w:val="kk-KZ"/>
        </w:rPr>
        <w:t>азық-түлік</w:t>
      </w:r>
      <w:r w:rsidRPr="00457CE9">
        <w:rPr>
          <w:rFonts w:ascii="Times New Roman" w:hAnsi="Times New Roman" w:cs="Times New Roman"/>
          <w:sz w:val="28"/>
          <w:szCs w:val="28"/>
          <w:lang w:val="kk-KZ"/>
        </w:rPr>
        <w:t>пен қамтамасыз етілуін қолдау, тауарларды адекватты бағамен сату жатады. Дегенмен Еуро Одақтың әр мүшесі өзінің ұлттық ауыл шаруашылық саясатын ЕО жағдайларының шегінде іске асыруына жол беріледі [</w:t>
      </w:r>
      <w:r w:rsidR="00081A55" w:rsidRPr="00081A55">
        <w:rPr>
          <w:rFonts w:ascii="Times New Roman" w:hAnsi="Times New Roman" w:cs="Times New Roman"/>
          <w:sz w:val="28"/>
          <w:szCs w:val="28"/>
          <w:lang w:val="kk-KZ"/>
        </w:rPr>
        <w:t>7</w:t>
      </w:r>
      <w:r w:rsidR="00317258" w:rsidRPr="00317258">
        <w:rPr>
          <w:rFonts w:ascii="Times New Roman" w:hAnsi="Times New Roman" w:cs="Times New Roman"/>
          <w:sz w:val="28"/>
          <w:szCs w:val="28"/>
          <w:lang w:val="kk-KZ"/>
        </w:rPr>
        <w:t>2</w:t>
      </w:r>
      <w:r w:rsidRPr="00457CE9">
        <w:rPr>
          <w:rFonts w:ascii="Times New Roman" w:hAnsi="Times New Roman" w:cs="Times New Roman"/>
          <w:sz w:val="28"/>
          <w:szCs w:val="28"/>
          <w:lang w:val="kk-KZ"/>
        </w:rPr>
        <w:t>].</w:t>
      </w:r>
    </w:p>
    <w:p w14:paraId="78925D1A" w14:textId="7EF66DA0" w:rsidR="00CC5447" w:rsidRPr="00457CE9" w:rsidRDefault="00CC5447" w:rsidP="00334F8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Австралияда аудит </w:t>
      </w:r>
      <w:r w:rsidR="003C56BE" w:rsidRPr="00457CE9">
        <w:rPr>
          <w:rFonts w:ascii="Times New Roman" w:hAnsi="Times New Roman" w:cs="Times New Roman"/>
          <w:sz w:val="28"/>
          <w:szCs w:val="28"/>
          <w:lang w:val="kk-KZ"/>
        </w:rPr>
        <w:t>«</w:t>
      </w:r>
      <w:r w:rsidRPr="00457CE9">
        <w:rPr>
          <w:rFonts w:ascii="Times New Roman" w:hAnsi="Times New Roman" w:cs="Times New Roman"/>
          <w:color w:val="000000"/>
          <w:sz w:val="28"/>
          <w:szCs w:val="28"/>
          <w:lang w:val="kk-KZ"/>
        </w:rPr>
        <w:t>Ұлттық аудиторлық басқарма</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3500 ASAE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Сенімділік қамтамасыз ететін тапсырмалар стандарты, </w:t>
      </w:r>
      <w:r w:rsidR="009E7EDE" w:rsidRPr="00457CE9">
        <w:rPr>
          <w:rFonts w:ascii="Times New Roman" w:hAnsi="Times New Roman" w:cs="Times New Roman"/>
          <w:sz w:val="28"/>
          <w:szCs w:val="28"/>
          <w:lang w:val="kk-KZ"/>
        </w:rPr>
        <w:t>т</w:t>
      </w:r>
      <w:r w:rsidRPr="00457CE9">
        <w:rPr>
          <w:rFonts w:ascii="Times New Roman" w:hAnsi="Times New Roman" w:cs="Times New Roman"/>
          <w:sz w:val="28"/>
          <w:szCs w:val="28"/>
          <w:lang w:val="kk-KZ"/>
        </w:rPr>
        <w:t>иімділік аудиті</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деп аталатын стандарт негізінде жүзеге асырылады. Жүргізілетін аудиттер фермерлерге берілетін субсидияларға, олардың депозиттерін басқару сызбаларына, жеңілдікпен несиелеуді тексеруге бағытталған, яғни олар аудиті пәні ретінде шығады. Сонымен қатар тиімділік аудитінің пәні ретінде фермерлер мен шағын кәсіпкерлерге берілген қаржылық көмектер кезіндегі шаралар шығады. 3500 ASAE стандарты бойынша тиімділік аудиті келесі бірнеше параметрлерді енгізеді: үнемдеу (шығындарды минималдау), тиімділік (қойылған нәтижелерге жету деңгейі), мемлекеттік ресурстарды этикалық пайдалану және басқару, заңдылық пен саясатты сақтау. Аудиторлық шаралардың ықтимал пәндеріне қарай қол жетімді және негізделген аудит мақсаты құрылады және ол туындаған мәселелер мен себептерін анықтауға және оны шешу жолдарын анықтауға тиіс</w:t>
      </w:r>
      <w:r w:rsidR="00217674" w:rsidRPr="00457CE9">
        <w:rPr>
          <w:rFonts w:ascii="Times New Roman" w:hAnsi="Times New Roman" w:cs="Times New Roman"/>
          <w:sz w:val="28"/>
          <w:szCs w:val="28"/>
          <w:lang w:val="kk-KZ"/>
        </w:rPr>
        <w:t xml:space="preserve"> [</w:t>
      </w:r>
      <w:r w:rsidR="00081A55" w:rsidRPr="00081A55">
        <w:rPr>
          <w:rFonts w:ascii="Times New Roman" w:hAnsi="Times New Roman" w:cs="Times New Roman"/>
          <w:sz w:val="28"/>
          <w:szCs w:val="28"/>
          <w:lang w:val="kk-KZ"/>
        </w:rPr>
        <w:t>6</w:t>
      </w:r>
      <w:r w:rsidR="00317258" w:rsidRPr="00317258">
        <w:rPr>
          <w:rFonts w:ascii="Times New Roman" w:hAnsi="Times New Roman" w:cs="Times New Roman"/>
          <w:sz w:val="28"/>
          <w:szCs w:val="28"/>
          <w:lang w:val="kk-KZ"/>
        </w:rPr>
        <w:t>9</w:t>
      </w:r>
      <w:r w:rsidR="00081A55" w:rsidRPr="00081A55">
        <w:rPr>
          <w:rFonts w:ascii="Times New Roman" w:hAnsi="Times New Roman" w:cs="Times New Roman"/>
          <w:sz w:val="28"/>
          <w:szCs w:val="28"/>
          <w:lang w:val="kk-KZ"/>
        </w:rPr>
        <w:t>, c. 46</w:t>
      </w:r>
      <w:r w:rsidR="00217674"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Аталған стандартқа сәйкес тиімділік аудитінің мақсаты аудит объектісінің қызметі бекітілген критерийлерге сәйкестігін және аудит пәні бойынша қорытындыны көрсететін сенімділікті ашуға тиіс деп анықталған. </w:t>
      </w:r>
    </w:p>
    <w:p w14:paraId="2A1ABD0E" w14:textId="77777777" w:rsidR="00A85CA6" w:rsidRDefault="00022234" w:rsidP="004D4A9B">
      <w:pPr>
        <w:widowControl w:val="0"/>
        <w:spacing w:after="0" w:line="240" w:lineRule="auto"/>
        <w:ind w:firstLine="709"/>
        <w:jc w:val="both"/>
        <w:rPr>
          <w:rFonts w:ascii="Times New Roman" w:hAnsi="Times New Roman" w:cs="Times New Roman"/>
          <w:color w:val="000000"/>
          <w:sz w:val="28"/>
          <w:szCs w:val="28"/>
          <w:lang w:val="kk-KZ"/>
        </w:rPr>
      </w:pPr>
      <w:r w:rsidRPr="00022234">
        <w:rPr>
          <w:rFonts w:ascii="Times New Roman" w:hAnsi="Times New Roman" w:cs="Times New Roman"/>
          <w:sz w:val="28"/>
          <w:szCs w:val="28"/>
          <w:shd w:val="clear" w:color="auto" w:fill="FFFFFF"/>
          <w:lang w:val="kk-KZ"/>
        </w:rPr>
        <w:t xml:space="preserve">ЖАО аудит объектісін тексерген соң, берілетін ұсыныстардың келешекте объектіге қаншалықты әсер еткенін бағалау 1990 ж. басында қызығушылық тудырған, </w:t>
      </w:r>
      <w:r w:rsidRPr="00022234">
        <w:rPr>
          <w:rFonts w:ascii="Times New Roman" w:hAnsi="Times New Roman" w:cs="Times New Roman"/>
          <w:color w:val="000000"/>
          <w:sz w:val="28"/>
          <w:szCs w:val="28"/>
          <w:lang w:val="kk-KZ"/>
        </w:rPr>
        <w:t xml:space="preserve">осыған байланысты ең маңызды зерттеулердің қатарына Pollitt және </w:t>
      </w:r>
      <w:r w:rsidR="00C9748C" w:rsidRPr="00022234">
        <w:rPr>
          <w:rFonts w:ascii="Times New Roman" w:hAnsi="Times New Roman" w:cs="Times New Roman"/>
          <w:color w:val="000000"/>
          <w:sz w:val="28"/>
          <w:szCs w:val="28"/>
          <w:lang w:val="kk-KZ"/>
        </w:rPr>
        <w:t>S</w:t>
      </w:r>
      <w:r w:rsidRPr="00022234">
        <w:rPr>
          <w:rFonts w:ascii="Times New Roman" w:hAnsi="Times New Roman" w:cs="Times New Roman"/>
          <w:color w:val="000000"/>
          <w:sz w:val="28"/>
          <w:szCs w:val="28"/>
          <w:lang w:val="kk-KZ"/>
        </w:rPr>
        <w:t>umma</w:t>
      </w:r>
      <w:r w:rsidR="00A85CA6">
        <w:rPr>
          <w:rFonts w:ascii="Times New Roman" w:hAnsi="Times New Roman" w:cs="Times New Roman"/>
          <w:color w:val="000000"/>
          <w:sz w:val="28"/>
          <w:szCs w:val="28"/>
          <w:lang w:val="kk-KZ"/>
        </w:rPr>
        <w:t xml:space="preserve"> </w:t>
      </w:r>
      <w:r w:rsidRPr="00022234">
        <w:rPr>
          <w:rFonts w:ascii="Times New Roman" w:hAnsi="Times New Roman" w:cs="Times New Roman"/>
          <w:color w:val="000000"/>
          <w:sz w:val="28"/>
          <w:szCs w:val="28"/>
          <w:lang w:val="kk-KZ"/>
        </w:rPr>
        <w:t>Ұлыбританияның, Финляндияның, Швецияның мемлекеттік бақылау</w:t>
      </w:r>
      <w:r w:rsidR="00C9748C">
        <w:rPr>
          <w:rFonts w:ascii="Times New Roman" w:hAnsi="Times New Roman" w:cs="Times New Roman"/>
          <w:color w:val="000000"/>
          <w:sz w:val="28"/>
          <w:szCs w:val="28"/>
          <w:lang w:val="kk-KZ"/>
        </w:rPr>
        <w:t>лар</w:t>
      </w:r>
      <w:r w:rsidRPr="00022234">
        <w:rPr>
          <w:rFonts w:ascii="Times New Roman" w:hAnsi="Times New Roman" w:cs="Times New Roman"/>
          <w:color w:val="000000"/>
          <w:sz w:val="28"/>
          <w:szCs w:val="28"/>
          <w:lang w:val="kk-KZ"/>
        </w:rPr>
        <w:t xml:space="preserve">ының және Голландия мен Францияның Есеп палатасының рөлі мен әсерін салыстырды. Бұл зерттеулердің қорытындылары жоғары аудиторлық мекемелердің қызметі тексерілетін субъектілердің мінез-құлқы мен тәжірибесінің өзгеруіне ғана емес, сонымен қатар бұқаралық ақпарат құралдары арқылы саяси шешімдерге, заң шығарушы билікке және жалпы жұртшылыққа әсер еткенін көрсетеді, сондықтан SAI үшін олардың қызметінің әсерін сандық және сапалық өлшеу проблемасына айналды деп айтуға болады. Жоғары аудиторлық органның мемлекеттік сектор субъектілерінің қызметі мен </w:t>
      </w:r>
      <w:r>
        <w:rPr>
          <w:rFonts w:ascii="Times New Roman" w:hAnsi="Times New Roman" w:cs="Times New Roman"/>
          <w:color w:val="000000"/>
          <w:sz w:val="28"/>
          <w:szCs w:val="28"/>
          <w:lang w:val="kk-KZ"/>
        </w:rPr>
        <w:t>оны</w:t>
      </w:r>
      <w:r w:rsidRPr="00022234">
        <w:rPr>
          <w:rFonts w:ascii="Times New Roman" w:hAnsi="Times New Roman" w:cs="Times New Roman"/>
          <w:color w:val="000000"/>
          <w:sz w:val="28"/>
          <w:szCs w:val="28"/>
          <w:lang w:val="kk-KZ"/>
        </w:rPr>
        <w:t>ң нәтижелерінен алатын мөлшерін өлшеу өте қиын</w:t>
      </w:r>
      <w:r w:rsidR="00E8648B">
        <w:rPr>
          <w:rFonts w:ascii="Times New Roman" w:hAnsi="Times New Roman" w:cs="Times New Roman"/>
          <w:color w:val="000000"/>
          <w:sz w:val="28"/>
          <w:szCs w:val="28"/>
          <w:lang w:val="kk-KZ"/>
        </w:rPr>
        <w:t xml:space="preserve"> </w:t>
      </w:r>
      <w:r w:rsidR="00E8648B" w:rsidRPr="00E8648B">
        <w:rPr>
          <w:rFonts w:ascii="Times New Roman" w:hAnsi="Times New Roman" w:cs="Times New Roman"/>
          <w:color w:val="000000"/>
          <w:sz w:val="28"/>
          <w:szCs w:val="28"/>
          <w:lang w:val="kk-KZ"/>
        </w:rPr>
        <w:t>[73]</w:t>
      </w:r>
      <w:r w:rsidRPr="00022234">
        <w:rPr>
          <w:rFonts w:ascii="Times New Roman" w:hAnsi="Times New Roman" w:cs="Times New Roman"/>
          <w:color w:val="000000"/>
          <w:sz w:val="28"/>
          <w:szCs w:val="28"/>
          <w:lang w:val="kk-KZ"/>
        </w:rPr>
        <w:t xml:space="preserve">. </w:t>
      </w:r>
    </w:p>
    <w:p w14:paraId="2D6BBFF1" w14:textId="765EB38A" w:rsidR="00E8648B" w:rsidRDefault="00022234" w:rsidP="004D4A9B">
      <w:pPr>
        <w:widowControl w:val="0"/>
        <w:spacing w:after="0" w:line="240" w:lineRule="auto"/>
        <w:ind w:firstLine="709"/>
        <w:jc w:val="both"/>
        <w:rPr>
          <w:rFonts w:ascii="Times New Roman" w:hAnsi="Times New Roman" w:cs="Times New Roman"/>
          <w:color w:val="000000"/>
          <w:sz w:val="28"/>
          <w:szCs w:val="28"/>
          <w:lang w:val="kk-KZ"/>
        </w:rPr>
      </w:pPr>
      <w:r w:rsidRPr="00022234">
        <w:rPr>
          <w:rFonts w:ascii="Times New Roman" w:hAnsi="Times New Roman" w:cs="Times New Roman"/>
          <w:color w:val="000000"/>
          <w:sz w:val="28"/>
          <w:szCs w:val="28"/>
          <w:lang w:val="kk-KZ"/>
        </w:rPr>
        <w:t xml:space="preserve">Лонсдейл SAI өз жұмысының құндылығын бағалаудың бірнеше тәсілдерін бөліп көрсетеді, дегенмен әрбір SAI рөлі мен тарихи-институционалдық контексті бұл институттардың осы қол жетімді әдістерді қалай қолданатынына тікелей әсер етеді. </w:t>
      </w:r>
      <w:r w:rsidRPr="00EA762F">
        <w:rPr>
          <w:rFonts w:ascii="Times New Roman" w:hAnsi="Times New Roman" w:cs="Times New Roman"/>
          <w:color w:val="000000"/>
          <w:sz w:val="28"/>
          <w:szCs w:val="28"/>
          <w:lang w:val="kk-KZ"/>
        </w:rPr>
        <w:t>Әсерді бағалаудың бұл әдістері: үкімет енгізген өзгерістер;</w:t>
      </w:r>
      <w:r w:rsidRPr="00EA762F">
        <w:rPr>
          <w:rFonts w:ascii="Times New Roman" w:hAnsi="Times New Roman" w:cs="Times New Roman"/>
          <w:sz w:val="28"/>
          <w:szCs w:val="28"/>
          <w:shd w:val="clear" w:color="auto" w:fill="FFFFFF"/>
          <w:lang w:val="kk-KZ"/>
        </w:rPr>
        <w:t xml:space="preserve"> </w:t>
      </w:r>
      <w:r w:rsidRPr="00EA762F">
        <w:rPr>
          <w:rFonts w:ascii="Times New Roman" w:hAnsi="Times New Roman" w:cs="Times New Roman"/>
          <w:color w:val="000000"/>
          <w:sz w:val="28"/>
          <w:szCs w:val="28"/>
          <w:lang w:val="kk-KZ"/>
        </w:rPr>
        <w:t>қаржылық үнемдеу; парламентке ықпал ету; бұқаралық ақпарат құралдары; әсерді тәуелсіз бағалау</w:t>
      </w:r>
      <w:r w:rsidR="00E8648B" w:rsidRPr="00E8648B">
        <w:rPr>
          <w:rFonts w:ascii="Times New Roman" w:hAnsi="Times New Roman" w:cs="Times New Roman"/>
          <w:color w:val="000000"/>
          <w:sz w:val="28"/>
          <w:szCs w:val="28"/>
          <w:lang w:val="kk-KZ"/>
        </w:rPr>
        <w:t xml:space="preserve"> [74]</w:t>
      </w:r>
      <w:r w:rsidRPr="00EA762F">
        <w:rPr>
          <w:rFonts w:ascii="Times New Roman" w:hAnsi="Times New Roman" w:cs="Times New Roman"/>
          <w:color w:val="000000"/>
          <w:sz w:val="28"/>
          <w:szCs w:val="28"/>
          <w:lang w:val="kk-KZ"/>
        </w:rPr>
        <w:t xml:space="preserve">. </w:t>
      </w:r>
      <w:r w:rsidR="00EA762F" w:rsidRPr="00EA762F">
        <w:rPr>
          <w:rFonts w:ascii="Times New Roman" w:hAnsi="Times New Roman" w:cs="Times New Roman"/>
          <w:color w:val="000000"/>
          <w:sz w:val="28"/>
          <w:szCs w:val="28"/>
          <w:lang w:val="kk-KZ"/>
        </w:rPr>
        <w:t>Ұлыбританияның мемлекеттік бақылауы INTOSAI мүшесі ретінде осы салада үлкен тәжірибеге ие және Қазақстанның Жоғары аудит палатасына үлгі бола алады.</w:t>
      </w:r>
    </w:p>
    <w:p w14:paraId="244FE9BE" w14:textId="280EB263" w:rsidR="00E8648B" w:rsidRDefault="00EA762F" w:rsidP="004D4A9B">
      <w:pPr>
        <w:widowControl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Бюджет қаражатын пайдаланудың</w:t>
      </w:r>
      <w:r w:rsidRPr="00EA762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тиімділігі </w:t>
      </w:r>
      <w:r w:rsidRPr="00EA762F">
        <w:rPr>
          <w:rFonts w:ascii="Times New Roman" w:hAnsi="Times New Roman" w:cs="Times New Roman"/>
          <w:color w:val="000000"/>
          <w:sz w:val="28"/>
          <w:szCs w:val="28"/>
          <w:lang w:val="kk-KZ"/>
        </w:rPr>
        <w:t xml:space="preserve">аудитінің қаржылық әсері тексерілетін субъектілер мен </w:t>
      </w:r>
      <w:r>
        <w:rPr>
          <w:rFonts w:ascii="Times New Roman" w:hAnsi="Times New Roman" w:cs="Times New Roman"/>
          <w:color w:val="000000"/>
          <w:sz w:val="28"/>
          <w:szCs w:val="28"/>
          <w:lang w:val="kk-KZ"/>
        </w:rPr>
        <w:t>ү</w:t>
      </w:r>
      <w:r w:rsidRPr="00EA762F">
        <w:rPr>
          <w:rFonts w:ascii="Times New Roman" w:hAnsi="Times New Roman" w:cs="Times New Roman"/>
          <w:color w:val="000000"/>
          <w:sz w:val="28"/>
          <w:szCs w:val="28"/>
          <w:lang w:val="kk-KZ"/>
        </w:rPr>
        <w:t xml:space="preserve">кіметке ұсынған ұсынымдарды іске асырудан алынған қаржылық пайданы бағалауды білдіреді. Қаржылық әсер қызмет пен аудиттелетін тұлғаның тиімді өзгеруі арасында тікелей байланыс болған кезде пайда болады. Қаржылық әсер: шығыстарды қысқарту немесе кірістерді жинау, тиімділік пен </w:t>
      </w:r>
      <w:r>
        <w:rPr>
          <w:rFonts w:ascii="Times New Roman" w:hAnsi="Times New Roman" w:cs="Times New Roman"/>
          <w:color w:val="000000"/>
          <w:sz w:val="28"/>
          <w:szCs w:val="28"/>
          <w:lang w:val="kk-KZ"/>
        </w:rPr>
        <w:t>нәтижелілі</w:t>
      </w:r>
      <w:r w:rsidRPr="00EA762F">
        <w:rPr>
          <w:rFonts w:ascii="Times New Roman" w:hAnsi="Times New Roman" w:cs="Times New Roman"/>
          <w:color w:val="000000"/>
          <w:sz w:val="28"/>
          <w:szCs w:val="28"/>
          <w:lang w:val="kk-KZ"/>
        </w:rPr>
        <w:t xml:space="preserve">кті арттыру арқылы сандық түрде көрсетілуі мүмкін; мемлекеттік сектор субъектілері ұсынатын қызметтердің сапасын арттыру арқылы сандық түрде көрсетіледі, бұл басқаларға, мысалы, салық төлеушілерге пайда әкеледі. Әдетте ұсыныстарды шығару мен тіркелген әсер ету арасында айтарлықтай ұзақ уақыт бар. Әсерді есептеу кезінде мемлекеттік бақылау тікелей тексерілетін субъектілер немесе жанама түрде екінші </w:t>
      </w:r>
      <w:r w:rsidR="000E4D9F">
        <w:rPr>
          <w:rFonts w:ascii="Times New Roman" w:hAnsi="Times New Roman" w:cs="Times New Roman"/>
          <w:color w:val="000000"/>
          <w:sz w:val="28"/>
          <w:szCs w:val="28"/>
          <w:lang w:val="kk-KZ"/>
        </w:rPr>
        <w:t>т</w:t>
      </w:r>
      <w:r w:rsidRPr="00EA762F">
        <w:rPr>
          <w:rFonts w:ascii="Times New Roman" w:hAnsi="Times New Roman" w:cs="Times New Roman"/>
          <w:color w:val="000000"/>
          <w:sz w:val="28"/>
          <w:szCs w:val="28"/>
          <w:lang w:val="kk-KZ"/>
        </w:rPr>
        <w:t>арап шеккен ұсыныстарды орындауға жұмсалған кез</w:t>
      </w:r>
      <w:r w:rsidR="00DA0F6C">
        <w:rPr>
          <w:rFonts w:ascii="Times New Roman" w:hAnsi="Times New Roman" w:cs="Times New Roman"/>
          <w:color w:val="000000"/>
          <w:sz w:val="28"/>
          <w:szCs w:val="28"/>
          <w:lang w:val="kk-KZ"/>
        </w:rPr>
        <w:t>-</w:t>
      </w:r>
      <w:r w:rsidRPr="00EA762F">
        <w:rPr>
          <w:rFonts w:ascii="Times New Roman" w:hAnsi="Times New Roman" w:cs="Times New Roman"/>
          <w:color w:val="000000"/>
          <w:sz w:val="28"/>
          <w:szCs w:val="28"/>
          <w:lang w:val="kk-KZ"/>
        </w:rPr>
        <w:t xml:space="preserve">келген шығындарды шегереді. Тиімділікті арттыру </w:t>
      </w:r>
      <w:r w:rsidRPr="000E4D9F">
        <w:rPr>
          <w:rFonts w:ascii="Times New Roman" w:hAnsi="Times New Roman" w:cs="Times New Roman"/>
          <w:color w:val="000000"/>
          <w:sz w:val="28"/>
          <w:szCs w:val="28"/>
          <w:lang w:val="kk-KZ"/>
        </w:rPr>
        <w:t>және экономикалық пайданы кеңейту бойынша ұсыныстар әдетте сандық емес</w:t>
      </w:r>
      <w:r w:rsidR="00E8648B" w:rsidRPr="00E8648B">
        <w:rPr>
          <w:rFonts w:ascii="Times New Roman" w:hAnsi="Times New Roman" w:cs="Times New Roman"/>
          <w:color w:val="000000"/>
          <w:sz w:val="28"/>
          <w:szCs w:val="28"/>
          <w:lang w:val="kk-KZ"/>
        </w:rPr>
        <w:t xml:space="preserve"> [73]</w:t>
      </w:r>
      <w:r w:rsidRPr="000E4D9F">
        <w:rPr>
          <w:rFonts w:ascii="Times New Roman" w:hAnsi="Times New Roman" w:cs="Times New Roman"/>
          <w:color w:val="000000"/>
          <w:sz w:val="28"/>
          <w:szCs w:val="28"/>
          <w:lang w:val="kk-KZ"/>
        </w:rPr>
        <w:t>.</w:t>
      </w:r>
      <w:r w:rsidR="000E4D9F" w:rsidRPr="000E4D9F">
        <w:rPr>
          <w:rFonts w:ascii="Times New Roman" w:hAnsi="Times New Roman" w:cs="Times New Roman"/>
          <w:color w:val="000000"/>
          <w:sz w:val="28"/>
          <w:szCs w:val="28"/>
          <w:lang w:val="kk-KZ"/>
        </w:rPr>
        <w:t xml:space="preserve"> </w:t>
      </w:r>
    </w:p>
    <w:p w14:paraId="4FB5A53E" w14:textId="06242B83" w:rsidR="00414E81" w:rsidRDefault="00414E81" w:rsidP="00414E81">
      <w:pPr>
        <w:widowControl w:val="0"/>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АӨК дамытуға бағытталған бюджет қаражатының тиімділік аудитінің шетелдік тәжірибесін талдай келе келесідей қорытынды жасауға болады:</w:t>
      </w:r>
    </w:p>
    <w:p w14:paraId="5138FB73" w14:textId="73F5FEE1" w:rsidR="007A0305" w:rsidRPr="002D08BF" w:rsidRDefault="007A0305" w:rsidP="007A0305">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Жоғарыда талданған барлық елдерде </w:t>
      </w:r>
      <w:r w:rsidR="00414E81">
        <w:rPr>
          <w:rFonts w:ascii="Times New Roman" w:hAnsi="Times New Roman" w:cs="Times New Roman"/>
          <w:sz w:val="28"/>
          <w:szCs w:val="28"/>
          <w:shd w:val="clear" w:color="auto" w:fill="FFFFFF"/>
          <w:lang w:val="kk-KZ"/>
        </w:rPr>
        <w:t xml:space="preserve">тиімділік </w:t>
      </w:r>
      <w:r>
        <w:rPr>
          <w:rFonts w:ascii="Times New Roman" w:hAnsi="Times New Roman" w:cs="Times New Roman"/>
          <w:sz w:val="28"/>
          <w:szCs w:val="28"/>
          <w:shd w:val="clear" w:color="auto" w:fill="FFFFFF"/>
          <w:lang w:val="kk-KZ"/>
        </w:rPr>
        <w:t>а</w:t>
      </w:r>
      <w:r>
        <w:rPr>
          <w:rFonts w:ascii="Times New Roman" w:hAnsi="Times New Roman" w:cs="Times New Roman"/>
          <w:sz w:val="28"/>
          <w:szCs w:val="28"/>
          <w:lang w:val="kk-KZ"/>
        </w:rPr>
        <w:t>удит</w:t>
      </w:r>
      <w:r w:rsidR="00414E81">
        <w:rPr>
          <w:rFonts w:ascii="Times New Roman" w:hAnsi="Times New Roman" w:cs="Times New Roman"/>
          <w:sz w:val="28"/>
          <w:szCs w:val="28"/>
          <w:lang w:val="kk-KZ"/>
        </w:rPr>
        <w:t>інд</w:t>
      </w:r>
      <w:r>
        <w:rPr>
          <w:rFonts w:ascii="Times New Roman" w:hAnsi="Times New Roman" w:cs="Times New Roman"/>
          <w:sz w:val="28"/>
          <w:szCs w:val="28"/>
          <w:lang w:val="kk-KZ"/>
        </w:rPr>
        <w:t>е критерийлер аудит объектісінің қызметін бағалау үшін тиімділік аудитіндегі аудит пәнін бағалау мен өлшеудің бақылаушы көрсеткіштері болып табылады.</w:t>
      </w:r>
      <w:r w:rsidR="002D08BF">
        <w:rPr>
          <w:rFonts w:ascii="Times New Roman" w:hAnsi="Times New Roman" w:cs="Times New Roman"/>
          <w:sz w:val="28"/>
          <w:szCs w:val="28"/>
          <w:lang w:val="kk-KZ"/>
        </w:rPr>
        <w:t xml:space="preserve"> </w:t>
      </w:r>
      <w:r w:rsidR="00A60B62" w:rsidRPr="002D08BF">
        <w:rPr>
          <w:rFonts w:ascii="Times New Roman" w:hAnsi="Times New Roman" w:cs="Times New Roman"/>
          <w:sz w:val="28"/>
          <w:szCs w:val="28"/>
          <w:lang w:val="kk-KZ"/>
        </w:rPr>
        <w:t xml:space="preserve">ЖАО </w:t>
      </w:r>
      <w:r w:rsidR="00A60B62" w:rsidRPr="002D08BF">
        <w:rPr>
          <w:rFonts w:ascii="Times New Roman" w:hAnsi="Times New Roman" w:cs="Times New Roman"/>
          <w:color w:val="000000"/>
          <w:sz w:val="28"/>
          <w:szCs w:val="28"/>
          <w:lang w:val="kk-KZ"/>
        </w:rPr>
        <w:t>ауыл шаруашылығы аудитінің мақсаттарын нақты айқындауға</w:t>
      </w:r>
      <w:r w:rsidR="00B50D5C">
        <w:rPr>
          <w:rFonts w:ascii="Times New Roman" w:hAnsi="Times New Roman" w:cs="Times New Roman"/>
          <w:color w:val="000000"/>
          <w:sz w:val="28"/>
          <w:szCs w:val="28"/>
          <w:lang w:val="kk-KZ"/>
        </w:rPr>
        <w:t xml:space="preserve">, </w:t>
      </w:r>
      <w:r w:rsidR="00A60B62" w:rsidRPr="002D08BF">
        <w:rPr>
          <w:rFonts w:ascii="Times New Roman" w:hAnsi="Times New Roman" w:cs="Times New Roman"/>
          <w:color w:val="000000"/>
          <w:sz w:val="28"/>
          <w:szCs w:val="28"/>
          <w:lang w:val="kk-KZ"/>
        </w:rPr>
        <w:t>макро және микро деңгейде тиісті түрде жоспарлау.</w:t>
      </w:r>
      <w:r w:rsidR="00A60B62">
        <w:rPr>
          <w:rFonts w:ascii="Times New Roman" w:hAnsi="Times New Roman" w:cs="Times New Roman"/>
          <w:color w:val="000000"/>
          <w:sz w:val="28"/>
          <w:szCs w:val="28"/>
          <w:lang w:val="kk-KZ"/>
        </w:rPr>
        <w:t xml:space="preserve"> </w:t>
      </w:r>
      <w:r w:rsidR="002D08BF">
        <w:rPr>
          <w:rFonts w:ascii="Times New Roman" w:hAnsi="Times New Roman" w:cs="Times New Roman"/>
          <w:sz w:val="28"/>
          <w:szCs w:val="28"/>
          <w:lang w:val="kk-KZ"/>
        </w:rPr>
        <w:t xml:space="preserve">ЖАО аудит жүргізу кезінде орындаушылардан қажетті ақпаратты дер кезінде алу қиындығына тап болады. Сондықтан тексерілетін объектіден жоба мақсатына жету үшін тиімділік көрсеткіштерін белгілеуді талап ету, яғни, аудит қорытындысы негізінде тиімділігіне баға беру мақсатында. Сонымен қатар тиімділік көрсеткіштерін орындау кезінде іске асырылған шаралар мен қаражат туралы ақпаратты дұрыс қалыптастыруды талап ету. </w:t>
      </w:r>
    </w:p>
    <w:p w14:paraId="3A46BB19" w14:textId="64E99193" w:rsidR="00115EDD" w:rsidRDefault="007A0305" w:rsidP="00414E81">
      <w:pPr>
        <w:widowControl w:val="0"/>
        <w:spacing w:after="0" w:line="240" w:lineRule="auto"/>
        <w:ind w:firstLine="709"/>
        <w:jc w:val="both"/>
        <w:rPr>
          <w:rFonts w:ascii="Times New Roman" w:hAnsi="Times New Roman" w:cs="Times New Roman"/>
          <w:sz w:val="28"/>
          <w:szCs w:val="28"/>
          <w:shd w:val="clear" w:color="auto" w:fill="FFFFFF"/>
          <w:lang w:val="kk-KZ"/>
        </w:rPr>
      </w:pPr>
      <w:r w:rsidRPr="002D08BF">
        <w:rPr>
          <w:rFonts w:ascii="Times New Roman" w:hAnsi="Times New Roman" w:cs="Times New Roman"/>
          <w:sz w:val="28"/>
          <w:szCs w:val="28"/>
          <w:shd w:val="clear" w:color="auto" w:fill="FFFFFF"/>
          <w:lang w:val="kk-KZ"/>
        </w:rPr>
        <w:t>АӨК-н дамытуға бағытталған бюджет қаражатын</w:t>
      </w:r>
      <w:r w:rsidR="00B50D5C">
        <w:rPr>
          <w:rFonts w:ascii="Times New Roman" w:hAnsi="Times New Roman" w:cs="Times New Roman"/>
          <w:sz w:val="28"/>
          <w:szCs w:val="28"/>
          <w:shd w:val="clear" w:color="auto" w:fill="FFFFFF"/>
          <w:lang w:val="kk-KZ"/>
        </w:rPr>
        <w:t xml:space="preserve"> пайдалану</w:t>
      </w:r>
      <w:r w:rsidRPr="002D08BF">
        <w:rPr>
          <w:rFonts w:ascii="Times New Roman" w:hAnsi="Times New Roman" w:cs="Times New Roman"/>
          <w:sz w:val="28"/>
          <w:szCs w:val="28"/>
          <w:shd w:val="clear" w:color="auto" w:fill="FFFFFF"/>
          <w:lang w:val="kk-KZ"/>
        </w:rPr>
        <w:t xml:space="preserve"> тиімділі</w:t>
      </w:r>
      <w:r w:rsidR="00B50D5C">
        <w:rPr>
          <w:rFonts w:ascii="Times New Roman" w:hAnsi="Times New Roman" w:cs="Times New Roman"/>
          <w:sz w:val="28"/>
          <w:szCs w:val="28"/>
          <w:shd w:val="clear" w:color="auto" w:fill="FFFFFF"/>
          <w:lang w:val="kk-KZ"/>
        </w:rPr>
        <w:t>гінің</w:t>
      </w:r>
      <w:r>
        <w:rPr>
          <w:rFonts w:ascii="Times New Roman" w:hAnsi="Times New Roman" w:cs="Times New Roman"/>
          <w:sz w:val="28"/>
          <w:szCs w:val="28"/>
          <w:shd w:val="clear" w:color="auto" w:fill="FFFFFF"/>
          <w:lang w:val="kk-KZ"/>
        </w:rPr>
        <w:t xml:space="preserve"> </w:t>
      </w:r>
      <w:r w:rsidR="00414E81" w:rsidRPr="00EE2B3A">
        <w:rPr>
          <w:rFonts w:ascii="Times New Roman" w:hAnsi="Times New Roman" w:cs="Times New Roman"/>
          <w:color w:val="000000"/>
          <w:sz w:val="28"/>
          <w:szCs w:val="28"/>
          <w:lang w:val="kk-KZ"/>
        </w:rPr>
        <w:t>аудит</w:t>
      </w:r>
      <w:r w:rsidR="00B50D5C">
        <w:rPr>
          <w:rFonts w:ascii="Times New Roman" w:hAnsi="Times New Roman" w:cs="Times New Roman"/>
          <w:color w:val="000000"/>
          <w:sz w:val="28"/>
          <w:szCs w:val="28"/>
          <w:lang w:val="kk-KZ"/>
        </w:rPr>
        <w:t>і</w:t>
      </w:r>
      <w:r w:rsidR="00414E81" w:rsidRPr="00EE2B3A">
        <w:rPr>
          <w:rFonts w:ascii="Times New Roman" w:hAnsi="Times New Roman" w:cs="Times New Roman"/>
          <w:color w:val="000000"/>
          <w:sz w:val="28"/>
          <w:szCs w:val="28"/>
          <w:lang w:val="kk-KZ"/>
        </w:rPr>
        <w:t xml:space="preserve"> тақырыбы оны ақылға қонымды уақыт аралығында қамтуға болатындай біртекті пәндік саламен шектелген</w:t>
      </w:r>
      <w:r>
        <w:rPr>
          <w:rFonts w:ascii="Times New Roman" w:hAnsi="Times New Roman" w:cs="Times New Roman"/>
          <w:sz w:val="28"/>
          <w:szCs w:val="28"/>
          <w:shd w:val="clear" w:color="auto" w:fill="FFFFFF"/>
          <w:lang w:val="kk-KZ"/>
        </w:rPr>
        <w:t xml:space="preserve">, соған байланысты тиімділік аудитінің мақсаты, объектісі, пәні, жүргізу құралдары да әр түрлі. </w:t>
      </w:r>
    </w:p>
    <w:p w14:paraId="3B5EF16B" w14:textId="53F59CA7" w:rsidR="00944FBB" w:rsidRPr="00A60B62" w:rsidRDefault="00414E81" w:rsidP="004D4A9B">
      <w:pPr>
        <w:widowControl w:val="0"/>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shd w:val="clear" w:color="auto" w:fill="FFFFFF"/>
          <w:lang w:val="kk-KZ"/>
        </w:rPr>
        <w:t xml:space="preserve">Ұлыбританияда тиімділік аудитін жүргізу кезінде ресурстарды үнемдеу </w:t>
      </w:r>
      <w:r w:rsidR="00B50D5C">
        <w:rPr>
          <w:rFonts w:ascii="Times New Roman" w:hAnsi="Times New Roman" w:cs="Times New Roman"/>
          <w:sz w:val="28"/>
          <w:szCs w:val="28"/>
          <w:shd w:val="clear" w:color="auto" w:fill="FFFFFF"/>
          <w:lang w:val="kk-KZ"/>
        </w:rPr>
        <w:t xml:space="preserve">және қаржылық әсерді қатаң сандық бағалау </w:t>
      </w:r>
      <w:r>
        <w:rPr>
          <w:rFonts w:ascii="Times New Roman" w:hAnsi="Times New Roman" w:cs="Times New Roman"/>
          <w:sz w:val="28"/>
          <w:szCs w:val="28"/>
          <w:shd w:val="clear" w:color="auto" w:fill="FFFFFF"/>
          <w:lang w:val="kk-KZ"/>
        </w:rPr>
        <w:t>мәселе</w:t>
      </w:r>
      <w:r w:rsidR="00B50D5C">
        <w:rPr>
          <w:rFonts w:ascii="Times New Roman" w:hAnsi="Times New Roman" w:cs="Times New Roman"/>
          <w:sz w:val="28"/>
          <w:szCs w:val="28"/>
          <w:shd w:val="clear" w:color="auto" w:fill="FFFFFF"/>
          <w:lang w:val="kk-KZ"/>
        </w:rPr>
        <w:t>лері</w:t>
      </w:r>
      <w:r>
        <w:rPr>
          <w:rFonts w:ascii="Times New Roman" w:hAnsi="Times New Roman" w:cs="Times New Roman"/>
          <w:sz w:val="28"/>
          <w:szCs w:val="28"/>
          <w:shd w:val="clear" w:color="auto" w:fill="FFFFFF"/>
          <w:lang w:val="kk-KZ"/>
        </w:rPr>
        <w:t>не назар аударылады.</w:t>
      </w:r>
      <w:r w:rsidR="00B50D5C">
        <w:rPr>
          <w:rFonts w:ascii="Times New Roman" w:hAnsi="Times New Roman" w:cs="Times New Roman"/>
          <w:sz w:val="28"/>
          <w:szCs w:val="28"/>
          <w:shd w:val="clear" w:color="auto" w:fill="FFFFFF"/>
          <w:lang w:val="kk-KZ"/>
        </w:rPr>
        <w:t xml:space="preserve"> </w:t>
      </w:r>
      <w:r w:rsidR="00944FBB" w:rsidRPr="00EE2B3A">
        <w:rPr>
          <w:rFonts w:ascii="Times New Roman" w:hAnsi="Times New Roman" w:cs="Times New Roman"/>
          <w:color w:val="000000"/>
          <w:sz w:val="28"/>
          <w:szCs w:val="28"/>
          <w:lang w:val="kk-KZ"/>
        </w:rPr>
        <w:t>Аустрияда бір жағынан төлемдер мен екінші жағынан</w:t>
      </w:r>
      <w:r w:rsidR="00944FBB" w:rsidRPr="00944FBB">
        <w:rPr>
          <w:rFonts w:ascii="Times New Roman" w:hAnsi="Times New Roman" w:cs="Times New Roman"/>
          <w:color w:val="000000"/>
          <w:sz w:val="28"/>
          <w:szCs w:val="28"/>
          <w:lang w:val="kk-KZ"/>
        </w:rPr>
        <w:t xml:space="preserve"> кеңес беру, субсидия алуға өтініш беру және қабылдау арасында нақты институционалдық бөлініс бар. Жыл сайын рұқсаттар беруге және субсидиялар төлеуге жауапты орган барлық өтініш берушілердің 5%-</w:t>
      </w:r>
      <w:r w:rsidR="00944FBB">
        <w:rPr>
          <w:rFonts w:ascii="Times New Roman" w:hAnsi="Times New Roman" w:cs="Times New Roman"/>
          <w:color w:val="000000"/>
          <w:sz w:val="28"/>
          <w:szCs w:val="28"/>
          <w:lang w:val="kk-KZ"/>
        </w:rPr>
        <w:t>н</w:t>
      </w:r>
      <w:r w:rsidR="00944FBB" w:rsidRPr="00944FBB">
        <w:rPr>
          <w:rFonts w:ascii="Times New Roman" w:hAnsi="Times New Roman" w:cs="Times New Roman"/>
          <w:color w:val="000000"/>
          <w:sz w:val="28"/>
          <w:szCs w:val="28"/>
          <w:lang w:val="kk-KZ"/>
        </w:rPr>
        <w:t xml:space="preserve"> олар берген деректердің дұрыстығын тексеруі керек. Осы мақсатқа жету үшін</w:t>
      </w:r>
      <w:r w:rsidR="00944FBB">
        <w:rPr>
          <w:rFonts w:ascii="Times New Roman" w:hAnsi="Times New Roman" w:cs="Times New Roman"/>
          <w:color w:val="000000"/>
          <w:sz w:val="28"/>
          <w:szCs w:val="28"/>
          <w:lang w:val="kk-KZ"/>
        </w:rPr>
        <w:t xml:space="preserve"> </w:t>
      </w:r>
      <w:r w:rsidR="00944FBB" w:rsidRPr="00944FBB">
        <w:rPr>
          <w:rFonts w:ascii="Times New Roman" w:hAnsi="Times New Roman" w:cs="Times New Roman"/>
          <w:color w:val="000000"/>
          <w:sz w:val="28"/>
          <w:szCs w:val="28"/>
          <w:lang w:val="kk-KZ"/>
        </w:rPr>
        <w:t>(</w:t>
      </w:r>
      <w:r w:rsidR="00944FBB" w:rsidRPr="00944FBB">
        <w:rPr>
          <w:rFonts w:ascii="Times New Roman" w:hAnsi="Times New Roman" w:cs="Times New Roman"/>
          <w:sz w:val="28"/>
          <w:szCs w:val="28"/>
          <w:lang w:val="kk-KZ"/>
        </w:rPr>
        <w:t xml:space="preserve">Austrian Court of </w:t>
      </w:r>
      <w:r w:rsidR="00944FBB" w:rsidRPr="00A60B62">
        <w:rPr>
          <w:rFonts w:ascii="Times New Roman" w:hAnsi="Times New Roman" w:cs="Times New Roman"/>
          <w:sz w:val="28"/>
          <w:szCs w:val="28"/>
          <w:lang w:val="kk-KZ"/>
        </w:rPr>
        <w:t>Audit</w:t>
      </w:r>
      <w:r w:rsidR="00944FBB" w:rsidRPr="00A60B62">
        <w:rPr>
          <w:rFonts w:ascii="Times New Roman" w:hAnsi="Times New Roman" w:cs="Times New Roman"/>
          <w:color w:val="000000"/>
          <w:sz w:val="28"/>
          <w:szCs w:val="28"/>
          <w:lang w:val="kk-KZ"/>
        </w:rPr>
        <w:t>) ACA сонымен қатар субсидияларды басқаратын агенттік құрған бақылау механизмдерін бағалайды және өз нәтижелерін құзыретті министр мен парламентке хабарлайды</w:t>
      </w:r>
      <w:r w:rsidR="00E8648B" w:rsidRPr="00E8648B">
        <w:rPr>
          <w:rFonts w:ascii="Times New Roman" w:hAnsi="Times New Roman" w:cs="Times New Roman"/>
          <w:color w:val="000000"/>
          <w:sz w:val="28"/>
          <w:szCs w:val="28"/>
          <w:lang w:val="kk-KZ"/>
        </w:rPr>
        <w:t xml:space="preserve"> [64]</w:t>
      </w:r>
      <w:r w:rsidR="00EE2B3A" w:rsidRPr="00A60B62">
        <w:rPr>
          <w:rFonts w:ascii="Times New Roman" w:hAnsi="Times New Roman" w:cs="Times New Roman"/>
          <w:color w:val="000000"/>
          <w:sz w:val="28"/>
          <w:szCs w:val="28"/>
          <w:lang w:val="kk-KZ"/>
        </w:rPr>
        <w:t>.</w:t>
      </w:r>
      <w:r w:rsidR="00A60B62" w:rsidRPr="00A60B62">
        <w:rPr>
          <w:rFonts w:ascii="Times New Roman" w:hAnsi="Times New Roman" w:cs="Times New Roman"/>
          <w:color w:val="000000"/>
          <w:sz w:val="28"/>
          <w:szCs w:val="28"/>
          <w:lang w:val="kk-KZ"/>
        </w:rPr>
        <w:t xml:space="preserve"> ЖАО жұртшылық олардың ақшасының қалай жұмсалатыны туралы және оның рөлін жақсы түсін</w:t>
      </w:r>
      <w:r w:rsidR="00A60B62">
        <w:rPr>
          <w:rFonts w:ascii="Times New Roman" w:hAnsi="Times New Roman" w:cs="Times New Roman"/>
          <w:color w:val="000000"/>
          <w:sz w:val="28"/>
          <w:szCs w:val="28"/>
          <w:lang w:val="kk-KZ"/>
        </w:rPr>
        <w:t>у</w:t>
      </w:r>
      <w:r w:rsidR="00A60B62" w:rsidRPr="00A60B62">
        <w:rPr>
          <w:rFonts w:ascii="Times New Roman" w:hAnsi="Times New Roman" w:cs="Times New Roman"/>
          <w:color w:val="000000"/>
          <w:sz w:val="28"/>
          <w:szCs w:val="28"/>
          <w:lang w:val="kk-KZ"/>
        </w:rPr>
        <w:t xml:space="preserve"> үшін </w:t>
      </w:r>
      <w:r w:rsidR="00A60B62">
        <w:rPr>
          <w:rFonts w:ascii="Times New Roman" w:hAnsi="Times New Roman" w:cs="Times New Roman"/>
          <w:color w:val="000000"/>
          <w:sz w:val="28"/>
          <w:szCs w:val="28"/>
          <w:lang w:val="kk-KZ"/>
        </w:rPr>
        <w:t xml:space="preserve"> аудиторлық</w:t>
      </w:r>
      <w:r w:rsidR="00A85CA6">
        <w:rPr>
          <w:rFonts w:ascii="Times New Roman" w:hAnsi="Times New Roman" w:cs="Times New Roman"/>
          <w:color w:val="000000"/>
          <w:sz w:val="28"/>
          <w:szCs w:val="28"/>
          <w:lang w:val="kk-KZ"/>
        </w:rPr>
        <w:t xml:space="preserve"> </w:t>
      </w:r>
      <w:r w:rsidR="00A60B62" w:rsidRPr="00A60B62">
        <w:rPr>
          <w:rFonts w:ascii="Times New Roman" w:hAnsi="Times New Roman" w:cs="Times New Roman"/>
          <w:color w:val="000000"/>
          <w:sz w:val="28"/>
          <w:szCs w:val="28"/>
          <w:lang w:val="kk-KZ"/>
        </w:rPr>
        <w:t>есептерді жариялауды қарастыруы керек</w:t>
      </w:r>
      <w:r w:rsidR="00A60B62">
        <w:rPr>
          <w:rFonts w:ascii="Times New Roman" w:hAnsi="Times New Roman" w:cs="Times New Roman"/>
          <w:color w:val="000000"/>
          <w:sz w:val="28"/>
          <w:szCs w:val="28"/>
          <w:lang w:val="kk-KZ"/>
        </w:rPr>
        <w:t>.</w:t>
      </w:r>
    </w:p>
    <w:p w14:paraId="5279F357" w14:textId="6B27A70F" w:rsidR="007C29D2"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A60B62">
        <w:rPr>
          <w:rFonts w:ascii="Times New Roman" w:hAnsi="Times New Roman" w:cs="Times New Roman"/>
          <w:sz w:val="28"/>
          <w:szCs w:val="28"/>
          <w:shd w:val="clear" w:color="auto" w:fill="FFFFFF"/>
          <w:lang w:val="kk-KZ"/>
        </w:rPr>
        <w:t xml:space="preserve">ҚР-да </w:t>
      </w:r>
      <w:r w:rsidR="00575788">
        <w:rPr>
          <w:rFonts w:ascii="Times New Roman" w:hAnsi="Times New Roman" w:cs="Times New Roman"/>
          <w:sz w:val="28"/>
          <w:szCs w:val="28"/>
          <w:shd w:val="clear" w:color="auto" w:fill="FFFFFF"/>
          <w:lang w:val="kk-KZ"/>
        </w:rPr>
        <w:t>АӨК-н</w:t>
      </w:r>
      <w:r w:rsidRPr="00A60B62">
        <w:rPr>
          <w:rFonts w:ascii="Times New Roman" w:hAnsi="Times New Roman" w:cs="Times New Roman"/>
          <w:sz w:val="28"/>
          <w:szCs w:val="28"/>
          <w:shd w:val="clear" w:color="auto" w:fill="FFFFFF"/>
          <w:lang w:val="kk-KZ"/>
        </w:rPr>
        <w:t xml:space="preserve"> дамыту ҚР Ауыл шаруашылығы министрлігімен әзірленген және қабылданған мемлекеттік бағдарламалар, ұлттық</w:t>
      </w:r>
      <w:r>
        <w:rPr>
          <w:rFonts w:ascii="Times New Roman" w:hAnsi="Times New Roman" w:cs="Times New Roman"/>
          <w:sz w:val="28"/>
          <w:szCs w:val="28"/>
          <w:shd w:val="clear" w:color="auto" w:fill="FFFFFF"/>
          <w:lang w:val="kk-KZ"/>
        </w:rPr>
        <w:t xml:space="preserve"> жобалар арқылы жүзеге асырылуда. Сондықтан елімізде тиімділік аудитін жүргізу соның ішінде </w:t>
      </w:r>
      <w:r w:rsidR="00575788">
        <w:rPr>
          <w:rFonts w:ascii="Times New Roman" w:hAnsi="Times New Roman" w:cs="Times New Roman"/>
          <w:sz w:val="28"/>
          <w:szCs w:val="28"/>
          <w:shd w:val="clear" w:color="auto" w:fill="FFFFFF"/>
          <w:lang w:val="kk-KZ"/>
        </w:rPr>
        <w:t>АӨК-н</w:t>
      </w:r>
      <w:r>
        <w:rPr>
          <w:rFonts w:ascii="Times New Roman" w:hAnsi="Times New Roman" w:cs="Times New Roman"/>
          <w:sz w:val="28"/>
          <w:szCs w:val="28"/>
          <w:shd w:val="clear" w:color="auto" w:fill="FFFFFF"/>
          <w:lang w:val="kk-KZ"/>
        </w:rPr>
        <w:t xml:space="preserve"> дамытуға бағытталған бюджет қаражатын</w:t>
      </w:r>
      <w:r w:rsidR="00377295">
        <w:rPr>
          <w:rFonts w:ascii="Times New Roman" w:hAnsi="Times New Roman" w:cs="Times New Roman"/>
          <w:sz w:val="28"/>
          <w:szCs w:val="28"/>
          <w:shd w:val="clear" w:color="auto" w:fill="FFFFFF"/>
          <w:lang w:val="kk-KZ"/>
        </w:rPr>
        <w:t xml:space="preserve"> пайдалану</w:t>
      </w:r>
      <w:r>
        <w:rPr>
          <w:rFonts w:ascii="Times New Roman" w:hAnsi="Times New Roman" w:cs="Times New Roman"/>
          <w:sz w:val="28"/>
          <w:szCs w:val="28"/>
          <w:shd w:val="clear" w:color="auto" w:fill="FFFFFF"/>
          <w:lang w:val="kk-KZ"/>
        </w:rPr>
        <w:t xml:space="preserve"> тиімділі</w:t>
      </w:r>
      <w:r w:rsidR="00377295">
        <w:rPr>
          <w:rFonts w:ascii="Times New Roman" w:hAnsi="Times New Roman" w:cs="Times New Roman"/>
          <w:sz w:val="28"/>
          <w:szCs w:val="28"/>
          <w:shd w:val="clear" w:color="auto" w:fill="FFFFFF"/>
          <w:lang w:val="kk-KZ"/>
        </w:rPr>
        <w:t>гінің</w:t>
      </w:r>
      <w:r>
        <w:rPr>
          <w:rFonts w:ascii="Times New Roman" w:hAnsi="Times New Roman" w:cs="Times New Roman"/>
          <w:sz w:val="28"/>
          <w:szCs w:val="28"/>
          <w:shd w:val="clear" w:color="auto" w:fill="FFFFFF"/>
          <w:lang w:val="kk-KZ"/>
        </w:rPr>
        <w:t xml:space="preserve"> аудиті теориядағы және тәжірибедегі жаңа құбылыс болғандықтан оны жан жақты зерттеу және ғылыми түсінік үшін уақыт және тәжірибе қажет. </w:t>
      </w:r>
    </w:p>
    <w:p w14:paraId="38452F6B" w14:textId="77777777" w:rsidR="00970F98" w:rsidRPr="00457CE9" w:rsidRDefault="00970F98" w:rsidP="004D4A9B">
      <w:pPr>
        <w:widowControl w:val="0"/>
        <w:spacing w:after="0" w:line="240" w:lineRule="auto"/>
        <w:ind w:firstLine="709"/>
        <w:jc w:val="both"/>
        <w:rPr>
          <w:rFonts w:ascii="Times New Roman" w:hAnsi="Times New Roman" w:cs="Times New Roman"/>
          <w:sz w:val="28"/>
          <w:szCs w:val="28"/>
          <w:shd w:val="clear" w:color="auto" w:fill="FFFFFF"/>
          <w:lang w:val="kk-KZ"/>
        </w:rPr>
      </w:pPr>
    </w:p>
    <w:p w14:paraId="0D0229C0" w14:textId="77777777" w:rsidR="00472396" w:rsidRPr="00457CE9" w:rsidRDefault="00472396" w:rsidP="004D4A9B">
      <w:pPr>
        <w:widowControl w:val="0"/>
        <w:spacing w:after="0" w:line="240" w:lineRule="auto"/>
        <w:ind w:firstLine="709"/>
        <w:jc w:val="both"/>
        <w:rPr>
          <w:rFonts w:ascii="Times New Roman" w:hAnsi="Times New Roman" w:cs="Times New Roman"/>
          <w:sz w:val="28"/>
          <w:szCs w:val="28"/>
          <w:shd w:val="clear" w:color="auto" w:fill="FFFFFF"/>
          <w:lang w:val="kk-KZ"/>
        </w:rPr>
      </w:pPr>
    </w:p>
    <w:p w14:paraId="18498C74" w14:textId="0D68B384" w:rsidR="00336ACE" w:rsidRPr="004D4A9B" w:rsidRDefault="005A60DD" w:rsidP="004D4A9B">
      <w:pPr>
        <w:widowControl w:val="0"/>
        <w:spacing w:after="0" w:line="240" w:lineRule="auto"/>
        <w:ind w:firstLine="709"/>
        <w:jc w:val="both"/>
        <w:rPr>
          <w:rFonts w:ascii="Times New Roman" w:hAnsi="Times New Roman"/>
          <w:b/>
          <w:sz w:val="28"/>
          <w:szCs w:val="28"/>
          <w:lang w:val="kk-KZ"/>
        </w:rPr>
      </w:pPr>
      <w:r w:rsidRPr="004D4A9B">
        <w:rPr>
          <w:rFonts w:ascii="Times New Roman" w:hAnsi="Times New Roman" w:cs="Times New Roman"/>
          <w:b/>
          <w:sz w:val="28"/>
          <w:szCs w:val="28"/>
          <w:shd w:val="clear" w:color="auto" w:fill="FFFFFF"/>
          <w:lang w:val="kk-KZ"/>
        </w:rPr>
        <w:t xml:space="preserve">2 </w:t>
      </w:r>
      <w:r w:rsidR="004D4A9B" w:rsidRPr="004D4A9B">
        <w:rPr>
          <w:rFonts w:ascii="Times New Roman" w:hAnsi="Times New Roman"/>
          <w:b/>
          <w:sz w:val="28"/>
          <w:szCs w:val="28"/>
          <w:lang w:val="kk-KZ"/>
        </w:rPr>
        <w:t>ҚАЗАҚСТАН РЕСПУБЛИКАСЫНДА АГРОӨНЕРКӘСІП КЕШЕНІН ДАМЫТУҒА БАҒЫТТАЛҒАН БЮДЖЕТ ҚАРАЖАТЫН ПАЙДАЛАНУ ТИІМДІЛІГІ</w:t>
      </w:r>
      <w:r w:rsidR="00377295">
        <w:rPr>
          <w:rFonts w:ascii="Times New Roman" w:hAnsi="Times New Roman"/>
          <w:b/>
          <w:sz w:val="28"/>
          <w:szCs w:val="28"/>
          <w:lang w:val="kk-KZ"/>
        </w:rPr>
        <w:t>НІҢ</w:t>
      </w:r>
      <w:r w:rsidR="004D4A9B" w:rsidRPr="004D4A9B">
        <w:rPr>
          <w:rFonts w:ascii="Times New Roman" w:hAnsi="Times New Roman"/>
          <w:b/>
          <w:sz w:val="28"/>
          <w:szCs w:val="28"/>
          <w:lang w:val="kk-KZ"/>
        </w:rPr>
        <w:t xml:space="preserve"> АУДИТІН ЖҮРГІЗУ ТӘЖІРИБЕСІН ТАЛДАУ МЕН БАҒАЛАУ</w:t>
      </w:r>
    </w:p>
    <w:p w14:paraId="1BD509C4" w14:textId="77777777" w:rsidR="001A2594" w:rsidRPr="00457CE9" w:rsidRDefault="001A2594" w:rsidP="004D4A9B">
      <w:pPr>
        <w:spacing w:after="0" w:line="240" w:lineRule="auto"/>
        <w:ind w:firstLine="709"/>
        <w:jc w:val="both"/>
        <w:rPr>
          <w:rFonts w:ascii="Times New Roman" w:hAnsi="Times New Roman"/>
          <w:sz w:val="28"/>
          <w:szCs w:val="28"/>
          <w:lang w:val="kk-KZ"/>
        </w:rPr>
      </w:pPr>
    </w:p>
    <w:p w14:paraId="589DF5A9" w14:textId="32D32D4C" w:rsidR="00336ACE" w:rsidRPr="004D4A9B" w:rsidRDefault="00336ACE" w:rsidP="004D4A9B">
      <w:pPr>
        <w:spacing w:after="0" w:line="240" w:lineRule="auto"/>
        <w:ind w:firstLine="709"/>
        <w:jc w:val="both"/>
        <w:rPr>
          <w:rFonts w:ascii="Times New Roman" w:hAnsi="Times New Roman"/>
          <w:b/>
          <w:sz w:val="28"/>
          <w:szCs w:val="28"/>
          <w:lang w:val="kk-KZ"/>
        </w:rPr>
      </w:pPr>
      <w:r w:rsidRPr="004D4A9B">
        <w:rPr>
          <w:rFonts w:ascii="Times New Roman" w:hAnsi="Times New Roman"/>
          <w:b/>
          <w:sz w:val="28"/>
          <w:szCs w:val="28"/>
          <w:lang w:val="kk-KZ"/>
        </w:rPr>
        <w:t xml:space="preserve">2.1 </w:t>
      </w:r>
      <w:r w:rsidR="00385ED8" w:rsidRPr="004D4A9B">
        <w:rPr>
          <w:rFonts w:ascii="Times New Roman" w:hAnsi="Times New Roman"/>
          <w:b/>
          <w:sz w:val="28"/>
          <w:szCs w:val="28"/>
          <w:lang w:val="kk-KZ"/>
        </w:rPr>
        <w:t xml:space="preserve">ҚР </w:t>
      </w:r>
      <w:r w:rsidR="00575788">
        <w:rPr>
          <w:rFonts w:ascii="Times New Roman" w:hAnsi="Times New Roman"/>
          <w:b/>
          <w:sz w:val="28"/>
          <w:szCs w:val="28"/>
          <w:lang w:val="kk-KZ"/>
        </w:rPr>
        <w:t>АӨК-н</w:t>
      </w:r>
      <w:r w:rsidRPr="004D4A9B">
        <w:rPr>
          <w:rFonts w:ascii="Times New Roman" w:hAnsi="Times New Roman"/>
          <w:b/>
          <w:sz w:val="28"/>
          <w:szCs w:val="28"/>
          <w:lang w:val="kk-KZ"/>
        </w:rPr>
        <w:t xml:space="preserve"> дамытуға бағытталған бюджет қаражатын пайдалан</w:t>
      </w:r>
      <w:r w:rsidR="004D4A9B">
        <w:rPr>
          <w:rFonts w:ascii="Times New Roman" w:hAnsi="Times New Roman"/>
          <w:b/>
          <w:sz w:val="28"/>
          <w:szCs w:val="28"/>
          <w:lang w:val="kk-KZ"/>
        </w:rPr>
        <w:t xml:space="preserve">удың ағымдағы жағдайын талдау </w:t>
      </w:r>
    </w:p>
    <w:p w14:paraId="35594EA3" w14:textId="605A6A63" w:rsidR="00D40C52" w:rsidRPr="00457CE9" w:rsidRDefault="00D40C52" w:rsidP="004D4A9B">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Ауыл шаруашылығы министрлігі Қазақстан Республикасының АӨК одан әрі дамыту үшін жақсы перспективаға ие екендігін мәлімдейді: майлы, ет секторларының экспорттық позициялары күшейтілуде, ал астық және ұн бойынша Қазақстан қысқа мерзімде әлемдегі ірі экспорттаушы елдердің қатарына кірді. Қазақстанның Еуразиялық экономикалық одақ пен Дүниежүзілік сауда ұйымына мүшелігі ішкі және сыртқы нарықтардағы бәсекеге қабілеттілігіне бір мезгілде жоғары талаптар қояды. Осыған байланысты АӨК-н мемлекеттік реттеудің рөлі өте маңызды. </w:t>
      </w:r>
      <w:r w:rsidR="005C425A" w:rsidRPr="00457CE9">
        <w:rPr>
          <w:rFonts w:ascii="Times New Roman" w:eastAsia="Times New Roman" w:hAnsi="Times New Roman" w:cs="Times New Roman"/>
          <w:kern w:val="36"/>
          <w:sz w:val="28"/>
          <w:szCs w:val="28"/>
          <w:lang w:val="kk-KZ" w:eastAsia="ru-RU"/>
        </w:rPr>
        <w:t xml:space="preserve">Берілетін мемлекеттік қолдаулар тиімді болуы бюджет қаражатының тиімді, нәтижелі пайдаланғанын білдіреді. </w:t>
      </w:r>
    </w:p>
    <w:p w14:paraId="3E2A909E" w14:textId="31EC918F" w:rsidR="001F2459" w:rsidRPr="00457CE9" w:rsidRDefault="001F2459" w:rsidP="004D4A9B">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Мемлекет басшысы Қ.К. Тоқаевтың 2019 жылғы 2 қыркүйектегі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Сындарлы қоғамдық диалог – Қазақстанның тұрақтылығы мен өркендеуінің негізі</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атты жолдауында: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ауыл шаруашылығы толық көлемде пайдаланылмайды, дегенмен бұл сала – біздің негізгі ресурсымыз</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деген [</w:t>
      </w:r>
      <w:r w:rsidR="00E232BF">
        <w:rPr>
          <w:rFonts w:ascii="Times New Roman" w:eastAsia="Times New Roman" w:hAnsi="Times New Roman" w:cs="Times New Roman"/>
          <w:kern w:val="36"/>
          <w:sz w:val="28"/>
          <w:szCs w:val="28"/>
          <w:lang w:val="kk-KZ" w:eastAsia="ru-RU"/>
        </w:rPr>
        <w:t>7</w:t>
      </w:r>
      <w:r w:rsidR="00E8648B" w:rsidRPr="00E8648B">
        <w:rPr>
          <w:rFonts w:ascii="Times New Roman" w:eastAsia="Times New Roman" w:hAnsi="Times New Roman" w:cs="Times New Roman"/>
          <w:kern w:val="36"/>
          <w:sz w:val="28"/>
          <w:szCs w:val="28"/>
          <w:lang w:val="kk-KZ" w:eastAsia="ru-RU"/>
        </w:rPr>
        <w:t>5</w:t>
      </w:r>
      <w:r w:rsidRPr="00457CE9">
        <w:rPr>
          <w:rFonts w:ascii="Times New Roman" w:eastAsia="Times New Roman" w:hAnsi="Times New Roman" w:cs="Times New Roman"/>
          <w:kern w:val="36"/>
          <w:sz w:val="28"/>
          <w:szCs w:val="28"/>
          <w:lang w:val="kk-KZ" w:eastAsia="ru-RU"/>
        </w:rPr>
        <w:t>].</w:t>
      </w:r>
    </w:p>
    <w:p w14:paraId="01FAC93B" w14:textId="77777777" w:rsidR="001F2459" w:rsidRPr="00457CE9" w:rsidRDefault="001F2459" w:rsidP="004D4A9B">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АӨК экономиканың маңызды секторы және ауыл шаруашылығының тұрақты дамуы елдің азық-түлік қауіпсіздігінің кепілі болып табылады.</w:t>
      </w:r>
    </w:p>
    <w:p w14:paraId="0D068905" w14:textId="10DA6C39" w:rsidR="008C4E75" w:rsidRPr="00457CE9" w:rsidRDefault="00D40C52" w:rsidP="004D4A9B">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Тәуелсіздік кезеңінде тоғыз бағдарламалық құжат </w:t>
      </w:r>
      <w:r w:rsidR="00F111A3">
        <w:rPr>
          <w:rFonts w:ascii="Times New Roman" w:eastAsia="Times New Roman" w:hAnsi="Times New Roman" w:cs="Times New Roman"/>
          <w:kern w:val="36"/>
          <w:sz w:val="28"/>
          <w:szCs w:val="28"/>
          <w:lang w:val="kk-KZ" w:eastAsia="ru-RU"/>
        </w:rPr>
        <w:t xml:space="preserve">және қазіргі таңда іске асырылып жатқан ұлттық жоба </w:t>
      </w:r>
      <w:r w:rsidRPr="00457CE9">
        <w:rPr>
          <w:rFonts w:ascii="Times New Roman" w:eastAsia="Times New Roman" w:hAnsi="Times New Roman" w:cs="Times New Roman"/>
          <w:kern w:val="36"/>
          <w:sz w:val="28"/>
          <w:szCs w:val="28"/>
          <w:lang w:val="kk-KZ" w:eastAsia="ru-RU"/>
        </w:rPr>
        <w:t>әзірленді, олардың негізінде АӨК саласындағы мемлекеттік саясат іске асырылды</w:t>
      </w:r>
      <w:r w:rsidR="008C4E75" w:rsidRPr="00457CE9">
        <w:rPr>
          <w:rFonts w:ascii="Times New Roman" w:eastAsia="Times New Roman" w:hAnsi="Times New Roman" w:cs="Times New Roman"/>
          <w:kern w:val="36"/>
          <w:sz w:val="28"/>
          <w:szCs w:val="28"/>
          <w:lang w:val="kk-KZ" w:eastAsia="ru-RU"/>
        </w:rPr>
        <w:t xml:space="preserve">. </w:t>
      </w:r>
    </w:p>
    <w:p w14:paraId="68F9431C" w14:textId="6098EE1E" w:rsidR="00126428" w:rsidRPr="00457CE9" w:rsidRDefault="00126428" w:rsidP="004D4A9B">
      <w:pPr>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eastAsia="Times New Roman" w:hAnsi="Times New Roman" w:cs="Times New Roman"/>
          <w:kern w:val="36"/>
          <w:sz w:val="28"/>
          <w:szCs w:val="28"/>
          <w:lang w:val="kk-KZ" w:eastAsia="ru-RU"/>
        </w:rPr>
        <w:t>1991-1995 жылдар және 2000 жылға дейінгі кезеңге арналған «Ауыл әлеуметтік-экономикалық даму бағдарламасы»</w:t>
      </w:r>
      <w:r w:rsidRPr="00457CE9">
        <w:rPr>
          <w:rFonts w:ascii="Times New Roman" w:hAnsi="Times New Roman" w:cs="Times New Roman"/>
          <w:kern w:val="36"/>
          <w:sz w:val="28"/>
          <w:szCs w:val="28"/>
          <w:lang w:val="kk-KZ" w:eastAsia="zh-CN"/>
        </w:rPr>
        <w:t xml:space="preserve"> Қазақ ССР Жоғары кеңесінің қаулысымен бекітілген [</w:t>
      </w:r>
      <w:r w:rsidR="00E8648B" w:rsidRPr="00E8648B">
        <w:rPr>
          <w:rFonts w:ascii="Times New Roman" w:hAnsi="Times New Roman" w:cs="Times New Roman"/>
          <w:kern w:val="36"/>
          <w:sz w:val="28"/>
          <w:szCs w:val="28"/>
          <w:lang w:val="kk-KZ" w:eastAsia="zh-CN"/>
        </w:rPr>
        <w:t>76</w:t>
      </w:r>
      <w:r w:rsidRPr="00457CE9">
        <w:rPr>
          <w:rFonts w:ascii="Times New Roman" w:hAnsi="Times New Roman" w:cs="Times New Roman"/>
          <w:kern w:val="36"/>
          <w:sz w:val="28"/>
          <w:szCs w:val="28"/>
          <w:lang w:val="kk-KZ" w:eastAsia="zh-CN"/>
        </w:rPr>
        <w:t>]. Бағдарламада республиканың ұлттық табысының үштен бір бөлігі</w:t>
      </w:r>
      <w:r w:rsidR="00F111A3">
        <w:rPr>
          <w:rFonts w:ascii="Times New Roman" w:hAnsi="Times New Roman" w:cs="Times New Roman"/>
          <w:kern w:val="36"/>
          <w:sz w:val="28"/>
          <w:szCs w:val="28"/>
          <w:lang w:val="kk-KZ" w:eastAsia="zh-CN"/>
        </w:rPr>
        <w:t xml:space="preserve"> осы салада</w:t>
      </w:r>
      <w:r w:rsidRPr="00457CE9">
        <w:rPr>
          <w:rFonts w:ascii="Times New Roman" w:hAnsi="Times New Roman" w:cs="Times New Roman"/>
          <w:kern w:val="36"/>
          <w:sz w:val="28"/>
          <w:szCs w:val="28"/>
          <w:lang w:val="kk-KZ" w:eastAsia="zh-CN"/>
        </w:rPr>
        <w:t xml:space="preserve"> құралатыны аталған. </w:t>
      </w:r>
    </w:p>
    <w:p w14:paraId="73C7A7CA" w14:textId="07A91669" w:rsidR="00125286" w:rsidRPr="00457CE9" w:rsidRDefault="00126428" w:rsidP="004D4A9B">
      <w:pPr>
        <w:spacing w:after="0" w:line="240" w:lineRule="auto"/>
        <w:ind w:firstLine="709"/>
        <w:jc w:val="both"/>
        <w:textAlignment w:val="baseline"/>
        <w:outlineLvl w:val="0"/>
        <w:rPr>
          <w:rFonts w:ascii="Times New Roman" w:hAnsi="Times New Roman" w:cs="Times New Roman"/>
          <w:sz w:val="28"/>
          <w:szCs w:val="28"/>
          <w:lang w:val="kk-KZ"/>
        </w:rPr>
      </w:pPr>
      <w:r w:rsidRPr="00457CE9">
        <w:rPr>
          <w:rFonts w:ascii="Times New Roman" w:hAnsi="Times New Roman" w:cs="Times New Roman"/>
          <w:kern w:val="36"/>
          <w:sz w:val="28"/>
          <w:szCs w:val="28"/>
          <w:lang w:val="kk-KZ" w:eastAsia="zh-CN"/>
        </w:rPr>
        <w:t>Ауылды</w:t>
      </w:r>
      <w:r w:rsidR="00482241" w:rsidRPr="00457CE9">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әлеуметтік-экономикалық дамыту бағдарламасы «Қазақ ССР-інде ауылды, селоны және агроөнеркәсіптік кешенді дамытудың басымдығы туралы» Қазақ ССР Заңын іске асыруға бағытталған. Оның мақсаты – агроөнеркәсіп кешен</w:t>
      </w:r>
      <w:r w:rsidR="00F111A3">
        <w:rPr>
          <w:rFonts w:ascii="Times New Roman" w:hAnsi="Times New Roman" w:cs="Times New Roman"/>
          <w:kern w:val="36"/>
          <w:sz w:val="28"/>
          <w:szCs w:val="28"/>
          <w:lang w:val="kk-KZ" w:eastAsia="zh-CN"/>
        </w:rPr>
        <w:t>ін</w:t>
      </w:r>
      <w:r w:rsidRPr="00457CE9">
        <w:rPr>
          <w:rFonts w:ascii="Times New Roman" w:hAnsi="Times New Roman" w:cs="Times New Roman"/>
          <w:kern w:val="36"/>
          <w:sz w:val="28"/>
          <w:szCs w:val="28"/>
          <w:lang w:val="kk-KZ" w:eastAsia="zh-CN"/>
        </w:rPr>
        <w:t>дегі әлеуметтік және экономикалық саясатты жандандыру, ауыл еңбеккерлерінің өмір сүру сапасын арттыруға жәрдемдесу және осының негізінде олардың еңбек өнімділігінің өсуіне, халықты азық-түлікпен, ал өнеркәсіпті шикізатпен жабдықтауды жақсартуға қол жеткізу деп аталған. Осыған орай әр облыс</w:t>
      </w:r>
      <w:r w:rsidR="00F111A3">
        <w:rPr>
          <w:rFonts w:ascii="Times New Roman" w:hAnsi="Times New Roman" w:cs="Times New Roman"/>
          <w:kern w:val="36"/>
          <w:sz w:val="28"/>
          <w:szCs w:val="28"/>
          <w:lang w:val="kk-KZ" w:eastAsia="zh-CN"/>
        </w:rPr>
        <w:t>қа</w:t>
      </w:r>
      <w:r w:rsidRPr="00457CE9">
        <w:rPr>
          <w:rFonts w:ascii="Times New Roman" w:hAnsi="Times New Roman" w:cs="Times New Roman"/>
          <w:kern w:val="36"/>
          <w:sz w:val="28"/>
          <w:szCs w:val="28"/>
          <w:lang w:val="kk-KZ" w:eastAsia="zh-CN"/>
        </w:rPr>
        <w:t xml:space="preserve"> «Ауыл</w:t>
      </w:r>
      <w:r w:rsidR="00F111A3">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әлеуметтік</w:t>
      </w:r>
      <w:r w:rsidR="00F111A3">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экономикалық даму» Бағдарламасын жасау тапсырылған [</w:t>
      </w:r>
      <w:r w:rsidR="00A754B5" w:rsidRPr="00A754B5">
        <w:rPr>
          <w:rFonts w:ascii="Times New Roman" w:hAnsi="Times New Roman" w:cs="Times New Roman"/>
          <w:kern w:val="36"/>
          <w:sz w:val="28"/>
          <w:szCs w:val="28"/>
          <w:lang w:val="kk-KZ" w:eastAsia="zh-CN"/>
        </w:rPr>
        <w:t>75</w:t>
      </w:r>
      <w:r w:rsidRPr="00457CE9">
        <w:rPr>
          <w:rFonts w:ascii="Times New Roman" w:hAnsi="Times New Roman" w:cs="Times New Roman"/>
          <w:kern w:val="36"/>
          <w:sz w:val="28"/>
          <w:szCs w:val="28"/>
          <w:lang w:val="kk-KZ" w:eastAsia="zh-CN"/>
        </w:rPr>
        <w:t>].</w:t>
      </w:r>
      <w:r w:rsidR="002C5881">
        <w:rPr>
          <w:rFonts w:ascii="Times New Roman" w:hAnsi="Times New Roman" w:cs="Times New Roman"/>
          <w:kern w:val="36"/>
          <w:sz w:val="28"/>
          <w:szCs w:val="28"/>
          <w:lang w:val="kk-KZ" w:eastAsia="zh-CN"/>
        </w:rPr>
        <w:t xml:space="preserve"> </w:t>
      </w:r>
      <w:r w:rsidR="008C4E75" w:rsidRPr="00457CE9">
        <w:rPr>
          <w:rFonts w:ascii="Times New Roman" w:eastAsia="Times New Roman" w:hAnsi="Times New Roman" w:cs="Times New Roman"/>
          <w:kern w:val="36"/>
          <w:sz w:val="28"/>
          <w:szCs w:val="28"/>
          <w:lang w:val="kk-KZ" w:eastAsia="ru-RU"/>
        </w:rPr>
        <w:t>Қазақстан Республикасының ұлттық экономикасының маңызды бір бөлігі болып табылатын агроөнеркәсіп кешені даму стратегиялық құжаттарында еліміздің кең жер аудандары, соның ішінде ауыл шаруашылық алқаптар зор әлеуеті</w:t>
      </w:r>
      <w:r w:rsidR="00F111A3">
        <w:rPr>
          <w:rFonts w:ascii="Times New Roman" w:eastAsia="Times New Roman" w:hAnsi="Times New Roman" w:cs="Times New Roman"/>
          <w:kern w:val="36"/>
          <w:sz w:val="28"/>
          <w:szCs w:val="28"/>
          <w:lang w:val="kk-KZ" w:eastAsia="ru-RU"/>
        </w:rPr>
        <w:t>ні</w:t>
      </w:r>
      <w:r w:rsidR="008C4E75" w:rsidRPr="00457CE9">
        <w:rPr>
          <w:rFonts w:ascii="Times New Roman" w:eastAsia="Times New Roman" w:hAnsi="Times New Roman" w:cs="Times New Roman"/>
          <w:kern w:val="36"/>
          <w:sz w:val="28"/>
          <w:szCs w:val="28"/>
          <w:lang w:val="kk-KZ" w:eastAsia="ru-RU"/>
        </w:rPr>
        <w:t>ң бар екендігі, және географиялық ере</w:t>
      </w:r>
      <w:r w:rsidR="00F111A3">
        <w:rPr>
          <w:rFonts w:ascii="Times New Roman" w:eastAsia="Times New Roman" w:hAnsi="Times New Roman" w:cs="Times New Roman"/>
          <w:kern w:val="36"/>
          <w:sz w:val="28"/>
          <w:szCs w:val="28"/>
          <w:lang w:val="kk-KZ" w:eastAsia="ru-RU"/>
        </w:rPr>
        <w:t>к</w:t>
      </w:r>
      <w:r w:rsidR="008C4E75" w:rsidRPr="00457CE9">
        <w:rPr>
          <w:rFonts w:ascii="Times New Roman" w:eastAsia="Times New Roman" w:hAnsi="Times New Roman" w:cs="Times New Roman"/>
          <w:kern w:val="36"/>
          <w:sz w:val="28"/>
          <w:szCs w:val="28"/>
          <w:lang w:val="kk-KZ" w:eastAsia="ru-RU"/>
        </w:rPr>
        <w:t>шелігі бойынша дамыған Канада мен Австралияға ұқсас екендігі, бірақ осы елдердің осы саладағы өнімділігі мен экспорттық әлеуеті әлдеқайда жоғары екендігі аталған.</w:t>
      </w:r>
      <w:r w:rsidR="00125286" w:rsidRPr="00457CE9">
        <w:rPr>
          <w:rFonts w:ascii="Times New Roman" w:eastAsia="Times New Roman" w:hAnsi="Times New Roman" w:cs="Times New Roman"/>
          <w:kern w:val="36"/>
          <w:sz w:val="28"/>
          <w:szCs w:val="28"/>
          <w:lang w:val="kk-KZ" w:eastAsia="ru-RU"/>
        </w:rPr>
        <w:t xml:space="preserve"> </w:t>
      </w:r>
      <w:r w:rsidR="00125286" w:rsidRPr="00457CE9">
        <w:rPr>
          <w:rFonts w:ascii="Times New Roman" w:hAnsi="Times New Roman" w:cs="Times New Roman"/>
          <w:sz w:val="28"/>
          <w:szCs w:val="28"/>
          <w:lang w:val="kk-KZ"/>
        </w:rPr>
        <w:t>ҚР-ның 2015-202</w:t>
      </w:r>
      <w:r w:rsidR="006B3F88">
        <w:rPr>
          <w:rFonts w:ascii="Times New Roman" w:hAnsi="Times New Roman" w:cs="Times New Roman"/>
          <w:sz w:val="28"/>
          <w:szCs w:val="28"/>
          <w:lang w:val="kk-KZ"/>
        </w:rPr>
        <w:t>2</w:t>
      </w:r>
      <w:r w:rsidR="00125286" w:rsidRPr="00457CE9">
        <w:rPr>
          <w:rFonts w:ascii="Times New Roman" w:hAnsi="Times New Roman" w:cs="Times New Roman"/>
          <w:sz w:val="28"/>
          <w:szCs w:val="28"/>
          <w:lang w:val="kk-KZ"/>
        </w:rPr>
        <w:t xml:space="preserve"> жж. аралығында ауыл шаруашылығы бойынша </w:t>
      </w:r>
      <w:r w:rsidR="000C2410" w:rsidRPr="00457CE9">
        <w:rPr>
          <w:rFonts w:ascii="Times New Roman" w:hAnsi="Times New Roman" w:cs="Times New Roman"/>
          <w:sz w:val="28"/>
          <w:szCs w:val="28"/>
          <w:lang w:val="kk-KZ"/>
        </w:rPr>
        <w:t xml:space="preserve">макроэкономикалық </w:t>
      </w:r>
      <w:r w:rsidR="00125286" w:rsidRPr="00457CE9">
        <w:rPr>
          <w:rFonts w:ascii="Times New Roman" w:hAnsi="Times New Roman" w:cs="Times New Roman"/>
          <w:sz w:val="28"/>
          <w:szCs w:val="28"/>
          <w:lang w:val="kk-KZ"/>
        </w:rPr>
        <w:t xml:space="preserve">негізгі көрсеткіштер динамикасы </w:t>
      </w:r>
      <w:r w:rsidR="00023296">
        <w:rPr>
          <w:rFonts w:ascii="Times New Roman" w:hAnsi="Times New Roman" w:cs="Times New Roman"/>
          <w:sz w:val="28"/>
          <w:szCs w:val="28"/>
          <w:lang w:val="kk-KZ"/>
        </w:rPr>
        <w:t>8</w:t>
      </w:r>
      <w:r w:rsidR="00125286" w:rsidRPr="00457CE9">
        <w:rPr>
          <w:rFonts w:ascii="Times New Roman" w:hAnsi="Times New Roman" w:cs="Times New Roman"/>
          <w:sz w:val="28"/>
          <w:szCs w:val="28"/>
          <w:lang w:val="kk-KZ"/>
        </w:rPr>
        <w:t xml:space="preserve">-кестеде келтірілген.   </w:t>
      </w:r>
    </w:p>
    <w:p w14:paraId="6939BCE5" w14:textId="218EF9AE" w:rsidR="004D4A9B" w:rsidRPr="0002736D" w:rsidRDefault="00125286" w:rsidP="0002736D">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023296">
        <w:rPr>
          <w:rFonts w:ascii="Times New Roman" w:hAnsi="Times New Roman" w:cs="Times New Roman"/>
          <w:sz w:val="28"/>
          <w:szCs w:val="28"/>
          <w:lang w:val="kk-KZ"/>
        </w:rPr>
        <w:t>8</w:t>
      </w:r>
      <w:r w:rsidRPr="00457CE9">
        <w:rPr>
          <w:rFonts w:ascii="Times New Roman" w:hAnsi="Times New Roman" w:cs="Times New Roman"/>
          <w:sz w:val="28"/>
          <w:szCs w:val="28"/>
          <w:lang w:val="kk-KZ"/>
        </w:rPr>
        <w:t xml:space="preserve"> – ҚР-ның 2015-202</w:t>
      </w:r>
      <w:r w:rsidR="006B3F88">
        <w:rPr>
          <w:rFonts w:ascii="Times New Roman" w:hAnsi="Times New Roman" w:cs="Times New Roman"/>
          <w:sz w:val="28"/>
          <w:szCs w:val="28"/>
          <w:lang w:val="kk-KZ"/>
        </w:rPr>
        <w:t>2</w:t>
      </w:r>
      <w:r w:rsidRPr="00457CE9">
        <w:rPr>
          <w:rFonts w:ascii="Times New Roman" w:hAnsi="Times New Roman" w:cs="Times New Roman"/>
          <w:sz w:val="28"/>
          <w:szCs w:val="28"/>
          <w:lang w:val="kk-KZ"/>
        </w:rPr>
        <w:t xml:space="preserve"> жж. аралығында ауыл шаруашылығы бойынша негізгі көрсеткіштер динамикасы</w:t>
      </w:r>
    </w:p>
    <w:tbl>
      <w:tblPr>
        <w:tblStyle w:val="a3"/>
        <w:tblW w:w="9634" w:type="dxa"/>
        <w:jc w:val="center"/>
        <w:tblLayout w:type="fixed"/>
        <w:tblLook w:val="04A0" w:firstRow="1" w:lastRow="0" w:firstColumn="1" w:lastColumn="0" w:noHBand="0" w:noVBand="1"/>
      </w:tblPr>
      <w:tblGrid>
        <w:gridCol w:w="2592"/>
        <w:gridCol w:w="851"/>
        <w:gridCol w:w="850"/>
        <w:gridCol w:w="805"/>
        <w:gridCol w:w="851"/>
        <w:gridCol w:w="850"/>
        <w:gridCol w:w="851"/>
        <w:gridCol w:w="850"/>
        <w:gridCol w:w="1134"/>
      </w:tblGrid>
      <w:tr w:rsidR="006B3F88" w:rsidRPr="004D4A9B" w14:paraId="2A9E61B8" w14:textId="1F6F8E41" w:rsidTr="000B40CB">
        <w:trPr>
          <w:jc w:val="center"/>
        </w:trPr>
        <w:tc>
          <w:tcPr>
            <w:tcW w:w="2592" w:type="dxa"/>
            <w:tcBorders>
              <w:top w:val="single" w:sz="4" w:space="0" w:color="auto"/>
              <w:left w:val="single" w:sz="4" w:space="0" w:color="auto"/>
              <w:bottom w:val="single" w:sz="4" w:space="0" w:color="auto"/>
              <w:right w:val="single" w:sz="4" w:space="0" w:color="auto"/>
            </w:tcBorders>
            <w:vAlign w:val="center"/>
            <w:hideMark/>
          </w:tcPr>
          <w:p w14:paraId="58F584F2" w14:textId="77777777" w:rsidR="006B3F88" w:rsidRPr="004D4A9B" w:rsidRDefault="006B3F88" w:rsidP="002C5881">
            <w:pPr>
              <w:pStyle w:val="ad"/>
              <w:jc w:val="center"/>
              <w:rPr>
                <w:rFonts w:ascii="Times New Roman" w:hAnsi="Times New Roman"/>
                <w:sz w:val="24"/>
                <w:szCs w:val="24"/>
                <w:lang w:val="kk-KZ" w:eastAsia="en-US"/>
              </w:rPr>
            </w:pPr>
            <w:r w:rsidRPr="004D4A9B">
              <w:rPr>
                <w:rFonts w:ascii="Times New Roman" w:hAnsi="Times New Roman"/>
                <w:sz w:val="24"/>
                <w:szCs w:val="24"/>
                <w:lang w:val="kk-KZ" w:eastAsia="en-US"/>
              </w:rPr>
              <w:t>Көрсеткіштер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FA13B3" w14:textId="77777777" w:rsidR="006B3F88" w:rsidRPr="004D4A9B" w:rsidRDefault="006B3F88" w:rsidP="002C5881">
            <w:pPr>
              <w:pStyle w:val="af"/>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2015 жыл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D2A76C"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2016 жыл</w:t>
            </w:r>
          </w:p>
        </w:tc>
        <w:tc>
          <w:tcPr>
            <w:tcW w:w="805" w:type="dxa"/>
            <w:tcBorders>
              <w:top w:val="single" w:sz="4" w:space="0" w:color="auto"/>
              <w:left w:val="single" w:sz="4" w:space="0" w:color="auto"/>
              <w:bottom w:val="single" w:sz="4" w:space="0" w:color="auto"/>
              <w:right w:val="single" w:sz="4" w:space="0" w:color="auto"/>
            </w:tcBorders>
            <w:vAlign w:val="center"/>
            <w:hideMark/>
          </w:tcPr>
          <w:p w14:paraId="756DBB90"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2017 жыл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C181A5" w14:textId="77777777" w:rsidR="006B3F88" w:rsidRPr="004D4A9B" w:rsidRDefault="006B3F88" w:rsidP="002C5881">
            <w:pPr>
              <w:pStyle w:val="af"/>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2018 жыл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975402" w14:textId="77777777" w:rsidR="006B3F88" w:rsidRPr="004D4A9B" w:rsidRDefault="006B3F88" w:rsidP="002C5881">
            <w:pPr>
              <w:pStyle w:val="af"/>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2019 жыл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7EABFD" w14:textId="7035E57F" w:rsidR="006B3F88" w:rsidRPr="004D4A9B" w:rsidRDefault="006B3F88" w:rsidP="002C5881">
            <w:pPr>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2020 жыл</w:t>
            </w:r>
          </w:p>
        </w:tc>
        <w:tc>
          <w:tcPr>
            <w:tcW w:w="850" w:type="dxa"/>
            <w:tcBorders>
              <w:top w:val="single" w:sz="4" w:space="0" w:color="auto"/>
              <w:left w:val="single" w:sz="4" w:space="0" w:color="auto"/>
              <w:bottom w:val="single" w:sz="4" w:space="0" w:color="auto"/>
              <w:right w:val="single" w:sz="4" w:space="0" w:color="auto"/>
            </w:tcBorders>
            <w:vAlign w:val="center"/>
          </w:tcPr>
          <w:p w14:paraId="3E83EB99" w14:textId="2302AF91" w:rsidR="006B3F88" w:rsidRPr="004D4A9B" w:rsidRDefault="006B3F88" w:rsidP="002C5881">
            <w:pPr>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2021 жыл</w:t>
            </w:r>
          </w:p>
        </w:tc>
        <w:tc>
          <w:tcPr>
            <w:tcW w:w="1134" w:type="dxa"/>
            <w:tcBorders>
              <w:top w:val="single" w:sz="4" w:space="0" w:color="auto"/>
              <w:left w:val="single" w:sz="4" w:space="0" w:color="auto"/>
              <w:bottom w:val="single" w:sz="4" w:space="0" w:color="auto"/>
              <w:right w:val="single" w:sz="4" w:space="0" w:color="auto"/>
            </w:tcBorders>
          </w:tcPr>
          <w:p w14:paraId="6998EBE3" w14:textId="41FFE1B3" w:rsidR="006B3F88" w:rsidRPr="004D4A9B" w:rsidRDefault="006B3F88" w:rsidP="002C5881">
            <w:pPr>
              <w:jc w:val="center"/>
              <w:rPr>
                <w:rFonts w:ascii="Times New Roman" w:hAnsi="Times New Roman" w:cs="Times New Roman"/>
                <w:sz w:val="24"/>
                <w:szCs w:val="24"/>
              </w:rPr>
            </w:pPr>
            <w:r>
              <w:rPr>
                <w:rFonts w:ascii="Times New Roman" w:hAnsi="Times New Roman" w:cs="Times New Roman"/>
                <w:sz w:val="24"/>
                <w:szCs w:val="24"/>
                <w:lang w:val="kk-KZ"/>
              </w:rPr>
              <w:t>2022 жыл</w:t>
            </w:r>
          </w:p>
        </w:tc>
      </w:tr>
      <w:tr w:rsidR="006B3F88" w:rsidRPr="004D4A9B" w14:paraId="6E2F2CB3" w14:textId="44D9BE79" w:rsidTr="000B40CB">
        <w:trPr>
          <w:jc w:val="center"/>
        </w:trPr>
        <w:tc>
          <w:tcPr>
            <w:tcW w:w="2592" w:type="dxa"/>
            <w:tcBorders>
              <w:top w:val="single" w:sz="4" w:space="0" w:color="auto"/>
              <w:left w:val="single" w:sz="4" w:space="0" w:color="auto"/>
              <w:bottom w:val="single" w:sz="4" w:space="0" w:color="auto"/>
              <w:right w:val="single" w:sz="4" w:space="0" w:color="auto"/>
            </w:tcBorders>
            <w:vAlign w:val="bottom"/>
            <w:hideMark/>
          </w:tcPr>
          <w:p w14:paraId="1917AC28" w14:textId="77777777" w:rsidR="006B3F88" w:rsidRPr="004D4A9B" w:rsidRDefault="006B3F88" w:rsidP="002C5881">
            <w:pPr>
              <w:pStyle w:val="ad"/>
              <w:rPr>
                <w:rFonts w:ascii="Times New Roman" w:hAnsi="Times New Roman"/>
                <w:sz w:val="24"/>
                <w:szCs w:val="24"/>
                <w:lang w:val="kk-KZ" w:eastAsia="en-US"/>
              </w:rPr>
            </w:pPr>
            <w:r w:rsidRPr="004D4A9B">
              <w:rPr>
                <w:rFonts w:ascii="Times New Roman" w:hAnsi="Times New Roman"/>
                <w:sz w:val="24"/>
                <w:szCs w:val="24"/>
                <w:lang w:val="kk-KZ" w:eastAsia="en-US"/>
              </w:rPr>
              <w:t>Жалпы ішкі өнім (ЖІӨ), млрд. теңге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0F9F0F" w14:textId="77777777" w:rsidR="006B3F88" w:rsidRDefault="006B3F88" w:rsidP="002C5881">
            <w:pPr>
              <w:pStyle w:val="af"/>
              <w:ind w:left="-124" w:right="-81"/>
              <w:jc w:val="center"/>
              <w:rPr>
                <w:rFonts w:ascii="Times New Roman" w:hAnsi="Times New Roman"/>
                <w:color w:val="auto"/>
                <w:sz w:val="24"/>
                <w:szCs w:val="24"/>
                <w:lang w:val="en-US" w:eastAsia="en-US"/>
              </w:rPr>
            </w:pPr>
            <w:r w:rsidRPr="004D4A9B">
              <w:rPr>
                <w:rFonts w:ascii="Times New Roman" w:hAnsi="Times New Roman"/>
                <w:color w:val="auto"/>
                <w:sz w:val="24"/>
                <w:szCs w:val="24"/>
                <w:lang w:val="kk-KZ" w:eastAsia="en-US"/>
              </w:rPr>
              <w:t>408</w:t>
            </w:r>
            <w:r>
              <w:rPr>
                <w:rFonts w:ascii="Times New Roman" w:hAnsi="Times New Roman"/>
                <w:color w:val="auto"/>
                <w:sz w:val="24"/>
                <w:szCs w:val="24"/>
                <w:lang w:val="en-US" w:eastAsia="en-US"/>
              </w:rPr>
              <w:t xml:space="preserve"> </w:t>
            </w:r>
          </w:p>
          <w:p w14:paraId="3C344BFB" w14:textId="7A4A724B" w:rsidR="006B3F88" w:rsidRPr="002C5881" w:rsidRDefault="006B3F88" w:rsidP="002C5881">
            <w:pPr>
              <w:pStyle w:val="af"/>
              <w:ind w:left="-124" w:right="-81"/>
              <w:jc w:val="center"/>
              <w:rPr>
                <w:rFonts w:ascii="Times New Roman" w:hAnsi="Times New Roman"/>
                <w:color w:val="auto"/>
                <w:sz w:val="24"/>
                <w:szCs w:val="24"/>
                <w:lang w:val="en-US" w:eastAsia="en-US"/>
              </w:rPr>
            </w:pPr>
            <w:r w:rsidRPr="004D4A9B">
              <w:rPr>
                <w:rFonts w:ascii="Times New Roman" w:hAnsi="Times New Roman"/>
                <w:color w:val="auto"/>
                <w:sz w:val="24"/>
                <w:szCs w:val="24"/>
                <w:lang w:val="kk-KZ" w:eastAsia="en-US"/>
              </w:rPr>
              <w:t>84,1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C07948" w14:textId="77777777" w:rsidR="006B3F88"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469</w:t>
            </w:r>
          </w:p>
          <w:p w14:paraId="3D53A0AB" w14:textId="1355C703"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71,2</w:t>
            </w:r>
          </w:p>
        </w:tc>
        <w:tc>
          <w:tcPr>
            <w:tcW w:w="805" w:type="dxa"/>
            <w:tcBorders>
              <w:top w:val="single" w:sz="4" w:space="0" w:color="auto"/>
              <w:left w:val="single" w:sz="4" w:space="0" w:color="auto"/>
              <w:bottom w:val="single" w:sz="4" w:space="0" w:color="auto"/>
              <w:right w:val="single" w:sz="4" w:space="0" w:color="auto"/>
            </w:tcBorders>
            <w:vAlign w:val="center"/>
            <w:hideMark/>
          </w:tcPr>
          <w:p w14:paraId="2B495F76" w14:textId="77777777" w:rsidR="006B3F88"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543</w:t>
            </w:r>
          </w:p>
          <w:p w14:paraId="4C479AB5" w14:textId="5EF9AC0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78,9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790416" w14:textId="77777777" w:rsidR="006B3F88"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618</w:t>
            </w:r>
          </w:p>
          <w:p w14:paraId="720702BE" w14:textId="38E00051" w:rsidR="006B3F88" w:rsidRPr="004D4A9B"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19,5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923F51" w14:textId="77777777" w:rsidR="006B3F88"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695</w:t>
            </w:r>
          </w:p>
          <w:p w14:paraId="12012FEF" w14:textId="319E7F9C" w:rsidR="006B3F88" w:rsidRPr="004D4A9B"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32,6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DFDCA" w14:textId="77777777" w:rsidR="006B3F88"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rPr>
              <w:t>70</w:t>
            </w:r>
            <w:r w:rsidRPr="004D4A9B">
              <w:rPr>
                <w:rFonts w:ascii="Times New Roman" w:hAnsi="Times New Roman" w:cs="Times New Roman"/>
                <w:sz w:val="24"/>
                <w:szCs w:val="24"/>
                <w:lang w:val="kk-KZ"/>
              </w:rPr>
              <w:t>6</w:t>
            </w:r>
          </w:p>
          <w:p w14:paraId="52988F82" w14:textId="0D93D062" w:rsidR="006B3F88" w:rsidRPr="004D4A9B"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49</w:t>
            </w:r>
            <w:r w:rsidRPr="004D4A9B">
              <w:rPr>
                <w:rFonts w:ascii="Times New Roman" w:hAnsi="Times New Roman" w:cs="Times New Roman"/>
                <w:sz w:val="24"/>
                <w:szCs w:val="24"/>
              </w:rPr>
              <w:t>,</w:t>
            </w:r>
            <w:r w:rsidRPr="004D4A9B">
              <w:rPr>
                <w:rFonts w:ascii="Times New Roman" w:hAnsi="Times New Roman" w:cs="Times New Roman"/>
                <w:sz w:val="24"/>
                <w:szCs w:val="24"/>
                <w:lang w:val="kk-KZ"/>
              </w:rPr>
              <w:t>0</w:t>
            </w:r>
          </w:p>
        </w:tc>
        <w:tc>
          <w:tcPr>
            <w:tcW w:w="850" w:type="dxa"/>
            <w:tcBorders>
              <w:top w:val="single" w:sz="4" w:space="0" w:color="auto"/>
              <w:left w:val="single" w:sz="4" w:space="0" w:color="auto"/>
              <w:bottom w:val="single" w:sz="4" w:space="0" w:color="auto"/>
              <w:right w:val="single" w:sz="4" w:space="0" w:color="auto"/>
            </w:tcBorders>
            <w:vAlign w:val="center"/>
          </w:tcPr>
          <w:p w14:paraId="6E1F5204" w14:textId="77777777" w:rsidR="006B3F88"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839</w:t>
            </w:r>
          </w:p>
          <w:p w14:paraId="17D81677" w14:textId="7FEE2571" w:rsidR="006B3F88" w:rsidRPr="004D4A9B"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51,6</w:t>
            </w:r>
          </w:p>
        </w:tc>
        <w:tc>
          <w:tcPr>
            <w:tcW w:w="1134" w:type="dxa"/>
            <w:tcBorders>
              <w:top w:val="single" w:sz="4" w:space="0" w:color="auto"/>
              <w:left w:val="single" w:sz="4" w:space="0" w:color="auto"/>
              <w:bottom w:val="single" w:sz="4" w:space="0" w:color="auto"/>
              <w:right w:val="single" w:sz="4" w:space="0" w:color="auto"/>
            </w:tcBorders>
            <w:vAlign w:val="center"/>
          </w:tcPr>
          <w:p w14:paraId="41C64418" w14:textId="771E5011" w:rsidR="006B3F88" w:rsidRPr="004D4A9B" w:rsidRDefault="006B3F88" w:rsidP="002C5881">
            <w:pPr>
              <w:jc w:val="center"/>
              <w:rPr>
                <w:rFonts w:ascii="Times New Roman" w:hAnsi="Times New Roman" w:cs="Times New Roman"/>
                <w:sz w:val="24"/>
                <w:szCs w:val="24"/>
              </w:rPr>
            </w:pPr>
            <w:r>
              <w:rPr>
                <w:rFonts w:ascii="Times New Roman" w:hAnsi="Times New Roman" w:cs="Times New Roman"/>
                <w:sz w:val="24"/>
                <w:szCs w:val="24"/>
              </w:rPr>
              <w:t>103765,8</w:t>
            </w:r>
          </w:p>
        </w:tc>
      </w:tr>
      <w:tr w:rsidR="006B3F88" w:rsidRPr="004D4A9B" w14:paraId="60D58F7B" w14:textId="22497101" w:rsidTr="000B40CB">
        <w:trPr>
          <w:jc w:val="center"/>
        </w:trPr>
        <w:tc>
          <w:tcPr>
            <w:tcW w:w="2592" w:type="dxa"/>
            <w:tcBorders>
              <w:top w:val="single" w:sz="4" w:space="0" w:color="auto"/>
              <w:left w:val="single" w:sz="4" w:space="0" w:color="auto"/>
              <w:bottom w:val="single" w:sz="4" w:space="0" w:color="auto"/>
              <w:right w:val="single" w:sz="4" w:space="0" w:color="auto"/>
            </w:tcBorders>
            <w:vAlign w:val="bottom"/>
            <w:hideMark/>
          </w:tcPr>
          <w:p w14:paraId="22D2C305" w14:textId="38C09B83" w:rsidR="006B3F88" w:rsidRPr="004D4A9B" w:rsidRDefault="006B3F88" w:rsidP="002C5881">
            <w:pPr>
              <w:pStyle w:val="ad"/>
              <w:rPr>
                <w:rFonts w:ascii="Times New Roman" w:hAnsi="Times New Roman"/>
                <w:sz w:val="24"/>
                <w:szCs w:val="24"/>
                <w:lang w:val="kk-KZ" w:eastAsia="en-US"/>
              </w:rPr>
            </w:pPr>
            <w:r w:rsidRPr="004D4A9B">
              <w:rPr>
                <w:rFonts w:ascii="Times New Roman" w:hAnsi="Times New Roman"/>
                <w:sz w:val="24"/>
                <w:szCs w:val="24"/>
                <w:lang w:val="kk-KZ" w:eastAsia="en-US"/>
              </w:rPr>
              <w:t>Ауыл шаруашылығы өнімдерінің (көрсеті</w:t>
            </w:r>
            <w:r>
              <w:rPr>
                <w:rFonts w:ascii="Times New Roman" w:hAnsi="Times New Roman"/>
                <w:sz w:val="24"/>
                <w:szCs w:val="24"/>
                <w:lang w:val="kk-KZ" w:eastAsia="en-US"/>
              </w:rPr>
              <w:t xml:space="preserve"> </w:t>
            </w:r>
            <w:r w:rsidRPr="004D4A9B">
              <w:rPr>
                <w:rFonts w:ascii="Times New Roman" w:hAnsi="Times New Roman"/>
                <w:sz w:val="24"/>
                <w:szCs w:val="24"/>
                <w:lang w:val="kk-KZ" w:eastAsia="en-US"/>
              </w:rPr>
              <w:t>летін қызметтерінің) жалпы шығарылымы, млрд. теңге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05130"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3307,0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876505" w14:textId="77777777" w:rsidR="006B3F88" w:rsidRPr="004D4A9B"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val="kk-KZ" w:eastAsia="en-US"/>
              </w:rPr>
              <w:t>3684</w:t>
            </w:r>
            <w:r w:rsidRPr="004D4A9B">
              <w:rPr>
                <w:rFonts w:ascii="Times New Roman" w:hAnsi="Times New Roman"/>
                <w:color w:val="auto"/>
                <w:sz w:val="24"/>
                <w:szCs w:val="24"/>
                <w:lang w:val="en-US" w:eastAsia="en-US"/>
              </w:rPr>
              <w:t>,</w:t>
            </w:r>
            <w:r w:rsidRPr="004D4A9B">
              <w:rPr>
                <w:rFonts w:ascii="Times New Roman" w:hAnsi="Times New Roman"/>
                <w:color w:val="auto"/>
                <w:sz w:val="24"/>
                <w:szCs w:val="24"/>
                <w:lang w:val="kk-KZ" w:eastAsia="en-US"/>
              </w:rPr>
              <w:t>4</w:t>
            </w:r>
          </w:p>
        </w:tc>
        <w:tc>
          <w:tcPr>
            <w:tcW w:w="805" w:type="dxa"/>
            <w:tcBorders>
              <w:top w:val="single" w:sz="4" w:space="0" w:color="auto"/>
              <w:left w:val="single" w:sz="4" w:space="0" w:color="auto"/>
              <w:bottom w:val="single" w:sz="4" w:space="0" w:color="auto"/>
              <w:right w:val="single" w:sz="4" w:space="0" w:color="auto"/>
            </w:tcBorders>
            <w:vAlign w:val="center"/>
            <w:hideMark/>
          </w:tcPr>
          <w:p w14:paraId="2E3B4EB4"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407</w:t>
            </w:r>
            <w:r w:rsidRPr="004D4A9B">
              <w:rPr>
                <w:rFonts w:ascii="Times New Roman" w:hAnsi="Times New Roman"/>
                <w:color w:val="auto"/>
                <w:sz w:val="24"/>
                <w:szCs w:val="24"/>
                <w:lang w:val="en-US" w:eastAsia="en-US"/>
              </w:rPr>
              <w:t>0</w:t>
            </w:r>
            <w:r w:rsidRPr="004D4A9B">
              <w:rPr>
                <w:rFonts w:ascii="Times New Roman" w:hAnsi="Times New Roman"/>
                <w:color w:val="auto"/>
                <w:sz w:val="24"/>
                <w:szCs w:val="24"/>
                <w:lang w:val="kk-KZ"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4719B8" w14:textId="77777777" w:rsidR="006B3F88" w:rsidRPr="004D4A9B" w:rsidRDefault="006B3F88" w:rsidP="002C5881">
            <w:pPr>
              <w:pStyle w:val="af"/>
              <w:ind w:left="-124" w:right="-81"/>
              <w:jc w:val="center"/>
              <w:rPr>
                <w:rFonts w:ascii="Times New Roman" w:hAnsi="Times New Roman"/>
                <w:strike/>
                <w:color w:val="auto"/>
                <w:sz w:val="24"/>
                <w:szCs w:val="24"/>
                <w:lang w:eastAsia="en-US"/>
              </w:rPr>
            </w:pPr>
            <w:r w:rsidRPr="004D4A9B">
              <w:rPr>
                <w:rFonts w:ascii="Times New Roman" w:hAnsi="Times New Roman"/>
                <w:color w:val="auto"/>
                <w:sz w:val="24"/>
                <w:szCs w:val="24"/>
                <w:lang w:eastAsia="en-US"/>
              </w:rPr>
              <w:t>4474,1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288E1"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eastAsiaTheme="minorEastAsia" w:hAnsi="Times New Roman"/>
                <w:color w:val="auto"/>
                <w:sz w:val="24"/>
                <w:szCs w:val="24"/>
                <w:lang w:eastAsia="zh-CN"/>
              </w:rPr>
              <w:t>5151</w:t>
            </w:r>
            <w:r w:rsidRPr="004D4A9B">
              <w:rPr>
                <w:rFonts w:ascii="Times New Roman" w:hAnsi="Times New Roman"/>
                <w:color w:val="auto"/>
                <w:sz w:val="24"/>
                <w:szCs w:val="24"/>
                <w:lang w:val="en-US"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39DBD5" w14:textId="181F11D9" w:rsidR="006B3F88" w:rsidRPr="004D4A9B"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rPr>
              <w:t>6</w:t>
            </w:r>
            <w:r w:rsidRPr="004D4A9B">
              <w:rPr>
                <w:rFonts w:ascii="Times New Roman" w:hAnsi="Times New Roman" w:cs="Times New Roman"/>
                <w:sz w:val="24"/>
                <w:szCs w:val="24"/>
                <w:lang w:val="kk-KZ"/>
              </w:rPr>
              <w:t>334</w:t>
            </w:r>
            <w:r w:rsidRPr="004D4A9B">
              <w:rPr>
                <w:rFonts w:ascii="Times New Roman" w:hAnsi="Times New Roman" w:cs="Times New Roman"/>
                <w:sz w:val="24"/>
                <w:szCs w:val="24"/>
              </w:rPr>
              <w:t>,</w:t>
            </w:r>
            <w:r w:rsidRPr="004D4A9B">
              <w:rPr>
                <w:rFonts w:ascii="Times New Roman" w:hAnsi="Times New Roman" w:cs="Times New Roman"/>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vAlign w:val="center"/>
          </w:tcPr>
          <w:p w14:paraId="2C479209" w14:textId="689131EF" w:rsidR="006B3F88" w:rsidRPr="004D4A9B"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7515,4</w:t>
            </w:r>
          </w:p>
        </w:tc>
        <w:tc>
          <w:tcPr>
            <w:tcW w:w="1134" w:type="dxa"/>
            <w:tcBorders>
              <w:top w:val="single" w:sz="4" w:space="0" w:color="auto"/>
              <w:left w:val="single" w:sz="4" w:space="0" w:color="auto"/>
              <w:bottom w:val="single" w:sz="4" w:space="0" w:color="auto"/>
              <w:right w:val="single" w:sz="4" w:space="0" w:color="auto"/>
            </w:tcBorders>
            <w:vAlign w:val="center"/>
          </w:tcPr>
          <w:p w14:paraId="08B347C9" w14:textId="5457FE93" w:rsidR="006B3F88" w:rsidRPr="004D4A9B" w:rsidRDefault="006B3F88" w:rsidP="002C5881">
            <w:pPr>
              <w:jc w:val="center"/>
              <w:rPr>
                <w:rFonts w:ascii="Times New Roman" w:hAnsi="Times New Roman" w:cs="Times New Roman"/>
                <w:sz w:val="24"/>
                <w:szCs w:val="24"/>
              </w:rPr>
            </w:pPr>
            <w:r>
              <w:rPr>
                <w:rFonts w:ascii="Times New Roman" w:hAnsi="Times New Roman" w:cs="Times New Roman"/>
                <w:sz w:val="24"/>
                <w:szCs w:val="24"/>
              </w:rPr>
              <w:t>9223,0</w:t>
            </w:r>
          </w:p>
        </w:tc>
      </w:tr>
      <w:tr w:rsidR="006B3F88" w:rsidRPr="004D4A9B" w14:paraId="1E85EA04" w14:textId="77777777" w:rsidTr="000B40CB">
        <w:trPr>
          <w:jc w:val="center"/>
        </w:trPr>
        <w:tc>
          <w:tcPr>
            <w:tcW w:w="2592" w:type="dxa"/>
            <w:tcBorders>
              <w:top w:val="single" w:sz="4" w:space="0" w:color="auto"/>
              <w:left w:val="single" w:sz="4" w:space="0" w:color="auto"/>
              <w:bottom w:val="single" w:sz="4" w:space="0" w:color="auto"/>
              <w:right w:val="single" w:sz="4" w:space="0" w:color="auto"/>
            </w:tcBorders>
            <w:vAlign w:val="bottom"/>
          </w:tcPr>
          <w:p w14:paraId="49F9BD86" w14:textId="1F7B63E6" w:rsidR="006B3F88" w:rsidRPr="004D4A9B" w:rsidRDefault="006B3F88" w:rsidP="00C502CC">
            <w:pPr>
              <w:pStyle w:val="ad"/>
              <w:rPr>
                <w:rFonts w:ascii="Times New Roman" w:hAnsi="Times New Roman"/>
                <w:sz w:val="24"/>
                <w:szCs w:val="24"/>
                <w:lang w:val="kk-KZ" w:eastAsia="en-US"/>
              </w:rPr>
            </w:pPr>
            <w:r>
              <w:rPr>
                <w:rFonts w:ascii="Times New Roman" w:hAnsi="Times New Roman"/>
                <w:sz w:val="24"/>
                <w:szCs w:val="24"/>
                <w:lang w:val="kk-KZ" w:eastAsia="en-US"/>
              </w:rPr>
              <w:t>Субсидия алушылар ЖІӨ, млрд теңге</w:t>
            </w:r>
          </w:p>
        </w:tc>
        <w:tc>
          <w:tcPr>
            <w:tcW w:w="851" w:type="dxa"/>
            <w:tcBorders>
              <w:top w:val="single" w:sz="4" w:space="0" w:color="auto"/>
              <w:left w:val="single" w:sz="4" w:space="0" w:color="auto"/>
              <w:bottom w:val="single" w:sz="4" w:space="0" w:color="auto"/>
              <w:right w:val="single" w:sz="4" w:space="0" w:color="auto"/>
            </w:tcBorders>
            <w:vAlign w:val="center"/>
          </w:tcPr>
          <w:p w14:paraId="0CE88E4E" w14:textId="3D1BE025" w:rsidR="006B3F88" w:rsidRPr="00C502CC" w:rsidRDefault="006B3F88" w:rsidP="00C502CC">
            <w:pPr>
              <w:pStyle w:val="af"/>
              <w:ind w:left="-124" w:right="-81"/>
              <w:jc w:val="center"/>
              <w:rPr>
                <w:rFonts w:ascii="Times New Roman" w:hAnsi="Times New Roman"/>
                <w:color w:val="auto"/>
                <w:sz w:val="24"/>
                <w:szCs w:val="24"/>
                <w:lang w:val="kk-KZ" w:eastAsia="en-US"/>
              </w:rPr>
            </w:pPr>
            <w:r w:rsidRPr="00C502CC">
              <w:rPr>
                <w:rFonts w:ascii="Times New Roman" w:hAnsi="Times New Roman"/>
                <w:sz w:val="24"/>
                <w:szCs w:val="24"/>
              </w:rPr>
              <w:t>1599,6</w:t>
            </w:r>
          </w:p>
        </w:tc>
        <w:tc>
          <w:tcPr>
            <w:tcW w:w="850" w:type="dxa"/>
            <w:tcBorders>
              <w:top w:val="single" w:sz="4" w:space="0" w:color="auto"/>
              <w:left w:val="single" w:sz="4" w:space="0" w:color="auto"/>
              <w:bottom w:val="single" w:sz="4" w:space="0" w:color="auto"/>
              <w:right w:val="single" w:sz="4" w:space="0" w:color="auto"/>
            </w:tcBorders>
            <w:vAlign w:val="center"/>
          </w:tcPr>
          <w:p w14:paraId="50A80AE5" w14:textId="7172C1D5" w:rsidR="006B3F88" w:rsidRPr="00C502CC" w:rsidRDefault="006B3F88" w:rsidP="00C502CC">
            <w:pPr>
              <w:pStyle w:val="af"/>
              <w:ind w:left="-124" w:right="-81"/>
              <w:jc w:val="center"/>
              <w:rPr>
                <w:rFonts w:ascii="Times New Roman" w:hAnsi="Times New Roman"/>
                <w:color w:val="auto"/>
                <w:sz w:val="24"/>
                <w:szCs w:val="24"/>
                <w:lang w:val="kk-KZ" w:eastAsia="en-US"/>
              </w:rPr>
            </w:pPr>
            <w:r w:rsidRPr="00C502CC">
              <w:rPr>
                <w:rFonts w:ascii="Times New Roman" w:hAnsi="Times New Roman"/>
                <w:sz w:val="24"/>
                <w:szCs w:val="24"/>
              </w:rPr>
              <w:t>1917</w:t>
            </w:r>
          </w:p>
        </w:tc>
        <w:tc>
          <w:tcPr>
            <w:tcW w:w="805" w:type="dxa"/>
            <w:tcBorders>
              <w:top w:val="single" w:sz="4" w:space="0" w:color="auto"/>
              <w:left w:val="single" w:sz="4" w:space="0" w:color="auto"/>
              <w:bottom w:val="single" w:sz="4" w:space="0" w:color="auto"/>
              <w:right w:val="single" w:sz="4" w:space="0" w:color="auto"/>
            </w:tcBorders>
            <w:vAlign w:val="center"/>
          </w:tcPr>
          <w:p w14:paraId="59B6D4BF" w14:textId="5A82F2C7" w:rsidR="006B3F88" w:rsidRPr="00C502CC" w:rsidRDefault="006B3F88" w:rsidP="00C502CC">
            <w:pPr>
              <w:pStyle w:val="af"/>
              <w:ind w:left="-124" w:right="-81"/>
              <w:jc w:val="center"/>
              <w:rPr>
                <w:rFonts w:ascii="Times New Roman" w:hAnsi="Times New Roman"/>
                <w:color w:val="auto"/>
                <w:sz w:val="24"/>
                <w:szCs w:val="24"/>
                <w:lang w:val="kk-KZ" w:eastAsia="en-US"/>
              </w:rPr>
            </w:pPr>
            <w:r w:rsidRPr="00C502CC">
              <w:rPr>
                <w:rFonts w:ascii="Times New Roman" w:hAnsi="Times New Roman"/>
                <w:sz w:val="24"/>
                <w:szCs w:val="24"/>
              </w:rPr>
              <w:t>2149,3</w:t>
            </w:r>
          </w:p>
        </w:tc>
        <w:tc>
          <w:tcPr>
            <w:tcW w:w="851" w:type="dxa"/>
            <w:tcBorders>
              <w:top w:val="single" w:sz="4" w:space="0" w:color="auto"/>
              <w:left w:val="single" w:sz="4" w:space="0" w:color="auto"/>
              <w:bottom w:val="single" w:sz="4" w:space="0" w:color="auto"/>
              <w:right w:val="single" w:sz="4" w:space="0" w:color="auto"/>
            </w:tcBorders>
            <w:vAlign w:val="center"/>
          </w:tcPr>
          <w:p w14:paraId="560C9042" w14:textId="6CA8936F" w:rsidR="006B3F88" w:rsidRPr="00C502CC" w:rsidRDefault="006B3F88" w:rsidP="00C502CC">
            <w:pPr>
              <w:pStyle w:val="af"/>
              <w:ind w:left="-124" w:right="-81"/>
              <w:jc w:val="center"/>
              <w:rPr>
                <w:rFonts w:ascii="Times New Roman" w:hAnsi="Times New Roman"/>
                <w:color w:val="auto"/>
                <w:sz w:val="24"/>
                <w:szCs w:val="24"/>
                <w:lang w:eastAsia="en-US"/>
              </w:rPr>
            </w:pPr>
            <w:r w:rsidRPr="00C502CC">
              <w:rPr>
                <w:rFonts w:ascii="Times New Roman" w:hAnsi="Times New Roman"/>
                <w:sz w:val="24"/>
                <w:szCs w:val="24"/>
              </w:rPr>
              <w:t>2408,5</w:t>
            </w:r>
          </w:p>
        </w:tc>
        <w:tc>
          <w:tcPr>
            <w:tcW w:w="850" w:type="dxa"/>
            <w:tcBorders>
              <w:top w:val="single" w:sz="4" w:space="0" w:color="auto"/>
              <w:left w:val="single" w:sz="4" w:space="0" w:color="auto"/>
              <w:bottom w:val="single" w:sz="4" w:space="0" w:color="auto"/>
              <w:right w:val="single" w:sz="4" w:space="0" w:color="auto"/>
            </w:tcBorders>
            <w:vAlign w:val="center"/>
          </w:tcPr>
          <w:p w14:paraId="3B070AE5" w14:textId="1A2CECAF" w:rsidR="006B3F88" w:rsidRPr="00C502CC" w:rsidRDefault="006B3F88" w:rsidP="00C502CC">
            <w:pPr>
              <w:pStyle w:val="af"/>
              <w:ind w:left="-124" w:right="-81"/>
              <w:jc w:val="center"/>
              <w:rPr>
                <w:rFonts w:ascii="Times New Roman" w:eastAsiaTheme="minorEastAsia" w:hAnsi="Times New Roman"/>
                <w:color w:val="auto"/>
                <w:sz w:val="24"/>
                <w:szCs w:val="24"/>
                <w:lang w:eastAsia="zh-CN"/>
              </w:rPr>
            </w:pPr>
            <w:r w:rsidRPr="00C502CC">
              <w:rPr>
                <w:rFonts w:ascii="Times New Roman" w:hAnsi="Times New Roman"/>
                <w:sz w:val="24"/>
                <w:szCs w:val="24"/>
              </w:rPr>
              <w:t>2901,8</w:t>
            </w:r>
          </w:p>
        </w:tc>
        <w:tc>
          <w:tcPr>
            <w:tcW w:w="851" w:type="dxa"/>
            <w:tcBorders>
              <w:top w:val="single" w:sz="4" w:space="0" w:color="auto"/>
              <w:left w:val="single" w:sz="4" w:space="0" w:color="auto"/>
              <w:bottom w:val="single" w:sz="4" w:space="0" w:color="auto"/>
              <w:right w:val="single" w:sz="4" w:space="0" w:color="auto"/>
            </w:tcBorders>
            <w:vAlign w:val="center"/>
          </w:tcPr>
          <w:p w14:paraId="1839C1A5" w14:textId="4880A3A8" w:rsidR="006B3F88" w:rsidRPr="00C502CC" w:rsidRDefault="006B3F88" w:rsidP="00C502CC">
            <w:pPr>
              <w:ind w:left="-124" w:right="-81"/>
              <w:jc w:val="center"/>
              <w:rPr>
                <w:rFonts w:ascii="Times New Roman" w:hAnsi="Times New Roman" w:cs="Times New Roman"/>
                <w:sz w:val="24"/>
                <w:szCs w:val="24"/>
              </w:rPr>
            </w:pPr>
            <w:r w:rsidRPr="00C502CC">
              <w:rPr>
                <w:rFonts w:ascii="Times New Roman" w:hAnsi="Times New Roman" w:cs="Times New Roman"/>
                <w:color w:val="000000"/>
                <w:sz w:val="24"/>
                <w:szCs w:val="24"/>
              </w:rPr>
              <w:t>3659,7</w:t>
            </w:r>
          </w:p>
        </w:tc>
        <w:tc>
          <w:tcPr>
            <w:tcW w:w="850" w:type="dxa"/>
            <w:tcBorders>
              <w:top w:val="single" w:sz="4" w:space="0" w:color="auto"/>
              <w:left w:val="single" w:sz="4" w:space="0" w:color="auto"/>
              <w:bottom w:val="single" w:sz="4" w:space="0" w:color="auto"/>
              <w:right w:val="single" w:sz="4" w:space="0" w:color="auto"/>
            </w:tcBorders>
            <w:vAlign w:val="center"/>
          </w:tcPr>
          <w:p w14:paraId="7AC6913B" w14:textId="0A1332B6" w:rsidR="006B3F88" w:rsidRPr="00C502CC" w:rsidRDefault="006B3F88" w:rsidP="00C502CC">
            <w:pPr>
              <w:ind w:left="-124" w:right="-81"/>
              <w:jc w:val="center"/>
              <w:rPr>
                <w:rFonts w:ascii="Times New Roman" w:hAnsi="Times New Roman" w:cs="Times New Roman"/>
                <w:sz w:val="24"/>
                <w:szCs w:val="24"/>
                <w:lang w:val="kk-KZ"/>
              </w:rPr>
            </w:pPr>
            <w:r w:rsidRPr="00C502CC">
              <w:rPr>
                <w:rFonts w:ascii="Times New Roman" w:hAnsi="Times New Roman" w:cs="Times New Roman"/>
                <w:color w:val="000000"/>
                <w:sz w:val="24"/>
                <w:szCs w:val="24"/>
              </w:rPr>
              <w:t>4347,9</w:t>
            </w:r>
          </w:p>
        </w:tc>
        <w:tc>
          <w:tcPr>
            <w:tcW w:w="1134" w:type="dxa"/>
            <w:tcBorders>
              <w:top w:val="single" w:sz="4" w:space="0" w:color="auto"/>
              <w:left w:val="single" w:sz="4" w:space="0" w:color="auto"/>
              <w:bottom w:val="single" w:sz="4" w:space="0" w:color="auto"/>
              <w:right w:val="single" w:sz="4" w:space="0" w:color="auto"/>
            </w:tcBorders>
            <w:vAlign w:val="center"/>
          </w:tcPr>
          <w:p w14:paraId="2EBE90C7" w14:textId="1D8D18F5" w:rsidR="006B3F88" w:rsidRPr="00C502CC" w:rsidRDefault="006B3F88" w:rsidP="00C502CC">
            <w:pPr>
              <w:jc w:val="center"/>
              <w:rPr>
                <w:rFonts w:ascii="Times New Roman" w:hAnsi="Times New Roman" w:cs="Times New Roman"/>
                <w:sz w:val="24"/>
                <w:szCs w:val="24"/>
              </w:rPr>
            </w:pPr>
            <w:r w:rsidRPr="00C502CC">
              <w:rPr>
                <w:rFonts w:ascii="Times New Roman" w:hAnsi="Times New Roman" w:cs="Times New Roman"/>
                <w:color w:val="000000"/>
                <w:sz w:val="24"/>
                <w:szCs w:val="24"/>
              </w:rPr>
              <w:t>5700,7</w:t>
            </w:r>
          </w:p>
        </w:tc>
      </w:tr>
      <w:tr w:rsidR="006B3F88" w:rsidRPr="004D4A9B" w14:paraId="34C2E4BF" w14:textId="4F37DD52" w:rsidTr="000B40CB">
        <w:trPr>
          <w:jc w:val="center"/>
        </w:trPr>
        <w:tc>
          <w:tcPr>
            <w:tcW w:w="2592" w:type="dxa"/>
            <w:tcBorders>
              <w:top w:val="single" w:sz="4" w:space="0" w:color="auto"/>
              <w:left w:val="single" w:sz="4" w:space="0" w:color="auto"/>
              <w:bottom w:val="single" w:sz="4" w:space="0" w:color="auto"/>
              <w:right w:val="single" w:sz="4" w:space="0" w:color="auto"/>
            </w:tcBorders>
            <w:vAlign w:val="bottom"/>
            <w:hideMark/>
          </w:tcPr>
          <w:p w14:paraId="7BEE5AFD" w14:textId="77777777" w:rsidR="006B3F88" w:rsidRPr="004D4A9B" w:rsidRDefault="006B3F88" w:rsidP="002C5881">
            <w:pPr>
              <w:pStyle w:val="ad"/>
              <w:rPr>
                <w:rFonts w:ascii="Times New Roman" w:hAnsi="Times New Roman"/>
                <w:sz w:val="24"/>
                <w:szCs w:val="24"/>
                <w:lang w:eastAsia="en-US"/>
              </w:rPr>
            </w:pPr>
            <w:r w:rsidRPr="004D4A9B">
              <w:rPr>
                <w:rFonts w:ascii="Times New Roman" w:hAnsi="Times New Roman"/>
                <w:sz w:val="24"/>
                <w:szCs w:val="24"/>
                <w:lang w:val="kk-KZ" w:eastAsia="en-US"/>
              </w:rPr>
              <w:t>ЖІӨ</w:t>
            </w:r>
            <w:r w:rsidRPr="004D4A9B">
              <w:rPr>
                <w:rFonts w:ascii="Times New Roman" w:hAnsi="Times New Roman"/>
                <w:sz w:val="24"/>
                <w:szCs w:val="24"/>
                <w:lang w:eastAsia="en-US"/>
              </w:rPr>
              <w:t xml:space="preserve">-де </w:t>
            </w:r>
            <w:r w:rsidRPr="004D4A9B">
              <w:rPr>
                <w:rFonts w:ascii="Times New Roman" w:hAnsi="Times New Roman"/>
                <w:sz w:val="24"/>
                <w:szCs w:val="24"/>
                <w:lang w:val="kk-KZ" w:eastAsia="en-US"/>
              </w:rPr>
              <w:t xml:space="preserve">үлесі, </w:t>
            </w:r>
            <w:r w:rsidRPr="004D4A9B">
              <w:rPr>
                <w:rFonts w:ascii="Times New Roman" w:hAnsi="Times New Roman"/>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259F0A"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52F14F"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1006A20"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F412EF" w14:textId="77777777" w:rsidR="006B3F88" w:rsidRPr="004D4A9B"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873556"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160E44" w14:textId="12A65F1E" w:rsidR="006B3F88" w:rsidRPr="004D4A9B" w:rsidRDefault="006B3F88" w:rsidP="002C5881">
            <w:pPr>
              <w:ind w:left="-124" w:right="-81"/>
              <w:jc w:val="center"/>
              <w:rPr>
                <w:rFonts w:ascii="Times New Roman" w:hAnsi="Times New Roman" w:cs="Times New Roman"/>
                <w:sz w:val="24"/>
                <w:szCs w:val="24"/>
                <w:lang w:val="kk-KZ"/>
              </w:rPr>
            </w:pPr>
            <w:r w:rsidRPr="004D4A9B">
              <w:rPr>
                <w:rFonts w:ascii="Times New Roman" w:hAnsi="Times New Roman" w:cs="Times New Roman"/>
                <w:sz w:val="24"/>
                <w:szCs w:val="24"/>
                <w:lang w:val="kk-KZ"/>
              </w:rPr>
              <w:t>5,4</w:t>
            </w:r>
          </w:p>
        </w:tc>
        <w:tc>
          <w:tcPr>
            <w:tcW w:w="850" w:type="dxa"/>
            <w:tcBorders>
              <w:top w:val="single" w:sz="4" w:space="0" w:color="auto"/>
              <w:left w:val="single" w:sz="4" w:space="0" w:color="auto"/>
              <w:bottom w:val="single" w:sz="4" w:space="0" w:color="auto"/>
              <w:right w:val="single" w:sz="4" w:space="0" w:color="auto"/>
            </w:tcBorders>
            <w:vAlign w:val="center"/>
          </w:tcPr>
          <w:p w14:paraId="0FA83C4F" w14:textId="177511CE" w:rsidR="006B3F88" w:rsidRPr="004D4A9B" w:rsidRDefault="006B3F88" w:rsidP="002C5881">
            <w:pPr>
              <w:ind w:left="-124" w:right="-81"/>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1134" w:type="dxa"/>
            <w:tcBorders>
              <w:top w:val="single" w:sz="4" w:space="0" w:color="auto"/>
              <w:left w:val="single" w:sz="4" w:space="0" w:color="auto"/>
              <w:bottom w:val="single" w:sz="4" w:space="0" w:color="auto"/>
              <w:right w:val="single" w:sz="4" w:space="0" w:color="auto"/>
            </w:tcBorders>
            <w:vAlign w:val="center"/>
          </w:tcPr>
          <w:p w14:paraId="702E215D" w14:textId="597BBC63" w:rsidR="006B3F88" w:rsidRPr="004D4A9B" w:rsidRDefault="006B3F88" w:rsidP="002C5881">
            <w:pPr>
              <w:jc w:val="center"/>
              <w:rPr>
                <w:rFonts w:ascii="Times New Roman" w:hAnsi="Times New Roman" w:cs="Times New Roman"/>
                <w:sz w:val="24"/>
                <w:szCs w:val="24"/>
                <w:lang w:val="kk-KZ"/>
              </w:rPr>
            </w:pPr>
            <w:r>
              <w:rPr>
                <w:rFonts w:ascii="Times New Roman" w:hAnsi="Times New Roman" w:cs="Times New Roman"/>
                <w:sz w:val="24"/>
                <w:szCs w:val="24"/>
              </w:rPr>
              <w:t>5,3</w:t>
            </w:r>
          </w:p>
        </w:tc>
      </w:tr>
      <w:tr w:rsidR="006B3F88" w:rsidRPr="004D4A9B" w14:paraId="1F8C4DB7" w14:textId="05021132" w:rsidTr="000B40CB">
        <w:trPr>
          <w:jc w:val="center"/>
        </w:trPr>
        <w:tc>
          <w:tcPr>
            <w:tcW w:w="2592" w:type="dxa"/>
            <w:tcBorders>
              <w:top w:val="single" w:sz="4" w:space="0" w:color="auto"/>
              <w:left w:val="single" w:sz="4" w:space="0" w:color="auto"/>
              <w:bottom w:val="single" w:sz="4" w:space="0" w:color="auto"/>
              <w:right w:val="single" w:sz="4" w:space="0" w:color="auto"/>
            </w:tcBorders>
            <w:hideMark/>
          </w:tcPr>
          <w:p w14:paraId="33CE45E2" w14:textId="1C383880" w:rsidR="006B3F88" w:rsidRPr="004D4A9B" w:rsidRDefault="006B3F88" w:rsidP="002C5881">
            <w:pPr>
              <w:pStyle w:val="ad"/>
              <w:rPr>
                <w:rFonts w:ascii="Times New Roman" w:hAnsi="Times New Roman"/>
                <w:sz w:val="24"/>
                <w:szCs w:val="24"/>
                <w:lang w:val="kk-KZ" w:eastAsia="en-US"/>
              </w:rPr>
            </w:pPr>
            <w:r w:rsidRPr="004D4A9B">
              <w:rPr>
                <w:rFonts w:ascii="Times New Roman" w:hAnsi="Times New Roman"/>
                <w:sz w:val="24"/>
                <w:szCs w:val="24"/>
                <w:lang w:val="kk-KZ" w:eastAsia="en-US"/>
              </w:rPr>
              <w:t>Мемлекеттік бюджет ш</w:t>
            </w:r>
            <w:r w:rsidRPr="004D4A9B">
              <w:rPr>
                <w:rFonts w:ascii="Times New Roman" w:hAnsi="Times New Roman"/>
                <w:sz w:val="24"/>
                <w:szCs w:val="24"/>
                <w:lang w:eastAsia="en-US"/>
              </w:rPr>
              <w:t>ығындар</w:t>
            </w:r>
            <w:r w:rsidRPr="004D4A9B">
              <w:rPr>
                <w:rFonts w:ascii="Times New Roman" w:hAnsi="Times New Roman"/>
                <w:sz w:val="24"/>
                <w:szCs w:val="24"/>
                <w:lang w:val="kk-KZ" w:eastAsia="en-US"/>
              </w:rPr>
              <w:t>ы</w:t>
            </w:r>
            <w:r w:rsidRPr="004D4A9B">
              <w:rPr>
                <w:rFonts w:ascii="Times New Roman" w:hAnsi="Times New Roman"/>
                <w:sz w:val="24"/>
                <w:szCs w:val="24"/>
                <w:lang w:eastAsia="en-US"/>
              </w:rPr>
              <w:t>,</w:t>
            </w:r>
            <w:r>
              <w:rPr>
                <w:rFonts w:ascii="Times New Roman" w:hAnsi="Times New Roman"/>
                <w:sz w:val="24"/>
                <w:szCs w:val="24"/>
                <w:lang w:val="kk-KZ" w:eastAsia="en-US"/>
              </w:rPr>
              <w:t xml:space="preserve"> соның ішінде</w:t>
            </w:r>
            <w:r w:rsidRPr="004D4A9B">
              <w:rPr>
                <w:rFonts w:ascii="Times New Roman" w:hAnsi="Times New Roman"/>
                <w:sz w:val="24"/>
                <w:szCs w:val="24"/>
                <w:lang w:eastAsia="en-US"/>
              </w:rPr>
              <w:t xml:space="preserve"> млрд. </w:t>
            </w:r>
            <w:r w:rsidRPr="004D4A9B">
              <w:rPr>
                <w:rFonts w:ascii="Times New Roman" w:hAnsi="Times New Roman"/>
                <w:sz w:val="24"/>
                <w:szCs w:val="24"/>
                <w:lang w:val="kk-KZ" w:eastAsia="en-US"/>
              </w:rPr>
              <w:t>теңге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5BC86B"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8227</w:t>
            </w:r>
            <w:r w:rsidRPr="004D4A9B">
              <w:rPr>
                <w:rFonts w:ascii="Times New Roman" w:hAnsi="Times New Roman"/>
                <w:color w:val="auto"/>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247820"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9433,7</w:t>
            </w:r>
          </w:p>
        </w:tc>
        <w:tc>
          <w:tcPr>
            <w:tcW w:w="805" w:type="dxa"/>
            <w:tcBorders>
              <w:top w:val="single" w:sz="4" w:space="0" w:color="auto"/>
              <w:left w:val="single" w:sz="4" w:space="0" w:color="auto"/>
              <w:bottom w:val="single" w:sz="4" w:space="0" w:color="auto"/>
              <w:right w:val="single" w:sz="4" w:space="0" w:color="auto"/>
            </w:tcBorders>
            <w:vAlign w:val="center"/>
            <w:hideMark/>
          </w:tcPr>
          <w:p w14:paraId="212159DD" w14:textId="77777777" w:rsidR="006B3F88" w:rsidRPr="004D4A9B" w:rsidRDefault="006B3F88" w:rsidP="002C5881">
            <w:pPr>
              <w:pStyle w:val="af"/>
              <w:ind w:left="-124" w:right="-81"/>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12485,4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813EE4" w14:textId="77777777" w:rsidR="006B3F88" w:rsidRPr="004D4A9B" w:rsidRDefault="006B3F88" w:rsidP="002C5881">
            <w:pPr>
              <w:pStyle w:val="af"/>
              <w:ind w:left="-124" w:right="-81"/>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11346,1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566EDE" w14:textId="77777777" w:rsidR="006B3F88" w:rsidRPr="004D4A9B" w:rsidRDefault="006B3F88" w:rsidP="002C5881">
            <w:pPr>
              <w:pStyle w:val="af"/>
              <w:ind w:left="-124" w:right="-81"/>
              <w:jc w:val="center"/>
              <w:rPr>
                <w:rFonts w:ascii="Times New Roman" w:hAnsi="Times New Roman"/>
                <w:color w:val="auto"/>
                <w:sz w:val="24"/>
                <w:szCs w:val="24"/>
                <w:lang w:val="en-US" w:eastAsia="en-US"/>
              </w:rPr>
            </w:pPr>
            <w:r w:rsidRPr="004D4A9B">
              <w:rPr>
                <w:rFonts w:ascii="Times New Roman" w:hAnsi="Times New Roman"/>
                <w:color w:val="auto"/>
                <w:sz w:val="24"/>
                <w:szCs w:val="24"/>
                <w:lang w:val="en-US" w:eastAsia="en-US"/>
              </w:rPr>
              <w:t>13535</w:t>
            </w:r>
            <w:r w:rsidRPr="004D4A9B">
              <w:rPr>
                <w:rFonts w:ascii="Times New Roman" w:hAnsi="Times New Roman"/>
                <w:color w:val="auto"/>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E823C7" w14:textId="77777777" w:rsidR="006B3F88" w:rsidRPr="004D4A9B" w:rsidRDefault="006B3F88" w:rsidP="002C5881">
            <w:pPr>
              <w:ind w:left="-124" w:right="-81"/>
              <w:jc w:val="center"/>
              <w:rPr>
                <w:rFonts w:ascii="Times New Roman" w:hAnsi="Times New Roman" w:cs="Times New Roman"/>
                <w:sz w:val="24"/>
                <w:szCs w:val="24"/>
                <w:lang w:val="en-US" w:eastAsia="zh-CN"/>
              </w:rPr>
            </w:pPr>
            <w:r w:rsidRPr="004D4A9B">
              <w:rPr>
                <w:rFonts w:ascii="Times New Roman" w:hAnsi="Times New Roman" w:cs="Times New Roman"/>
                <w:sz w:val="24"/>
                <w:szCs w:val="24"/>
                <w:lang w:val="en-US" w:eastAsia="zh-CN"/>
              </w:rPr>
              <w:t>16725,1</w:t>
            </w:r>
          </w:p>
        </w:tc>
        <w:tc>
          <w:tcPr>
            <w:tcW w:w="850" w:type="dxa"/>
            <w:tcBorders>
              <w:top w:val="single" w:sz="4" w:space="0" w:color="auto"/>
              <w:left w:val="single" w:sz="4" w:space="0" w:color="auto"/>
              <w:bottom w:val="single" w:sz="4" w:space="0" w:color="auto"/>
              <w:right w:val="single" w:sz="4" w:space="0" w:color="auto"/>
            </w:tcBorders>
            <w:vAlign w:val="center"/>
          </w:tcPr>
          <w:p w14:paraId="5D3B52BB" w14:textId="4E4EBCE0" w:rsidR="006B3F88" w:rsidRPr="004D4A9B" w:rsidRDefault="006B3F88" w:rsidP="002C5881">
            <w:pPr>
              <w:ind w:left="-124" w:right="-81"/>
              <w:jc w:val="center"/>
              <w:rPr>
                <w:rFonts w:ascii="Times New Roman" w:hAnsi="Times New Roman" w:cs="Times New Roman"/>
                <w:sz w:val="24"/>
                <w:szCs w:val="24"/>
              </w:rPr>
            </w:pPr>
            <w:r w:rsidRPr="004D4A9B">
              <w:rPr>
                <w:rFonts w:ascii="Times New Roman" w:hAnsi="Times New Roman" w:cs="Times New Roman"/>
                <w:sz w:val="24"/>
                <w:szCs w:val="24"/>
              </w:rPr>
              <w:t>17951,9</w:t>
            </w:r>
          </w:p>
        </w:tc>
        <w:tc>
          <w:tcPr>
            <w:tcW w:w="1134" w:type="dxa"/>
            <w:tcBorders>
              <w:top w:val="single" w:sz="4" w:space="0" w:color="auto"/>
              <w:left w:val="single" w:sz="4" w:space="0" w:color="auto"/>
              <w:bottom w:val="single" w:sz="4" w:space="0" w:color="auto"/>
              <w:right w:val="single" w:sz="4" w:space="0" w:color="auto"/>
            </w:tcBorders>
            <w:vAlign w:val="center"/>
          </w:tcPr>
          <w:p w14:paraId="6EB136B2" w14:textId="72A222ED" w:rsidR="006B3F88" w:rsidRPr="004D4A9B" w:rsidRDefault="006B3F88" w:rsidP="002C5881">
            <w:pPr>
              <w:jc w:val="center"/>
              <w:rPr>
                <w:rFonts w:ascii="Times New Roman" w:hAnsi="Times New Roman" w:cs="Times New Roman"/>
                <w:sz w:val="24"/>
                <w:szCs w:val="24"/>
                <w:lang w:val="en-US"/>
              </w:rPr>
            </w:pPr>
            <w:r>
              <w:rPr>
                <w:rFonts w:ascii="Times New Roman" w:hAnsi="Times New Roman" w:cs="Times New Roman"/>
                <w:sz w:val="24"/>
                <w:szCs w:val="24"/>
              </w:rPr>
              <w:t>21532,5</w:t>
            </w:r>
          </w:p>
        </w:tc>
      </w:tr>
      <w:tr w:rsidR="006B3F88" w:rsidRPr="004D4A9B" w14:paraId="1C664325" w14:textId="1480502B" w:rsidTr="000B40CB">
        <w:trPr>
          <w:jc w:val="center"/>
        </w:trPr>
        <w:tc>
          <w:tcPr>
            <w:tcW w:w="2592" w:type="dxa"/>
            <w:tcBorders>
              <w:top w:val="single" w:sz="4" w:space="0" w:color="auto"/>
              <w:left w:val="single" w:sz="4" w:space="0" w:color="auto"/>
              <w:bottom w:val="single" w:sz="4" w:space="0" w:color="auto"/>
              <w:right w:val="single" w:sz="4" w:space="0" w:color="auto"/>
            </w:tcBorders>
            <w:hideMark/>
          </w:tcPr>
          <w:p w14:paraId="648E337B" w14:textId="59EA5761" w:rsidR="006B3F88" w:rsidRPr="004D4A9B" w:rsidRDefault="006B3F88" w:rsidP="002C5881">
            <w:pPr>
              <w:pStyle w:val="ad"/>
              <w:rPr>
                <w:rFonts w:ascii="Times New Roman" w:hAnsi="Times New Roman"/>
                <w:sz w:val="24"/>
                <w:szCs w:val="24"/>
                <w:lang w:val="kk-KZ" w:eastAsia="en-US"/>
              </w:rPr>
            </w:pPr>
            <w:r>
              <w:rPr>
                <w:rFonts w:ascii="Times New Roman" w:hAnsi="Times New Roman"/>
                <w:sz w:val="24"/>
                <w:szCs w:val="24"/>
                <w:lang w:val="kk-KZ" w:eastAsia="en-US"/>
              </w:rPr>
              <w:t>-а</w:t>
            </w:r>
            <w:r w:rsidRPr="004D4A9B">
              <w:rPr>
                <w:rFonts w:ascii="Times New Roman" w:hAnsi="Times New Roman"/>
                <w:sz w:val="24"/>
                <w:szCs w:val="24"/>
                <w:lang w:val="kk-KZ" w:eastAsia="en-US"/>
              </w:rPr>
              <w:t>уыл, су, орман, ба</w:t>
            </w:r>
            <w:r>
              <w:rPr>
                <w:rFonts w:ascii="Times New Roman" w:hAnsi="Times New Roman"/>
                <w:sz w:val="24"/>
                <w:szCs w:val="24"/>
                <w:lang w:val="kk-KZ" w:eastAsia="en-US"/>
              </w:rPr>
              <w:t xml:space="preserve"> </w:t>
            </w:r>
            <w:r w:rsidRPr="004D4A9B">
              <w:rPr>
                <w:rFonts w:ascii="Times New Roman" w:hAnsi="Times New Roman"/>
                <w:sz w:val="24"/>
                <w:szCs w:val="24"/>
                <w:lang w:val="kk-KZ" w:eastAsia="en-US"/>
              </w:rPr>
              <w:t>лық шаруашылығы, ерекше қорғалатын  та</w:t>
            </w:r>
            <w:r>
              <w:rPr>
                <w:rFonts w:ascii="Times New Roman" w:hAnsi="Times New Roman"/>
                <w:sz w:val="24"/>
                <w:szCs w:val="24"/>
                <w:lang w:val="kk-KZ" w:eastAsia="en-US"/>
              </w:rPr>
              <w:t xml:space="preserve"> </w:t>
            </w:r>
            <w:r w:rsidRPr="004D4A9B">
              <w:rPr>
                <w:rFonts w:ascii="Times New Roman" w:hAnsi="Times New Roman"/>
                <w:sz w:val="24"/>
                <w:szCs w:val="24"/>
                <w:lang w:val="kk-KZ" w:eastAsia="en-US"/>
              </w:rPr>
              <w:t>биғат аумақтары, қор</w:t>
            </w:r>
            <w:r>
              <w:rPr>
                <w:rFonts w:ascii="Times New Roman" w:hAnsi="Times New Roman"/>
                <w:sz w:val="24"/>
                <w:szCs w:val="24"/>
                <w:lang w:val="kk-KZ" w:eastAsia="en-US"/>
              </w:rPr>
              <w:t xml:space="preserve"> </w:t>
            </w:r>
            <w:r w:rsidRPr="004D4A9B">
              <w:rPr>
                <w:rFonts w:ascii="Times New Roman" w:hAnsi="Times New Roman"/>
                <w:sz w:val="24"/>
                <w:szCs w:val="24"/>
                <w:lang w:val="kk-KZ" w:eastAsia="en-US"/>
              </w:rPr>
              <w:t>шаған ортаны және жануарлар әлемін қор</w:t>
            </w:r>
            <w:r>
              <w:rPr>
                <w:rFonts w:ascii="Times New Roman" w:hAnsi="Times New Roman"/>
                <w:sz w:val="24"/>
                <w:szCs w:val="24"/>
                <w:lang w:val="kk-KZ" w:eastAsia="en-US"/>
              </w:rPr>
              <w:t xml:space="preserve"> </w:t>
            </w:r>
            <w:r w:rsidRPr="004D4A9B">
              <w:rPr>
                <w:rFonts w:ascii="Times New Roman" w:hAnsi="Times New Roman"/>
                <w:sz w:val="24"/>
                <w:szCs w:val="24"/>
                <w:lang w:val="kk-KZ" w:eastAsia="en-US"/>
              </w:rPr>
              <w:t>ғау, жер қатынастары, млрд. теңге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59D2E5"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376</w:t>
            </w:r>
            <w:r w:rsidRPr="004D4A9B">
              <w:rPr>
                <w:rFonts w:ascii="Times New Roman" w:hAnsi="Times New Roman"/>
                <w:color w:val="auto"/>
                <w:sz w:val="24"/>
                <w:szCs w:val="24"/>
                <w:lang w:eastAsia="en-US"/>
              </w:rPr>
              <w:t>,</w:t>
            </w:r>
            <w:r w:rsidRPr="004D4A9B">
              <w:rPr>
                <w:rFonts w:ascii="Times New Roman" w:hAnsi="Times New Roman"/>
                <w:color w:val="auto"/>
                <w:sz w:val="24"/>
                <w:szCs w:val="24"/>
                <w:lang w:val="kk-KZ" w:eastAsia="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FC7389"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414,5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6DE9082A"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474,3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B1258" w14:textId="77777777" w:rsidR="006B3F88" w:rsidRPr="004D4A9B" w:rsidRDefault="006B3F88" w:rsidP="002C5881">
            <w:pPr>
              <w:pStyle w:val="af"/>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501,8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2B80C7" w14:textId="77777777" w:rsidR="006B3F88" w:rsidRPr="004D4A9B" w:rsidRDefault="006B3F88" w:rsidP="002C5881">
            <w:pPr>
              <w:pStyle w:val="af"/>
              <w:jc w:val="center"/>
              <w:rPr>
                <w:rFonts w:ascii="Times New Roman" w:hAnsi="Times New Roman"/>
                <w:color w:val="auto"/>
                <w:sz w:val="24"/>
                <w:szCs w:val="24"/>
                <w:lang w:val="en-US" w:eastAsia="en-US"/>
              </w:rPr>
            </w:pPr>
            <w:r w:rsidRPr="004D4A9B">
              <w:rPr>
                <w:rFonts w:ascii="Times New Roman" w:hAnsi="Times New Roman"/>
                <w:color w:val="auto"/>
                <w:sz w:val="24"/>
                <w:szCs w:val="24"/>
                <w:lang w:val="en-US" w:eastAsia="en-US"/>
              </w:rPr>
              <w:t>583</w:t>
            </w:r>
            <w:r w:rsidRPr="004D4A9B">
              <w:rPr>
                <w:rFonts w:ascii="Times New Roman" w:hAnsi="Times New Roman"/>
                <w:color w:val="auto"/>
                <w:sz w:val="24"/>
                <w:szCs w:val="24"/>
                <w:lang w:eastAsia="en-US"/>
              </w:rPr>
              <w:t>,</w:t>
            </w:r>
            <w:r w:rsidRPr="004D4A9B">
              <w:rPr>
                <w:rFonts w:ascii="Times New Roman" w:hAnsi="Times New Roman"/>
                <w:color w:val="auto"/>
                <w:sz w:val="24"/>
                <w:szCs w:val="24"/>
                <w:lang w:val="en-US"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F81EB8" w14:textId="77777777" w:rsidR="006B3F88" w:rsidRPr="004D4A9B" w:rsidRDefault="006B3F88" w:rsidP="002C5881">
            <w:pPr>
              <w:jc w:val="center"/>
              <w:rPr>
                <w:rFonts w:ascii="Times New Roman" w:hAnsi="Times New Roman" w:cs="Times New Roman"/>
                <w:sz w:val="24"/>
                <w:szCs w:val="24"/>
                <w:lang w:val="en-US"/>
              </w:rPr>
            </w:pPr>
            <w:r w:rsidRPr="004D4A9B">
              <w:rPr>
                <w:rFonts w:ascii="Times New Roman" w:hAnsi="Times New Roman" w:cs="Times New Roman"/>
                <w:sz w:val="24"/>
                <w:szCs w:val="24"/>
                <w:lang w:val="en-US"/>
              </w:rPr>
              <w:t>668,3</w:t>
            </w:r>
          </w:p>
        </w:tc>
        <w:tc>
          <w:tcPr>
            <w:tcW w:w="850" w:type="dxa"/>
            <w:tcBorders>
              <w:top w:val="single" w:sz="4" w:space="0" w:color="auto"/>
              <w:left w:val="single" w:sz="4" w:space="0" w:color="auto"/>
              <w:bottom w:val="single" w:sz="4" w:space="0" w:color="auto"/>
              <w:right w:val="single" w:sz="4" w:space="0" w:color="auto"/>
            </w:tcBorders>
            <w:vAlign w:val="center"/>
          </w:tcPr>
          <w:p w14:paraId="39152D43" w14:textId="34B47BCF" w:rsidR="006B3F88" w:rsidRPr="004D4A9B" w:rsidRDefault="006B3F88" w:rsidP="002C5881">
            <w:pPr>
              <w:jc w:val="center"/>
              <w:rPr>
                <w:rFonts w:ascii="Times New Roman" w:hAnsi="Times New Roman" w:cs="Times New Roman"/>
                <w:sz w:val="24"/>
                <w:szCs w:val="24"/>
              </w:rPr>
            </w:pPr>
            <w:r w:rsidRPr="004D4A9B">
              <w:rPr>
                <w:rFonts w:ascii="Times New Roman" w:hAnsi="Times New Roman" w:cs="Times New Roman"/>
                <w:sz w:val="24"/>
                <w:szCs w:val="24"/>
              </w:rPr>
              <w:t>717,8</w:t>
            </w:r>
          </w:p>
        </w:tc>
        <w:tc>
          <w:tcPr>
            <w:tcW w:w="1134" w:type="dxa"/>
            <w:tcBorders>
              <w:top w:val="single" w:sz="4" w:space="0" w:color="auto"/>
              <w:left w:val="single" w:sz="4" w:space="0" w:color="auto"/>
              <w:bottom w:val="single" w:sz="4" w:space="0" w:color="auto"/>
              <w:right w:val="single" w:sz="4" w:space="0" w:color="auto"/>
            </w:tcBorders>
            <w:vAlign w:val="center"/>
          </w:tcPr>
          <w:p w14:paraId="64BF5D2C" w14:textId="3D673362" w:rsidR="006B3F88" w:rsidRPr="004D4A9B" w:rsidRDefault="006B3F88" w:rsidP="002C5881">
            <w:pPr>
              <w:jc w:val="center"/>
              <w:rPr>
                <w:rFonts w:ascii="Times New Roman" w:hAnsi="Times New Roman" w:cs="Times New Roman"/>
                <w:sz w:val="24"/>
                <w:szCs w:val="24"/>
                <w:lang w:val="en-US"/>
              </w:rPr>
            </w:pPr>
            <w:r>
              <w:rPr>
                <w:rFonts w:ascii="Times New Roman" w:hAnsi="Times New Roman" w:cs="Times New Roman"/>
                <w:sz w:val="24"/>
                <w:szCs w:val="24"/>
              </w:rPr>
              <w:t>816,4</w:t>
            </w:r>
          </w:p>
        </w:tc>
      </w:tr>
      <w:tr w:rsidR="006B3F88" w:rsidRPr="004D4A9B" w14:paraId="33FB4CFF" w14:textId="4CB94D19" w:rsidTr="000B40CB">
        <w:trPr>
          <w:jc w:val="center"/>
        </w:trPr>
        <w:tc>
          <w:tcPr>
            <w:tcW w:w="2592" w:type="dxa"/>
            <w:tcBorders>
              <w:top w:val="single" w:sz="4" w:space="0" w:color="auto"/>
              <w:left w:val="single" w:sz="4" w:space="0" w:color="auto"/>
              <w:bottom w:val="single" w:sz="4" w:space="0" w:color="auto"/>
              <w:right w:val="single" w:sz="4" w:space="0" w:color="auto"/>
            </w:tcBorders>
            <w:vAlign w:val="bottom"/>
            <w:hideMark/>
          </w:tcPr>
          <w:p w14:paraId="1A2A93F9" w14:textId="77777777" w:rsidR="006B3F88" w:rsidRPr="004D4A9B" w:rsidRDefault="006B3F88" w:rsidP="002C5881">
            <w:pPr>
              <w:pStyle w:val="ad"/>
              <w:rPr>
                <w:rFonts w:ascii="Times New Roman" w:hAnsi="Times New Roman"/>
                <w:sz w:val="24"/>
                <w:szCs w:val="24"/>
                <w:lang w:eastAsia="en-US"/>
              </w:rPr>
            </w:pPr>
            <w:r w:rsidRPr="004D4A9B">
              <w:rPr>
                <w:rFonts w:ascii="Times New Roman" w:hAnsi="Times New Roman"/>
                <w:sz w:val="24"/>
                <w:szCs w:val="24"/>
                <w:lang w:val="kk-KZ" w:eastAsia="en-US"/>
              </w:rPr>
              <w:t xml:space="preserve">Шығындар құрамындағы үлесі, </w:t>
            </w:r>
            <w:r w:rsidRPr="004D4A9B">
              <w:rPr>
                <w:rFonts w:ascii="Times New Roman" w:hAnsi="Times New Roman"/>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7B6D67"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21003B" w14:textId="77777777" w:rsidR="006B3F88" w:rsidRPr="004D4A9B" w:rsidRDefault="006B3F88" w:rsidP="002C5881">
            <w:pPr>
              <w:pStyle w:val="af"/>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4,4</w:t>
            </w:r>
          </w:p>
        </w:tc>
        <w:tc>
          <w:tcPr>
            <w:tcW w:w="805" w:type="dxa"/>
            <w:tcBorders>
              <w:top w:val="single" w:sz="4" w:space="0" w:color="auto"/>
              <w:left w:val="single" w:sz="4" w:space="0" w:color="auto"/>
              <w:bottom w:val="single" w:sz="4" w:space="0" w:color="auto"/>
              <w:right w:val="single" w:sz="4" w:space="0" w:color="auto"/>
            </w:tcBorders>
            <w:vAlign w:val="center"/>
            <w:hideMark/>
          </w:tcPr>
          <w:p w14:paraId="5D129BFE"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F740D5" w14:textId="77777777" w:rsidR="006B3F88" w:rsidRPr="004D4A9B" w:rsidRDefault="006B3F88" w:rsidP="002C5881">
            <w:pPr>
              <w:pStyle w:val="af"/>
              <w:jc w:val="center"/>
              <w:rPr>
                <w:rFonts w:ascii="Times New Roman" w:hAnsi="Times New Roman"/>
                <w:color w:val="auto"/>
                <w:sz w:val="24"/>
                <w:szCs w:val="24"/>
                <w:lang w:eastAsia="en-US"/>
              </w:rPr>
            </w:pPr>
            <w:r w:rsidRPr="004D4A9B">
              <w:rPr>
                <w:rFonts w:ascii="Times New Roman" w:hAnsi="Times New Roman"/>
                <w:color w:val="auto"/>
                <w:sz w:val="24"/>
                <w:szCs w:val="24"/>
                <w:lang w:eastAsia="en-US"/>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7EF1E4" w14:textId="77777777" w:rsidR="006B3F88" w:rsidRPr="004D4A9B" w:rsidRDefault="006B3F88" w:rsidP="002C5881">
            <w:pPr>
              <w:pStyle w:val="af"/>
              <w:jc w:val="center"/>
              <w:rPr>
                <w:rFonts w:ascii="Times New Roman" w:hAnsi="Times New Roman"/>
                <w:color w:val="auto"/>
                <w:sz w:val="24"/>
                <w:szCs w:val="24"/>
                <w:lang w:val="kk-KZ" w:eastAsia="en-US"/>
              </w:rPr>
            </w:pPr>
            <w:r w:rsidRPr="004D4A9B">
              <w:rPr>
                <w:rFonts w:ascii="Times New Roman" w:hAnsi="Times New Roman"/>
                <w:color w:val="auto"/>
                <w:sz w:val="24"/>
                <w:szCs w:val="24"/>
                <w:lang w:val="kk-KZ" w:eastAsia="en-US"/>
              </w:rPr>
              <w:t>4,3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126861" w14:textId="77777777" w:rsidR="006B3F88" w:rsidRPr="004D4A9B" w:rsidRDefault="006B3F88" w:rsidP="002C5881">
            <w:pPr>
              <w:jc w:val="center"/>
              <w:rPr>
                <w:rFonts w:ascii="Times New Roman" w:hAnsi="Times New Roman" w:cs="Times New Roman"/>
                <w:sz w:val="24"/>
                <w:szCs w:val="24"/>
                <w:lang w:val="en-US"/>
              </w:rPr>
            </w:pPr>
            <w:r w:rsidRPr="004D4A9B">
              <w:rPr>
                <w:rFonts w:ascii="Times New Roman" w:hAnsi="Times New Roman" w:cs="Times New Roman"/>
                <w:sz w:val="24"/>
                <w:szCs w:val="24"/>
                <w:lang w:val="en-US"/>
              </w:rPr>
              <w:t>4,0</w:t>
            </w:r>
          </w:p>
        </w:tc>
        <w:tc>
          <w:tcPr>
            <w:tcW w:w="850" w:type="dxa"/>
            <w:tcBorders>
              <w:top w:val="single" w:sz="4" w:space="0" w:color="auto"/>
              <w:left w:val="single" w:sz="4" w:space="0" w:color="auto"/>
              <w:bottom w:val="single" w:sz="4" w:space="0" w:color="auto"/>
              <w:right w:val="single" w:sz="4" w:space="0" w:color="auto"/>
            </w:tcBorders>
            <w:vAlign w:val="center"/>
          </w:tcPr>
          <w:p w14:paraId="6099EDEC" w14:textId="68FC108F" w:rsidR="006B3F88" w:rsidRPr="004D4A9B" w:rsidRDefault="006B3F88" w:rsidP="002C5881">
            <w:pPr>
              <w:jc w:val="center"/>
              <w:rPr>
                <w:rFonts w:ascii="Times New Roman" w:hAnsi="Times New Roman" w:cs="Times New Roman"/>
                <w:sz w:val="24"/>
                <w:szCs w:val="24"/>
                <w:lang w:val="en-US"/>
              </w:rPr>
            </w:pPr>
            <w:r w:rsidRPr="004D4A9B">
              <w:rPr>
                <w:rFonts w:ascii="Times New Roman" w:hAnsi="Times New Roman" w:cs="Times New Roman"/>
                <w:sz w:val="24"/>
                <w:szCs w:val="24"/>
                <w:lang w:val="en-US"/>
              </w:rPr>
              <w:t>4,0</w:t>
            </w:r>
          </w:p>
        </w:tc>
        <w:tc>
          <w:tcPr>
            <w:tcW w:w="1134" w:type="dxa"/>
            <w:tcBorders>
              <w:top w:val="single" w:sz="4" w:space="0" w:color="auto"/>
              <w:left w:val="single" w:sz="4" w:space="0" w:color="auto"/>
              <w:bottom w:val="single" w:sz="4" w:space="0" w:color="auto"/>
              <w:right w:val="single" w:sz="4" w:space="0" w:color="auto"/>
            </w:tcBorders>
            <w:vAlign w:val="center"/>
          </w:tcPr>
          <w:p w14:paraId="233B460E" w14:textId="7ACCD721" w:rsidR="006B3F88" w:rsidRPr="004D4A9B" w:rsidRDefault="006B3F88" w:rsidP="002C5881">
            <w:pPr>
              <w:jc w:val="center"/>
              <w:rPr>
                <w:rFonts w:ascii="Times New Roman" w:hAnsi="Times New Roman" w:cs="Times New Roman"/>
                <w:sz w:val="24"/>
                <w:szCs w:val="24"/>
              </w:rPr>
            </w:pPr>
            <w:r>
              <w:rPr>
                <w:rFonts w:ascii="Times New Roman" w:hAnsi="Times New Roman" w:cs="Times New Roman"/>
                <w:sz w:val="24"/>
                <w:szCs w:val="24"/>
              </w:rPr>
              <w:t>3,8</w:t>
            </w:r>
          </w:p>
        </w:tc>
      </w:tr>
      <w:tr w:rsidR="006B3F88" w:rsidRPr="004D4A9B" w14:paraId="1E3C53D5" w14:textId="65D01463" w:rsidTr="000B40CB">
        <w:trPr>
          <w:jc w:val="center"/>
        </w:trPr>
        <w:tc>
          <w:tcPr>
            <w:tcW w:w="2592" w:type="dxa"/>
            <w:tcBorders>
              <w:top w:val="single" w:sz="4" w:space="0" w:color="auto"/>
              <w:left w:val="single" w:sz="4" w:space="0" w:color="auto"/>
              <w:bottom w:val="single" w:sz="4" w:space="0" w:color="auto"/>
              <w:right w:val="single" w:sz="4" w:space="0" w:color="auto"/>
            </w:tcBorders>
            <w:hideMark/>
          </w:tcPr>
          <w:p w14:paraId="4AC5982B" w14:textId="1E5E5E1F" w:rsidR="006B3F88" w:rsidRPr="004D4A9B" w:rsidRDefault="006B3F88" w:rsidP="00C502CC">
            <w:pPr>
              <w:rPr>
                <w:rFonts w:ascii="Times New Roman" w:hAnsi="Times New Roman" w:cs="Times New Roman"/>
                <w:sz w:val="24"/>
                <w:szCs w:val="24"/>
                <w:lang w:val="kk-KZ"/>
              </w:rPr>
            </w:pPr>
            <w:r w:rsidRPr="004D4A9B">
              <w:rPr>
                <w:rFonts w:ascii="Times New Roman" w:hAnsi="Times New Roman" w:cs="Times New Roman"/>
                <w:sz w:val="24"/>
                <w:szCs w:val="24"/>
                <w:lang w:val="kk-KZ"/>
              </w:rPr>
              <w:t>Бюджет қаражатының 1 тг-не келетін ауыл шаруашылық өнім шығарылымы</w:t>
            </w:r>
          </w:p>
        </w:tc>
        <w:tc>
          <w:tcPr>
            <w:tcW w:w="851" w:type="dxa"/>
            <w:tcBorders>
              <w:top w:val="single" w:sz="4" w:space="0" w:color="auto"/>
              <w:left w:val="single" w:sz="4" w:space="0" w:color="auto"/>
              <w:bottom w:val="single" w:sz="4" w:space="0" w:color="auto"/>
              <w:right w:val="single" w:sz="4" w:space="0" w:color="auto"/>
            </w:tcBorders>
            <w:vAlign w:val="center"/>
          </w:tcPr>
          <w:p w14:paraId="196B990B" w14:textId="52DCB22A" w:rsidR="006B3F88" w:rsidRPr="00C502CC" w:rsidRDefault="006B3F88" w:rsidP="00C502CC">
            <w:pPr>
              <w:jc w:val="center"/>
              <w:rPr>
                <w:rFonts w:ascii="Times New Roman" w:hAnsi="Times New Roman" w:cs="Times New Roman"/>
                <w:sz w:val="24"/>
                <w:szCs w:val="24"/>
              </w:rPr>
            </w:pPr>
            <w:r w:rsidRPr="00C502CC">
              <w:rPr>
                <w:rFonts w:ascii="Times New Roman" w:hAnsi="Times New Roman" w:cs="Times New Roman"/>
                <w:color w:val="000000"/>
                <w:sz w:val="24"/>
                <w:szCs w:val="24"/>
              </w:rPr>
              <w:t>4,25</w:t>
            </w:r>
          </w:p>
        </w:tc>
        <w:tc>
          <w:tcPr>
            <w:tcW w:w="850" w:type="dxa"/>
            <w:tcBorders>
              <w:top w:val="single" w:sz="4" w:space="0" w:color="auto"/>
              <w:left w:val="single" w:sz="4" w:space="0" w:color="auto"/>
              <w:bottom w:val="single" w:sz="4" w:space="0" w:color="auto"/>
              <w:right w:val="single" w:sz="4" w:space="0" w:color="auto"/>
            </w:tcBorders>
            <w:vAlign w:val="center"/>
          </w:tcPr>
          <w:p w14:paraId="4FDAF24B" w14:textId="77ABD2C4" w:rsidR="006B3F88" w:rsidRPr="00C502CC" w:rsidRDefault="006B3F88" w:rsidP="00C502CC">
            <w:pPr>
              <w:jc w:val="center"/>
              <w:rPr>
                <w:rFonts w:ascii="Times New Roman" w:hAnsi="Times New Roman" w:cs="Times New Roman"/>
                <w:sz w:val="24"/>
                <w:szCs w:val="24"/>
                <w:lang w:val="kk-KZ"/>
              </w:rPr>
            </w:pPr>
            <w:r w:rsidRPr="00C502CC">
              <w:rPr>
                <w:rFonts w:ascii="Times New Roman" w:hAnsi="Times New Roman" w:cs="Times New Roman"/>
                <w:color w:val="000000"/>
                <w:sz w:val="24"/>
                <w:szCs w:val="24"/>
              </w:rPr>
              <w:t>4,62</w:t>
            </w:r>
          </w:p>
        </w:tc>
        <w:tc>
          <w:tcPr>
            <w:tcW w:w="805" w:type="dxa"/>
            <w:tcBorders>
              <w:top w:val="single" w:sz="4" w:space="0" w:color="auto"/>
              <w:left w:val="single" w:sz="4" w:space="0" w:color="auto"/>
              <w:bottom w:val="single" w:sz="4" w:space="0" w:color="auto"/>
              <w:right w:val="single" w:sz="4" w:space="0" w:color="auto"/>
            </w:tcBorders>
            <w:vAlign w:val="center"/>
          </w:tcPr>
          <w:p w14:paraId="1D8E0309" w14:textId="15C19D6B" w:rsidR="006B3F88" w:rsidRPr="00C502CC" w:rsidRDefault="006B3F88" w:rsidP="00C502CC">
            <w:pPr>
              <w:jc w:val="center"/>
              <w:rPr>
                <w:rFonts w:ascii="Times New Roman" w:hAnsi="Times New Roman" w:cs="Times New Roman"/>
                <w:sz w:val="24"/>
                <w:szCs w:val="24"/>
                <w:lang w:val="kk-KZ"/>
              </w:rPr>
            </w:pPr>
            <w:r w:rsidRPr="00C502CC">
              <w:rPr>
                <w:rFonts w:ascii="Times New Roman" w:hAnsi="Times New Roman" w:cs="Times New Roman"/>
                <w:color w:val="000000"/>
                <w:sz w:val="24"/>
                <w:szCs w:val="24"/>
              </w:rPr>
              <w:t>4,53</w:t>
            </w:r>
          </w:p>
        </w:tc>
        <w:tc>
          <w:tcPr>
            <w:tcW w:w="851" w:type="dxa"/>
            <w:tcBorders>
              <w:top w:val="single" w:sz="4" w:space="0" w:color="auto"/>
              <w:left w:val="single" w:sz="4" w:space="0" w:color="auto"/>
              <w:bottom w:val="single" w:sz="4" w:space="0" w:color="auto"/>
              <w:right w:val="single" w:sz="4" w:space="0" w:color="auto"/>
            </w:tcBorders>
            <w:vAlign w:val="center"/>
          </w:tcPr>
          <w:p w14:paraId="6C17374D" w14:textId="3FC0E138" w:rsidR="006B3F88" w:rsidRPr="00C502CC" w:rsidRDefault="006B3F88" w:rsidP="00C502CC">
            <w:pPr>
              <w:jc w:val="center"/>
              <w:rPr>
                <w:rFonts w:ascii="Times New Roman" w:hAnsi="Times New Roman" w:cs="Times New Roman"/>
                <w:sz w:val="24"/>
                <w:szCs w:val="24"/>
                <w:lang w:val="kk-KZ"/>
              </w:rPr>
            </w:pPr>
            <w:r w:rsidRPr="00C502CC">
              <w:rPr>
                <w:rFonts w:ascii="Times New Roman" w:hAnsi="Times New Roman" w:cs="Times New Roman"/>
                <w:color w:val="000000"/>
                <w:sz w:val="24"/>
                <w:szCs w:val="24"/>
              </w:rPr>
              <w:t>4,8</w:t>
            </w:r>
          </w:p>
        </w:tc>
        <w:tc>
          <w:tcPr>
            <w:tcW w:w="850" w:type="dxa"/>
            <w:tcBorders>
              <w:top w:val="single" w:sz="4" w:space="0" w:color="auto"/>
              <w:left w:val="single" w:sz="4" w:space="0" w:color="auto"/>
              <w:bottom w:val="single" w:sz="4" w:space="0" w:color="auto"/>
              <w:right w:val="single" w:sz="4" w:space="0" w:color="auto"/>
            </w:tcBorders>
            <w:vAlign w:val="center"/>
          </w:tcPr>
          <w:p w14:paraId="51B1664E" w14:textId="658D08E5" w:rsidR="006B3F88" w:rsidRPr="00C502CC" w:rsidRDefault="006B3F88" w:rsidP="00C502CC">
            <w:pPr>
              <w:jc w:val="center"/>
              <w:rPr>
                <w:rFonts w:ascii="Times New Roman" w:hAnsi="Times New Roman" w:cs="Times New Roman"/>
                <w:sz w:val="24"/>
                <w:szCs w:val="24"/>
                <w:lang w:val="en-US"/>
              </w:rPr>
            </w:pPr>
            <w:r w:rsidRPr="00C502CC">
              <w:rPr>
                <w:rFonts w:ascii="Times New Roman" w:hAnsi="Times New Roman" w:cs="Times New Roman"/>
                <w:color w:val="000000"/>
                <w:sz w:val="24"/>
                <w:szCs w:val="24"/>
              </w:rPr>
              <w:t>4,97</w:t>
            </w:r>
          </w:p>
        </w:tc>
        <w:tc>
          <w:tcPr>
            <w:tcW w:w="851" w:type="dxa"/>
            <w:tcBorders>
              <w:top w:val="single" w:sz="4" w:space="0" w:color="auto"/>
              <w:left w:val="single" w:sz="4" w:space="0" w:color="auto"/>
              <w:bottom w:val="single" w:sz="4" w:space="0" w:color="auto"/>
              <w:right w:val="single" w:sz="4" w:space="0" w:color="auto"/>
            </w:tcBorders>
            <w:vAlign w:val="center"/>
          </w:tcPr>
          <w:p w14:paraId="1DAE9661" w14:textId="6E9B1414" w:rsidR="006B3F88" w:rsidRPr="00C502CC" w:rsidRDefault="006B3F88" w:rsidP="00C502CC">
            <w:pPr>
              <w:jc w:val="center"/>
              <w:rPr>
                <w:rFonts w:ascii="Times New Roman" w:hAnsi="Times New Roman" w:cs="Times New Roman"/>
                <w:sz w:val="24"/>
                <w:szCs w:val="24"/>
                <w:lang w:val="en-US"/>
              </w:rPr>
            </w:pPr>
            <w:r w:rsidRPr="00C502CC">
              <w:rPr>
                <w:rFonts w:ascii="Times New Roman" w:hAnsi="Times New Roman" w:cs="Times New Roman"/>
                <w:color w:val="000000"/>
                <w:sz w:val="24"/>
                <w:szCs w:val="24"/>
              </w:rPr>
              <w:t>5,48</w:t>
            </w:r>
          </w:p>
        </w:tc>
        <w:tc>
          <w:tcPr>
            <w:tcW w:w="850" w:type="dxa"/>
            <w:tcBorders>
              <w:top w:val="single" w:sz="4" w:space="0" w:color="auto"/>
              <w:left w:val="single" w:sz="4" w:space="0" w:color="auto"/>
              <w:bottom w:val="single" w:sz="4" w:space="0" w:color="auto"/>
              <w:right w:val="single" w:sz="4" w:space="0" w:color="auto"/>
            </w:tcBorders>
            <w:vAlign w:val="center"/>
          </w:tcPr>
          <w:p w14:paraId="767388BD" w14:textId="4E5E29C4" w:rsidR="006B3F88" w:rsidRPr="00C502CC" w:rsidRDefault="006B3F88" w:rsidP="00C502CC">
            <w:pPr>
              <w:jc w:val="center"/>
              <w:rPr>
                <w:rFonts w:ascii="Times New Roman" w:hAnsi="Times New Roman" w:cs="Times New Roman"/>
                <w:sz w:val="24"/>
                <w:szCs w:val="24"/>
                <w:lang w:val="en-US"/>
              </w:rPr>
            </w:pPr>
            <w:r w:rsidRPr="00C502CC">
              <w:rPr>
                <w:rFonts w:ascii="Times New Roman" w:hAnsi="Times New Roman" w:cs="Times New Roman"/>
                <w:color w:val="000000"/>
                <w:sz w:val="24"/>
                <w:szCs w:val="24"/>
              </w:rPr>
              <w:t>6,06</w:t>
            </w:r>
          </w:p>
        </w:tc>
        <w:tc>
          <w:tcPr>
            <w:tcW w:w="1134" w:type="dxa"/>
            <w:tcBorders>
              <w:top w:val="single" w:sz="4" w:space="0" w:color="auto"/>
              <w:left w:val="single" w:sz="4" w:space="0" w:color="auto"/>
              <w:bottom w:val="single" w:sz="4" w:space="0" w:color="auto"/>
              <w:right w:val="single" w:sz="4" w:space="0" w:color="auto"/>
            </w:tcBorders>
            <w:vAlign w:val="center"/>
          </w:tcPr>
          <w:p w14:paraId="4DCBCB1F" w14:textId="0D7530A1" w:rsidR="006B3F88" w:rsidRPr="00C502CC" w:rsidRDefault="006B3F88" w:rsidP="00C502CC">
            <w:pPr>
              <w:jc w:val="center"/>
              <w:rPr>
                <w:rFonts w:ascii="Times New Roman" w:hAnsi="Times New Roman" w:cs="Times New Roman"/>
                <w:sz w:val="24"/>
                <w:szCs w:val="24"/>
                <w:lang w:val="en-US"/>
              </w:rPr>
            </w:pPr>
            <w:r w:rsidRPr="00C502CC">
              <w:rPr>
                <w:rFonts w:ascii="Times New Roman" w:hAnsi="Times New Roman" w:cs="Times New Roman"/>
                <w:color w:val="000000"/>
                <w:sz w:val="24"/>
                <w:szCs w:val="24"/>
              </w:rPr>
              <w:t>6,98</w:t>
            </w:r>
          </w:p>
        </w:tc>
      </w:tr>
      <w:tr w:rsidR="006B3F88" w:rsidRPr="004D4A9B" w14:paraId="3CFE1B44" w14:textId="77777777" w:rsidTr="006B3F88">
        <w:trPr>
          <w:jc w:val="center"/>
        </w:trPr>
        <w:tc>
          <w:tcPr>
            <w:tcW w:w="9634" w:type="dxa"/>
            <w:gridSpan w:val="9"/>
            <w:tcBorders>
              <w:top w:val="single" w:sz="4" w:space="0" w:color="auto"/>
              <w:left w:val="single" w:sz="4" w:space="0" w:color="auto"/>
              <w:bottom w:val="single" w:sz="4" w:space="0" w:color="auto"/>
              <w:right w:val="single" w:sz="4" w:space="0" w:color="auto"/>
            </w:tcBorders>
          </w:tcPr>
          <w:p w14:paraId="36E9A8D1" w14:textId="47F2C9BF" w:rsidR="006B3F88" w:rsidRPr="00C502CC" w:rsidRDefault="006B3F88" w:rsidP="006B3F88">
            <w:pPr>
              <w:ind w:firstLine="601"/>
              <w:rPr>
                <w:rFonts w:ascii="Times New Roman" w:hAnsi="Times New Roman" w:cs="Times New Roman"/>
                <w:color w:val="000000"/>
                <w:sz w:val="24"/>
                <w:szCs w:val="24"/>
              </w:rPr>
            </w:pPr>
            <w:r>
              <w:rPr>
                <w:rFonts w:ascii="Times New Roman" w:eastAsia="Calibri" w:hAnsi="Times New Roman" w:cs="Times New Roman"/>
                <w:sz w:val="24"/>
                <w:szCs w:val="24"/>
              </w:rPr>
              <w:t>Ескерту –</w:t>
            </w:r>
            <w:r>
              <w:rPr>
                <w:rFonts w:ascii="Times New Roman" w:eastAsia="Calibri" w:hAnsi="Times New Roman" w:cs="Times New Roman"/>
                <w:bCs/>
                <w:sz w:val="24"/>
                <w:szCs w:val="24"/>
                <w:lang w:val="kk-KZ"/>
              </w:rPr>
              <w:t xml:space="preserve"> Әдебиет негізінде құралған </w:t>
            </w:r>
            <w:r>
              <w:rPr>
                <w:rFonts w:ascii="Times New Roman" w:hAnsi="Times New Roman" w:cs="Times New Roman"/>
                <w:sz w:val="24"/>
                <w:szCs w:val="24"/>
              </w:rPr>
              <w:t>[</w:t>
            </w:r>
            <w:r w:rsidR="00E6041C">
              <w:rPr>
                <w:rFonts w:ascii="Times New Roman" w:hAnsi="Times New Roman" w:cs="Times New Roman"/>
                <w:sz w:val="24"/>
                <w:szCs w:val="24"/>
                <w:lang w:val="en-US"/>
              </w:rPr>
              <w:t>7</w:t>
            </w:r>
            <w:r>
              <w:rPr>
                <w:rFonts w:ascii="Times New Roman" w:hAnsi="Times New Roman" w:cs="Times New Roman"/>
                <w:sz w:val="24"/>
                <w:szCs w:val="24"/>
              </w:rPr>
              <w:t>]</w:t>
            </w:r>
          </w:p>
        </w:tc>
      </w:tr>
    </w:tbl>
    <w:p w14:paraId="727638B5" w14:textId="77777777" w:rsidR="006B3F88" w:rsidRPr="006B3F88" w:rsidRDefault="006B3F88" w:rsidP="002C5881">
      <w:pPr>
        <w:spacing w:after="0" w:line="240" w:lineRule="auto"/>
        <w:ind w:firstLine="567"/>
        <w:jc w:val="both"/>
        <w:rPr>
          <w:rFonts w:ascii="Times New Roman" w:hAnsi="Times New Roman" w:cs="Times New Roman"/>
          <w:sz w:val="16"/>
          <w:szCs w:val="16"/>
          <w:lang w:val="kk-KZ"/>
        </w:rPr>
      </w:pPr>
    </w:p>
    <w:p w14:paraId="7601CB1E" w14:textId="3680FA44" w:rsidR="002C5881" w:rsidRDefault="002C5881" w:rsidP="002C588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7-кесте мәліметтерінен ЖІӨ құрамындағы ауыл шаруашылығы өнімдерінің (көрсетілетін қызметтерінің) жалпы шығарылымының үлесі 2015-202</w:t>
      </w:r>
      <w:r w:rsidR="006B3F88">
        <w:rPr>
          <w:rFonts w:ascii="Times New Roman" w:hAnsi="Times New Roman" w:cs="Times New Roman"/>
          <w:sz w:val="28"/>
          <w:szCs w:val="28"/>
          <w:lang w:val="kk-KZ"/>
        </w:rPr>
        <w:t>2</w:t>
      </w:r>
      <w:r>
        <w:rPr>
          <w:rFonts w:ascii="Times New Roman" w:hAnsi="Times New Roman" w:cs="Times New Roman"/>
          <w:sz w:val="28"/>
          <w:szCs w:val="28"/>
          <w:lang w:val="kk-KZ"/>
        </w:rPr>
        <w:t xml:space="preserve"> жж. аралығында құбылмалы болған, 2022 жылы 5,3%-ды құрап, 2015 жылмен салыстырғанда 0,5%-дық пунктіге өскен, 2021 жылы бюджет қаражатының өсуіне қарамастан, ЖІӨ-дегі ауыл шаруашылық өнім үлесі 5,1</w:t>
      </w:r>
      <w:r w:rsidR="000B40CB" w:rsidRPr="000B40CB">
        <w:rPr>
          <w:rFonts w:ascii="Times New Roman" w:hAnsi="Times New Roman" w:cs="Times New Roman"/>
          <w:sz w:val="28"/>
          <w:szCs w:val="28"/>
          <w:lang w:val="kk-KZ"/>
        </w:rPr>
        <w:t>%-</w:t>
      </w:r>
      <w:r>
        <w:rPr>
          <w:rFonts w:ascii="Times New Roman" w:hAnsi="Times New Roman" w:cs="Times New Roman"/>
          <w:sz w:val="28"/>
          <w:szCs w:val="28"/>
          <w:lang w:val="kk-KZ"/>
        </w:rPr>
        <w:t xml:space="preserve">ды құраған. </w:t>
      </w:r>
    </w:p>
    <w:p w14:paraId="2AF26057" w14:textId="23A13F45" w:rsidR="00617FA0" w:rsidRPr="00457CE9" w:rsidRDefault="00E232BF" w:rsidP="0002736D">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бюджет шығындар</w:t>
      </w:r>
      <w:r w:rsidR="000B40CB">
        <w:rPr>
          <w:rFonts w:ascii="Times New Roman" w:hAnsi="Times New Roman" w:cs="Times New Roman"/>
          <w:sz w:val="28"/>
          <w:szCs w:val="28"/>
          <w:lang w:val="kk-KZ"/>
        </w:rPr>
        <w:t>ы</w:t>
      </w:r>
      <w:r>
        <w:rPr>
          <w:rFonts w:ascii="Times New Roman" w:hAnsi="Times New Roman" w:cs="Times New Roman"/>
          <w:sz w:val="28"/>
          <w:szCs w:val="28"/>
          <w:lang w:val="kk-KZ"/>
        </w:rPr>
        <w:t xml:space="preserve"> 202</w:t>
      </w:r>
      <w:r w:rsidR="002C5881" w:rsidRPr="002C5881">
        <w:rPr>
          <w:rFonts w:ascii="Times New Roman" w:hAnsi="Times New Roman" w:cs="Times New Roman"/>
          <w:sz w:val="28"/>
          <w:szCs w:val="28"/>
          <w:lang w:val="kk-KZ"/>
        </w:rPr>
        <w:t>2</w:t>
      </w:r>
      <w:r>
        <w:rPr>
          <w:rFonts w:ascii="Times New Roman" w:hAnsi="Times New Roman" w:cs="Times New Roman"/>
          <w:sz w:val="28"/>
          <w:szCs w:val="28"/>
          <w:lang w:val="kk-KZ"/>
        </w:rPr>
        <w:t xml:space="preserve"> жылы 2015 жылмен салыстырғанда 2</w:t>
      </w:r>
      <w:r w:rsidR="002C5881" w:rsidRPr="002C5881">
        <w:rPr>
          <w:rFonts w:ascii="Times New Roman" w:hAnsi="Times New Roman" w:cs="Times New Roman"/>
          <w:sz w:val="28"/>
          <w:szCs w:val="28"/>
          <w:lang w:val="kk-KZ"/>
        </w:rPr>
        <w:t>,</w:t>
      </w:r>
      <w:r w:rsidR="002C5881">
        <w:rPr>
          <w:rFonts w:ascii="Times New Roman" w:hAnsi="Times New Roman" w:cs="Times New Roman"/>
          <w:sz w:val="28"/>
          <w:szCs w:val="28"/>
          <w:lang w:val="kk-KZ"/>
        </w:rPr>
        <w:t>6</w:t>
      </w:r>
      <w:r>
        <w:rPr>
          <w:rFonts w:ascii="Times New Roman" w:hAnsi="Times New Roman" w:cs="Times New Roman"/>
          <w:sz w:val="28"/>
          <w:szCs w:val="28"/>
          <w:lang w:val="kk-KZ"/>
        </w:rPr>
        <w:t xml:space="preserve"> есе, </w:t>
      </w:r>
      <w:r w:rsidR="002C5881">
        <w:rPr>
          <w:rFonts w:ascii="Times New Roman" w:hAnsi="Times New Roman" w:cs="Times New Roman"/>
          <w:sz w:val="28"/>
          <w:szCs w:val="28"/>
          <w:lang w:val="kk-KZ"/>
        </w:rPr>
        <w:t xml:space="preserve">ал </w:t>
      </w:r>
      <w:r>
        <w:rPr>
          <w:rFonts w:ascii="Times New Roman" w:hAnsi="Times New Roman" w:cs="Times New Roman"/>
          <w:sz w:val="28"/>
          <w:szCs w:val="28"/>
          <w:lang w:val="kk-KZ"/>
        </w:rPr>
        <w:t xml:space="preserve">ауыл шаруашылығы саласына жұмсалған мемлекеттік бюджет қаражаты аталған кезеңде </w:t>
      </w:r>
      <w:r w:rsidR="002C5881" w:rsidRPr="002C5881">
        <w:rPr>
          <w:rFonts w:ascii="Times New Roman" w:hAnsi="Times New Roman" w:cs="Times New Roman"/>
          <w:sz w:val="28"/>
          <w:szCs w:val="28"/>
          <w:lang w:val="kk-KZ"/>
        </w:rPr>
        <w:t xml:space="preserve">2,1 </w:t>
      </w:r>
      <w:r w:rsidR="002C5881">
        <w:rPr>
          <w:rFonts w:ascii="Times New Roman" w:hAnsi="Times New Roman" w:cs="Times New Roman"/>
          <w:sz w:val="28"/>
          <w:szCs w:val="28"/>
          <w:lang w:val="kk-KZ"/>
        </w:rPr>
        <w:t>есе</w:t>
      </w:r>
      <w:r>
        <w:rPr>
          <w:rFonts w:ascii="Times New Roman" w:hAnsi="Times New Roman" w:cs="Times New Roman"/>
          <w:sz w:val="28"/>
          <w:szCs w:val="28"/>
          <w:lang w:val="kk-KZ"/>
        </w:rPr>
        <w:t xml:space="preserve"> өскен. Бюджет қаражат</w:t>
      </w:r>
      <w:r w:rsidR="000B40CB">
        <w:rPr>
          <w:rFonts w:ascii="Times New Roman" w:hAnsi="Times New Roman" w:cs="Times New Roman"/>
          <w:sz w:val="28"/>
          <w:szCs w:val="28"/>
          <w:lang w:val="kk-KZ"/>
        </w:rPr>
        <w:t>ы</w:t>
      </w:r>
      <w:r>
        <w:rPr>
          <w:rFonts w:ascii="Times New Roman" w:hAnsi="Times New Roman" w:cs="Times New Roman"/>
          <w:sz w:val="28"/>
          <w:szCs w:val="28"/>
          <w:lang w:val="kk-KZ"/>
        </w:rPr>
        <w:t>ның бір теңгесіне келетін ауыл шаруашылық өнім шығарылымы 202</w:t>
      </w:r>
      <w:r w:rsidR="002C5881">
        <w:rPr>
          <w:rFonts w:ascii="Times New Roman" w:hAnsi="Times New Roman" w:cs="Times New Roman"/>
          <w:sz w:val="28"/>
          <w:szCs w:val="28"/>
          <w:lang w:val="kk-KZ"/>
        </w:rPr>
        <w:t>2</w:t>
      </w:r>
      <w:r>
        <w:rPr>
          <w:rFonts w:ascii="Times New Roman" w:hAnsi="Times New Roman" w:cs="Times New Roman"/>
          <w:sz w:val="28"/>
          <w:szCs w:val="28"/>
          <w:lang w:val="kk-KZ"/>
        </w:rPr>
        <w:t xml:space="preserve"> жылы 2015 жылмен салыстырғанда аралығында </w:t>
      </w:r>
      <w:r w:rsidR="002C5881">
        <w:rPr>
          <w:rFonts w:ascii="Times New Roman" w:hAnsi="Times New Roman" w:cs="Times New Roman"/>
          <w:sz w:val="28"/>
          <w:szCs w:val="28"/>
          <w:lang w:val="kk-KZ"/>
        </w:rPr>
        <w:t>32,9</w:t>
      </w:r>
      <w:r w:rsidR="000B40CB">
        <w:rPr>
          <w:rFonts w:ascii="Times New Roman" w:hAnsi="Times New Roman" w:cs="Times New Roman"/>
          <w:sz w:val="28"/>
          <w:szCs w:val="28"/>
          <w:lang w:val="ru-KZ"/>
        </w:rPr>
        <w:t>%-</w:t>
      </w:r>
      <w:r w:rsidR="002C5881">
        <w:rPr>
          <w:rFonts w:ascii="Times New Roman" w:hAnsi="Times New Roman" w:cs="Times New Roman"/>
          <w:sz w:val="28"/>
          <w:szCs w:val="28"/>
          <w:lang w:val="kk-KZ"/>
        </w:rPr>
        <w:t>ға</w:t>
      </w:r>
      <w:r>
        <w:rPr>
          <w:rFonts w:ascii="Times New Roman" w:hAnsi="Times New Roman" w:cs="Times New Roman"/>
          <w:sz w:val="28"/>
          <w:szCs w:val="28"/>
          <w:lang w:val="kk-KZ"/>
        </w:rPr>
        <w:t xml:space="preserve"> төмендеген. Бұл оны пайдалану тиімділігінің төмендегенін көрсетіп тұр.</w:t>
      </w:r>
      <w:r w:rsidR="002C5881" w:rsidRPr="002C5881">
        <w:rPr>
          <w:rFonts w:ascii="Times New Roman" w:hAnsi="Times New Roman" w:cs="Times New Roman"/>
          <w:sz w:val="28"/>
          <w:szCs w:val="28"/>
          <w:lang w:val="kk-KZ"/>
        </w:rPr>
        <w:t xml:space="preserve"> </w:t>
      </w:r>
      <w:r w:rsidR="002C5881">
        <w:rPr>
          <w:rFonts w:ascii="Times New Roman" w:hAnsi="Times New Roman" w:cs="Times New Roman"/>
          <w:sz w:val="28"/>
          <w:szCs w:val="28"/>
          <w:lang w:val="kk-KZ"/>
        </w:rPr>
        <w:t>Бюджет қаражатының бір теңгесіне келетін ауыл шаруашылық өнім шығарылымы 2022 жылы 2015 жылмен салыстырғанда 2,</w:t>
      </w:r>
      <w:r w:rsidR="00C502CC">
        <w:rPr>
          <w:rFonts w:ascii="Times New Roman" w:hAnsi="Times New Roman" w:cs="Times New Roman"/>
          <w:sz w:val="28"/>
          <w:szCs w:val="28"/>
          <w:lang w:val="kk-KZ"/>
        </w:rPr>
        <w:t>73</w:t>
      </w:r>
      <w:r w:rsidR="002C5881">
        <w:rPr>
          <w:rFonts w:ascii="Times New Roman" w:hAnsi="Times New Roman" w:cs="Times New Roman"/>
          <w:sz w:val="28"/>
          <w:szCs w:val="28"/>
          <w:lang w:val="kk-KZ"/>
        </w:rPr>
        <w:t xml:space="preserve"> теңгеге ғана өскен. Бұл </w:t>
      </w:r>
      <w:r w:rsidR="000B40CB">
        <w:rPr>
          <w:rFonts w:ascii="Times New Roman" w:hAnsi="Times New Roman" w:cs="Times New Roman"/>
          <w:sz w:val="28"/>
          <w:szCs w:val="28"/>
          <w:lang w:val="kk-KZ"/>
        </w:rPr>
        <w:t xml:space="preserve">бюджет шығындарының арту қарқынынан анағұрлым төмен </w:t>
      </w:r>
      <w:r w:rsidR="002C5881">
        <w:rPr>
          <w:rFonts w:ascii="Times New Roman" w:hAnsi="Times New Roman" w:cs="Times New Roman"/>
          <w:sz w:val="28"/>
          <w:szCs w:val="28"/>
          <w:lang w:val="kk-KZ"/>
        </w:rPr>
        <w:t>екендігін көрсетіп тұр.</w:t>
      </w:r>
      <w:r w:rsidR="0002736D">
        <w:rPr>
          <w:rFonts w:ascii="Times New Roman" w:hAnsi="Times New Roman" w:cs="Times New Roman"/>
          <w:sz w:val="28"/>
          <w:szCs w:val="28"/>
          <w:lang w:val="kk-KZ"/>
        </w:rPr>
        <w:t xml:space="preserve"> </w:t>
      </w:r>
      <w:r w:rsidR="00023296">
        <w:rPr>
          <w:rFonts w:ascii="Times New Roman" w:hAnsi="Times New Roman" w:cs="Times New Roman"/>
          <w:sz w:val="28"/>
          <w:szCs w:val="28"/>
          <w:lang w:val="kk-KZ"/>
        </w:rPr>
        <w:t>8</w:t>
      </w:r>
      <w:r w:rsidR="00617FA0" w:rsidRPr="00457CE9">
        <w:rPr>
          <w:rFonts w:ascii="Times New Roman" w:hAnsi="Times New Roman" w:cs="Times New Roman"/>
          <w:sz w:val="28"/>
          <w:szCs w:val="28"/>
          <w:lang w:val="kk-KZ"/>
        </w:rPr>
        <w:t>-кесте мәліметтері негізінде 2015-202</w:t>
      </w:r>
      <w:r w:rsidR="0002736D">
        <w:rPr>
          <w:rFonts w:ascii="Times New Roman" w:hAnsi="Times New Roman" w:cs="Times New Roman"/>
          <w:sz w:val="28"/>
          <w:szCs w:val="28"/>
          <w:lang w:val="kk-KZ"/>
        </w:rPr>
        <w:t>2</w:t>
      </w:r>
      <w:r w:rsidR="00617FA0" w:rsidRPr="00457CE9">
        <w:rPr>
          <w:rFonts w:ascii="Times New Roman" w:hAnsi="Times New Roman" w:cs="Times New Roman"/>
          <w:sz w:val="28"/>
          <w:szCs w:val="28"/>
          <w:lang w:val="kk-KZ"/>
        </w:rPr>
        <w:t xml:space="preserve"> жж. </w:t>
      </w:r>
      <w:r w:rsidR="000B40CB">
        <w:rPr>
          <w:rFonts w:ascii="Times New Roman" w:hAnsi="Times New Roman" w:cs="Times New Roman"/>
          <w:sz w:val="28"/>
          <w:szCs w:val="28"/>
          <w:lang w:val="kk-KZ"/>
        </w:rPr>
        <w:t>с</w:t>
      </w:r>
      <w:r w:rsidR="0002736D">
        <w:rPr>
          <w:rFonts w:ascii="Times New Roman" w:hAnsi="Times New Roman" w:cs="Times New Roman"/>
          <w:sz w:val="28"/>
          <w:szCs w:val="28"/>
          <w:lang w:val="kk-KZ"/>
        </w:rPr>
        <w:t>убсидия алушы</w:t>
      </w:r>
      <w:r w:rsidR="000B40CB">
        <w:rPr>
          <w:rFonts w:ascii="Times New Roman" w:hAnsi="Times New Roman" w:cs="Times New Roman"/>
          <w:sz w:val="28"/>
          <w:szCs w:val="28"/>
          <w:lang w:val="kk-KZ"/>
        </w:rPr>
        <w:t>лардың</w:t>
      </w:r>
      <w:r w:rsidR="0002736D">
        <w:rPr>
          <w:rFonts w:ascii="Times New Roman" w:hAnsi="Times New Roman" w:cs="Times New Roman"/>
          <w:sz w:val="28"/>
          <w:szCs w:val="28"/>
          <w:lang w:val="kk-KZ"/>
        </w:rPr>
        <w:t xml:space="preserve"> а</w:t>
      </w:r>
      <w:r w:rsidR="00617FA0" w:rsidRPr="00457CE9">
        <w:rPr>
          <w:rFonts w:ascii="Times New Roman" w:hAnsi="Times New Roman" w:cs="Times New Roman"/>
          <w:sz w:val="28"/>
          <w:szCs w:val="28"/>
          <w:lang w:val="kk-KZ"/>
        </w:rPr>
        <w:t xml:space="preserve">уыл шаруашылығы </w:t>
      </w:r>
      <w:r w:rsidR="0002736D">
        <w:rPr>
          <w:rFonts w:ascii="Times New Roman" w:hAnsi="Times New Roman" w:cs="Times New Roman"/>
          <w:sz w:val="28"/>
          <w:szCs w:val="28"/>
          <w:lang w:val="kk-KZ"/>
        </w:rPr>
        <w:t>өнім көлемі және жұмсалған бюджет қаражаты</w:t>
      </w:r>
      <w:r w:rsidR="00617FA0" w:rsidRPr="00457CE9">
        <w:rPr>
          <w:rFonts w:ascii="Times New Roman" w:hAnsi="Times New Roman" w:cs="Times New Roman"/>
          <w:sz w:val="28"/>
          <w:szCs w:val="28"/>
          <w:lang w:val="kk-KZ"/>
        </w:rPr>
        <w:t xml:space="preserve"> динамикасы </w:t>
      </w:r>
      <w:r w:rsidR="00132979">
        <w:rPr>
          <w:rFonts w:ascii="Times New Roman" w:hAnsi="Times New Roman" w:cs="Times New Roman"/>
          <w:sz w:val="28"/>
          <w:szCs w:val="28"/>
          <w:lang w:val="kk-KZ"/>
        </w:rPr>
        <w:t>6</w:t>
      </w:r>
      <w:r w:rsidR="008604CB" w:rsidRPr="00457CE9">
        <w:rPr>
          <w:rFonts w:ascii="Times New Roman" w:hAnsi="Times New Roman" w:cs="Times New Roman"/>
          <w:sz w:val="28"/>
          <w:szCs w:val="28"/>
          <w:lang w:val="kk-KZ"/>
        </w:rPr>
        <w:t xml:space="preserve">-суретте </w:t>
      </w:r>
      <w:r w:rsidR="00617FA0" w:rsidRPr="00457CE9">
        <w:rPr>
          <w:rFonts w:ascii="Times New Roman" w:hAnsi="Times New Roman" w:cs="Times New Roman"/>
          <w:sz w:val="28"/>
          <w:szCs w:val="28"/>
          <w:lang w:val="kk-KZ"/>
        </w:rPr>
        <w:t>келтірілген.</w:t>
      </w:r>
    </w:p>
    <w:p w14:paraId="1298D2C8" w14:textId="5BC0B517" w:rsidR="00617FA0" w:rsidRPr="00457CE9" w:rsidRDefault="0002736D" w:rsidP="002C5881">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AF023E7" wp14:editId="6395FE43">
            <wp:extent cx="5814060" cy="2087880"/>
            <wp:effectExtent l="0" t="0" r="15240" b="7620"/>
            <wp:docPr id="10923841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E3B4E9-7EB9-BA6D-FD2E-3D42A4140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91CA01" w14:textId="77777777" w:rsidR="004D4A9B" w:rsidRPr="00446F9E" w:rsidRDefault="004D4A9B" w:rsidP="00457CE9">
      <w:pPr>
        <w:spacing w:after="0" w:line="240" w:lineRule="auto"/>
        <w:ind w:firstLine="567"/>
        <w:jc w:val="both"/>
        <w:rPr>
          <w:rFonts w:ascii="Times New Roman" w:hAnsi="Times New Roman" w:cs="Times New Roman"/>
          <w:sz w:val="16"/>
          <w:szCs w:val="16"/>
          <w:lang w:val="kk-KZ"/>
        </w:rPr>
      </w:pPr>
    </w:p>
    <w:p w14:paraId="05871572" w14:textId="27D4B5DD" w:rsidR="00617FA0" w:rsidRPr="00446F9E" w:rsidRDefault="00617FA0" w:rsidP="004D4A9B">
      <w:pPr>
        <w:spacing w:after="0" w:line="240" w:lineRule="auto"/>
        <w:jc w:val="center"/>
        <w:rPr>
          <w:rFonts w:ascii="Times New Roman" w:hAnsi="Times New Roman" w:cs="Times New Roman"/>
          <w:sz w:val="28"/>
          <w:szCs w:val="28"/>
          <w:lang w:val="kk-KZ"/>
        </w:rPr>
      </w:pPr>
      <w:r w:rsidRPr="00446F9E">
        <w:rPr>
          <w:rFonts w:ascii="Times New Roman" w:hAnsi="Times New Roman" w:cs="Times New Roman"/>
          <w:sz w:val="28"/>
          <w:szCs w:val="28"/>
          <w:lang w:val="kk-KZ"/>
        </w:rPr>
        <w:t xml:space="preserve">Сурет </w:t>
      </w:r>
      <w:r w:rsidR="00132979">
        <w:rPr>
          <w:rFonts w:ascii="Times New Roman" w:hAnsi="Times New Roman" w:cs="Times New Roman"/>
          <w:sz w:val="28"/>
          <w:szCs w:val="28"/>
          <w:lang w:val="kk-KZ"/>
        </w:rPr>
        <w:t>6</w:t>
      </w:r>
      <w:r w:rsidR="004D4A9B" w:rsidRPr="00446F9E">
        <w:rPr>
          <w:rFonts w:ascii="Times New Roman" w:hAnsi="Times New Roman" w:cs="Times New Roman"/>
          <w:sz w:val="28"/>
          <w:szCs w:val="28"/>
          <w:lang w:val="kk-KZ"/>
        </w:rPr>
        <w:t xml:space="preserve"> – </w:t>
      </w:r>
      <w:r w:rsidR="0002736D">
        <w:rPr>
          <w:rFonts w:ascii="Times New Roman" w:hAnsi="Times New Roman" w:cs="Times New Roman"/>
          <w:sz w:val="28"/>
          <w:szCs w:val="28"/>
          <w:lang w:val="kk-KZ"/>
        </w:rPr>
        <w:t>2015-2022 жж. Субсидия алушы ауыл шаруашылығы өнім көлемі және жұмсалған бюджет қаражаты динамикасы</w:t>
      </w:r>
      <w:r w:rsidRPr="00446F9E">
        <w:rPr>
          <w:rFonts w:ascii="Times New Roman" w:hAnsi="Times New Roman" w:cs="Times New Roman"/>
          <w:sz w:val="28"/>
          <w:szCs w:val="28"/>
          <w:lang w:val="kk-KZ"/>
        </w:rPr>
        <w:t>, млрд. теңге</w:t>
      </w:r>
    </w:p>
    <w:p w14:paraId="09BAB821" w14:textId="4FDDE979" w:rsidR="00617FA0" w:rsidRPr="00446F9E" w:rsidRDefault="004D4A9B" w:rsidP="004D4A9B">
      <w:pPr>
        <w:spacing w:after="0" w:line="240" w:lineRule="auto"/>
        <w:ind w:firstLine="709"/>
        <w:jc w:val="both"/>
        <w:rPr>
          <w:rFonts w:ascii="Times New Roman" w:hAnsi="Times New Roman" w:cs="Times New Roman"/>
          <w:sz w:val="24"/>
          <w:szCs w:val="24"/>
          <w:lang w:val="kk-KZ"/>
        </w:rPr>
      </w:pPr>
      <w:r w:rsidRPr="00446F9E">
        <w:rPr>
          <w:rFonts w:ascii="Times New Roman" w:eastAsia="Calibri" w:hAnsi="Times New Roman" w:cs="Times New Roman"/>
          <w:sz w:val="24"/>
          <w:szCs w:val="24"/>
          <w:lang w:val="kk-KZ"/>
        </w:rPr>
        <w:t>Ескерту –</w:t>
      </w:r>
      <w:r w:rsidRPr="00446F9E">
        <w:rPr>
          <w:rFonts w:ascii="Times New Roman" w:eastAsia="Calibri" w:hAnsi="Times New Roman" w:cs="Times New Roman"/>
          <w:bCs/>
          <w:sz w:val="24"/>
          <w:szCs w:val="24"/>
          <w:lang w:val="kk-KZ"/>
        </w:rPr>
        <w:t xml:space="preserve"> Әдебиет негізінде құралған</w:t>
      </w:r>
      <w:r w:rsidR="00617FA0" w:rsidRPr="00446F9E">
        <w:rPr>
          <w:rFonts w:ascii="Times New Roman" w:hAnsi="Times New Roman" w:cs="Times New Roman"/>
          <w:sz w:val="24"/>
          <w:szCs w:val="24"/>
          <w:lang w:val="kk-KZ"/>
        </w:rPr>
        <w:t xml:space="preserve"> </w:t>
      </w:r>
      <w:r w:rsidR="003D5A79" w:rsidRPr="00446F9E">
        <w:rPr>
          <w:rFonts w:ascii="Times New Roman" w:hAnsi="Times New Roman" w:cs="Times New Roman"/>
          <w:sz w:val="24"/>
          <w:szCs w:val="24"/>
          <w:lang w:val="kk-KZ"/>
        </w:rPr>
        <w:t>[</w:t>
      </w:r>
      <w:r w:rsidR="00E232BF" w:rsidRPr="00446F9E">
        <w:rPr>
          <w:rFonts w:ascii="Times New Roman" w:hAnsi="Times New Roman" w:cs="Times New Roman"/>
          <w:sz w:val="24"/>
          <w:szCs w:val="24"/>
          <w:lang w:val="kk-KZ"/>
        </w:rPr>
        <w:t>8</w:t>
      </w:r>
      <w:r w:rsidR="003D5A79" w:rsidRPr="00446F9E">
        <w:rPr>
          <w:rFonts w:ascii="Times New Roman" w:hAnsi="Times New Roman" w:cs="Times New Roman"/>
          <w:sz w:val="24"/>
          <w:szCs w:val="24"/>
          <w:lang w:val="kk-KZ"/>
        </w:rPr>
        <w:t xml:space="preserve">] </w:t>
      </w:r>
    </w:p>
    <w:p w14:paraId="68FF778E" w14:textId="77777777" w:rsidR="004D4A9B" w:rsidRPr="00446F9E" w:rsidRDefault="004D4A9B" w:rsidP="004D4A9B">
      <w:pPr>
        <w:spacing w:after="0" w:line="240" w:lineRule="auto"/>
        <w:ind w:firstLine="709"/>
        <w:jc w:val="both"/>
        <w:rPr>
          <w:rFonts w:ascii="Times New Roman" w:hAnsi="Times New Roman" w:cs="Times New Roman"/>
          <w:sz w:val="28"/>
          <w:szCs w:val="28"/>
          <w:lang w:val="kk-KZ"/>
        </w:rPr>
      </w:pPr>
    </w:p>
    <w:p w14:paraId="7F104037" w14:textId="641E7D72" w:rsidR="008C4E75" w:rsidRPr="00457CE9" w:rsidRDefault="008C4E75" w:rsidP="004D4A9B">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1993-1995 жылдарға және 2000 жылға дейінгі АӨК дамытудың тұжырымдамалық бағдарламасы қабылданған, </w:t>
      </w:r>
      <w:r w:rsidR="005C5DB5">
        <w:rPr>
          <w:rFonts w:ascii="Times New Roman" w:eastAsia="Times New Roman" w:hAnsi="Times New Roman" w:cs="Times New Roman"/>
          <w:kern w:val="36"/>
          <w:sz w:val="28"/>
          <w:szCs w:val="28"/>
          <w:lang w:val="kk-KZ" w:eastAsia="ru-RU"/>
        </w:rPr>
        <w:t xml:space="preserve">онда </w:t>
      </w:r>
      <w:r w:rsidRPr="00457CE9">
        <w:rPr>
          <w:rFonts w:ascii="Times New Roman" w:eastAsia="Times New Roman" w:hAnsi="Times New Roman" w:cs="Times New Roman"/>
          <w:kern w:val="36"/>
          <w:sz w:val="28"/>
          <w:szCs w:val="28"/>
          <w:lang w:val="kk-KZ" w:eastAsia="ru-RU"/>
        </w:rPr>
        <w:t>ауыл шаруашылық тауар өндірушілерді</w:t>
      </w:r>
      <w:r w:rsidR="005C5DB5">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және агроөнеркәсіп кешенін біртіндеп терең құрылымдық қайта құру қажеттілігі аталған. Бағдарламада экономикалық реформаларды өткізу, агроөнеркәсіп кешенінің басты тапсырмасы халықты азық-түлікпен, сондай-ақ өнеркәсіпті шикізатпен тұрақты жабдықтауды қамтамасыз ету деп анықталған. Оны іске асыру </w:t>
      </w:r>
      <w:r w:rsidR="005C5DB5">
        <w:rPr>
          <w:rFonts w:ascii="Times New Roman" w:eastAsia="Times New Roman" w:hAnsi="Times New Roman" w:cs="Times New Roman"/>
          <w:kern w:val="36"/>
          <w:sz w:val="28"/>
          <w:szCs w:val="28"/>
          <w:lang w:val="kk-KZ" w:eastAsia="ru-RU"/>
        </w:rPr>
        <w:t xml:space="preserve">үшін </w:t>
      </w:r>
      <w:r w:rsidRPr="00457CE9">
        <w:rPr>
          <w:rFonts w:ascii="Times New Roman" w:eastAsia="Times New Roman" w:hAnsi="Times New Roman" w:cs="Times New Roman"/>
          <w:kern w:val="36"/>
          <w:sz w:val="28"/>
          <w:szCs w:val="28"/>
          <w:lang w:val="kk-KZ" w:eastAsia="ru-RU"/>
        </w:rPr>
        <w:t>ұйымдастыру</w:t>
      </w:r>
      <w:r w:rsidR="005C5DB5">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экономикалық шаралар кешені</w:t>
      </w:r>
      <w:r w:rsidR="005C5DB5">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қарастырылған </w:t>
      </w:r>
      <w:r w:rsidRPr="00457CE9">
        <w:rPr>
          <w:rFonts w:ascii="Times New Roman" w:hAnsi="Times New Roman" w:cs="Times New Roman"/>
          <w:kern w:val="36"/>
          <w:sz w:val="28"/>
          <w:szCs w:val="28"/>
          <w:lang w:val="kk-KZ" w:eastAsia="zh-CN"/>
        </w:rPr>
        <w:t>[</w:t>
      </w:r>
      <w:r w:rsidR="00E232BF">
        <w:rPr>
          <w:rFonts w:ascii="Times New Roman" w:hAnsi="Times New Roman" w:cs="Times New Roman"/>
          <w:kern w:val="36"/>
          <w:sz w:val="28"/>
          <w:szCs w:val="28"/>
          <w:lang w:val="kk-KZ" w:eastAsia="zh-CN"/>
        </w:rPr>
        <w:t>6</w:t>
      </w:r>
      <w:r w:rsidR="00943D2A" w:rsidRPr="00943D2A">
        <w:rPr>
          <w:rFonts w:ascii="Times New Roman" w:hAnsi="Times New Roman" w:cs="Times New Roman"/>
          <w:kern w:val="36"/>
          <w:sz w:val="28"/>
          <w:szCs w:val="28"/>
          <w:lang w:val="kk-KZ" w:eastAsia="zh-CN"/>
        </w:rPr>
        <w:t>2</w:t>
      </w:r>
      <w:r w:rsidRPr="00457CE9">
        <w:rPr>
          <w:rFonts w:ascii="Times New Roman" w:hAnsi="Times New Roman" w:cs="Times New Roman"/>
          <w:kern w:val="36"/>
          <w:sz w:val="28"/>
          <w:szCs w:val="28"/>
          <w:lang w:val="kk-KZ" w:eastAsia="zh-CN"/>
        </w:rPr>
        <w:t>]</w:t>
      </w:r>
      <w:r w:rsidRPr="00457CE9">
        <w:rPr>
          <w:rFonts w:ascii="Times New Roman" w:eastAsia="Times New Roman" w:hAnsi="Times New Roman" w:cs="Times New Roman"/>
          <w:kern w:val="36"/>
          <w:sz w:val="28"/>
          <w:szCs w:val="28"/>
          <w:lang w:val="kk-KZ" w:eastAsia="ru-RU"/>
        </w:rPr>
        <w:t xml:space="preserve">. </w:t>
      </w:r>
    </w:p>
    <w:p w14:paraId="2D7C7CD6" w14:textId="6B341CE5" w:rsidR="008C4E75" w:rsidRPr="00457CE9" w:rsidRDefault="008C4E75" w:rsidP="004D4A9B">
      <w:pPr>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eastAsia="Times New Roman" w:hAnsi="Times New Roman" w:cs="Times New Roman"/>
          <w:kern w:val="36"/>
          <w:sz w:val="28"/>
          <w:szCs w:val="28"/>
          <w:lang w:val="kk-KZ" w:eastAsia="ru-RU"/>
        </w:rPr>
        <w:t xml:space="preserve">2000-2002 жылдарға арналған ауыл шаруашылығы өндірісін дамыту бағдарламасы ҚР Үкіметінің </w:t>
      </w:r>
      <w:r w:rsidRPr="00457CE9">
        <w:rPr>
          <w:rFonts w:ascii="Times New Roman" w:hAnsi="Times New Roman" w:cs="Times New Roman"/>
          <w:kern w:val="36"/>
          <w:sz w:val="28"/>
          <w:szCs w:val="28"/>
          <w:lang w:val="kk-KZ" w:eastAsia="zh-CN"/>
        </w:rPr>
        <w:t>05.01.2000 ж</w:t>
      </w:r>
      <w:r w:rsidR="005C5DB5">
        <w:rPr>
          <w:rFonts w:ascii="Times New Roman" w:hAnsi="Times New Roman" w:cs="Times New Roman"/>
          <w:kern w:val="36"/>
          <w:sz w:val="28"/>
          <w:szCs w:val="28"/>
          <w:lang w:val="kk-KZ" w:eastAsia="zh-CN"/>
        </w:rPr>
        <w:t>ылғы</w:t>
      </w:r>
      <w:r w:rsidRPr="00457CE9">
        <w:rPr>
          <w:rFonts w:ascii="Times New Roman" w:hAnsi="Times New Roman" w:cs="Times New Roman"/>
          <w:kern w:val="36"/>
          <w:sz w:val="28"/>
          <w:szCs w:val="28"/>
          <w:lang w:val="kk-KZ" w:eastAsia="zh-CN"/>
        </w:rPr>
        <w:t xml:space="preserve"> №175 қаулысымен іс</w:t>
      </w:r>
      <w:r w:rsidR="005C5DB5">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шаралар жоспары бекітілген. Оның басты мақсаты ауыл шаруышлығының бәсекеге қаблетті салаларында экономикалық өсуді және ауыл шаруашылығы өнімінің негізгі түрлері өндірісін тұрақтандыруды қамтамасыз ету делінген [</w:t>
      </w:r>
      <w:r w:rsidR="00E232BF">
        <w:rPr>
          <w:rFonts w:ascii="Times New Roman" w:hAnsi="Times New Roman" w:cs="Times New Roman"/>
          <w:kern w:val="36"/>
          <w:sz w:val="28"/>
          <w:szCs w:val="28"/>
          <w:lang w:val="kk-KZ" w:eastAsia="zh-CN"/>
        </w:rPr>
        <w:t>7</w:t>
      </w:r>
      <w:r w:rsidR="00943D2A" w:rsidRPr="00943D2A">
        <w:rPr>
          <w:rFonts w:ascii="Times New Roman" w:hAnsi="Times New Roman" w:cs="Times New Roman"/>
          <w:kern w:val="36"/>
          <w:sz w:val="28"/>
          <w:szCs w:val="28"/>
          <w:lang w:val="kk-KZ" w:eastAsia="zh-CN"/>
        </w:rPr>
        <w:t>6</w:t>
      </w:r>
      <w:r w:rsidRPr="00457CE9">
        <w:rPr>
          <w:rFonts w:ascii="Times New Roman" w:hAnsi="Times New Roman" w:cs="Times New Roman"/>
          <w:kern w:val="36"/>
          <w:sz w:val="28"/>
          <w:szCs w:val="28"/>
          <w:lang w:val="kk-KZ" w:eastAsia="zh-CN"/>
        </w:rPr>
        <w:t>].</w:t>
      </w:r>
    </w:p>
    <w:p w14:paraId="1BCDE527" w14:textId="38C75D21" w:rsidR="008C4E75" w:rsidRPr="00457CE9" w:rsidRDefault="008C4E75" w:rsidP="0002736D">
      <w:pPr>
        <w:widowControl w:val="0"/>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2003-2005 жылдарға арналған мемлекеттік аграрлық азық-түлік бағдарламасы ҚР Президентінің </w:t>
      </w:r>
      <w:r w:rsidRPr="00457CE9">
        <w:rPr>
          <w:rFonts w:ascii="Times New Roman" w:hAnsi="Times New Roman" w:cs="Times New Roman"/>
          <w:kern w:val="36"/>
          <w:sz w:val="28"/>
          <w:szCs w:val="28"/>
          <w:lang w:val="kk-KZ" w:eastAsia="zh-CN"/>
        </w:rPr>
        <w:t>05.06.2002 жылы №889</w:t>
      </w:r>
      <w:r w:rsidRPr="00457CE9">
        <w:rPr>
          <w:rFonts w:ascii="Times New Roman" w:eastAsia="Times New Roman" w:hAnsi="Times New Roman" w:cs="Times New Roman"/>
          <w:kern w:val="36"/>
          <w:sz w:val="28"/>
          <w:szCs w:val="28"/>
          <w:lang w:val="kk-KZ" w:eastAsia="ru-RU"/>
        </w:rPr>
        <w:t xml:space="preserve"> жарлығымен бекітілген. Бағдарламаның мақсаты ретінде агроөнеркәсіп кешенінің тиімді жүйесін қалыптастыру және бәсекеге қаблетті өнім өндіру негізінде Қазақстанның азық</w:t>
      </w:r>
      <w:r w:rsidR="005C5DB5">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түліктік қауіпсіздігін қамтамасыз ету делінген. Бағдарламаның түпкілікті нәтижесі халықтың тұрмыс деңгейін көтеруді қамтамасыз ететін экономика саласының серпінді өсуіне қол жеткізу деп анықталған</w:t>
      </w:r>
      <w:r w:rsidR="006669BA" w:rsidRPr="00457CE9">
        <w:rPr>
          <w:rFonts w:ascii="Times New Roman" w:eastAsia="Times New Roman" w:hAnsi="Times New Roman" w:cs="Times New Roman"/>
          <w:kern w:val="36"/>
          <w:sz w:val="28"/>
          <w:szCs w:val="28"/>
          <w:lang w:val="kk-KZ" w:eastAsia="ru-RU"/>
        </w:rPr>
        <w:t xml:space="preserve"> </w:t>
      </w:r>
      <w:r w:rsidRPr="00457CE9">
        <w:rPr>
          <w:rFonts w:ascii="Times New Roman" w:hAnsi="Times New Roman" w:cs="Times New Roman"/>
          <w:kern w:val="36"/>
          <w:sz w:val="28"/>
          <w:szCs w:val="28"/>
          <w:lang w:val="kk-KZ" w:eastAsia="zh-CN"/>
        </w:rPr>
        <w:t>[</w:t>
      </w:r>
      <w:r w:rsidR="006669BA" w:rsidRPr="00457CE9">
        <w:rPr>
          <w:rFonts w:ascii="Times New Roman" w:hAnsi="Times New Roman" w:cs="Times New Roman"/>
          <w:kern w:val="36"/>
          <w:sz w:val="28"/>
          <w:szCs w:val="28"/>
          <w:lang w:val="kk-KZ" w:eastAsia="zh-CN"/>
        </w:rPr>
        <w:t>7</w:t>
      </w:r>
      <w:r w:rsidR="00943D2A" w:rsidRPr="00943D2A">
        <w:rPr>
          <w:rFonts w:ascii="Times New Roman" w:hAnsi="Times New Roman" w:cs="Times New Roman"/>
          <w:kern w:val="36"/>
          <w:sz w:val="28"/>
          <w:szCs w:val="28"/>
          <w:lang w:val="kk-KZ" w:eastAsia="zh-CN"/>
        </w:rPr>
        <w:t>7</w:t>
      </w:r>
      <w:r w:rsidRPr="00457CE9">
        <w:rPr>
          <w:rFonts w:ascii="Times New Roman" w:hAnsi="Times New Roman" w:cs="Times New Roman"/>
          <w:kern w:val="36"/>
          <w:sz w:val="28"/>
          <w:szCs w:val="28"/>
          <w:lang w:val="kk-KZ" w:eastAsia="zh-CN"/>
        </w:rPr>
        <w:t>]</w:t>
      </w:r>
      <w:r w:rsidRPr="00457CE9">
        <w:rPr>
          <w:rFonts w:ascii="Times New Roman" w:eastAsia="Times New Roman" w:hAnsi="Times New Roman" w:cs="Times New Roman"/>
          <w:kern w:val="36"/>
          <w:sz w:val="28"/>
          <w:szCs w:val="28"/>
          <w:lang w:val="kk-KZ" w:eastAsia="ru-RU"/>
        </w:rPr>
        <w:t>.</w:t>
      </w:r>
      <w:r w:rsidR="00E33B27"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Ауылдық аумақтарды дамытудың мемлекеттік бағдарламасын іске асыруға 121,6 млрд.теңге бағытталған. Оның ішінде республикалық бюджеттен 40,5 млрд. теңге, яғни үлес салмағы 33%, жергілікті бюджеттерден 53,8 млрд.теңге 44,2% және басқа көздерден 27,2 млрд. теңге 22,4%-ды құраған.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Ауыз су</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бағдарламасын іске асыру</w:t>
      </w:r>
      <w:r w:rsidR="005C5DB5">
        <w:rPr>
          <w:rFonts w:ascii="Times New Roman" w:eastAsia="Times New Roman" w:hAnsi="Times New Roman" w:cs="Times New Roman"/>
          <w:kern w:val="36"/>
          <w:sz w:val="28"/>
          <w:szCs w:val="28"/>
          <w:lang w:val="kk-KZ" w:eastAsia="ru-RU"/>
        </w:rPr>
        <w:t>ға</w:t>
      </w:r>
      <w:r w:rsidRPr="00457CE9">
        <w:rPr>
          <w:rFonts w:ascii="Times New Roman" w:eastAsia="Times New Roman" w:hAnsi="Times New Roman" w:cs="Times New Roman"/>
          <w:kern w:val="36"/>
          <w:sz w:val="28"/>
          <w:szCs w:val="28"/>
          <w:lang w:val="kk-KZ" w:eastAsia="ru-RU"/>
        </w:rPr>
        <w:t xml:space="preserve"> 50 млрд.теңгеден астам қаражат игерілген, оның 55%-ы республикалық бюджет пен сыртқы қарыздардың, 35%-ы жергілікті бюджеттердің және 10%-ы шаруашылық жүргізуші субъектілер қаражатының үлесіне тиесілі болған. Нәтижесінде шамамен 4,5 млн</w:t>
      </w:r>
      <w:r w:rsidR="005C5DB5">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адам саны бар 1500-ге жуық елді мекенді сумен қамтамасыз ету жақсарған. Осының барлығы 2001 жылмен салыстырғанда халықтың жіті ішек инфекцияларымен сырқаттану деңгейін 27,7%-ға төмендетуге мүмкіндік берген </w:t>
      </w:r>
      <w:r w:rsidRPr="00457CE9">
        <w:rPr>
          <w:rFonts w:ascii="Times New Roman" w:hAnsi="Times New Roman" w:cs="Times New Roman"/>
          <w:kern w:val="36"/>
          <w:sz w:val="28"/>
          <w:szCs w:val="28"/>
          <w:lang w:val="kk-KZ" w:eastAsia="zh-CN"/>
        </w:rPr>
        <w:t>[</w:t>
      </w:r>
      <w:r w:rsidR="006669BA" w:rsidRPr="00457CE9">
        <w:rPr>
          <w:rFonts w:ascii="Times New Roman" w:hAnsi="Times New Roman" w:cs="Times New Roman"/>
          <w:kern w:val="36"/>
          <w:sz w:val="28"/>
          <w:szCs w:val="28"/>
          <w:lang w:val="kk-KZ" w:eastAsia="zh-CN"/>
        </w:rPr>
        <w:t>7</w:t>
      </w:r>
      <w:r w:rsidR="00943D2A" w:rsidRPr="00943D2A">
        <w:rPr>
          <w:rFonts w:ascii="Times New Roman" w:hAnsi="Times New Roman" w:cs="Times New Roman"/>
          <w:kern w:val="36"/>
          <w:sz w:val="28"/>
          <w:szCs w:val="28"/>
          <w:lang w:val="kk-KZ" w:eastAsia="zh-CN"/>
        </w:rPr>
        <w:t>7</w:t>
      </w:r>
      <w:r w:rsidRPr="00457CE9">
        <w:rPr>
          <w:rFonts w:ascii="Times New Roman" w:hAnsi="Times New Roman" w:cs="Times New Roman"/>
          <w:kern w:val="36"/>
          <w:sz w:val="28"/>
          <w:szCs w:val="28"/>
          <w:lang w:val="kk-KZ" w:eastAsia="zh-CN"/>
        </w:rPr>
        <w:t>]</w:t>
      </w:r>
      <w:r w:rsidRPr="00457CE9">
        <w:rPr>
          <w:rFonts w:ascii="Times New Roman" w:eastAsia="Times New Roman" w:hAnsi="Times New Roman" w:cs="Times New Roman"/>
          <w:kern w:val="36"/>
          <w:sz w:val="28"/>
          <w:szCs w:val="28"/>
          <w:lang w:val="kk-KZ" w:eastAsia="ru-RU"/>
        </w:rPr>
        <w:t xml:space="preserve">. </w:t>
      </w:r>
    </w:p>
    <w:p w14:paraId="44DCC09D" w14:textId="45263B71" w:rsidR="008C4E75" w:rsidRPr="00457CE9" w:rsidRDefault="008C4E75" w:rsidP="0002736D">
      <w:pPr>
        <w:widowControl w:val="0"/>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2004-2010 жылдарға арналған ауылдық аумақтарды дамытудың мемлекеттік бағдарламасы ҚР Президентінің </w:t>
      </w:r>
      <w:r w:rsidRPr="00457CE9">
        <w:rPr>
          <w:rFonts w:ascii="Times New Roman" w:hAnsi="Times New Roman" w:cs="Times New Roman"/>
          <w:kern w:val="36"/>
          <w:sz w:val="28"/>
          <w:szCs w:val="28"/>
          <w:lang w:val="kk-KZ" w:eastAsia="zh-CN"/>
        </w:rPr>
        <w:t>10.07.2003 ж</w:t>
      </w:r>
      <w:r w:rsidR="005C5DB5">
        <w:rPr>
          <w:rFonts w:ascii="Times New Roman" w:hAnsi="Times New Roman" w:cs="Times New Roman"/>
          <w:kern w:val="36"/>
          <w:sz w:val="28"/>
          <w:szCs w:val="28"/>
          <w:lang w:val="kk-KZ" w:eastAsia="zh-CN"/>
        </w:rPr>
        <w:t>ылғы</w:t>
      </w:r>
      <w:r w:rsidRPr="00457CE9">
        <w:rPr>
          <w:rFonts w:ascii="Times New Roman" w:hAnsi="Times New Roman" w:cs="Times New Roman"/>
          <w:kern w:val="36"/>
          <w:sz w:val="28"/>
          <w:szCs w:val="28"/>
          <w:lang w:val="kk-KZ" w:eastAsia="zh-CN"/>
        </w:rPr>
        <w:t xml:space="preserve"> №1149 бұйрығымен бекітілген. Бағдарлама мақсаты ауылдық қоныстануды оңтайландыру негізінде ауылдың (селоның) тіршілігін қамтамасыз етуге қалыпты жағдайлар жасау. Түпкілікті нәтижесі ауыл тұрғындарына әлеуметтік игіліктердің қолайлы деңгейін қамтамасыз ететін ауылдық елді мекендер экономикасының серпінді өсуіне қол жеткізу және ауыл тұрғындарын тіршілікті қамтамасыз ету үшін перспективалары бар өңірлерге оңтайлы қоныстандыру деп анықталған [</w:t>
      </w:r>
      <w:r w:rsidR="00E232BF">
        <w:rPr>
          <w:rFonts w:ascii="Times New Roman" w:hAnsi="Times New Roman" w:cs="Times New Roman"/>
          <w:kern w:val="36"/>
          <w:sz w:val="28"/>
          <w:szCs w:val="28"/>
          <w:lang w:val="kk-KZ" w:eastAsia="zh-CN"/>
        </w:rPr>
        <w:t>7</w:t>
      </w:r>
      <w:r w:rsidR="00943D2A" w:rsidRPr="00943D2A">
        <w:rPr>
          <w:rFonts w:ascii="Times New Roman" w:hAnsi="Times New Roman" w:cs="Times New Roman"/>
          <w:kern w:val="36"/>
          <w:sz w:val="28"/>
          <w:szCs w:val="28"/>
          <w:lang w:val="kk-KZ" w:eastAsia="zh-CN"/>
        </w:rPr>
        <w:t>8</w:t>
      </w:r>
      <w:r w:rsidRPr="00457CE9">
        <w:rPr>
          <w:rFonts w:ascii="Times New Roman" w:hAnsi="Times New Roman" w:cs="Times New Roman"/>
          <w:kern w:val="36"/>
          <w:sz w:val="28"/>
          <w:szCs w:val="28"/>
          <w:lang w:val="kk-KZ" w:eastAsia="zh-CN"/>
        </w:rPr>
        <w:t xml:space="preserve">]. </w:t>
      </w:r>
      <w:r w:rsidRPr="00457CE9">
        <w:rPr>
          <w:rFonts w:ascii="Times New Roman" w:eastAsia="Times New Roman" w:hAnsi="Times New Roman" w:cs="Times New Roman"/>
          <w:kern w:val="36"/>
          <w:sz w:val="28"/>
          <w:szCs w:val="28"/>
          <w:lang w:val="kk-KZ" w:eastAsia="ru-RU"/>
        </w:rPr>
        <w:t xml:space="preserve"> </w:t>
      </w:r>
    </w:p>
    <w:p w14:paraId="63D630C2" w14:textId="5502A0EE" w:rsidR="008C4E75" w:rsidRPr="00457CE9" w:rsidRDefault="008C4E75" w:rsidP="0002736D">
      <w:pPr>
        <w:widowControl w:val="0"/>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2006-2010 жылдарға арналған ҚР АӨК тұрақты даму тұжырымдамасын іске асыру бойынша бірінші кезектегі шаралар бағдарламасы ҚР Үкіметінің </w:t>
      </w:r>
      <w:r w:rsidRPr="00457CE9">
        <w:rPr>
          <w:rFonts w:ascii="Times New Roman" w:hAnsi="Times New Roman" w:cs="Times New Roman"/>
          <w:kern w:val="36"/>
          <w:sz w:val="28"/>
          <w:szCs w:val="28"/>
          <w:lang w:val="kk-KZ" w:eastAsia="zh-CN"/>
        </w:rPr>
        <w:t>06.03.2006 ж</w:t>
      </w:r>
      <w:r w:rsidR="00CB229E">
        <w:rPr>
          <w:rFonts w:ascii="Times New Roman" w:hAnsi="Times New Roman" w:cs="Times New Roman"/>
          <w:kern w:val="36"/>
          <w:sz w:val="28"/>
          <w:szCs w:val="28"/>
          <w:lang w:val="kk-KZ" w:eastAsia="zh-CN"/>
        </w:rPr>
        <w:t>ылғы</w:t>
      </w:r>
      <w:r w:rsidRPr="00457CE9">
        <w:rPr>
          <w:rFonts w:ascii="Times New Roman" w:hAnsi="Times New Roman" w:cs="Times New Roman"/>
          <w:kern w:val="36"/>
          <w:sz w:val="28"/>
          <w:szCs w:val="28"/>
          <w:lang w:val="kk-KZ" w:eastAsia="zh-CN"/>
        </w:rPr>
        <w:t xml:space="preserve"> </w:t>
      </w:r>
      <w:r w:rsidRPr="00457CE9">
        <w:rPr>
          <w:rFonts w:ascii="Times New Roman" w:eastAsia="Times New Roman" w:hAnsi="Times New Roman" w:cs="Times New Roman"/>
          <w:kern w:val="36"/>
          <w:sz w:val="28"/>
          <w:szCs w:val="28"/>
          <w:lang w:val="kk-KZ" w:eastAsia="ru-RU"/>
        </w:rPr>
        <w:t>№</w:t>
      </w:r>
      <w:r w:rsidRPr="00457CE9">
        <w:rPr>
          <w:rFonts w:ascii="Times New Roman" w:hAnsi="Times New Roman" w:cs="Times New Roman" w:hint="eastAsia"/>
          <w:kern w:val="36"/>
          <w:sz w:val="28"/>
          <w:szCs w:val="28"/>
          <w:lang w:val="kk-KZ" w:eastAsia="zh-CN"/>
        </w:rPr>
        <w:t xml:space="preserve">149 </w:t>
      </w:r>
      <w:r w:rsidRPr="00457CE9">
        <w:rPr>
          <w:rFonts w:ascii="Times New Roman" w:hAnsi="Times New Roman" w:cs="Times New Roman"/>
          <w:kern w:val="36"/>
          <w:sz w:val="28"/>
          <w:szCs w:val="28"/>
          <w:lang w:val="kk-KZ" w:eastAsia="zh-CN"/>
        </w:rPr>
        <w:t>қаулысымен бекітілген</w:t>
      </w:r>
      <w:r w:rsidR="006669BA" w:rsidRPr="00457CE9">
        <w:rPr>
          <w:rFonts w:ascii="Times New Roman" w:hAnsi="Times New Roman" w:cs="Times New Roman"/>
          <w:kern w:val="36"/>
          <w:sz w:val="28"/>
          <w:szCs w:val="28"/>
          <w:lang w:val="kk-KZ" w:eastAsia="zh-CN"/>
        </w:rPr>
        <w:t xml:space="preserve"> [</w:t>
      </w:r>
      <w:r w:rsidR="00E232BF">
        <w:rPr>
          <w:rFonts w:ascii="Times New Roman" w:hAnsi="Times New Roman" w:cs="Times New Roman"/>
          <w:kern w:val="36"/>
          <w:sz w:val="28"/>
          <w:szCs w:val="28"/>
          <w:lang w:val="kk-KZ" w:eastAsia="zh-CN"/>
        </w:rPr>
        <w:t>7</w:t>
      </w:r>
      <w:r w:rsidR="00943D2A" w:rsidRPr="00943D2A">
        <w:rPr>
          <w:rFonts w:ascii="Times New Roman" w:hAnsi="Times New Roman" w:cs="Times New Roman"/>
          <w:kern w:val="36"/>
          <w:sz w:val="28"/>
          <w:szCs w:val="28"/>
          <w:lang w:val="kk-KZ" w:eastAsia="zh-CN"/>
        </w:rPr>
        <w:t>9</w:t>
      </w:r>
      <w:r w:rsidR="006669BA"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Мақсаты ретінде АӨК салаларының өнімділігі мен табыстылығын өсіру, отандық өнімнің ұлттық бәсекелестік артықшылықтарын дамыту негізінде оның тұрақтылығын қамтамасыз ету деп анықталған. Бағдарламада түпкілікті он нәтиже қойылған, оның ішінде АӨК техникалық және технологиялық жарақтандырылуын арттыру, дүниежізілік сауда ұйымының талаптарына сәйкес АӨК өнімдерінің сапасын бағалау жүйесін қалыптастыру, астық өңдеу, сүт, жеміс-көкөніс, мақта және балық кластерлерін қалыптастыру, ауыл шаруашылығы өндірісінде ірі және орта шаруашылықтардың өнім үлесін 40%-ға дейін ұлға</w:t>
      </w:r>
      <w:r w:rsidR="00CB229E">
        <w:rPr>
          <w:rFonts w:ascii="Times New Roman" w:hAnsi="Times New Roman" w:cs="Times New Roman"/>
          <w:kern w:val="36"/>
          <w:sz w:val="28"/>
          <w:szCs w:val="28"/>
          <w:lang w:val="kk-KZ" w:eastAsia="zh-CN"/>
        </w:rPr>
        <w:t>й</w:t>
      </w:r>
      <w:r w:rsidRPr="00457CE9">
        <w:rPr>
          <w:rFonts w:ascii="Times New Roman" w:hAnsi="Times New Roman" w:cs="Times New Roman"/>
          <w:kern w:val="36"/>
          <w:sz w:val="28"/>
          <w:szCs w:val="28"/>
          <w:lang w:val="kk-KZ" w:eastAsia="zh-CN"/>
        </w:rPr>
        <w:t>ту, егістік құрылымындағы жоғары рентабельді дақылдар үлесін 70%-ға дейін арттыру, институционалдық инфрақұрылымды аграрлық нарық қажеттіліктеріне бейімдеу, отандық қайта өңдеу өнеркәсібі</w:t>
      </w:r>
      <w:r w:rsidR="00CB229E">
        <w:rPr>
          <w:rFonts w:ascii="Times New Roman" w:hAnsi="Times New Roman" w:cs="Times New Roman"/>
          <w:kern w:val="36"/>
          <w:sz w:val="28"/>
          <w:szCs w:val="28"/>
          <w:lang w:val="kk-KZ" w:eastAsia="zh-CN"/>
        </w:rPr>
        <w:t>н</w:t>
      </w:r>
      <w:r w:rsidRPr="00457CE9">
        <w:rPr>
          <w:rFonts w:ascii="Times New Roman" w:hAnsi="Times New Roman" w:cs="Times New Roman"/>
          <w:kern w:val="36"/>
          <w:sz w:val="28"/>
          <w:szCs w:val="28"/>
          <w:lang w:val="kk-KZ" w:eastAsia="zh-CN"/>
        </w:rPr>
        <w:t xml:space="preserve"> дамыту үшін негіз болатын тұрақты шикізат базасы құру және қайта өңдеу кәсіпорындарының жұмыс жүктемесін арттыру, азық</w:t>
      </w:r>
      <w:r w:rsidR="00CB229E">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түлік нарығын ішкі реттеудің негізін қалау және экспортқа бағдарланған қазақстандық экологиялық және биологиялық таза өнім брэндін қалыптастыру, 1 га егістікке келетін жалпы АӨК өнімін 300 АҚШ долларына жеткізу, ДСҰ кіру қарсаңында АӨК отандық субъектілерінің бәсекелестік әлеуетін арттыру деп анықталған</w:t>
      </w:r>
      <w:r w:rsidR="00CB229E">
        <w:rPr>
          <w:rFonts w:ascii="Times New Roman" w:hAnsi="Times New Roman" w:cs="Times New Roman"/>
          <w:kern w:val="36"/>
          <w:sz w:val="28"/>
          <w:szCs w:val="28"/>
          <w:lang w:val="kk-KZ" w:eastAsia="zh-CN"/>
        </w:rPr>
        <w:t xml:space="preserve"> </w:t>
      </w:r>
      <w:r w:rsidR="00CB229E" w:rsidRPr="00457CE9">
        <w:rPr>
          <w:rFonts w:ascii="Times New Roman" w:hAnsi="Times New Roman" w:cs="Times New Roman"/>
          <w:kern w:val="36"/>
          <w:sz w:val="28"/>
          <w:szCs w:val="28"/>
          <w:lang w:val="kk-KZ" w:eastAsia="zh-CN"/>
        </w:rPr>
        <w:t>[</w:t>
      </w:r>
      <w:r w:rsidR="00CB229E">
        <w:rPr>
          <w:rFonts w:ascii="Times New Roman" w:hAnsi="Times New Roman" w:cs="Times New Roman"/>
          <w:kern w:val="36"/>
          <w:sz w:val="28"/>
          <w:szCs w:val="28"/>
          <w:lang w:val="kk-KZ" w:eastAsia="zh-CN"/>
        </w:rPr>
        <w:t>7</w:t>
      </w:r>
      <w:r w:rsidR="00CB229E" w:rsidRPr="00943D2A">
        <w:rPr>
          <w:rFonts w:ascii="Times New Roman" w:hAnsi="Times New Roman" w:cs="Times New Roman"/>
          <w:kern w:val="36"/>
          <w:sz w:val="28"/>
          <w:szCs w:val="28"/>
          <w:lang w:val="kk-KZ" w:eastAsia="zh-CN"/>
        </w:rPr>
        <w:t>9</w:t>
      </w:r>
      <w:r w:rsidR="00CB229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p>
    <w:p w14:paraId="4B6AE2A8" w14:textId="5582BCC3" w:rsidR="00D61BDD" w:rsidRPr="00457CE9" w:rsidRDefault="008C4E75" w:rsidP="00457CE9">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2010-2014 жылдарға арналған АӨК дамыту бағдарламасы және ҚР АӨК дамыту бойынша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Агробизнес – 2017</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бағдарламасы ҚР Үкіметінің </w:t>
      </w:r>
      <w:r w:rsidRPr="00457CE9">
        <w:rPr>
          <w:rFonts w:ascii="Times New Roman" w:hAnsi="Times New Roman" w:cs="Times New Roman"/>
          <w:kern w:val="36"/>
          <w:sz w:val="28"/>
          <w:szCs w:val="28"/>
          <w:lang w:val="kk-KZ" w:eastAsia="zh-CN"/>
        </w:rPr>
        <w:t>18.02.2013 жылғы №151 қаулысымен бекітілген. Бағдарлама мақсатына жету үшін нысаналы индикаторлар анықталған [</w:t>
      </w:r>
      <w:r w:rsidR="00943D2A" w:rsidRPr="00943D2A">
        <w:rPr>
          <w:rFonts w:ascii="Times New Roman" w:hAnsi="Times New Roman" w:cs="Times New Roman"/>
          <w:kern w:val="36"/>
          <w:sz w:val="28"/>
          <w:szCs w:val="28"/>
          <w:lang w:val="kk-KZ" w:eastAsia="zh-CN"/>
        </w:rPr>
        <w:t>80</w:t>
      </w:r>
      <w:r w:rsidRPr="00457CE9">
        <w:rPr>
          <w:rFonts w:ascii="Times New Roman" w:hAnsi="Times New Roman" w:cs="Times New Roman"/>
          <w:kern w:val="36"/>
          <w:sz w:val="28"/>
          <w:szCs w:val="28"/>
          <w:lang w:val="kk-KZ" w:eastAsia="zh-CN"/>
        </w:rPr>
        <w:t>]</w:t>
      </w:r>
      <w:r w:rsidRPr="00457CE9">
        <w:rPr>
          <w:rFonts w:ascii="Times New Roman" w:eastAsia="Times New Roman" w:hAnsi="Times New Roman" w:cs="Times New Roman"/>
          <w:kern w:val="36"/>
          <w:sz w:val="28"/>
          <w:szCs w:val="28"/>
          <w:lang w:val="kk-KZ" w:eastAsia="ru-RU"/>
        </w:rPr>
        <w:t>.</w:t>
      </w:r>
    </w:p>
    <w:p w14:paraId="66DD4AF6" w14:textId="167857FF" w:rsidR="00ED2FC1" w:rsidRPr="00457CE9" w:rsidRDefault="003C56BE" w:rsidP="00457CE9">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w:t>
      </w:r>
      <w:r w:rsidR="00336ACE" w:rsidRPr="00457CE9">
        <w:rPr>
          <w:rFonts w:ascii="Times New Roman" w:eastAsia="Times New Roman" w:hAnsi="Times New Roman" w:cs="Times New Roman"/>
          <w:kern w:val="36"/>
          <w:sz w:val="28"/>
          <w:szCs w:val="28"/>
          <w:lang w:val="kk-KZ" w:eastAsia="ru-RU"/>
        </w:rPr>
        <w:t>Қазақстан Республикасының агроөнеркәсіптік кешенін дамытудың 2017–2021 жылдарға арналған мемлекеттік бағдарламасы</w:t>
      </w:r>
      <w:r w:rsidRPr="00457CE9">
        <w:rPr>
          <w:rFonts w:ascii="Times New Roman" w:eastAsia="Times New Roman" w:hAnsi="Times New Roman" w:cs="Times New Roman"/>
          <w:kern w:val="36"/>
          <w:sz w:val="28"/>
          <w:szCs w:val="28"/>
          <w:lang w:val="kk-KZ" w:eastAsia="ru-RU"/>
        </w:rPr>
        <w:t>»</w:t>
      </w:r>
      <w:r w:rsidR="00336ACE" w:rsidRPr="00457CE9">
        <w:rPr>
          <w:rFonts w:ascii="Times New Roman" w:eastAsia="Times New Roman" w:hAnsi="Times New Roman" w:cs="Times New Roman"/>
          <w:kern w:val="36"/>
          <w:sz w:val="28"/>
          <w:szCs w:val="28"/>
          <w:lang w:val="kk-KZ" w:eastAsia="ru-RU"/>
        </w:rPr>
        <w:t xml:space="preserve"> </w:t>
      </w:r>
      <w:r w:rsidR="00336ACE" w:rsidRPr="00457CE9">
        <w:rPr>
          <w:rFonts w:ascii="Times New Roman" w:eastAsia="Times New Roman" w:hAnsi="Times New Roman" w:cs="Times New Roman"/>
          <w:sz w:val="28"/>
          <w:szCs w:val="28"/>
          <w:lang w:val="kk-KZ" w:eastAsia="ru-RU"/>
        </w:rPr>
        <w:t xml:space="preserve">Қазақстан Республикасы Үкіметінің 2018 жылғы 12 шілдедегі №423 </w:t>
      </w:r>
      <w:r w:rsidR="00336ACE" w:rsidRPr="00457CE9">
        <w:rPr>
          <w:rFonts w:ascii="Times New Roman" w:eastAsia="Times New Roman" w:hAnsi="Times New Roman" w:cs="Times New Roman"/>
          <w:kern w:val="36"/>
          <w:sz w:val="28"/>
          <w:szCs w:val="28"/>
          <w:lang w:val="kk-KZ" w:eastAsia="ru-RU"/>
        </w:rPr>
        <w:t xml:space="preserve">бекіту туралы </w:t>
      </w:r>
      <w:r w:rsidR="00336ACE" w:rsidRPr="00457CE9">
        <w:rPr>
          <w:rFonts w:ascii="Times New Roman" w:eastAsia="Times New Roman" w:hAnsi="Times New Roman" w:cs="Times New Roman"/>
          <w:sz w:val="28"/>
          <w:szCs w:val="28"/>
          <w:lang w:val="kk-KZ" w:eastAsia="ru-RU"/>
        </w:rPr>
        <w:t>қаулысымен бекітілген</w:t>
      </w:r>
      <w:r w:rsidR="006669BA" w:rsidRPr="00457CE9">
        <w:rPr>
          <w:rFonts w:ascii="Times New Roman" w:eastAsia="Times New Roman" w:hAnsi="Times New Roman" w:cs="Times New Roman"/>
          <w:sz w:val="28"/>
          <w:szCs w:val="28"/>
          <w:lang w:val="kk-KZ" w:eastAsia="ru-RU"/>
        </w:rPr>
        <w:t xml:space="preserve"> </w:t>
      </w:r>
      <w:r w:rsidR="000B5B6F">
        <w:rPr>
          <w:rFonts w:ascii="Times New Roman" w:eastAsia="Times New Roman" w:hAnsi="Times New Roman" w:cs="Times New Roman"/>
          <w:sz w:val="28"/>
          <w:szCs w:val="28"/>
          <w:lang w:val="kk-KZ" w:eastAsia="ru-RU"/>
        </w:rPr>
        <w:t>[</w:t>
      </w:r>
      <w:r w:rsidR="00943D2A" w:rsidRPr="00943D2A">
        <w:rPr>
          <w:rFonts w:ascii="Times New Roman" w:eastAsia="Times New Roman" w:hAnsi="Times New Roman" w:cs="Times New Roman"/>
          <w:sz w:val="28"/>
          <w:szCs w:val="28"/>
          <w:lang w:val="kk-KZ" w:eastAsia="ru-RU"/>
        </w:rPr>
        <w:t>81</w:t>
      </w:r>
      <w:r w:rsidR="000B5B6F">
        <w:rPr>
          <w:rFonts w:ascii="Times New Roman" w:eastAsia="Times New Roman" w:hAnsi="Times New Roman" w:cs="Times New Roman"/>
          <w:sz w:val="28"/>
          <w:szCs w:val="28"/>
          <w:lang w:val="kk-KZ" w:eastAsia="ru-RU"/>
        </w:rPr>
        <w:t>]</w:t>
      </w:r>
      <w:r w:rsidR="00336ACE" w:rsidRPr="00457CE9">
        <w:rPr>
          <w:rFonts w:ascii="Times New Roman" w:eastAsia="Times New Roman" w:hAnsi="Times New Roman" w:cs="Times New Roman"/>
          <w:sz w:val="28"/>
          <w:szCs w:val="28"/>
          <w:lang w:val="kk-KZ" w:eastAsia="ru-RU"/>
        </w:rPr>
        <w:t>.</w:t>
      </w:r>
      <w:r w:rsidR="00B21EC9" w:rsidRPr="00457CE9">
        <w:rPr>
          <w:rFonts w:ascii="Times New Roman" w:eastAsia="Times New Roman" w:hAnsi="Times New Roman" w:cs="Times New Roman"/>
          <w:sz w:val="28"/>
          <w:szCs w:val="28"/>
          <w:lang w:val="kk-KZ" w:eastAsia="ru-RU"/>
        </w:rPr>
        <w:t xml:space="preserve"> </w:t>
      </w:r>
      <w:r w:rsidR="009F5BA1" w:rsidRPr="00457CE9">
        <w:rPr>
          <w:rFonts w:ascii="Times New Roman" w:eastAsia="Times New Roman" w:hAnsi="Times New Roman" w:cs="Times New Roman"/>
          <w:kern w:val="36"/>
          <w:sz w:val="28"/>
          <w:szCs w:val="28"/>
          <w:lang w:val="kk-KZ" w:eastAsia="ru-RU"/>
        </w:rPr>
        <w:t>Мемлекеттік бағдарламаны әзірлеуші ҚР Ауыл шаруашылығы министрлігі болып табылады.</w:t>
      </w:r>
      <w:r w:rsidR="001F2459" w:rsidRPr="00457CE9">
        <w:rPr>
          <w:rFonts w:ascii="Times New Roman" w:eastAsia="Times New Roman" w:hAnsi="Times New Roman" w:cs="Times New Roman"/>
          <w:kern w:val="36"/>
          <w:sz w:val="28"/>
          <w:szCs w:val="28"/>
          <w:lang w:val="kk-KZ" w:eastAsia="ru-RU"/>
        </w:rPr>
        <w:t xml:space="preserve"> </w:t>
      </w:r>
      <w:r w:rsidR="00A3215F" w:rsidRPr="00457CE9">
        <w:rPr>
          <w:rFonts w:ascii="Times New Roman" w:eastAsia="Times New Roman" w:hAnsi="Times New Roman" w:cs="Times New Roman"/>
          <w:kern w:val="36"/>
          <w:sz w:val="28"/>
          <w:szCs w:val="28"/>
          <w:lang w:val="kk-KZ" w:eastAsia="ru-RU"/>
        </w:rPr>
        <w:t xml:space="preserve">Мемлекет Басшысының 2018 жылғы 10 қаңтардағы </w:t>
      </w:r>
      <w:r w:rsidRPr="00457CE9">
        <w:rPr>
          <w:rFonts w:ascii="Times New Roman" w:eastAsia="Times New Roman" w:hAnsi="Times New Roman" w:cs="Times New Roman"/>
          <w:kern w:val="36"/>
          <w:sz w:val="28"/>
          <w:szCs w:val="28"/>
          <w:lang w:val="kk-KZ" w:eastAsia="ru-RU"/>
        </w:rPr>
        <w:t>«</w:t>
      </w:r>
      <w:r w:rsidR="00A3215F" w:rsidRPr="00457CE9">
        <w:rPr>
          <w:rFonts w:ascii="Times New Roman" w:eastAsia="Times New Roman" w:hAnsi="Times New Roman" w:cs="Times New Roman"/>
          <w:kern w:val="36"/>
          <w:sz w:val="28"/>
          <w:szCs w:val="28"/>
          <w:lang w:val="kk-KZ" w:eastAsia="ru-RU"/>
        </w:rPr>
        <w:t>Төртінші өнеркәсіптік революция жағдайында дамудың жаңа мүмкіндіктері</w:t>
      </w:r>
      <w:r w:rsidRPr="00457CE9">
        <w:rPr>
          <w:rFonts w:ascii="Times New Roman" w:eastAsia="Times New Roman" w:hAnsi="Times New Roman" w:cs="Times New Roman"/>
          <w:kern w:val="36"/>
          <w:sz w:val="28"/>
          <w:szCs w:val="28"/>
          <w:lang w:val="kk-KZ" w:eastAsia="ru-RU"/>
        </w:rPr>
        <w:t>»</w:t>
      </w:r>
      <w:r w:rsidR="00A3215F" w:rsidRPr="00457CE9">
        <w:rPr>
          <w:rFonts w:ascii="Times New Roman" w:eastAsia="Times New Roman" w:hAnsi="Times New Roman" w:cs="Times New Roman"/>
          <w:kern w:val="36"/>
          <w:sz w:val="28"/>
          <w:szCs w:val="28"/>
          <w:lang w:val="kk-KZ" w:eastAsia="ru-RU"/>
        </w:rPr>
        <w:t xml:space="preserve"> атты Қазақстан халқына Жолдауын іске асыру мақсатында АӨК-де еңбек өнімділігін және өңделген ауыл шаруашылығы өнімдерін экспорттауды 2017 жылмен салыстырғанда кемінде 2,5 есе ұлғайту. </w:t>
      </w:r>
      <w:r w:rsidR="00ED2FC1" w:rsidRPr="00457CE9">
        <w:rPr>
          <w:rFonts w:ascii="Times New Roman" w:eastAsia="Times New Roman" w:hAnsi="Times New Roman" w:cs="Times New Roman"/>
          <w:kern w:val="36"/>
          <w:sz w:val="28"/>
          <w:szCs w:val="28"/>
          <w:lang w:val="kk-KZ" w:eastAsia="ru-RU"/>
        </w:rPr>
        <w:t xml:space="preserve">Аталған Бағдарлама құрылымын талдаудан бастаған жөн. Бағдарлама </w:t>
      </w:r>
      <w:r w:rsidR="00D61BDD" w:rsidRPr="00457CE9">
        <w:rPr>
          <w:rFonts w:ascii="Times New Roman" w:eastAsia="Times New Roman" w:hAnsi="Times New Roman" w:cs="Times New Roman"/>
          <w:kern w:val="36"/>
          <w:sz w:val="28"/>
          <w:szCs w:val="28"/>
          <w:lang w:val="kk-KZ" w:eastAsia="ru-RU"/>
        </w:rPr>
        <w:t>б</w:t>
      </w:r>
      <w:r w:rsidR="00ED2FC1" w:rsidRPr="00457CE9">
        <w:rPr>
          <w:rFonts w:ascii="Times New Roman" w:eastAsia="Times New Roman" w:hAnsi="Times New Roman" w:cs="Times New Roman"/>
          <w:kern w:val="36"/>
          <w:sz w:val="28"/>
          <w:szCs w:val="28"/>
          <w:lang w:val="kk-KZ" w:eastAsia="ru-RU"/>
        </w:rPr>
        <w:t>ағдарлама паспортынан, кіріспеден,</w:t>
      </w:r>
      <w:r w:rsidR="00125286" w:rsidRPr="00457CE9">
        <w:rPr>
          <w:rFonts w:ascii="Times New Roman" w:eastAsia="Times New Roman" w:hAnsi="Times New Roman" w:cs="Times New Roman"/>
          <w:kern w:val="36"/>
          <w:sz w:val="28"/>
          <w:szCs w:val="28"/>
          <w:lang w:val="kk-KZ" w:eastAsia="ru-RU"/>
        </w:rPr>
        <w:t xml:space="preserve"> АӨК жағдайын </w:t>
      </w:r>
      <w:r w:rsidR="00D61BDD" w:rsidRPr="00457CE9">
        <w:rPr>
          <w:rFonts w:ascii="Times New Roman" w:eastAsia="Times New Roman" w:hAnsi="Times New Roman" w:cs="Times New Roman"/>
          <w:kern w:val="36"/>
          <w:sz w:val="28"/>
          <w:szCs w:val="28"/>
          <w:lang w:val="kk-KZ" w:eastAsia="ru-RU"/>
        </w:rPr>
        <w:t>ағымдағы талдау, бағдарламаның мақсаттары, міндеттері, нысаналы индикаторлары және іске асыру нәтижелерінің көрсеткіштері, бағдарламаның негізгі бағыттары, қойылған мақсаттарға қол жеткізу жолдары, бағдарламалар және тиісті шаралары келтірілген</w:t>
      </w:r>
      <w:r w:rsidR="00217674" w:rsidRPr="00457CE9">
        <w:rPr>
          <w:rFonts w:ascii="Times New Roman" w:eastAsia="Times New Roman" w:hAnsi="Times New Roman" w:cs="Times New Roman"/>
          <w:kern w:val="36"/>
          <w:sz w:val="28"/>
          <w:szCs w:val="28"/>
          <w:lang w:val="kk-KZ" w:eastAsia="ru-RU"/>
        </w:rPr>
        <w:t xml:space="preserve"> </w:t>
      </w:r>
      <w:r w:rsidR="000B5B6F">
        <w:rPr>
          <w:rFonts w:ascii="Times New Roman" w:eastAsia="Times New Roman" w:hAnsi="Times New Roman" w:cs="Times New Roman"/>
          <w:kern w:val="36"/>
          <w:sz w:val="28"/>
          <w:szCs w:val="28"/>
          <w:lang w:val="kk-KZ" w:eastAsia="ru-RU"/>
        </w:rPr>
        <w:t>[</w:t>
      </w:r>
      <w:r w:rsidR="00943D2A" w:rsidRPr="00943D2A">
        <w:rPr>
          <w:rFonts w:ascii="Times New Roman" w:eastAsia="Times New Roman" w:hAnsi="Times New Roman" w:cs="Times New Roman"/>
          <w:kern w:val="36"/>
          <w:sz w:val="28"/>
          <w:szCs w:val="28"/>
          <w:lang w:val="kk-KZ" w:eastAsia="ru-RU"/>
        </w:rPr>
        <w:t>81</w:t>
      </w:r>
      <w:r w:rsidR="000B5B6F">
        <w:rPr>
          <w:rFonts w:ascii="Times New Roman" w:eastAsia="Times New Roman" w:hAnsi="Times New Roman" w:cs="Times New Roman"/>
          <w:kern w:val="36"/>
          <w:sz w:val="28"/>
          <w:szCs w:val="28"/>
          <w:lang w:val="kk-KZ" w:eastAsia="ru-RU"/>
        </w:rPr>
        <w:t>]</w:t>
      </w:r>
      <w:r w:rsidR="00D61BDD" w:rsidRPr="00457CE9">
        <w:rPr>
          <w:rFonts w:ascii="Times New Roman" w:eastAsia="Times New Roman" w:hAnsi="Times New Roman" w:cs="Times New Roman"/>
          <w:kern w:val="36"/>
          <w:sz w:val="28"/>
          <w:szCs w:val="28"/>
          <w:lang w:val="kk-KZ" w:eastAsia="ru-RU"/>
        </w:rPr>
        <w:t>.</w:t>
      </w:r>
    </w:p>
    <w:p w14:paraId="565DA06F" w14:textId="77777777" w:rsidR="00CB229E" w:rsidRDefault="00A33DE5" w:rsidP="00457CE9">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2021-2025 жылдарға ҚР АӨК дамыту бойынша ұлттық жоба №732 Үкімет қаулысымен 12.10.2021 жылы бекітілді</w:t>
      </w:r>
      <w:r w:rsidR="006669BA" w:rsidRPr="00457CE9">
        <w:rPr>
          <w:rFonts w:ascii="Times New Roman" w:eastAsia="Times New Roman" w:hAnsi="Times New Roman" w:cs="Times New Roman"/>
          <w:kern w:val="36"/>
          <w:sz w:val="28"/>
          <w:szCs w:val="28"/>
          <w:lang w:val="kk-KZ" w:eastAsia="ru-RU"/>
        </w:rPr>
        <w:t xml:space="preserve"> [</w:t>
      </w:r>
      <w:r w:rsidR="00943D2A" w:rsidRPr="00943D2A">
        <w:rPr>
          <w:rFonts w:ascii="Times New Roman" w:eastAsia="Times New Roman" w:hAnsi="Times New Roman" w:cs="Times New Roman"/>
          <w:kern w:val="36"/>
          <w:sz w:val="28"/>
          <w:szCs w:val="28"/>
          <w:lang w:val="kk-KZ" w:eastAsia="ru-RU"/>
        </w:rPr>
        <w:t>82</w:t>
      </w:r>
      <w:r w:rsidR="006669BA"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r w:rsidR="00AA0DF0" w:rsidRPr="00457CE9">
        <w:rPr>
          <w:rFonts w:ascii="Times New Roman" w:eastAsia="Times New Roman" w:hAnsi="Times New Roman" w:cs="Times New Roman"/>
          <w:kern w:val="36"/>
          <w:sz w:val="28"/>
          <w:szCs w:val="28"/>
          <w:lang w:val="kk-KZ" w:eastAsia="ru-RU"/>
        </w:rPr>
        <w:t>Бұрын мемлекеттік бағдарлама болып аталған, жаңа редакция бойынша ұлттық жоба деп бекітілген.</w:t>
      </w:r>
      <w:r w:rsidR="00F12DA9" w:rsidRPr="00457CE9">
        <w:rPr>
          <w:rFonts w:ascii="Times New Roman" w:eastAsia="Times New Roman" w:hAnsi="Times New Roman" w:cs="Times New Roman"/>
          <w:kern w:val="36"/>
          <w:sz w:val="28"/>
          <w:szCs w:val="28"/>
          <w:lang w:val="kk-KZ" w:eastAsia="ru-RU"/>
        </w:rPr>
        <w:t xml:space="preserve"> </w:t>
      </w:r>
    </w:p>
    <w:p w14:paraId="04598CDF" w14:textId="41FB078E" w:rsidR="005A185F" w:rsidRPr="00457CE9" w:rsidRDefault="003C56BE" w:rsidP="00457CE9">
      <w:pPr>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w:t>
      </w:r>
      <w:r w:rsidR="005A185F" w:rsidRPr="00457CE9">
        <w:rPr>
          <w:rFonts w:ascii="Times New Roman" w:eastAsia="Times New Roman" w:hAnsi="Times New Roman" w:cs="Times New Roman"/>
          <w:kern w:val="36"/>
          <w:sz w:val="28"/>
          <w:szCs w:val="28"/>
          <w:lang w:val="kk-KZ" w:eastAsia="ru-RU"/>
        </w:rPr>
        <w:t>АӨК дамытудың 2017-2021 жылдарға арналған мемлекеттік бағдарламасына</w:t>
      </w:r>
      <w:r w:rsidRPr="00457CE9">
        <w:rPr>
          <w:rFonts w:ascii="Times New Roman" w:eastAsia="Times New Roman" w:hAnsi="Times New Roman" w:cs="Times New Roman"/>
          <w:kern w:val="36"/>
          <w:sz w:val="28"/>
          <w:szCs w:val="28"/>
          <w:lang w:val="kk-KZ" w:eastAsia="ru-RU"/>
        </w:rPr>
        <w:t>»</w:t>
      </w:r>
      <w:r w:rsidR="005A185F" w:rsidRPr="00457CE9">
        <w:rPr>
          <w:rFonts w:ascii="Times New Roman" w:eastAsia="Times New Roman" w:hAnsi="Times New Roman" w:cs="Times New Roman"/>
          <w:kern w:val="36"/>
          <w:sz w:val="28"/>
          <w:szCs w:val="28"/>
          <w:lang w:val="kk-KZ" w:eastAsia="ru-RU"/>
        </w:rPr>
        <w:t xml:space="preserve"> кейбір өзгерістер енгізілгендіктен</w:t>
      </w:r>
      <w:r w:rsidR="00217674" w:rsidRPr="00457CE9">
        <w:rPr>
          <w:rFonts w:ascii="Times New Roman" w:eastAsia="Times New Roman" w:hAnsi="Times New Roman" w:cs="Times New Roman"/>
          <w:kern w:val="36"/>
          <w:sz w:val="28"/>
          <w:szCs w:val="28"/>
          <w:lang w:val="kk-KZ" w:eastAsia="ru-RU"/>
        </w:rPr>
        <w:t xml:space="preserve"> </w:t>
      </w:r>
      <w:r w:rsidR="000B5B6F">
        <w:rPr>
          <w:rFonts w:ascii="Times New Roman" w:eastAsia="Times New Roman" w:hAnsi="Times New Roman" w:cs="Times New Roman"/>
          <w:kern w:val="36"/>
          <w:sz w:val="28"/>
          <w:szCs w:val="28"/>
          <w:lang w:val="kk-KZ" w:eastAsia="ru-RU"/>
        </w:rPr>
        <w:t>[</w:t>
      </w:r>
      <w:r w:rsidR="00943D2A" w:rsidRPr="00943D2A">
        <w:rPr>
          <w:rFonts w:ascii="Times New Roman" w:eastAsia="Times New Roman" w:hAnsi="Times New Roman" w:cs="Times New Roman"/>
          <w:kern w:val="36"/>
          <w:sz w:val="28"/>
          <w:szCs w:val="28"/>
          <w:lang w:val="kk-KZ" w:eastAsia="ru-RU"/>
        </w:rPr>
        <w:t>81</w:t>
      </w:r>
      <w:r w:rsidR="000B5B6F">
        <w:rPr>
          <w:rFonts w:ascii="Times New Roman" w:eastAsia="Times New Roman" w:hAnsi="Times New Roman" w:cs="Times New Roman"/>
          <w:kern w:val="36"/>
          <w:sz w:val="28"/>
          <w:szCs w:val="28"/>
          <w:lang w:val="kk-KZ" w:eastAsia="ru-RU"/>
        </w:rPr>
        <w:t>]</w:t>
      </w:r>
      <w:r w:rsidR="005A185F" w:rsidRPr="00457CE9">
        <w:rPr>
          <w:rFonts w:ascii="Times New Roman" w:eastAsia="Times New Roman" w:hAnsi="Times New Roman" w:cs="Times New Roman"/>
          <w:kern w:val="36"/>
          <w:sz w:val="28"/>
          <w:szCs w:val="28"/>
          <w:lang w:val="kk-KZ" w:eastAsia="ru-RU"/>
        </w:rPr>
        <w:t xml:space="preserve"> осы бағдарламаның тиімділігіне аралық аудит</w:t>
      </w:r>
      <w:r w:rsidR="00B1749D" w:rsidRPr="00457CE9">
        <w:rPr>
          <w:rFonts w:ascii="Times New Roman" w:eastAsia="Times New Roman" w:hAnsi="Times New Roman" w:cs="Times New Roman"/>
          <w:kern w:val="36"/>
          <w:sz w:val="28"/>
          <w:szCs w:val="28"/>
          <w:lang w:val="kk-KZ" w:eastAsia="ru-RU"/>
        </w:rPr>
        <w:t>і</w:t>
      </w:r>
      <w:r w:rsidR="005A185F" w:rsidRPr="00457CE9">
        <w:rPr>
          <w:rFonts w:ascii="Times New Roman" w:eastAsia="Times New Roman" w:hAnsi="Times New Roman" w:cs="Times New Roman"/>
          <w:kern w:val="36"/>
          <w:sz w:val="28"/>
          <w:szCs w:val="28"/>
          <w:lang w:val="kk-KZ" w:eastAsia="ru-RU"/>
        </w:rPr>
        <w:t xml:space="preserve"> барысында енгізілген өзгерістерге талдау жасалды, ол </w:t>
      </w:r>
      <w:r w:rsidR="00023296">
        <w:rPr>
          <w:rFonts w:ascii="Times New Roman" w:eastAsia="Times New Roman" w:hAnsi="Times New Roman" w:cs="Times New Roman"/>
          <w:kern w:val="36"/>
          <w:sz w:val="28"/>
          <w:szCs w:val="28"/>
          <w:lang w:val="kk-KZ" w:eastAsia="ru-RU"/>
        </w:rPr>
        <w:t>9</w:t>
      </w:r>
      <w:r w:rsidR="005A185F" w:rsidRPr="00457CE9">
        <w:rPr>
          <w:rFonts w:ascii="Times New Roman" w:eastAsia="Times New Roman" w:hAnsi="Times New Roman" w:cs="Times New Roman"/>
          <w:kern w:val="36"/>
          <w:sz w:val="28"/>
          <w:szCs w:val="28"/>
          <w:lang w:val="kk-KZ" w:eastAsia="ru-RU"/>
        </w:rPr>
        <w:t>-кестеде ұсынылған.</w:t>
      </w:r>
    </w:p>
    <w:p w14:paraId="7A7DE907" w14:textId="77777777" w:rsidR="005A185F" w:rsidRPr="00457CE9" w:rsidRDefault="005A185F" w:rsidP="00457CE9">
      <w:pPr>
        <w:widowControl w:val="0"/>
        <w:spacing w:after="0" w:line="240" w:lineRule="auto"/>
        <w:ind w:firstLine="567"/>
        <w:jc w:val="both"/>
        <w:textAlignment w:val="baseline"/>
        <w:outlineLvl w:val="0"/>
        <w:rPr>
          <w:rFonts w:ascii="Times New Roman" w:eastAsia="Times New Roman" w:hAnsi="Times New Roman" w:cs="Times New Roman"/>
          <w:kern w:val="36"/>
          <w:sz w:val="16"/>
          <w:szCs w:val="16"/>
          <w:lang w:val="kk-KZ" w:eastAsia="ru-RU"/>
        </w:rPr>
      </w:pPr>
    </w:p>
    <w:p w14:paraId="59832718" w14:textId="427115AB" w:rsidR="001A2594" w:rsidRDefault="005A185F" w:rsidP="00457CE9">
      <w:pPr>
        <w:widowControl w:val="0"/>
        <w:spacing w:after="0" w:line="240" w:lineRule="auto"/>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Кесте</w:t>
      </w:r>
      <w:r w:rsidR="008B6865" w:rsidRPr="00457CE9">
        <w:rPr>
          <w:rFonts w:ascii="Times New Roman" w:eastAsia="Times New Roman" w:hAnsi="Times New Roman" w:cs="Times New Roman"/>
          <w:kern w:val="36"/>
          <w:sz w:val="28"/>
          <w:szCs w:val="28"/>
          <w:lang w:val="kk-KZ" w:eastAsia="ru-RU"/>
        </w:rPr>
        <w:t xml:space="preserve"> </w:t>
      </w:r>
      <w:r w:rsidR="00023296">
        <w:rPr>
          <w:rFonts w:ascii="Times New Roman" w:eastAsia="Times New Roman" w:hAnsi="Times New Roman" w:cs="Times New Roman"/>
          <w:kern w:val="36"/>
          <w:sz w:val="28"/>
          <w:szCs w:val="28"/>
          <w:lang w:val="kk-KZ" w:eastAsia="ru-RU"/>
        </w:rPr>
        <w:t>9</w:t>
      </w:r>
      <w:r w:rsidR="008B6865"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 ҚР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АӨК дамытудың 2017-202</w:t>
      </w:r>
      <w:r w:rsidR="00AA0DF0" w:rsidRPr="00457CE9">
        <w:rPr>
          <w:rFonts w:ascii="Times New Roman" w:eastAsia="Times New Roman" w:hAnsi="Times New Roman" w:cs="Times New Roman"/>
          <w:kern w:val="36"/>
          <w:sz w:val="28"/>
          <w:szCs w:val="28"/>
          <w:lang w:val="kk-KZ" w:eastAsia="ru-RU"/>
        </w:rPr>
        <w:t>5</w:t>
      </w:r>
      <w:r w:rsidRPr="00457CE9">
        <w:rPr>
          <w:rFonts w:ascii="Times New Roman" w:eastAsia="Times New Roman" w:hAnsi="Times New Roman" w:cs="Times New Roman"/>
          <w:kern w:val="36"/>
          <w:sz w:val="28"/>
          <w:szCs w:val="28"/>
          <w:lang w:val="kk-KZ" w:eastAsia="ru-RU"/>
        </w:rPr>
        <w:t xml:space="preserve"> жылдарға арналған </w:t>
      </w:r>
      <w:r w:rsidR="008B6865" w:rsidRPr="00457CE9">
        <w:rPr>
          <w:rFonts w:ascii="Times New Roman" w:eastAsia="Times New Roman" w:hAnsi="Times New Roman" w:cs="Times New Roman"/>
          <w:kern w:val="36"/>
          <w:sz w:val="28"/>
          <w:szCs w:val="28"/>
          <w:lang w:val="kk-KZ" w:eastAsia="ru-RU"/>
        </w:rPr>
        <w:t xml:space="preserve">мемлекеттік </w:t>
      </w:r>
      <w:r w:rsidRPr="00457CE9">
        <w:rPr>
          <w:rFonts w:ascii="Times New Roman" w:eastAsia="Times New Roman" w:hAnsi="Times New Roman" w:cs="Times New Roman"/>
          <w:kern w:val="36"/>
          <w:sz w:val="28"/>
          <w:szCs w:val="28"/>
          <w:lang w:val="kk-KZ" w:eastAsia="ru-RU"/>
        </w:rPr>
        <w:t>бағдарламасына</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енгізілген мақсаттар мен міндеттердің өзгеруі</w:t>
      </w:r>
    </w:p>
    <w:p w14:paraId="6761F5B6" w14:textId="77777777" w:rsidR="004D4A9B" w:rsidRPr="004D4A9B" w:rsidRDefault="004D4A9B" w:rsidP="00457CE9">
      <w:pPr>
        <w:widowControl w:val="0"/>
        <w:spacing w:after="0" w:line="240" w:lineRule="auto"/>
        <w:jc w:val="both"/>
        <w:textAlignment w:val="baseline"/>
        <w:outlineLvl w:val="0"/>
        <w:rPr>
          <w:rFonts w:ascii="Times New Roman" w:eastAsia="Times New Roman" w:hAnsi="Times New Roman" w:cs="Times New Roman"/>
          <w:kern w:val="36"/>
          <w:sz w:val="16"/>
          <w:szCs w:val="16"/>
          <w:lang w:val="kk-KZ" w:eastAsia="ru-RU"/>
        </w:rPr>
      </w:pPr>
    </w:p>
    <w:tbl>
      <w:tblPr>
        <w:tblStyle w:val="a3"/>
        <w:tblW w:w="9462" w:type="dxa"/>
        <w:jc w:val="center"/>
        <w:tblLook w:val="04A0" w:firstRow="1" w:lastRow="0" w:firstColumn="1" w:lastColumn="0" w:noHBand="0" w:noVBand="1"/>
      </w:tblPr>
      <w:tblGrid>
        <w:gridCol w:w="2432"/>
        <w:gridCol w:w="2122"/>
        <w:gridCol w:w="2158"/>
        <w:gridCol w:w="2750"/>
      </w:tblGrid>
      <w:tr w:rsidR="004D4A9B" w:rsidRPr="00B108D0" w14:paraId="3D57E1C7" w14:textId="4DB5B67D" w:rsidTr="00DA1087">
        <w:trPr>
          <w:jc w:val="center"/>
        </w:trPr>
        <w:tc>
          <w:tcPr>
            <w:tcW w:w="2432" w:type="dxa"/>
            <w:vAlign w:val="center"/>
          </w:tcPr>
          <w:p w14:paraId="76E9A8AA" w14:textId="77777777"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eastAsia="Times New Roman" w:hAnsi="Times New Roman" w:cs="Times New Roman"/>
                <w:kern w:val="36"/>
                <w:sz w:val="24"/>
                <w:szCs w:val="24"/>
                <w:lang w:val="kk-KZ" w:eastAsia="ru-RU"/>
              </w:rPr>
              <w:t>ҚР Президентінің 14.02.2017 ж. №420 Жарлығының редакциясы (ҚР Президентінің 19.04.2019ж. №29 жарлығымен күші жойылды)</w:t>
            </w:r>
          </w:p>
        </w:tc>
        <w:tc>
          <w:tcPr>
            <w:tcW w:w="2122" w:type="dxa"/>
            <w:vAlign w:val="center"/>
          </w:tcPr>
          <w:p w14:paraId="7CF87EA9" w14:textId="77777777" w:rsidR="004D4A9B" w:rsidRPr="004D4A9B" w:rsidRDefault="004D4A9B" w:rsidP="00DA1087">
            <w:pPr>
              <w:jc w:val="center"/>
              <w:rPr>
                <w:rFonts w:ascii="Times New Roman" w:hAnsi="Times New Roman" w:cs="Times New Roman"/>
                <w:sz w:val="24"/>
                <w:szCs w:val="24"/>
                <w:shd w:val="clear" w:color="auto" w:fill="FFFFFF"/>
              </w:rPr>
            </w:pPr>
            <w:r w:rsidRPr="004D4A9B">
              <w:rPr>
                <w:rFonts w:ascii="Times New Roman" w:eastAsia="Times New Roman" w:hAnsi="Times New Roman" w:cs="Times New Roman"/>
                <w:kern w:val="36"/>
                <w:sz w:val="24"/>
                <w:szCs w:val="24"/>
                <w:lang w:val="kk-KZ" w:eastAsia="ru-RU"/>
              </w:rPr>
              <w:t>Үкіметтің 12.07.2018 ж. №423 қаулысының редакциясы</w:t>
            </w:r>
          </w:p>
        </w:tc>
        <w:tc>
          <w:tcPr>
            <w:tcW w:w="2158" w:type="dxa"/>
            <w:vAlign w:val="center"/>
          </w:tcPr>
          <w:p w14:paraId="642011CD" w14:textId="77777777" w:rsidR="004D4A9B" w:rsidRPr="004D4A9B" w:rsidRDefault="004D4A9B" w:rsidP="00DA1087">
            <w:pPr>
              <w:widowControl w:val="0"/>
              <w:jc w:val="center"/>
              <w:textAlignment w:val="baseline"/>
              <w:outlineLvl w:val="0"/>
              <w:rPr>
                <w:rFonts w:ascii="Times New Roman" w:eastAsia="Times New Roman" w:hAnsi="Times New Roman" w:cs="Times New Roman"/>
                <w:kern w:val="36"/>
                <w:sz w:val="24"/>
                <w:szCs w:val="24"/>
                <w:lang w:val="kk-KZ" w:eastAsia="ru-RU"/>
              </w:rPr>
            </w:pPr>
            <w:r w:rsidRPr="004D4A9B">
              <w:rPr>
                <w:rFonts w:ascii="Times New Roman" w:eastAsia="Times New Roman" w:hAnsi="Times New Roman" w:cs="Times New Roman"/>
                <w:kern w:val="36"/>
                <w:sz w:val="24"/>
                <w:szCs w:val="24"/>
                <w:lang w:val="kk-KZ" w:eastAsia="ru-RU"/>
              </w:rPr>
              <w:t>Үкіметтің 12.07.2018 ж. №423 қаулысының редакциясы (05.01.2020 ж. өзгерістер мен толықтырулармен)</w:t>
            </w:r>
          </w:p>
        </w:tc>
        <w:tc>
          <w:tcPr>
            <w:tcW w:w="2750" w:type="dxa"/>
            <w:vAlign w:val="center"/>
          </w:tcPr>
          <w:p w14:paraId="4F26CB13" w14:textId="6560D897" w:rsidR="004D4A9B" w:rsidRPr="004D4A9B" w:rsidRDefault="004D4A9B" w:rsidP="00DA1087">
            <w:pPr>
              <w:widowControl w:val="0"/>
              <w:jc w:val="center"/>
              <w:textAlignment w:val="baseline"/>
              <w:outlineLvl w:val="0"/>
              <w:rPr>
                <w:rFonts w:ascii="Times New Roman" w:eastAsia="Times New Roman" w:hAnsi="Times New Roman" w:cs="Times New Roman"/>
                <w:kern w:val="36"/>
                <w:sz w:val="24"/>
                <w:szCs w:val="24"/>
                <w:lang w:val="kk-KZ" w:eastAsia="ru-RU"/>
              </w:rPr>
            </w:pPr>
            <w:r w:rsidRPr="004D4A9B">
              <w:rPr>
                <w:rFonts w:ascii="Times New Roman" w:eastAsia="Times New Roman" w:hAnsi="Times New Roman" w:cs="Times New Roman"/>
                <w:kern w:val="36"/>
                <w:sz w:val="24"/>
                <w:szCs w:val="24"/>
                <w:lang w:val="kk-KZ" w:eastAsia="ru-RU"/>
              </w:rPr>
              <w:t>Ұлттық жоба (№732 ҚР Үкімет қаулысымен 12.10.2021 жылы бекітілген)</w:t>
            </w:r>
          </w:p>
        </w:tc>
      </w:tr>
      <w:tr w:rsidR="004D4A9B" w:rsidRPr="004D4A9B" w14:paraId="726A9582" w14:textId="1E4986CC" w:rsidTr="00DA1087">
        <w:trPr>
          <w:jc w:val="center"/>
        </w:trPr>
        <w:tc>
          <w:tcPr>
            <w:tcW w:w="6712" w:type="dxa"/>
            <w:gridSpan w:val="3"/>
            <w:vAlign w:val="center"/>
          </w:tcPr>
          <w:p w14:paraId="3B2E1864" w14:textId="77777777"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hAnsi="Times New Roman" w:cs="Times New Roman"/>
                <w:sz w:val="24"/>
                <w:szCs w:val="24"/>
                <w:shd w:val="clear" w:color="auto" w:fill="FFFFFF"/>
                <w:lang w:val="en-US"/>
              </w:rPr>
              <w:t xml:space="preserve">I. </w:t>
            </w:r>
            <w:r w:rsidRPr="004D4A9B">
              <w:rPr>
                <w:rFonts w:ascii="Times New Roman" w:hAnsi="Times New Roman" w:cs="Times New Roman"/>
                <w:sz w:val="24"/>
                <w:szCs w:val="24"/>
                <w:shd w:val="clear" w:color="auto" w:fill="FFFFFF"/>
                <w:lang w:val="kk-KZ"/>
              </w:rPr>
              <w:t>Бағдарлама мақсаты</w:t>
            </w:r>
          </w:p>
        </w:tc>
        <w:tc>
          <w:tcPr>
            <w:tcW w:w="2750" w:type="dxa"/>
            <w:vAlign w:val="center"/>
          </w:tcPr>
          <w:p w14:paraId="05C5135C" w14:textId="51428835"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hAnsi="Times New Roman" w:cs="Times New Roman"/>
                <w:sz w:val="24"/>
                <w:szCs w:val="24"/>
                <w:shd w:val="clear" w:color="auto" w:fill="FFFFFF"/>
                <w:lang w:val="kk-KZ"/>
              </w:rPr>
              <w:t>Жоба мақсаты</w:t>
            </w:r>
          </w:p>
        </w:tc>
      </w:tr>
      <w:tr w:rsidR="004D4A9B" w:rsidRPr="00B108D0" w14:paraId="3C120D68" w14:textId="74845C54" w:rsidTr="00DA1087">
        <w:trPr>
          <w:jc w:val="center"/>
        </w:trPr>
        <w:tc>
          <w:tcPr>
            <w:tcW w:w="2432" w:type="dxa"/>
            <w:vAlign w:val="center"/>
          </w:tcPr>
          <w:p w14:paraId="767D74EB" w14:textId="2BA5930E"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hAnsi="Times New Roman" w:cs="Times New Roman"/>
                <w:sz w:val="24"/>
                <w:szCs w:val="24"/>
                <w:shd w:val="clear" w:color="auto" w:fill="FFFFFF"/>
                <w:lang w:val="kk-KZ"/>
              </w:rPr>
              <w:t>Нарықтарда сұранысқа ие АӨК-нің бәсекеге қабілетті өнімін өндіруді қамтамасыз ету</w:t>
            </w:r>
          </w:p>
        </w:tc>
        <w:tc>
          <w:tcPr>
            <w:tcW w:w="2122" w:type="dxa"/>
            <w:vAlign w:val="center"/>
          </w:tcPr>
          <w:p w14:paraId="45FB4E63" w14:textId="45474E60"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hAnsi="Times New Roman" w:cs="Times New Roman"/>
                <w:sz w:val="24"/>
                <w:szCs w:val="24"/>
                <w:shd w:val="clear" w:color="auto" w:fill="FFFFFF"/>
                <w:lang w:val="kk-KZ"/>
              </w:rPr>
              <w:t>АӨК-дегі еңбек өнімділігін және қайта өңделген ауыл шаруашы</w:t>
            </w:r>
            <w:r w:rsidR="00DA1087">
              <w:rPr>
                <w:rFonts w:ascii="Times New Roman" w:hAnsi="Times New Roman" w:cs="Times New Roman"/>
                <w:sz w:val="24"/>
                <w:szCs w:val="24"/>
                <w:shd w:val="clear" w:color="auto" w:fill="FFFFFF"/>
                <w:lang w:val="kk-KZ"/>
              </w:rPr>
              <w:t xml:space="preserve"> </w:t>
            </w:r>
            <w:r w:rsidRPr="004D4A9B">
              <w:rPr>
                <w:rFonts w:ascii="Times New Roman" w:hAnsi="Times New Roman" w:cs="Times New Roman"/>
                <w:sz w:val="24"/>
                <w:szCs w:val="24"/>
                <w:shd w:val="clear" w:color="auto" w:fill="FFFFFF"/>
                <w:lang w:val="kk-KZ"/>
              </w:rPr>
              <w:t>лығы өнімінің экспортын 5 жыл ішінде 2017 жылмен салыстыр</w:t>
            </w:r>
            <w:r w:rsidR="00DA1087">
              <w:rPr>
                <w:rFonts w:ascii="Times New Roman" w:hAnsi="Times New Roman" w:cs="Times New Roman"/>
                <w:sz w:val="24"/>
                <w:szCs w:val="24"/>
                <w:shd w:val="clear" w:color="auto" w:fill="FFFFFF"/>
                <w:lang w:val="kk-KZ"/>
              </w:rPr>
              <w:t xml:space="preserve"> </w:t>
            </w:r>
            <w:r w:rsidRPr="004D4A9B">
              <w:rPr>
                <w:rFonts w:ascii="Times New Roman" w:hAnsi="Times New Roman" w:cs="Times New Roman"/>
                <w:sz w:val="24"/>
                <w:szCs w:val="24"/>
                <w:shd w:val="clear" w:color="auto" w:fill="FFFFFF"/>
                <w:lang w:val="kk-KZ"/>
              </w:rPr>
              <w:t>ғанда кемінде 2,5 есе ұлғайту</w:t>
            </w:r>
          </w:p>
        </w:tc>
        <w:tc>
          <w:tcPr>
            <w:tcW w:w="2158" w:type="dxa"/>
            <w:vAlign w:val="center"/>
          </w:tcPr>
          <w:p w14:paraId="54FAFEE9" w14:textId="3EE5E558"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hAnsi="Times New Roman" w:cs="Times New Roman"/>
                <w:sz w:val="24"/>
                <w:szCs w:val="24"/>
                <w:shd w:val="clear" w:color="auto" w:fill="FFFFFF"/>
                <w:lang w:val="kk-KZ"/>
              </w:rPr>
              <w:t>АӨК-дегі еңбек өнімділігін және қайта өңделген ауыл шаруашы</w:t>
            </w:r>
            <w:r w:rsidR="00DA1087">
              <w:rPr>
                <w:rFonts w:ascii="Times New Roman" w:hAnsi="Times New Roman" w:cs="Times New Roman"/>
                <w:sz w:val="24"/>
                <w:szCs w:val="24"/>
                <w:shd w:val="clear" w:color="auto" w:fill="FFFFFF"/>
                <w:lang w:val="kk-KZ"/>
              </w:rPr>
              <w:t xml:space="preserve"> </w:t>
            </w:r>
            <w:r w:rsidRPr="004D4A9B">
              <w:rPr>
                <w:rFonts w:ascii="Times New Roman" w:hAnsi="Times New Roman" w:cs="Times New Roman"/>
                <w:sz w:val="24"/>
                <w:szCs w:val="24"/>
                <w:shd w:val="clear" w:color="auto" w:fill="FFFFFF"/>
                <w:lang w:val="kk-KZ"/>
              </w:rPr>
              <w:t>лығы өнімінің экспортын 5 жыл ішінде 2017 жылмен салыстыр</w:t>
            </w:r>
            <w:r w:rsidR="00DA1087">
              <w:rPr>
                <w:rFonts w:ascii="Times New Roman" w:hAnsi="Times New Roman" w:cs="Times New Roman"/>
                <w:sz w:val="24"/>
                <w:szCs w:val="24"/>
                <w:shd w:val="clear" w:color="auto" w:fill="FFFFFF"/>
                <w:lang w:val="kk-KZ"/>
              </w:rPr>
              <w:t xml:space="preserve"> </w:t>
            </w:r>
            <w:r w:rsidRPr="004D4A9B">
              <w:rPr>
                <w:rFonts w:ascii="Times New Roman" w:hAnsi="Times New Roman" w:cs="Times New Roman"/>
                <w:sz w:val="24"/>
                <w:szCs w:val="24"/>
                <w:shd w:val="clear" w:color="auto" w:fill="FFFFFF"/>
                <w:lang w:val="kk-KZ"/>
              </w:rPr>
              <w:t>ғанда кемінде 2,5 есе ұлғайту</w:t>
            </w:r>
          </w:p>
        </w:tc>
        <w:tc>
          <w:tcPr>
            <w:tcW w:w="2750" w:type="dxa"/>
            <w:vAlign w:val="center"/>
          </w:tcPr>
          <w:p w14:paraId="14D6ED4B" w14:textId="705A1AD9" w:rsidR="004D4A9B" w:rsidRPr="004D4A9B" w:rsidRDefault="004D4A9B" w:rsidP="00DA1087">
            <w:pPr>
              <w:jc w:val="center"/>
              <w:rPr>
                <w:rFonts w:ascii="Times New Roman" w:hAnsi="Times New Roman" w:cs="Times New Roman"/>
                <w:sz w:val="24"/>
                <w:szCs w:val="24"/>
                <w:shd w:val="clear" w:color="auto" w:fill="FFFFFF"/>
                <w:lang w:val="kk-KZ"/>
              </w:rPr>
            </w:pPr>
            <w:r w:rsidRPr="004D4A9B">
              <w:rPr>
                <w:rFonts w:ascii="Times New Roman" w:hAnsi="Times New Roman" w:cs="Times New Roman"/>
                <w:sz w:val="24"/>
                <w:szCs w:val="24"/>
                <w:shd w:val="clear" w:color="auto" w:fill="FFFFFF"/>
                <w:lang w:val="kk-KZ"/>
              </w:rPr>
              <w:t xml:space="preserve">Еңбек өнімділігін 2,5 есе арттыру, АӨК өнімінің экспортын екі есе ұлғайту және отандық өндірістің әлеуметтік маңызы бар </w:t>
            </w:r>
            <w:r w:rsidR="001E2869">
              <w:rPr>
                <w:rFonts w:ascii="Times New Roman" w:hAnsi="Times New Roman" w:cs="Times New Roman"/>
                <w:sz w:val="24"/>
                <w:szCs w:val="24"/>
                <w:shd w:val="clear" w:color="auto" w:fill="FFFFFF"/>
                <w:lang w:val="kk-KZ"/>
              </w:rPr>
              <w:t>азық-түлік</w:t>
            </w:r>
            <w:r w:rsidRPr="004D4A9B">
              <w:rPr>
                <w:rFonts w:ascii="Times New Roman" w:hAnsi="Times New Roman" w:cs="Times New Roman"/>
                <w:sz w:val="24"/>
                <w:szCs w:val="24"/>
                <w:shd w:val="clear" w:color="auto" w:fill="FFFFFF"/>
                <w:lang w:val="kk-KZ"/>
              </w:rPr>
              <w:t xml:space="preserve"> тауар</w:t>
            </w:r>
            <w:r w:rsidR="00DA1087">
              <w:rPr>
                <w:rFonts w:ascii="Times New Roman" w:hAnsi="Times New Roman" w:cs="Times New Roman"/>
                <w:sz w:val="24"/>
                <w:szCs w:val="24"/>
                <w:shd w:val="clear" w:color="auto" w:fill="FFFFFF"/>
                <w:lang w:val="kk-KZ"/>
              </w:rPr>
              <w:t xml:space="preserve"> </w:t>
            </w:r>
            <w:r w:rsidRPr="004D4A9B">
              <w:rPr>
                <w:rFonts w:ascii="Times New Roman" w:hAnsi="Times New Roman" w:cs="Times New Roman"/>
                <w:sz w:val="24"/>
                <w:szCs w:val="24"/>
                <w:shd w:val="clear" w:color="auto" w:fill="FFFFFF"/>
                <w:lang w:val="kk-KZ"/>
              </w:rPr>
              <w:t>ларымен қамтамасыз ету арқылы бәсекеге қаблетті АӨК құру</w:t>
            </w:r>
          </w:p>
        </w:tc>
      </w:tr>
      <w:tr w:rsidR="00235E33" w:rsidRPr="004D4A9B" w14:paraId="7579E4EB" w14:textId="4471B82D" w:rsidTr="00DA1087">
        <w:trPr>
          <w:jc w:val="center"/>
        </w:trPr>
        <w:tc>
          <w:tcPr>
            <w:tcW w:w="9462" w:type="dxa"/>
            <w:gridSpan w:val="4"/>
          </w:tcPr>
          <w:p w14:paraId="59B35E0E" w14:textId="2AC753A6" w:rsidR="00235E33" w:rsidRPr="004D4A9B" w:rsidRDefault="00DA1087" w:rsidP="00DA1087">
            <w:pPr>
              <w:tabs>
                <w:tab w:val="left" w:pos="318"/>
              </w:tabs>
              <w:ind w:firstLine="567"/>
              <w:rPr>
                <w:rFonts w:ascii="Times New Roman" w:eastAsia="Times New Roman" w:hAnsi="Times New Roman" w:cs="Times New Roman"/>
                <w:kern w:val="36"/>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235E33" w:rsidRPr="004D4A9B">
              <w:rPr>
                <w:rFonts w:ascii="Times New Roman" w:hAnsi="Times New Roman" w:cs="Times New Roman"/>
                <w:kern w:val="36"/>
                <w:sz w:val="24"/>
                <w:szCs w:val="24"/>
                <w:lang w:val="kk-KZ" w:eastAsia="zh-CN"/>
              </w:rPr>
              <w:t xml:space="preserve"> </w:t>
            </w:r>
            <w:r w:rsidR="000D2925" w:rsidRPr="004D4A9B">
              <w:rPr>
                <w:rFonts w:ascii="Times New Roman" w:hAnsi="Times New Roman" w:cs="Times New Roman"/>
                <w:kern w:val="36"/>
                <w:sz w:val="24"/>
                <w:szCs w:val="24"/>
                <w:lang w:eastAsia="zh-CN"/>
              </w:rPr>
              <w:t>[</w:t>
            </w:r>
            <w:r w:rsidR="00CB229E">
              <w:rPr>
                <w:rFonts w:ascii="Times New Roman" w:hAnsi="Times New Roman" w:cs="Times New Roman"/>
                <w:kern w:val="36"/>
                <w:sz w:val="24"/>
                <w:szCs w:val="24"/>
                <w:lang w:val="kk-KZ" w:eastAsia="zh-CN"/>
              </w:rPr>
              <w:t xml:space="preserve">52, </w:t>
            </w:r>
            <w:r w:rsidR="00943D2A">
              <w:rPr>
                <w:rFonts w:ascii="Times New Roman" w:hAnsi="Times New Roman" w:cs="Times New Roman"/>
                <w:kern w:val="36"/>
                <w:sz w:val="24"/>
                <w:szCs w:val="24"/>
                <w:lang w:val="en-US" w:eastAsia="zh-CN"/>
              </w:rPr>
              <w:t>81</w:t>
            </w:r>
            <w:r w:rsidR="000D2925" w:rsidRPr="004D4A9B">
              <w:rPr>
                <w:rFonts w:ascii="Times New Roman" w:hAnsi="Times New Roman" w:cs="Times New Roman"/>
                <w:kern w:val="36"/>
                <w:sz w:val="24"/>
                <w:szCs w:val="24"/>
                <w:lang w:eastAsia="zh-CN"/>
              </w:rPr>
              <w:t xml:space="preserve">] </w:t>
            </w:r>
          </w:p>
        </w:tc>
      </w:tr>
    </w:tbl>
    <w:p w14:paraId="2FFC2763" w14:textId="77777777" w:rsidR="00DA1087" w:rsidRDefault="00DA1087" w:rsidP="00DA1087">
      <w:pPr>
        <w:spacing w:after="0" w:line="240" w:lineRule="auto"/>
        <w:ind w:firstLine="709"/>
        <w:jc w:val="both"/>
        <w:rPr>
          <w:rFonts w:ascii="Times New Roman" w:eastAsia="Times New Roman" w:hAnsi="Times New Roman" w:cs="Times New Roman"/>
          <w:kern w:val="36"/>
          <w:sz w:val="28"/>
          <w:szCs w:val="28"/>
          <w:lang w:val="kk-KZ" w:eastAsia="ru-RU"/>
        </w:rPr>
      </w:pPr>
    </w:p>
    <w:p w14:paraId="594ACA1C" w14:textId="77777777" w:rsidR="00DA404F" w:rsidRDefault="00023296" w:rsidP="00DA1087">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9</w:t>
      </w:r>
      <w:r w:rsidR="008B6865" w:rsidRPr="00457CE9">
        <w:rPr>
          <w:rFonts w:ascii="Times New Roman" w:eastAsia="Times New Roman" w:hAnsi="Times New Roman" w:cs="Times New Roman"/>
          <w:kern w:val="36"/>
          <w:sz w:val="28"/>
          <w:szCs w:val="28"/>
          <w:lang w:val="kk-KZ" w:eastAsia="ru-RU"/>
        </w:rPr>
        <w:t>-к</w:t>
      </w:r>
      <w:r w:rsidR="00F12DA9" w:rsidRPr="00457CE9">
        <w:rPr>
          <w:rFonts w:ascii="Times New Roman" w:eastAsia="Times New Roman" w:hAnsi="Times New Roman" w:cs="Times New Roman"/>
          <w:kern w:val="36"/>
          <w:sz w:val="28"/>
          <w:szCs w:val="28"/>
          <w:lang w:val="kk-KZ" w:eastAsia="ru-RU"/>
        </w:rPr>
        <w:t xml:space="preserve">естеден бағдарлама не жоба мақсатының қатты өзгеріске ұшырамағанын, яғни, АӨК </w:t>
      </w:r>
      <w:r w:rsidR="00713229" w:rsidRPr="00457CE9">
        <w:rPr>
          <w:rFonts w:ascii="Times New Roman" w:eastAsia="Times New Roman" w:hAnsi="Times New Roman" w:cs="Times New Roman"/>
          <w:kern w:val="36"/>
          <w:sz w:val="28"/>
          <w:szCs w:val="28"/>
          <w:lang w:val="kk-KZ" w:eastAsia="ru-RU"/>
        </w:rPr>
        <w:t>еңбек өнімділігін 2,5 есе арттыу, экспорт ұлғайту және бәсеке қаблеттілігін жоғарылату деп анықтаған. Дегенмен бұл тек күрделі қаражат көмегімен ғана іске асырыла</w:t>
      </w:r>
      <w:r w:rsidR="008462CA" w:rsidRPr="00457CE9">
        <w:rPr>
          <w:rFonts w:ascii="Times New Roman" w:eastAsia="Times New Roman" w:hAnsi="Times New Roman" w:cs="Times New Roman"/>
          <w:kern w:val="36"/>
          <w:sz w:val="28"/>
          <w:szCs w:val="28"/>
          <w:lang w:val="kk-KZ" w:eastAsia="ru-RU"/>
        </w:rPr>
        <w:t xml:space="preserve">ды, </w:t>
      </w:r>
      <w:r w:rsidR="00235E33" w:rsidRPr="00457CE9">
        <w:rPr>
          <w:rFonts w:ascii="Times New Roman" w:eastAsia="Times New Roman" w:hAnsi="Times New Roman" w:cs="Times New Roman"/>
          <w:kern w:val="36"/>
          <w:sz w:val="28"/>
          <w:szCs w:val="28"/>
          <w:lang w:val="kk-KZ" w:eastAsia="ru-RU"/>
        </w:rPr>
        <w:t xml:space="preserve">негізгі капиталға </w:t>
      </w:r>
      <w:r w:rsidR="008462CA" w:rsidRPr="00457CE9">
        <w:rPr>
          <w:rFonts w:ascii="Times New Roman" w:eastAsia="Times New Roman" w:hAnsi="Times New Roman" w:cs="Times New Roman"/>
          <w:kern w:val="36"/>
          <w:sz w:val="28"/>
          <w:szCs w:val="28"/>
          <w:lang w:val="kk-KZ" w:eastAsia="ru-RU"/>
        </w:rPr>
        <w:t>инвестиция тарту, озық технологиялар ендіру</w:t>
      </w:r>
      <w:r w:rsidR="00235E33" w:rsidRPr="00457CE9">
        <w:rPr>
          <w:rFonts w:ascii="Times New Roman" w:eastAsia="Times New Roman" w:hAnsi="Times New Roman" w:cs="Times New Roman"/>
          <w:kern w:val="36"/>
          <w:sz w:val="28"/>
          <w:szCs w:val="28"/>
          <w:lang w:val="kk-KZ" w:eastAsia="ru-RU"/>
        </w:rPr>
        <w:t xml:space="preserve"> үшін ғылыми орталықтар ұйымдастыру қажет</w:t>
      </w:r>
      <w:r w:rsidR="000D2925" w:rsidRPr="00457CE9">
        <w:rPr>
          <w:rFonts w:ascii="Times New Roman" w:eastAsia="Times New Roman" w:hAnsi="Times New Roman" w:cs="Times New Roman"/>
          <w:kern w:val="36"/>
          <w:sz w:val="28"/>
          <w:szCs w:val="28"/>
          <w:lang w:val="kk-KZ" w:eastAsia="ru-RU"/>
        </w:rPr>
        <w:t xml:space="preserve"> </w:t>
      </w:r>
      <w:r w:rsidR="000B5B6F">
        <w:rPr>
          <w:rFonts w:ascii="Times New Roman" w:eastAsia="Times New Roman" w:hAnsi="Times New Roman" w:cs="Times New Roman"/>
          <w:kern w:val="36"/>
          <w:sz w:val="28"/>
          <w:szCs w:val="28"/>
          <w:lang w:val="kk-KZ" w:eastAsia="ru-RU"/>
        </w:rPr>
        <w:t>[</w:t>
      </w:r>
      <w:r w:rsidR="00943D2A" w:rsidRPr="00943D2A">
        <w:rPr>
          <w:rFonts w:ascii="Times New Roman" w:eastAsia="Times New Roman" w:hAnsi="Times New Roman" w:cs="Times New Roman"/>
          <w:kern w:val="36"/>
          <w:sz w:val="28"/>
          <w:szCs w:val="28"/>
          <w:lang w:val="kk-KZ" w:eastAsia="ru-RU"/>
        </w:rPr>
        <w:t>81</w:t>
      </w:r>
      <w:r w:rsidR="000B5B6F">
        <w:rPr>
          <w:rFonts w:ascii="Times New Roman" w:eastAsia="Times New Roman" w:hAnsi="Times New Roman" w:cs="Times New Roman"/>
          <w:kern w:val="36"/>
          <w:sz w:val="28"/>
          <w:szCs w:val="28"/>
          <w:lang w:val="kk-KZ" w:eastAsia="ru-RU"/>
        </w:rPr>
        <w:t>]</w:t>
      </w:r>
      <w:r w:rsidR="00713229" w:rsidRPr="00457CE9">
        <w:rPr>
          <w:rFonts w:ascii="Times New Roman" w:eastAsia="Times New Roman" w:hAnsi="Times New Roman" w:cs="Times New Roman"/>
          <w:kern w:val="36"/>
          <w:sz w:val="28"/>
          <w:szCs w:val="28"/>
          <w:lang w:val="kk-KZ" w:eastAsia="ru-RU"/>
        </w:rPr>
        <w:t>.</w:t>
      </w:r>
      <w:r w:rsidR="008B6865" w:rsidRPr="00457CE9">
        <w:rPr>
          <w:rFonts w:ascii="Times New Roman" w:eastAsia="Times New Roman" w:hAnsi="Times New Roman" w:cs="Times New Roman"/>
          <w:kern w:val="36"/>
          <w:sz w:val="28"/>
          <w:szCs w:val="28"/>
          <w:lang w:val="kk-KZ" w:eastAsia="ru-RU"/>
        </w:rPr>
        <w:t xml:space="preserve"> </w:t>
      </w:r>
    </w:p>
    <w:p w14:paraId="3F6330F2" w14:textId="2A8B2A85" w:rsidR="00DA404F" w:rsidRPr="00652A28" w:rsidRDefault="00B746F2" w:rsidP="00DA1087">
      <w:pPr>
        <w:spacing w:after="0" w:line="240" w:lineRule="auto"/>
        <w:ind w:firstLine="709"/>
        <w:jc w:val="both"/>
        <w:rPr>
          <w:rFonts w:ascii="Times New Roman" w:eastAsia="Times New Roman" w:hAnsi="Times New Roman" w:cs="Times New Roman"/>
          <w:kern w:val="36"/>
          <w:sz w:val="28"/>
          <w:szCs w:val="28"/>
          <w:lang w:val="kk-KZ" w:eastAsia="ru-RU"/>
        </w:rPr>
      </w:pPr>
      <w:r w:rsidRPr="00652A28">
        <w:rPr>
          <w:rFonts w:ascii="Times New Roman" w:eastAsia="Times New Roman" w:hAnsi="Times New Roman" w:cs="Times New Roman"/>
          <w:kern w:val="36"/>
          <w:sz w:val="28"/>
          <w:szCs w:val="28"/>
          <w:lang w:val="kk-KZ" w:eastAsia="ru-RU"/>
        </w:rPr>
        <w:t xml:space="preserve">ҚР АӨК дамытудың 2021-2025 жылдарға бекітілген ұлттық жоба құрылымы біршама өзгеріске ұшыраған. Бірінші кезекте жобаны іске асырудан күтілетін әлеуметтік-экономикалық әсер (сандық және сапалық көрсеткіштері) анықталып жоспарланған. </w:t>
      </w:r>
      <w:r w:rsidR="00E60641" w:rsidRPr="00652A28">
        <w:rPr>
          <w:rFonts w:ascii="Times New Roman" w:eastAsia="Times New Roman" w:hAnsi="Times New Roman" w:cs="Times New Roman"/>
          <w:kern w:val="36"/>
          <w:sz w:val="28"/>
          <w:szCs w:val="28"/>
          <w:lang w:val="kk-KZ" w:eastAsia="ru-RU"/>
        </w:rPr>
        <w:t xml:space="preserve">Әлеуметтік әсері азық-түліктік тауарларымен қамтамасыз етуді 80 пайызға дейін деп анықтаса, экономикалық әсер ретінде </w:t>
      </w:r>
      <w:r w:rsidR="00E60641" w:rsidRPr="00652A28">
        <w:rPr>
          <w:rFonts w:ascii="Times New Roman" w:hAnsi="Times New Roman" w:cs="Times New Roman"/>
          <w:sz w:val="28"/>
          <w:szCs w:val="28"/>
          <w:shd w:val="clear" w:color="auto" w:fill="FFFFFF"/>
          <w:lang w:val="kk-KZ"/>
        </w:rPr>
        <w:t>өңделген өнім үлесін 70%-ға дейін жеткізе отырып, АӨК өнімдерінің экспортын 6,6 млрд АҚШ долларына дейін ұлғайту деп анықталған</w:t>
      </w:r>
      <w:r w:rsidR="00652A28" w:rsidRPr="00652A28">
        <w:rPr>
          <w:rFonts w:ascii="Times New Roman" w:hAnsi="Times New Roman" w:cs="Times New Roman"/>
          <w:sz w:val="28"/>
          <w:szCs w:val="28"/>
          <w:shd w:val="clear" w:color="auto" w:fill="FFFFFF"/>
          <w:lang w:val="kk-KZ"/>
        </w:rPr>
        <w:t xml:space="preserve"> [82]</w:t>
      </w:r>
      <w:r w:rsidR="00E60641" w:rsidRPr="00652A28">
        <w:rPr>
          <w:rFonts w:ascii="Times New Roman" w:hAnsi="Times New Roman" w:cs="Times New Roman"/>
          <w:sz w:val="28"/>
          <w:szCs w:val="28"/>
          <w:shd w:val="clear" w:color="auto" w:fill="FFFFFF"/>
          <w:lang w:val="kk-KZ"/>
        </w:rPr>
        <w:t>.</w:t>
      </w:r>
      <w:r w:rsidR="00E60641" w:rsidRPr="00652A28">
        <w:rPr>
          <w:rFonts w:ascii="Times New Roman" w:eastAsia="Times New Roman" w:hAnsi="Times New Roman" w:cs="Times New Roman"/>
          <w:kern w:val="36"/>
          <w:sz w:val="28"/>
          <w:szCs w:val="28"/>
          <w:lang w:val="kk-KZ" w:eastAsia="ru-RU"/>
        </w:rPr>
        <w:t xml:space="preserve"> </w:t>
      </w:r>
    </w:p>
    <w:p w14:paraId="3A18F59B" w14:textId="31D3B40F" w:rsidR="00B746F2" w:rsidRDefault="00DA404F" w:rsidP="00DA1087">
      <w:pPr>
        <w:spacing w:after="0" w:line="240" w:lineRule="auto"/>
        <w:ind w:firstLine="709"/>
        <w:jc w:val="both"/>
        <w:rPr>
          <w:rFonts w:ascii="Times New Roman" w:eastAsia="Times New Roman" w:hAnsi="Times New Roman" w:cs="Times New Roman"/>
          <w:kern w:val="36"/>
          <w:sz w:val="28"/>
          <w:szCs w:val="28"/>
          <w:lang w:val="kk-KZ" w:eastAsia="ru-RU"/>
        </w:rPr>
      </w:pPr>
      <w:r w:rsidRPr="00652A28">
        <w:rPr>
          <w:rFonts w:ascii="Times New Roman" w:eastAsia="Times New Roman" w:hAnsi="Times New Roman" w:cs="Times New Roman"/>
          <w:kern w:val="36"/>
          <w:sz w:val="28"/>
          <w:szCs w:val="28"/>
          <w:lang w:val="kk-KZ" w:eastAsia="ru-RU"/>
        </w:rPr>
        <w:t xml:space="preserve">Тиімділік аудиті жүргізу кезінде салыстырмалы талдау әдісі кеңінен </w:t>
      </w:r>
      <w:r>
        <w:rPr>
          <w:rFonts w:ascii="Times New Roman" w:eastAsia="Times New Roman" w:hAnsi="Times New Roman" w:cs="Times New Roman"/>
          <w:kern w:val="36"/>
          <w:sz w:val="28"/>
          <w:szCs w:val="28"/>
          <w:lang w:val="kk-KZ" w:eastAsia="ru-RU"/>
        </w:rPr>
        <w:t xml:space="preserve">қолданылады, осы әдісті пайдалана отырып </w:t>
      </w:r>
      <w:r w:rsidR="00B746F2" w:rsidRPr="00457CE9">
        <w:rPr>
          <w:rFonts w:ascii="Times New Roman" w:eastAsia="Times New Roman" w:hAnsi="Times New Roman" w:cs="Times New Roman"/>
          <w:kern w:val="36"/>
          <w:sz w:val="28"/>
          <w:szCs w:val="28"/>
          <w:lang w:val="kk-KZ" w:eastAsia="ru-RU"/>
        </w:rPr>
        <w:t>ҚР АӨК</w:t>
      </w:r>
      <w:r>
        <w:rPr>
          <w:rFonts w:ascii="Times New Roman" w:eastAsia="Times New Roman" w:hAnsi="Times New Roman" w:cs="Times New Roman"/>
          <w:kern w:val="36"/>
          <w:sz w:val="28"/>
          <w:szCs w:val="28"/>
          <w:lang w:val="kk-KZ" w:eastAsia="ru-RU"/>
        </w:rPr>
        <w:t>-н</w:t>
      </w:r>
      <w:r w:rsidR="00B746F2" w:rsidRPr="00457CE9">
        <w:rPr>
          <w:rFonts w:ascii="Times New Roman" w:eastAsia="Times New Roman" w:hAnsi="Times New Roman" w:cs="Times New Roman"/>
          <w:kern w:val="36"/>
          <w:sz w:val="28"/>
          <w:szCs w:val="28"/>
          <w:lang w:val="kk-KZ" w:eastAsia="ru-RU"/>
        </w:rPr>
        <w:t xml:space="preserve"> 2017-2025 жылдарға дамытудың бекітілген негізгі көрсеткіштері</w:t>
      </w:r>
      <w:r>
        <w:rPr>
          <w:rFonts w:ascii="Times New Roman" w:eastAsia="Times New Roman" w:hAnsi="Times New Roman" w:cs="Times New Roman"/>
          <w:kern w:val="36"/>
          <w:sz w:val="28"/>
          <w:szCs w:val="28"/>
          <w:lang w:val="kk-KZ" w:eastAsia="ru-RU"/>
        </w:rPr>
        <w:t>н салыстырмалы талдауы</w:t>
      </w:r>
      <w:r w:rsidR="00B746F2" w:rsidRPr="00457CE9">
        <w:rPr>
          <w:rFonts w:ascii="Times New Roman" w:eastAsia="Times New Roman" w:hAnsi="Times New Roman" w:cs="Times New Roman"/>
          <w:kern w:val="36"/>
          <w:sz w:val="28"/>
          <w:szCs w:val="28"/>
          <w:lang w:val="kk-KZ" w:eastAsia="ru-RU"/>
        </w:rPr>
        <w:t xml:space="preserve"> </w:t>
      </w:r>
      <w:r w:rsidR="00023296">
        <w:rPr>
          <w:rFonts w:ascii="Times New Roman" w:eastAsia="Times New Roman" w:hAnsi="Times New Roman" w:cs="Times New Roman"/>
          <w:kern w:val="36"/>
          <w:sz w:val="28"/>
          <w:szCs w:val="28"/>
          <w:lang w:val="kk-KZ" w:eastAsia="ru-RU"/>
        </w:rPr>
        <w:t>10</w:t>
      </w:r>
      <w:r w:rsidR="00B746F2" w:rsidRPr="00457CE9">
        <w:rPr>
          <w:rFonts w:ascii="Times New Roman" w:eastAsia="Times New Roman" w:hAnsi="Times New Roman" w:cs="Times New Roman"/>
          <w:kern w:val="36"/>
          <w:sz w:val="28"/>
          <w:szCs w:val="28"/>
          <w:lang w:val="kk-KZ" w:eastAsia="ru-RU"/>
        </w:rPr>
        <w:t>-кестеде келтірілген.</w:t>
      </w:r>
    </w:p>
    <w:p w14:paraId="0C1980FC" w14:textId="77777777" w:rsidR="00DA1087" w:rsidRPr="00457CE9" w:rsidRDefault="00DA1087" w:rsidP="00DA1087">
      <w:pPr>
        <w:spacing w:after="0" w:line="240" w:lineRule="auto"/>
        <w:ind w:firstLine="709"/>
        <w:jc w:val="both"/>
        <w:rPr>
          <w:rFonts w:ascii="Times New Roman" w:eastAsia="Times New Roman" w:hAnsi="Times New Roman" w:cs="Times New Roman"/>
          <w:kern w:val="36"/>
          <w:sz w:val="28"/>
          <w:szCs w:val="28"/>
          <w:lang w:val="kk-KZ" w:eastAsia="ru-RU"/>
        </w:rPr>
      </w:pPr>
    </w:p>
    <w:p w14:paraId="536C0541" w14:textId="6F13B71E" w:rsidR="00392311" w:rsidRDefault="003A49ED" w:rsidP="00457CE9">
      <w:pPr>
        <w:widowControl w:val="0"/>
        <w:spacing w:after="0" w:line="240" w:lineRule="auto"/>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Кесте </w:t>
      </w:r>
      <w:r w:rsidR="00023296">
        <w:rPr>
          <w:rFonts w:ascii="Times New Roman" w:eastAsia="Times New Roman" w:hAnsi="Times New Roman" w:cs="Times New Roman"/>
          <w:kern w:val="36"/>
          <w:sz w:val="28"/>
          <w:szCs w:val="28"/>
          <w:lang w:val="kk-KZ" w:eastAsia="ru-RU"/>
        </w:rPr>
        <w:t>10</w:t>
      </w:r>
      <w:r w:rsidRPr="00457CE9">
        <w:rPr>
          <w:rFonts w:ascii="Times New Roman" w:eastAsia="Times New Roman" w:hAnsi="Times New Roman" w:cs="Times New Roman"/>
          <w:kern w:val="36"/>
          <w:sz w:val="28"/>
          <w:szCs w:val="28"/>
          <w:lang w:val="kk-KZ" w:eastAsia="ru-RU"/>
        </w:rPr>
        <w:t xml:space="preserve"> – ҚР АӨК 2017-2025 жылдарға дамытудың бекітілген негізгі көрсеткіштері</w:t>
      </w:r>
    </w:p>
    <w:p w14:paraId="4975F54D" w14:textId="77777777" w:rsidR="00DA1087" w:rsidRPr="00DA1087" w:rsidRDefault="00DA1087" w:rsidP="00457CE9">
      <w:pPr>
        <w:widowControl w:val="0"/>
        <w:spacing w:after="0" w:line="240" w:lineRule="auto"/>
        <w:jc w:val="both"/>
        <w:textAlignment w:val="baseline"/>
        <w:outlineLvl w:val="0"/>
        <w:rPr>
          <w:rFonts w:ascii="Times New Roman" w:eastAsia="Times New Roman" w:hAnsi="Times New Roman"/>
          <w:kern w:val="36"/>
          <w:sz w:val="16"/>
          <w:szCs w:val="16"/>
          <w:lang w:val="kk-KZ" w:eastAsia="ru-RU"/>
        </w:rPr>
      </w:pPr>
    </w:p>
    <w:tbl>
      <w:tblPr>
        <w:tblStyle w:val="a3"/>
        <w:tblW w:w="9530" w:type="dxa"/>
        <w:jc w:val="center"/>
        <w:tblLayout w:type="fixed"/>
        <w:tblLook w:val="04A0" w:firstRow="1" w:lastRow="0" w:firstColumn="1" w:lastColumn="0" w:noHBand="0" w:noVBand="1"/>
      </w:tblPr>
      <w:tblGrid>
        <w:gridCol w:w="2326"/>
        <w:gridCol w:w="2128"/>
        <w:gridCol w:w="2269"/>
        <w:gridCol w:w="2807"/>
      </w:tblGrid>
      <w:tr w:rsidR="00DA1087" w:rsidRPr="00B108D0" w14:paraId="0F3B913B"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vAlign w:val="center"/>
          </w:tcPr>
          <w:p w14:paraId="0AE0C09A" w14:textId="5F2286F7" w:rsidR="00DA1087" w:rsidRPr="00DA1087" w:rsidRDefault="00DA1087" w:rsidP="001E64ED">
            <w:pPr>
              <w:ind w:left="-66" w:right="-52"/>
              <w:jc w:val="center"/>
              <w:rPr>
                <w:rFonts w:ascii="Times New Roman" w:hAnsi="Times New Roman" w:cs="Times New Roman"/>
                <w:sz w:val="24"/>
                <w:szCs w:val="24"/>
                <w:shd w:val="clear" w:color="auto" w:fill="FFFFFF"/>
                <w:lang w:val="kk-KZ"/>
              </w:rPr>
            </w:pPr>
            <w:r w:rsidRPr="00DA1087">
              <w:rPr>
                <w:rFonts w:ascii="Times New Roman" w:eastAsia="Times New Roman" w:hAnsi="Times New Roman" w:cs="Times New Roman"/>
                <w:kern w:val="36"/>
                <w:sz w:val="24"/>
                <w:szCs w:val="24"/>
                <w:lang w:val="kk-KZ" w:eastAsia="ru-RU"/>
              </w:rPr>
              <w:t>ҚР Президентінің 14.02.2017 ж. №420 Жарлығының редак</w:t>
            </w:r>
            <w:r w:rsidR="001E64ED">
              <w:rPr>
                <w:rFonts w:ascii="Times New Roman" w:eastAsia="Times New Roman" w:hAnsi="Times New Roman" w:cs="Times New Roman"/>
                <w:kern w:val="36"/>
                <w:sz w:val="24"/>
                <w:szCs w:val="24"/>
                <w:lang w:val="kk-KZ" w:eastAsia="ru-RU"/>
              </w:rPr>
              <w:t xml:space="preserve"> </w:t>
            </w:r>
            <w:r w:rsidRPr="00DA1087">
              <w:rPr>
                <w:rFonts w:ascii="Times New Roman" w:eastAsia="Times New Roman" w:hAnsi="Times New Roman" w:cs="Times New Roman"/>
                <w:kern w:val="36"/>
                <w:sz w:val="24"/>
                <w:szCs w:val="24"/>
                <w:lang w:val="kk-KZ" w:eastAsia="ru-RU"/>
              </w:rPr>
              <w:t>циясы (ҚР Прези</w:t>
            </w:r>
            <w:r w:rsidR="001E64ED">
              <w:rPr>
                <w:rFonts w:ascii="Times New Roman" w:eastAsia="Times New Roman" w:hAnsi="Times New Roman" w:cs="Times New Roman"/>
                <w:kern w:val="36"/>
                <w:sz w:val="24"/>
                <w:szCs w:val="24"/>
                <w:lang w:val="kk-KZ" w:eastAsia="ru-RU"/>
              </w:rPr>
              <w:t xml:space="preserve"> </w:t>
            </w:r>
            <w:r w:rsidRPr="00DA1087">
              <w:rPr>
                <w:rFonts w:ascii="Times New Roman" w:eastAsia="Times New Roman" w:hAnsi="Times New Roman" w:cs="Times New Roman"/>
                <w:kern w:val="36"/>
                <w:sz w:val="24"/>
                <w:szCs w:val="24"/>
                <w:lang w:val="kk-KZ" w:eastAsia="ru-RU"/>
              </w:rPr>
              <w:t>дентінің 19.04.2019ж. №29 жарлығымен күші жойылды)</w:t>
            </w:r>
          </w:p>
        </w:tc>
        <w:tc>
          <w:tcPr>
            <w:tcW w:w="2128" w:type="dxa"/>
            <w:tcBorders>
              <w:top w:val="single" w:sz="4" w:space="0" w:color="auto"/>
              <w:left w:val="single" w:sz="4" w:space="0" w:color="auto"/>
              <w:bottom w:val="single" w:sz="4" w:space="0" w:color="auto"/>
              <w:right w:val="single" w:sz="4" w:space="0" w:color="auto"/>
            </w:tcBorders>
            <w:vAlign w:val="center"/>
          </w:tcPr>
          <w:p w14:paraId="6B497BCE" w14:textId="74267FA7" w:rsidR="00DA1087" w:rsidRPr="00DA1087" w:rsidRDefault="00DA1087" w:rsidP="00DA1087">
            <w:pPr>
              <w:jc w:val="center"/>
              <w:rPr>
                <w:rFonts w:ascii="Times New Roman" w:hAnsi="Times New Roman" w:cs="Times New Roman"/>
                <w:sz w:val="24"/>
                <w:szCs w:val="24"/>
                <w:shd w:val="clear" w:color="auto" w:fill="FFFFFF"/>
                <w:lang w:val="kk-KZ"/>
              </w:rPr>
            </w:pPr>
            <w:r w:rsidRPr="00DA1087">
              <w:rPr>
                <w:rFonts w:ascii="Times New Roman" w:eastAsia="Times New Roman" w:hAnsi="Times New Roman" w:cs="Times New Roman"/>
                <w:kern w:val="36"/>
                <w:sz w:val="24"/>
                <w:szCs w:val="24"/>
                <w:lang w:val="kk-KZ" w:eastAsia="ru-RU"/>
              </w:rPr>
              <w:t>Үкіметтің 12.07.2018 ж. №423 қаулысының редакциясы</w:t>
            </w:r>
          </w:p>
        </w:tc>
        <w:tc>
          <w:tcPr>
            <w:tcW w:w="2269" w:type="dxa"/>
            <w:tcBorders>
              <w:top w:val="single" w:sz="4" w:space="0" w:color="auto"/>
              <w:left w:val="single" w:sz="4" w:space="0" w:color="auto"/>
              <w:bottom w:val="single" w:sz="4" w:space="0" w:color="auto"/>
              <w:right w:val="single" w:sz="4" w:space="0" w:color="auto"/>
            </w:tcBorders>
            <w:vAlign w:val="center"/>
          </w:tcPr>
          <w:p w14:paraId="7D1F7FF3" w14:textId="03FC24C7" w:rsidR="00DA1087" w:rsidRPr="00DA1087" w:rsidRDefault="00DA1087" w:rsidP="00DA1087">
            <w:pPr>
              <w:jc w:val="center"/>
              <w:rPr>
                <w:rFonts w:ascii="Times New Roman" w:hAnsi="Times New Roman" w:cs="Times New Roman"/>
                <w:sz w:val="24"/>
                <w:szCs w:val="24"/>
                <w:shd w:val="clear" w:color="auto" w:fill="FFFFFF"/>
                <w:lang w:val="kk-KZ"/>
              </w:rPr>
            </w:pPr>
            <w:r w:rsidRPr="00DA1087">
              <w:rPr>
                <w:rFonts w:ascii="Times New Roman" w:eastAsia="Times New Roman" w:hAnsi="Times New Roman" w:cs="Times New Roman"/>
                <w:kern w:val="36"/>
                <w:sz w:val="24"/>
                <w:szCs w:val="24"/>
                <w:lang w:val="kk-KZ" w:eastAsia="ru-RU"/>
              </w:rPr>
              <w:t>Үкіметтің 12.07.2018 ж. №423 қаулысының редакциясы (05.01.2020 ж. өзгерістер мен толықтырулармен)</w:t>
            </w:r>
          </w:p>
        </w:tc>
        <w:tc>
          <w:tcPr>
            <w:tcW w:w="2807" w:type="dxa"/>
            <w:tcBorders>
              <w:top w:val="single" w:sz="4" w:space="0" w:color="auto"/>
              <w:left w:val="single" w:sz="4" w:space="0" w:color="auto"/>
              <w:bottom w:val="single" w:sz="4" w:space="0" w:color="auto"/>
              <w:right w:val="single" w:sz="4" w:space="0" w:color="auto"/>
            </w:tcBorders>
            <w:vAlign w:val="center"/>
          </w:tcPr>
          <w:p w14:paraId="3C7C7FB2" w14:textId="7B1BAA8D" w:rsidR="00DA1087" w:rsidRPr="00DA1087" w:rsidRDefault="00DA1087" w:rsidP="00DA1087">
            <w:pPr>
              <w:jc w:val="center"/>
              <w:rPr>
                <w:rFonts w:ascii="Times New Roman" w:hAnsi="Times New Roman" w:cs="Times New Roman"/>
                <w:sz w:val="24"/>
                <w:szCs w:val="24"/>
                <w:shd w:val="clear" w:color="auto" w:fill="FFFFFF"/>
                <w:lang w:val="kk-KZ"/>
              </w:rPr>
            </w:pPr>
            <w:r w:rsidRPr="00DA1087">
              <w:rPr>
                <w:rFonts w:ascii="Times New Roman" w:eastAsia="Times New Roman" w:hAnsi="Times New Roman" w:cs="Times New Roman"/>
                <w:kern w:val="36"/>
                <w:sz w:val="24"/>
                <w:szCs w:val="24"/>
                <w:lang w:val="kk-KZ" w:eastAsia="ru-RU"/>
              </w:rPr>
              <w:t>Ұлттық жоба (№732 ҚР Үкімет қаулысымен 12.10.2021 жылы бекітілген)</w:t>
            </w:r>
          </w:p>
        </w:tc>
      </w:tr>
      <w:tr w:rsidR="00DA1087" w:rsidRPr="00DA1087" w14:paraId="0D18FFF4"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vAlign w:val="center"/>
          </w:tcPr>
          <w:p w14:paraId="7EE17C47" w14:textId="131FE865" w:rsidR="00DA1087" w:rsidRPr="00DA1087" w:rsidRDefault="00DA1087" w:rsidP="00DA108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2128" w:type="dxa"/>
            <w:tcBorders>
              <w:top w:val="single" w:sz="4" w:space="0" w:color="auto"/>
              <w:left w:val="single" w:sz="4" w:space="0" w:color="auto"/>
              <w:bottom w:val="single" w:sz="4" w:space="0" w:color="auto"/>
              <w:right w:val="single" w:sz="4" w:space="0" w:color="auto"/>
            </w:tcBorders>
            <w:vAlign w:val="center"/>
          </w:tcPr>
          <w:p w14:paraId="2B69B491" w14:textId="4A23195F" w:rsidR="00DA1087" w:rsidRPr="00DA1087" w:rsidRDefault="00DA1087" w:rsidP="00DA108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2269" w:type="dxa"/>
            <w:tcBorders>
              <w:top w:val="single" w:sz="4" w:space="0" w:color="auto"/>
              <w:left w:val="single" w:sz="4" w:space="0" w:color="auto"/>
              <w:bottom w:val="single" w:sz="4" w:space="0" w:color="auto"/>
              <w:right w:val="single" w:sz="4" w:space="0" w:color="auto"/>
            </w:tcBorders>
            <w:vAlign w:val="center"/>
          </w:tcPr>
          <w:p w14:paraId="1140F36C" w14:textId="3F913192" w:rsidR="00DA1087" w:rsidRPr="00DA1087" w:rsidRDefault="00DA1087" w:rsidP="00DA108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2807" w:type="dxa"/>
            <w:tcBorders>
              <w:top w:val="single" w:sz="4" w:space="0" w:color="auto"/>
              <w:left w:val="single" w:sz="4" w:space="0" w:color="auto"/>
              <w:bottom w:val="single" w:sz="4" w:space="0" w:color="auto"/>
              <w:right w:val="single" w:sz="4" w:space="0" w:color="auto"/>
            </w:tcBorders>
            <w:vAlign w:val="center"/>
          </w:tcPr>
          <w:p w14:paraId="03C73A6C" w14:textId="402782A2" w:rsidR="00DA1087" w:rsidRPr="00DA1087" w:rsidRDefault="00DA1087" w:rsidP="00DA108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r>
      <w:tr w:rsidR="003A49ED" w:rsidRPr="00DA1087" w14:paraId="2DCD52C7" w14:textId="77777777" w:rsidTr="00D0056B">
        <w:trPr>
          <w:jc w:val="center"/>
        </w:trPr>
        <w:tc>
          <w:tcPr>
            <w:tcW w:w="9530" w:type="dxa"/>
            <w:gridSpan w:val="4"/>
            <w:tcBorders>
              <w:top w:val="single" w:sz="4" w:space="0" w:color="auto"/>
              <w:left w:val="single" w:sz="4" w:space="0" w:color="auto"/>
              <w:bottom w:val="single" w:sz="4" w:space="0" w:color="auto"/>
              <w:right w:val="single" w:sz="4" w:space="0" w:color="auto"/>
            </w:tcBorders>
          </w:tcPr>
          <w:p w14:paraId="30079434" w14:textId="0F736CEF" w:rsidR="003A49ED" w:rsidRPr="00DA1087" w:rsidRDefault="003A49ED" w:rsidP="00457CE9">
            <w:pPr>
              <w:jc w:val="cente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ІІ. Күтілетін әлеуметтік-экономикалық әсер</w:t>
            </w:r>
          </w:p>
        </w:tc>
      </w:tr>
      <w:tr w:rsidR="00DA1087" w:rsidRPr="00B108D0" w14:paraId="4882C6EA" w14:textId="77777777" w:rsidTr="00D0056B">
        <w:trPr>
          <w:jc w:val="center"/>
        </w:trPr>
        <w:tc>
          <w:tcPr>
            <w:tcW w:w="2326" w:type="dxa"/>
            <w:vMerge w:val="restart"/>
            <w:tcBorders>
              <w:top w:val="single" w:sz="4" w:space="0" w:color="auto"/>
              <w:left w:val="single" w:sz="4" w:space="0" w:color="auto"/>
              <w:right w:val="single" w:sz="4" w:space="0" w:color="auto"/>
            </w:tcBorders>
            <w:hideMark/>
          </w:tcPr>
          <w:p w14:paraId="323309A3"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қарастырылмаған</w:t>
            </w:r>
          </w:p>
        </w:tc>
        <w:tc>
          <w:tcPr>
            <w:tcW w:w="2128" w:type="dxa"/>
            <w:vMerge w:val="restart"/>
            <w:tcBorders>
              <w:top w:val="single" w:sz="4" w:space="0" w:color="auto"/>
              <w:left w:val="single" w:sz="4" w:space="0" w:color="auto"/>
              <w:right w:val="single" w:sz="4" w:space="0" w:color="auto"/>
            </w:tcBorders>
            <w:hideMark/>
          </w:tcPr>
          <w:p w14:paraId="6B0585D5"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қарастырылмаған</w:t>
            </w:r>
          </w:p>
        </w:tc>
        <w:tc>
          <w:tcPr>
            <w:tcW w:w="2269" w:type="dxa"/>
            <w:vMerge w:val="restart"/>
            <w:tcBorders>
              <w:top w:val="single" w:sz="4" w:space="0" w:color="auto"/>
              <w:left w:val="single" w:sz="4" w:space="0" w:color="auto"/>
              <w:right w:val="single" w:sz="4" w:space="0" w:color="auto"/>
            </w:tcBorders>
            <w:hideMark/>
          </w:tcPr>
          <w:p w14:paraId="4DEC317E"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қарастырылмаған</w:t>
            </w:r>
          </w:p>
        </w:tc>
        <w:tc>
          <w:tcPr>
            <w:tcW w:w="2807" w:type="dxa"/>
            <w:tcBorders>
              <w:top w:val="single" w:sz="4" w:space="0" w:color="auto"/>
              <w:left w:val="single" w:sz="4" w:space="0" w:color="auto"/>
              <w:bottom w:val="single" w:sz="4" w:space="0" w:color="auto"/>
              <w:right w:val="single" w:sz="4" w:space="0" w:color="auto"/>
            </w:tcBorders>
            <w:hideMark/>
          </w:tcPr>
          <w:p w14:paraId="79338503" w14:textId="322641A5"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Азық-түліктік тауарла</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 xml:space="preserve">рымен 80% деңгейінде қамтылу </w:t>
            </w:r>
          </w:p>
        </w:tc>
      </w:tr>
      <w:tr w:rsidR="00DA1087" w:rsidRPr="00B108D0" w14:paraId="23AEEECA" w14:textId="77777777" w:rsidTr="00D0056B">
        <w:trPr>
          <w:jc w:val="center"/>
        </w:trPr>
        <w:tc>
          <w:tcPr>
            <w:tcW w:w="2326" w:type="dxa"/>
            <w:vMerge/>
            <w:tcBorders>
              <w:left w:val="single" w:sz="4" w:space="0" w:color="auto"/>
              <w:bottom w:val="single" w:sz="4" w:space="0" w:color="auto"/>
              <w:right w:val="single" w:sz="4" w:space="0" w:color="auto"/>
            </w:tcBorders>
          </w:tcPr>
          <w:p w14:paraId="4E0744AD" w14:textId="77777777" w:rsidR="00DA1087" w:rsidRPr="00DA1087" w:rsidRDefault="00DA1087" w:rsidP="00457CE9">
            <w:pPr>
              <w:rPr>
                <w:rFonts w:ascii="Times New Roman" w:hAnsi="Times New Roman" w:cs="Times New Roman"/>
                <w:sz w:val="24"/>
                <w:szCs w:val="24"/>
                <w:shd w:val="clear" w:color="auto" w:fill="FFFFFF"/>
                <w:lang w:val="kk-KZ"/>
              </w:rPr>
            </w:pPr>
          </w:p>
        </w:tc>
        <w:tc>
          <w:tcPr>
            <w:tcW w:w="2128" w:type="dxa"/>
            <w:vMerge/>
            <w:tcBorders>
              <w:left w:val="single" w:sz="4" w:space="0" w:color="auto"/>
              <w:bottom w:val="single" w:sz="4" w:space="0" w:color="auto"/>
              <w:right w:val="single" w:sz="4" w:space="0" w:color="auto"/>
            </w:tcBorders>
          </w:tcPr>
          <w:p w14:paraId="07E273F2" w14:textId="77777777" w:rsidR="00DA1087" w:rsidRPr="00DA1087" w:rsidRDefault="00DA1087" w:rsidP="00457CE9">
            <w:pPr>
              <w:rPr>
                <w:rFonts w:ascii="Times New Roman" w:hAnsi="Times New Roman" w:cs="Times New Roman"/>
                <w:sz w:val="24"/>
                <w:szCs w:val="24"/>
                <w:shd w:val="clear" w:color="auto" w:fill="FFFFFF"/>
                <w:lang w:val="kk-KZ"/>
              </w:rPr>
            </w:pPr>
          </w:p>
        </w:tc>
        <w:tc>
          <w:tcPr>
            <w:tcW w:w="2269" w:type="dxa"/>
            <w:vMerge/>
            <w:tcBorders>
              <w:left w:val="single" w:sz="4" w:space="0" w:color="auto"/>
              <w:bottom w:val="single" w:sz="4" w:space="0" w:color="auto"/>
              <w:right w:val="single" w:sz="4" w:space="0" w:color="auto"/>
            </w:tcBorders>
          </w:tcPr>
          <w:p w14:paraId="1586CF40" w14:textId="77777777" w:rsidR="00DA1087" w:rsidRPr="00DA1087" w:rsidRDefault="00DA1087" w:rsidP="00457CE9">
            <w:pPr>
              <w:rPr>
                <w:rFonts w:ascii="Times New Roman" w:hAnsi="Times New Roman" w:cs="Times New Roman"/>
                <w:sz w:val="24"/>
                <w:szCs w:val="24"/>
                <w:shd w:val="clear" w:color="auto" w:fill="FFFFFF"/>
                <w:lang w:val="kk-KZ"/>
              </w:rPr>
            </w:pPr>
          </w:p>
        </w:tc>
        <w:tc>
          <w:tcPr>
            <w:tcW w:w="2807" w:type="dxa"/>
            <w:tcBorders>
              <w:top w:val="single" w:sz="4" w:space="0" w:color="auto"/>
              <w:left w:val="single" w:sz="4" w:space="0" w:color="auto"/>
              <w:bottom w:val="single" w:sz="4" w:space="0" w:color="auto"/>
              <w:right w:val="single" w:sz="4" w:space="0" w:color="auto"/>
            </w:tcBorders>
            <w:hideMark/>
          </w:tcPr>
          <w:p w14:paraId="6FC996E6" w14:textId="68054182"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Өңделген өнім үлесін 70%-ға дейін жеткізе отырып, АӨК өнімдері</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нің экспортын 6,6 мл</w:t>
            </w:r>
            <w:r w:rsidR="001E64ED">
              <w:rPr>
                <w:rFonts w:ascii="Times New Roman" w:hAnsi="Times New Roman" w:cs="Times New Roman"/>
                <w:sz w:val="24"/>
                <w:szCs w:val="24"/>
                <w:shd w:val="clear" w:color="auto" w:fill="FFFFFF"/>
                <w:lang w:val="kk-KZ"/>
              </w:rPr>
              <w:t>рд АҚШ долларына дейін ұлғайту</w:t>
            </w:r>
          </w:p>
        </w:tc>
      </w:tr>
      <w:tr w:rsidR="00AA0DF0" w:rsidRPr="00DA1087" w14:paraId="1BD3041B" w14:textId="77777777" w:rsidTr="00D0056B">
        <w:trPr>
          <w:jc w:val="center"/>
        </w:trPr>
        <w:tc>
          <w:tcPr>
            <w:tcW w:w="9530" w:type="dxa"/>
            <w:gridSpan w:val="4"/>
            <w:tcBorders>
              <w:top w:val="single" w:sz="4" w:space="0" w:color="auto"/>
              <w:left w:val="single" w:sz="4" w:space="0" w:color="auto"/>
              <w:bottom w:val="single" w:sz="4" w:space="0" w:color="auto"/>
              <w:right w:val="single" w:sz="4" w:space="0" w:color="auto"/>
            </w:tcBorders>
            <w:hideMark/>
          </w:tcPr>
          <w:p w14:paraId="090B9154" w14:textId="77777777" w:rsidR="00AA0DF0" w:rsidRPr="00DA1087" w:rsidRDefault="00AA0DF0" w:rsidP="00457CE9">
            <w:pPr>
              <w:jc w:val="center"/>
              <w:rPr>
                <w:rFonts w:ascii="Times New Roman" w:hAnsi="Times New Roman" w:cs="Times New Roman"/>
                <w:sz w:val="24"/>
                <w:szCs w:val="24"/>
                <w:shd w:val="clear" w:color="auto" w:fill="FFFFFF"/>
                <w:lang w:val="en-US"/>
              </w:rPr>
            </w:pPr>
            <w:r w:rsidRPr="00DA1087">
              <w:rPr>
                <w:rFonts w:ascii="Times New Roman" w:hAnsi="Times New Roman" w:cs="Times New Roman"/>
                <w:sz w:val="24"/>
                <w:szCs w:val="24"/>
                <w:shd w:val="clear" w:color="auto" w:fill="FFFFFF"/>
                <w:lang w:val="en-US"/>
              </w:rPr>
              <w:t>II</w:t>
            </w:r>
            <w:r w:rsidRPr="00DA1087">
              <w:rPr>
                <w:rFonts w:ascii="Times New Roman" w:hAnsi="Times New Roman" w:cs="Times New Roman"/>
                <w:sz w:val="24"/>
                <w:szCs w:val="24"/>
                <w:shd w:val="clear" w:color="auto" w:fill="FFFFFF"/>
                <w:lang w:val="kk-KZ"/>
              </w:rPr>
              <w:t>І</w:t>
            </w:r>
            <w:r w:rsidRPr="00DA1087">
              <w:rPr>
                <w:rFonts w:ascii="Times New Roman" w:hAnsi="Times New Roman" w:cs="Times New Roman"/>
                <w:sz w:val="24"/>
                <w:szCs w:val="24"/>
                <w:shd w:val="clear" w:color="auto" w:fill="FFFFFF"/>
                <w:lang w:val="en-US"/>
              </w:rPr>
              <w:t xml:space="preserve">. </w:t>
            </w:r>
            <w:r w:rsidRPr="00DA1087">
              <w:rPr>
                <w:rFonts w:ascii="Times New Roman" w:hAnsi="Times New Roman" w:cs="Times New Roman"/>
                <w:sz w:val="24"/>
                <w:szCs w:val="24"/>
                <w:shd w:val="clear" w:color="auto" w:fill="FFFFFF"/>
                <w:lang w:val="kk-KZ"/>
              </w:rPr>
              <w:t>Нысаналы индикаторлар</w:t>
            </w:r>
          </w:p>
        </w:tc>
      </w:tr>
      <w:tr w:rsidR="00DA1087" w:rsidRPr="00B108D0" w14:paraId="2946A1E6"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hideMark/>
          </w:tcPr>
          <w:p w14:paraId="0E76632C" w14:textId="545A44DB" w:rsidR="00DA1087" w:rsidRPr="00DA1087" w:rsidRDefault="00DA1087" w:rsidP="001E64ED">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Ауыл шаруашылы</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ғындағы еңбек өнім</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ділігінің 2015 жыл</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ғы</w:t>
            </w:r>
            <w:r>
              <w:rPr>
                <w:rFonts w:ascii="Times New Roman" w:hAnsi="Times New Roman" w:cs="Times New Roman"/>
                <w:sz w:val="24"/>
                <w:szCs w:val="24"/>
                <w:shd w:val="clear" w:color="auto" w:fill="FFFFFF"/>
                <w:lang w:val="kk-KZ"/>
              </w:rPr>
              <w:t xml:space="preserve"> деңгейге </w:t>
            </w:r>
            <w:r w:rsidRPr="00DA1087">
              <w:rPr>
                <w:rFonts w:ascii="Times New Roman" w:hAnsi="Times New Roman" w:cs="Times New Roman"/>
                <w:sz w:val="24"/>
                <w:szCs w:val="24"/>
                <w:shd w:val="clear" w:color="auto" w:fill="FFFFFF"/>
                <w:lang w:val="kk-KZ"/>
              </w:rPr>
              <w:t>қараған</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да нақты мәнде 38%</w:t>
            </w:r>
            <w:r w:rsidR="001E64ED">
              <w:rPr>
                <w:rFonts w:ascii="Times New Roman" w:hAnsi="Times New Roman" w:cs="Times New Roman"/>
                <w:sz w:val="24"/>
                <w:szCs w:val="24"/>
                <w:shd w:val="clear" w:color="auto" w:fill="FFFFFF"/>
                <w:lang w:val="kk-KZ"/>
              </w:rPr>
              <w:t>-</w:t>
            </w:r>
            <w:r w:rsidRPr="00DA1087">
              <w:rPr>
                <w:rFonts w:ascii="Times New Roman" w:hAnsi="Times New Roman" w:cs="Times New Roman"/>
                <w:sz w:val="24"/>
                <w:szCs w:val="24"/>
                <w:shd w:val="clear" w:color="auto" w:fill="FFFFFF"/>
                <w:lang w:val="kk-KZ"/>
              </w:rPr>
              <w:t xml:space="preserve">ға өсуі </w:t>
            </w:r>
          </w:p>
        </w:tc>
        <w:tc>
          <w:tcPr>
            <w:tcW w:w="2128" w:type="dxa"/>
            <w:tcBorders>
              <w:top w:val="single" w:sz="4" w:space="0" w:color="auto"/>
              <w:left w:val="single" w:sz="4" w:space="0" w:color="auto"/>
              <w:bottom w:val="single" w:sz="4" w:space="0" w:color="auto"/>
              <w:right w:val="single" w:sz="4" w:space="0" w:color="auto"/>
            </w:tcBorders>
            <w:hideMark/>
          </w:tcPr>
          <w:p w14:paraId="6EC7520B" w14:textId="407F8A53"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Ауыл шаруашы</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лығындағы еңбек өнімділігінің ин</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дексі 2021 жылы 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 xml:space="preserve">гейге қарағанда 267% </w:t>
            </w:r>
          </w:p>
        </w:tc>
        <w:tc>
          <w:tcPr>
            <w:tcW w:w="2269" w:type="dxa"/>
            <w:tcBorders>
              <w:top w:val="single" w:sz="4" w:space="0" w:color="auto"/>
              <w:left w:val="single" w:sz="4" w:space="0" w:color="auto"/>
              <w:bottom w:val="single" w:sz="4" w:space="0" w:color="auto"/>
              <w:right w:val="single" w:sz="4" w:space="0" w:color="auto"/>
            </w:tcBorders>
            <w:hideMark/>
          </w:tcPr>
          <w:p w14:paraId="6FA35FA3" w14:textId="0EFDAAD9" w:rsidR="00DA1087" w:rsidRPr="00DA1087" w:rsidRDefault="00DA1087" w:rsidP="001E64ED">
            <w:pPr>
              <w:spacing w:line="228" w:lineRule="auto"/>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гейге қарағанда ауыл шаруашылы</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ғындағы өнімділік</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тің индексі (2017 жылы – 112%, 2018 жылы – 118%, 2019 жылы – 196%, 2020 жылы – 228%, 2021 жылы – 267%)</w:t>
            </w:r>
          </w:p>
        </w:tc>
        <w:tc>
          <w:tcPr>
            <w:tcW w:w="2807" w:type="dxa"/>
            <w:tcBorders>
              <w:top w:val="single" w:sz="4" w:space="0" w:color="auto"/>
              <w:left w:val="single" w:sz="4" w:space="0" w:color="auto"/>
              <w:bottom w:val="single" w:sz="4" w:space="0" w:color="auto"/>
              <w:right w:val="single" w:sz="4" w:space="0" w:color="auto"/>
            </w:tcBorders>
            <w:hideMark/>
          </w:tcPr>
          <w:p w14:paraId="6998E2EE" w14:textId="25562655"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Ауыл шаруашылығында жұмыс істейтін бір адамға еңбек өнімділігін 6,2 млн теңгеге дейін ұлғайту</w:t>
            </w:r>
          </w:p>
        </w:tc>
      </w:tr>
      <w:tr w:rsidR="00DA1087" w:rsidRPr="00DA1087" w14:paraId="423C152E" w14:textId="77777777" w:rsidTr="00D0056B">
        <w:trPr>
          <w:jc w:val="center"/>
        </w:trPr>
        <w:tc>
          <w:tcPr>
            <w:tcW w:w="2326" w:type="dxa"/>
            <w:tcBorders>
              <w:top w:val="single" w:sz="4" w:space="0" w:color="auto"/>
              <w:left w:val="single" w:sz="4" w:space="0" w:color="auto"/>
              <w:bottom w:val="nil"/>
              <w:right w:val="single" w:sz="4" w:space="0" w:color="auto"/>
            </w:tcBorders>
          </w:tcPr>
          <w:p w14:paraId="2ACC8B16" w14:textId="69043548" w:rsidR="00DA1087" w:rsidRPr="00DA1087" w:rsidRDefault="00DA1087" w:rsidP="00DA1087">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Азық-түлік тауарла</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рының көтерме сау</w:t>
            </w:r>
            <w:r>
              <w:rPr>
                <w:rFonts w:ascii="Times New Roman" w:hAnsi="Times New Roman" w:cs="Times New Roman"/>
                <w:sz w:val="24"/>
                <w:szCs w:val="24"/>
                <w:shd w:val="clear" w:color="auto" w:fill="FFFFFF"/>
                <w:lang w:val="kk-KZ"/>
              </w:rPr>
              <w:t xml:space="preserve"> </w:t>
            </w:r>
            <w:r w:rsidR="001E64ED" w:rsidRPr="00DA1087">
              <w:rPr>
                <w:rFonts w:ascii="Times New Roman" w:hAnsi="Times New Roman" w:cs="Times New Roman"/>
                <w:sz w:val="24"/>
                <w:szCs w:val="24"/>
                <w:shd w:val="clear" w:color="auto" w:fill="FFFFFF"/>
                <w:lang w:val="kk-KZ"/>
              </w:rPr>
              <w:t>дасының 2015 жыл</w:t>
            </w:r>
            <w:r w:rsidR="001E64ED">
              <w:rPr>
                <w:rFonts w:ascii="Times New Roman" w:hAnsi="Times New Roman" w:cs="Times New Roman"/>
                <w:sz w:val="24"/>
                <w:szCs w:val="24"/>
                <w:shd w:val="clear" w:color="auto" w:fill="FFFFFF"/>
                <w:lang w:val="kk-KZ"/>
              </w:rPr>
              <w:t xml:space="preserve"> </w:t>
            </w:r>
            <w:r w:rsidR="001E64ED" w:rsidRPr="00DA1087">
              <w:rPr>
                <w:rFonts w:ascii="Times New Roman" w:hAnsi="Times New Roman" w:cs="Times New Roman"/>
                <w:sz w:val="24"/>
                <w:szCs w:val="24"/>
                <w:shd w:val="clear" w:color="auto" w:fill="FFFFFF"/>
                <w:lang w:val="kk-KZ"/>
              </w:rPr>
              <w:t>ғы деңгейге қараған</w:t>
            </w:r>
            <w:r w:rsidR="001E64ED">
              <w:rPr>
                <w:rFonts w:ascii="Times New Roman" w:hAnsi="Times New Roman" w:cs="Times New Roman"/>
                <w:sz w:val="24"/>
                <w:szCs w:val="24"/>
                <w:shd w:val="clear" w:color="auto" w:fill="FFFFFF"/>
                <w:lang w:val="kk-KZ"/>
              </w:rPr>
              <w:t xml:space="preserve"> </w:t>
            </w:r>
            <w:r w:rsidR="001E64ED" w:rsidRPr="00DA1087">
              <w:rPr>
                <w:rFonts w:ascii="Times New Roman" w:hAnsi="Times New Roman" w:cs="Times New Roman"/>
                <w:sz w:val="24"/>
                <w:szCs w:val="24"/>
                <w:shd w:val="clear" w:color="auto" w:fill="FFFFFF"/>
                <w:lang w:val="kk-KZ"/>
              </w:rPr>
              <w:t>да 29%-ға өсуі</w:t>
            </w:r>
          </w:p>
        </w:tc>
        <w:tc>
          <w:tcPr>
            <w:tcW w:w="2128" w:type="dxa"/>
            <w:tcBorders>
              <w:top w:val="single" w:sz="4" w:space="0" w:color="auto"/>
              <w:left w:val="single" w:sz="4" w:space="0" w:color="auto"/>
              <w:bottom w:val="nil"/>
              <w:right w:val="single" w:sz="4" w:space="0" w:color="auto"/>
            </w:tcBorders>
            <w:hideMark/>
          </w:tcPr>
          <w:p w14:paraId="040084D7" w14:textId="77777777" w:rsidR="00DA1087" w:rsidRPr="00DA1087" w:rsidRDefault="00DA1087" w:rsidP="00457CE9">
            <w:pPr>
              <w:rPr>
                <w:rFonts w:ascii="Times New Roman" w:hAnsi="Times New Roman" w:cs="Times New Roman"/>
                <w:sz w:val="24"/>
                <w:szCs w:val="24"/>
                <w:shd w:val="clear" w:color="auto" w:fill="FFFFFF"/>
              </w:rPr>
            </w:pPr>
            <w:r w:rsidRPr="00DA1087">
              <w:rPr>
                <w:rFonts w:ascii="Times New Roman" w:hAnsi="Times New Roman" w:cs="Times New Roman"/>
                <w:sz w:val="24"/>
                <w:szCs w:val="24"/>
                <w:shd w:val="clear" w:color="auto" w:fill="FFFFFF"/>
                <w:lang w:val="kk-KZ"/>
              </w:rPr>
              <w:t xml:space="preserve">Алынып тасталды </w:t>
            </w:r>
          </w:p>
        </w:tc>
        <w:tc>
          <w:tcPr>
            <w:tcW w:w="2269" w:type="dxa"/>
            <w:tcBorders>
              <w:top w:val="single" w:sz="4" w:space="0" w:color="auto"/>
              <w:left w:val="single" w:sz="4" w:space="0" w:color="auto"/>
              <w:bottom w:val="nil"/>
              <w:right w:val="single" w:sz="4" w:space="0" w:color="auto"/>
            </w:tcBorders>
            <w:hideMark/>
          </w:tcPr>
          <w:p w14:paraId="22F4E846" w14:textId="77777777" w:rsidR="00DA1087" w:rsidRPr="00DA1087" w:rsidRDefault="00DA1087" w:rsidP="00457CE9">
            <w:pPr>
              <w:rPr>
                <w:rFonts w:ascii="Times New Roman" w:hAnsi="Times New Roman" w:cs="Times New Roman"/>
                <w:sz w:val="24"/>
                <w:szCs w:val="24"/>
                <w:shd w:val="clear" w:color="auto" w:fill="FFFFFF"/>
              </w:rPr>
            </w:pPr>
            <w:r w:rsidRPr="00DA1087">
              <w:rPr>
                <w:rFonts w:ascii="Times New Roman" w:hAnsi="Times New Roman" w:cs="Times New Roman"/>
                <w:sz w:val="24"/>
                <w:szCs w:val="24"/>
                <w:shd w:val="clear" w:color="auto" w:fill="FFFFFF"/>
                <w:lang w:val="kk-KZ"/>
              </w:rPr>
              <w:t xml:space="preserve">Алынып тасталды </w:t>
            </w:r>
          </w:p>
        </w:tc>
        <w:tc>
          <w:tcPr>
            <w:tcW w:w="2807" w:type="dxa"/>
            <w:tcBorders>
              <w:top w:val="single" w:sz="4" w:space="0" w:color="auto"/>
              <w:left w:val="single" w:sz="4" w:space="0" w:color="auto"/>
              <w:bottom w:val="nil"/>
              <w:right w:val="single" w:sz="4" w:space="0" w:color="auto"/>
            </w:tcBorders>
            <w:hideMark/>
          </w:tcPr>
          <w:p w14:paraId="287F99CD" w14:textId="52030699" w:rsidR="00DA1087" w:rsidRPr="00DA1087" w:rsidRDefault="00DA1087" w:rsidP="001E64ED">
            <w:pPr>
              <w:spacing w:line="228" w:lineRule="auto"/>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Өңделген өнім үлесін 70</w:t>
            </w:r>
            <w:r w:rsidRPr="00DA1087">
              <w:rPr>
                <w:rFonts w:ascii="Times New Roman" w:hAnsi="Times New Roman" w:cs="Times New Roman"/>
                <w:sz w:val="24"/>
                <w:szCs w:val="24"/>
                <w:shd w:val="clear" w:color="auto" w:fill="FFFFFF"/>
              </w:rPr>
              <w:t>%-</w:t>
            </w:r>
            <w:r w:rsidRPr="00DA1087">
              <w:rPr>
                <w:rFonts w:ascii="Times New Roman" w:hAnsi="Times New Roman" w:cs="Times New Roman"/>
                <w:sz w:val="24"/>
                <w:szCs w:val="24"/>
                <w:shd w:val="clear" w:color="auto" w:fill="FFFFFF"/>
                <w:lang w:val="kk-KZ"/>
              </w:rPr>
              <w:t xml:space="preserve">ға дейін жеткізе </w:t>
            </w:r>
            <w:r w:rsidR="001E64ED" w:rsidRPr="00DA1087">
              <w:rPr>
                <w:rFonts w:ascii="Times New Roman" w:hAnsi="Times New Roman" w:cs="Times New Roman"/>
                <w:sz w:val="24"/>
                <w:szCs w:val="24"/>
                <w:shd w:val="clear" w:color="auto" w:fill="FFFFFF"/>
                <w:lang w:val="kk-KZ"/>
              </w:rPr>
              <w:t>отырып, АӨК өнімде</w:t>
            </w:r>
            <w:r w:rsidR="001E64ED">
              <w:rPr>
                <w:rFonts w:ascii="Times New Roman" w:hAnsi="Times New Roman" w:cs="Times New Roman"/>
                <w:sz w:val="24"/>
                <w:szCs w:val="24"/>
                <w:shd w:val="clear" w:color="auto" w:fill="FFFFFF"/>
                <w:lang w:val="kk-KZ"/>
              </w:rPr>
              <w:t xml:space="preserve"> </w:t>
            </w:r>
            <w:r w:rsidR="001E64ED" w:rsidRPr="00DA1087">
              <w:rPr>
                <w:rFonts w:ascii="Times New Roman" w:hAnsi="Times New Roman" w:cs="Times New Roman"/>
                <w:sz w:val="24"/>
                <w:szCs w:val="24"/>
                <w:shd w:val="clear" w:color="auto" w:fill="FFFFFF"/>
                <w:lang w:val="kk-KZ"/>
              </w:rPr>
              <w:t>рінің экспортын 6,6 мл</w:t>
            </w:r>
            <w:r w:rsidR="001E64ED">
              <w:rPr>
                <w:rFonts w:ascii="Times New Roman" w:hAnsi="Times New Roman" w:cs="Times New Roman"/>
                <w:sz w:val="24"/>
                <w:szCs w:val="24"/>
                <w:shd w:val="clear" w:color="auto" w:fill="FFFFFF"/>
                <w:lang w:val="kk-KZ"/>
              </w:rPr>
              <w:t>рд АҚШ долларына дейін ұлғайту</w:t>
            </w:r>
          </w:p>
        </w:tc>
      </w:tr>
      <w:tr w:rsidR="00DA1087" w:rsidRPr="00DA1087" w14:paraId="569639AE"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tcPr>
          <w:p w14:paraId="66356125" w14:textId="5D2FB493"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гейге қосымша же</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рүсті су ресурста</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рын 1,9 км</w:t>
            </w:r>
            <w:r w:rsidRPr="00DA1087">
              <w:rPr>
                <w:rFonts w:ascii="Times New Roman" w:hAnsi="Times New Roman" w:cs="Times New Roman"/>
                <w:sz w:val="24"/>
                <w:szCs w:val="24"/>
                <w:shd w:val="clear" w:color="auto" w:fill="FFFFFF"/>
                <w:vertAlign w:val="superscript"/>
                <w:lang w:val="kk-KZ"/>
              </w:rPr>
              <w:t>3</w:t>
            </w:r>
            <w:r w:rsidRPr="00DA1087">
              <w:rPr>
                <w:rFonts w:ascii="Times New Roman" w:hAnsi="Times New Roman" w:cs="Times New Roman"/>
                <w:sz w:val="24"/>
                <w:szCs w:val="24"/>
                <w:shd w:val="clear" w:color="auto" w:fill="FFFFFF"/>
                <w:lang w:val="kk-KZ"/>
              </w:rPr>
              <w:t xml:space="preserve"> ұлғайту</w:t>
            </w:r>
          </w:p>
        </w:tc>
        <w:tc>
          <w:tcPr>
            <w:tcW w:w="2128" w:type="dxa"/>
            <w:tcBorders>
              <w:top w:val="single" w:sz="4" w:space="0" w:color="auto"/>
              <w:left w:val="single" w:sz="4" w:space="0" w:color="auto"/>
              <w:bottom w:val="single" w:sz="4" w:space="0" w:color="auto"/>
              <w:right w:val="single" w:sz="4" w:space="0" w:color="auto"/>
            </w:tcBorders>
            <w:hideMark/>
          </w:tcPr>
          <w:p w14:paraId="28DCAF18" w14:textId="77777777" w:rsidR="00DA1087" w:rsidRPr="00DA1087" w:rsidRDefault="00DA1087" w:rsidP="00457CE9">
            <w:pPr>
              <w:rPr>
                <w:sz w:val="24"/>
                <w:szCs w:val="24"/>
              </w:rPr>
            </w:pPr>
            <w:r w:rsidRPr="00DA1087">
              <w:rPr>
                <w:rFonts w:ascii="Times New Roman" w:hAnsi="Times New Roman" w:cs="Times New Roman"/>
                <w:sz w:val="24"/>
                <w:szCs w:val="24"/>
                <w:shd w:val="clear" w:color="auto" w:fill="FFFFFF"/>
                <w:lang w:val="kk-KZ"/>
              </w:rPr>
              <w:t xml:space="preserve">Алынып тасталды </w:t>
            </w:r>
          </w:p>
        </w:tc>
        <w:tc>
          <w:tcPr>
            <w:tcW w:w="2269" w:type="dxa"/>
            <w:tcBorders>
              <w:top w:val="single" w:sz="4" w:space="0" w:color="auto"/>
              <w:left w:val="single" w:sz="4" w:space="0" w:color="auto"/>
              <w:bottom w:val="single" w:sz="4" w:space="0" w:color="auto"/>
              <w:right w:val="single" w:sz="4" w:space="0" w:color="auto"/>
            </w:tcBorders>
            <w:hideMark/>
          </w:tcPr>
          <w:p w14:paraId="3535FFB7" w14:textId="77777777" w:rsidR="00DA1087" w:rsidRPr="00DA1087" w:rsidRDefault="00DA1087" w:rsidP="00457CE9">
            <w:pPr>
              <w:rPr>
                <w:sz w:val="24"/>
                <w:szCs w:val="24"/>
              </w:rPr>
            </w:pPr>
            <w:r w:rsidRPr="00DA1087">
              <w:rPr>
                <w:rFonts w:ascii="Times New Roman" w:hAnsi="Times New Roman" w:cs="Times New Roman"/>
                <w:sz w:val="24"/>
                <w:szCs w:val="24"/>
                <w:shd w:val="clear" w:color="auto" w:fill="FFFFFF"/>
                <w:lang w:val="kk-KZ"/>
              </w:rPr>
              <w:t xml:space="preserve">Алынып тасталды </w:t>
            </w:r>
          </w:p>
        </w:tc>
        <w:tc>
          <w:tcPr>
            <w:tcW w:w="2807" w:type="dxa"/>
            <w:tcBorders>
              <w:top w:val="single" w:sz="4" w:space="0" w:color="auto"/>
              <w:left w:val="single" w:sz="4" w:space="0" w:color="auto"/>
              <w:bottom w:val="single" w:sz="4" w:space="0" w:color="auto"/>
              <w:right w:val="single" w:sz="4" w:space="0" w:color="auto"/>
            </w:tcBorders>
            <w:hideMark/>
          </w:tcPr>
          <w:p w14:paraId="739FDAB5" w14:textId="75095E6C"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Ауыл шаруашылығы қызметкерлерінің жалақысын 2019 жылғы 115,4 мың теңгеден 2025 жылы 230,8 мың теңгеге дейін арттыру</w:t>
            </w:r>
          </w:p>
        </w:tc>
      </w:tr>
      <w:tr w:rsidR="00DA1087" w:rsidRPr="00B108D0" w14:paraId="15842A09"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tcPr>
          <w:p w14:paraId="2A0CA289"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 xml:space="preserve">Қарастырылмаған  </w:t>
            </w:r>
          </w:p>
        </w:tc>
        <w:tc>
          <w:tcPr>
            <w:tcW w:w="2128" w:type="dxa"/>
            <w:tcBorders>
              <w:top w:val="single" w:sz="4" w:space="0" w:color="auto"/>
              <w:left w:val="single" w:sz="4" w:space="0" w:color="auto"/>
              <w:bottom w:val="single" w:sz="4" w:space="0" w:color="auto"/>
              <w:right w:val="single" w:sz="4" w:space="0" w:color="auto"/>
            </w:tcBorders>
            <w:hideMark/>
          </w:tcPr>
          <w:p w14:paraId="41C42594" w14:textId="4EED2B2A"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гейге қарағанда ауыл шаруашылы</w:t>
            </w:r>
            <w:r w:rsidR="00DA404F">
              <w:rPr>
                <w:rFonts w:ascii="Times New Roman" w:hAnsi="Times New Roman" w:cs="Times New Roman"/>
                <w:sz w:val="24"/>
                <w:szCs w:val="24"/>
                <w:shd w:val="clear" w:color="auto" w:fill="FFFFFF"/>
                <w:lang w:val="kk-KZ"/>
              </w:rPr>
              <w:t xml:space="preserve"> </w:t>
            </w:r>
            <w:r w:rsidR="00DA404F" w:rsidRPr="00DA1087">
              <w:rPr>
                <w:rFonts w:ascii="Times New Roman" w:hAnsi="Times New Roman" w:cs="Times New Roman"/>
                <w:sz w:val="24"/>
                <w:szCs w:val="24"/>
                <w:shd w:val="clear" w:color="auto" w:fill="FFFFFF"/>
                <w:lang w:val="kk-KZ"/>
              </w:rPr>
              <w:t>ғындағы негізгі капиталға</w:t>
            </w:r>
          </w:p>
        </w:tc>
        <w:tc>
          <w:tcPr>
            <w:tcW w:w="2269" w:type="dxa"/>
            <w:tcBorders>
              <w:top w:val="single" w:sz="4" w:space="0" w:color="auto"/>
              <w:left w:val="single" w:sz="4" w:space="0" w:color="auto"/>
              <w:bottom w:val="single" w:sz="4" w:space="0" w:color="auto"/>
              <w:right w:val="single" w:sz="4" w:space="0" w:color="auto"/>
            </w:tcBorders>
            <w:hideMark/>
          </w:tcPr>
          <w:p w14:paraId="1CE2875E" w14:textId="7EAFF209"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гейге қарағанда ауыл шаруашылы</w:t>
            </w:r>
            <w:r>
              <w:rPr>
                <w:rFonts w:ascii="Times New Roman" w:hAnsi="Times New Roman" w:cs="Times New Roman"/>
                <w:sz w:val="24"/>
                <w:szCs w:val="24"/>
                <w:shd w:val="clear" w:color="auto" w:fill="FFFFFF"/>
                <w:lang w:val="kk-KZ"/>
              </w:rPr>
              <w:t xml:space="preserve"> </w:t>
            </w:r>
            <w:r w:rsidR="00DA404F" w:rsidRPr="00DA1087">
              <w:rPr>
                <w:rFonts w:ascii="Times New Roman" w:hAnsi="Times New Roman" w:cs="Times New Roman"/>
                <w:sz w:val="24"/>
                <w:szCs w:val="24"/>
                <w:shd w:val="clear" w:color="auto" w:fill="FFFFFF"/>
                <w:lang w:val="kk-KZ"/>
              </w:rPr>
              <w:t>ғындағы негізгі ка</w:t>
            </w:r>
            <w:r w:rsidR="00DA404F">
              <w:rPr>
                <w:rFonts w:ascii="Times New Roman" w:hAnsi="Times New Roman" w:cs="Times New Roman"/>
                <w:sz w:val="24"/>
                <w:szCs w:val="24"/>
                <w:shd w:val="clear" w:color="auto" w:fill="FFFFFF"/>
                <w:lang w:val="kk-KZ"/>
              </w:rPr>
              <w:t xml:space="preserve"> </w:t>
            </w:r>
            <w:r w:rsidR="00DA404F" w:rsidRPr="00DA1087">
              <w:rPr>
                <w:rFonts w:ascii="Times New Roman" w:hAnsi="Times New Roman" w:cs="Times New Roman"/>
                <w:sz w:val="24"/>
                <w:szCs w:val="24"/>
                <w:shd w:val="clear" w:color="auto" w:fill="FFFFFF"/>
                <w:lang w:val="kk-KZ"/>
              </w:rPr>
              <w:t>питалға салынған</w:t>
            </w:r>
          </w:p>
        </w:tc>
        <w:tc>
          <w:tcPr>
            <w:tcW w:w="2807" w:type="dxa"/>
            <w:tcBorders>
              <w:top w:val="single" w:sz="4" w:space="0" w:color="auto"/>
              <w:left w:val="single" w:sz="4" w:space="0" w:color="auto"/>
              <w:bottom w:val="single" w:sz="4" w:space="0" w:color="auto"/>
              <w:right w:val="single" w:sz="4" w:space="0" w:color="auto"/>
            </w:tcBorders>
            <w:hideMark/>
          </w:tcPr>
          <w:p w14:paraId="396FEA81" w14:textId="2FC55ED6"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1 млн ауыл халқының табысын ұлғайту; 1 млн ауыл тұрғынының табы</w:t>
            </w:r>
            <w:r>
              <w:rPr>
                <w:rFonts w:ascii="Times New Roman" w:hAnsi="Times New Roman" w:cs="Times New Roman"/>
                <w:sz w:val="24"/>
                <w:szCs w:val="24"/>
                <w:shd w:val="clear" w:color="auto" w:fill="FFFFFF"/>
                <w:lang w:val="kk-KZ"/>
              </w:rPr>
              <w:t xml:space="preserve"> </w:t>
            </w:r>
            <w:r w:rsidR="00DA404F" w:rsidRPr="00DA1087">
              <w:rPr>
                <w:rFonts w:ascii="Times New Roman" w:hAnsi="Times New Roman" w:cs="Times New Roman"/>
                <w:sz w:val="24"/>
                <w:szCs w:val="24"/>
                <w:shd w:val="clear" w:color="auto" w:fill="FFFFFF"/>
                <w:lang w:val="kk-KZ"/>
              </w:rPr>
              <w:t>сын ұлғайта отырып, экожүйелерге 350 мың</w:t>
            </w:r>
          </w:p>
        </w:tc>
      </w:tr>
      <w:tr w:rsidR="00D0056B" w14:paraId="3EB070DA" w14:textId="77777777" w:rsidTr="00D0056B">
        <w:trPr>
          <w:jc w:val="center"/>
        </w:trPr>
        <w:tc>
          <w:tcPr>
            <w:tcW w:w="9530" w:type="dxa"/>
            <w:gridSpan w:val="4"/>
            <w:tcBorders>
              <w:top w:val="nil"/>
              <w:left w:val="nil"/>
              <w:bottom w:val="single" w:sz="4" w:space="0" w:color="auto"/>
              <w:right w:val="nil"/>
            </w:tcBorders>
          </w:tcPr>
          <w:p w14:paraId="270AAF67" w14:textId="244C4A0D" w:rsidR="00D0056B" w:rsidRDefault="00023296">
            <w:pPr>
              <w:ind w:hanging="94"/>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10</w:t>
            </w:r>
            <w:r w:rsidR="00D0056B">
              <w:rPr>
                <w:rFonts w:ascii="Times New Roman" w:hAnsi="Times New Roman" w:cs="Times New Roman"/>
                <w:sz w:val="28"/>
                <w:szCs w:val="28"/>
                <w:shd w:val="clear" w:color="auto" w:fill="FFFFFF"/>
                <w:lang w:val="kk-KZ"/>
              </w:rPr>
              <w:t>-кестенің жалғасы</w:t>
            </w:r>
          </w:p>
          <w:p w14:paraId="5FF7C0E8" w14:textId="77777777" w:rsidR="00D0056B" w:rsidRDefault="00D0056B">
            <w:pPr>
              <w:ind w:hanging="94"/>
              <w:rPr>
                <w:rFonts w:ascii="Times New Roman" w:hAnsi="Times New Roman" w:cs="Times New Roman"/>
                <w:sz w:val="16"/>
                <w:szCs w:val="16"/>
                <w:shd w:val="clear" w:color="auto" w:fill="FFFFFF"/>
                <w:lang w:val="kk-KZ"/>
              </w:rPr>
            </w:pPr>
          </w:p>
        </w:tc>
      </w:tr>
      <w:tr w:rsidR="00D0056B" w14:paraId="77B13250"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hideMark/>
          </w:tcPr>
          <w:p w14:paraId="11E63C9B" w14:textId="77777777" w:rsidR="00D0056B" w:rsidRDefault="00D0056B">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2128" w:type="dxa"/>
            <w:tcBorders>
              <w:top w:val="single" w:sz="4" w:space="0" w:color="auto"/>
              <w:left w:val="single" w:sz="4" w:space="0" w:color="auto"/>
              <w:bottom w:val="single" w:sz="4" w:space="0" w:color="auto"/>
              <w:right w:val="single" w:sz="4" w:space="0" w:color="auto"/>
            </w:tcBorders>
            <w:hideMark/>
          </w:tcPr>
          <w:p w14:paraId="48AFBEE1" w14:textId="77777777" w:rsidR="00D0056B" w:rsidRDefault="00D0056B">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c>
          <w:tcPr>
            <w:tcW w:w="2269" w:type="dxa"/>
            <w:tcBorders>
              <w:top w:val="single" w:sz="4" w:space="0" w:color="auto"/>
              <w:left w:val="single" w:sz="4" w:space="0" w:color="auto"/>
              <w:bottom w:val="single" w:sz="4" w:space="0" w:color="auto"/>
              <w:right w:val="single" w:sz="4" w:space="0" w:color="auto"/>
            </w:tcBorders>
            <w:hideMark/>
          </w:tcPr>
          <w:p w14:paraId="193A9CE6" w14:textId="77777777" w:rsidR="00D0056B" w:rsidRDefault="00D0056B">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3</w:t>
            </w:r>
          </w:p>
        </w:tc>
        <w:tc>
          <w:tcPr>
            <w:tcW w:w="2807" w:type="dxa"/>
            <w:tcBorders>
              <w:top w:val="single" w:sz="4" w:space="0" w:color="auto"/>
              <w:left w:val="single" w:sz="4" w:space="0" w:color="auto"/>
              <w:bottom w:val="single" w:sz="4" w:space="0" w:color="auto"/>
              <w:right w:val="single" w:sz="4" w:space="0" w:color="auto"/>
            </w:tcBorders>
            <w:hideMark/>
          </w:tcPr>
          <w:p w14:paraId="78A1F141" w14:textId="77777777" w:rsidR="00D0056B" w:rsidRDefault="00D0056B">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4</w:t>
            </w:r>
          </w:p>
        </w:tc>
      </w:tr>
      <w:tr w:rsidR="00D0056B" w:rsidRPr="00B108D0" w14:paraId="532A8E5D"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tcPr>
          <w:p w14:paraId="63E40FE3" w14:textId="77777777" w:rsidR="00D0056B" w:rsidRDefault="00D0056B">
            <w:pPr>
              <w:rPr>
                <w:rFonts w:ascii="Times New Roman" w:hAnsi="Times New Roman" w:cs="Times New Roman"/>
                <w:sz w:val="24"/>
                <w:szCs w:val="24"/>
                <w:shd w:val="clear" w:color="auto" w:fill="FFFFFF"/>
                <w:lang w:val="kk-KZ"/>
              </w:rPr>
            </w:pPr>
          </w:p>
        </w:tc>
        <w:tc>
          <w:tcPr>
            <w:tcW w:w="2128" w:type="dxa"/>
            <w:tcBorders>
              <w:top w:val="single" w:sz="4" w:space="0" w:color="auto"/>
              <w:left w:val="single" w:sz="4" w:space="0" w:color="auto"/>
              <w:bottom w:val="single" w:sz="4" w:space="0" w:color="auto"/>
              <w:right w:val="single" w:sz="4" w:space="0" w:color="auto"/>
            </w:tcBorders>
          </w:tcPr>
          <w:p w14:paraId="3F4255CD" w14:textId="7AE7B431" w:rsidR="00D0056B" w:rsidRDefault="00D0056B">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салынған инвести циялардың нақты көлем индексі</w:t>
            </w:r>
          </w:p>
        </w:tc>
        <w:tc>
          <w:tcPr>
            <w:tcW w:w="2269" w:type="dxa"/>
            <w:tcBorders>
              <w:top w:val="single" w:sz="4" w:space="0" w:color="auto"/>
              <w:left w:val="single" w:sz="4" w:space="0" w:color="auto"/>
              <w:bottom w:val="single" w:sz="4" w:space="0" w:color="auto"/>
              <w:right w:val="single" w:sz="4" w:space="0" w:color="auto"/>
            </w:tcBorders>
          </w:tcPr>
          <w:p w14:paraId="6EE2673F" w14:textId="680E1106" w:rsidR="00D0056B" w:rsidRDefault="00D0056B">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инвестициялардың нақты көлем индексі</w:t>
            </w:r>
          </w:p>
        </w:tc>
        <w:tc>
          <w:tcPr>
            <w:tcW w:w="2807" w:type="dxa"/>
            <w:tcBorders>
              <w:top w:val="single" w:sz="4" w:space="0" w:color="auto"/>
              <w:left w:val="single" w:sz="4" w:space="0" w:color="auto"/>
              <w:bottom w:val="single" w:sz="4" w:space="0" w:color="auto"/>
              <w:right w:val="single" w:sz="4" w:space="0" w:color="auto"/>
            </w:tcBorders>
          </w:tcPr>
          <w:p w14:paraId="7E9FCA8D" w14:textId="41D412A1" w:rsidR="00D0056B" w:rsidRDefault="00D0056B">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фермерлік және үй шаруашылығын тарту</w:t>
            </w:r>
          </w:p>
        </w:tc>
      </w:tr>
      <w:tr w:rsidR="00DA1087" w:rsidRPr="00B108D0" w14:paraId="482BC1C4" w14:textId="77777777" w:rsidTr="00D0056B">
        <w:trPr>
          <w:jc w:val="center"/>
        </w:trPr>
        <w:tc>
          <w:tcPr>
            <w:tcW w:w="2326" w:type="dxa"/>
            <w:tcBorders>
              <w:top w:val="single" w:sz="4" w:space="0" w:color="auto"/>
              <w:left w:val="single" w:sz="4" w:space="0" w:color="auto"/>
              <w:bottom w:val="single" w:sz="4" w:space="0" w:color="auto"/>
              <w:right w:val="single" w:sz="4" w:space="0" w:color="auto"/>
            </w:tcBorders>
          </w:tcPr>
          <w:p w14:paraId="5664DDEF"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 xml:space="preserve">Қарастырылмаған </w:t>
            </w:r>
          </w:p>
        </w:tc>
        <w:tc>
          <w:tcPr>
            <w:tcW w:w="2128" w:type="dxa"/>
            <w:tcBorders>
              <w:top w:val="single" w:sz="4" w:space="0" w:color="auto"/>
              <w:left w:val="single" w:sz="4" w:space="0" w:color="auto"/>
              <w:bottom w:val="single" w:sz="4" w:space="0" w:color="auto"/>
              <w:right w:val="single" w:sz="4" w:space="0" w:color="auto"/>
            </w:tcBorders>
            <w:hideMark/>
          </w:tcPr>
          <w:p w14:paraId="76A2ED11" w14:textId="493587F4"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гейге қарағанда тамақ өнімдері өн</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дірісіндегі негізгі капиталға салын</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ған инвестиция</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лардың нақты көлем индексі</w:t>
            </w:r>
          </w:p>
        </w:tc>
        <w:tc>
          <w:tcPr>
            <w:tcW w:w="2269" w:type="dxa"/>
            <w:tcBorders>
              <w:top w:val="single" w:sz="4" w:space="0" w:color="auto"/>
              <w:left w:val="single" w:sz="4" w:space="0" w:color="auto"/>
              <w:bottom w:val="single" w:sz="4" w:space="0" w:color="auto"/>
              <w:right w:val="single" w:sz="4" w:space="0" w:color="auto"/>
            </w:tcBorders>
            <w:hideMark/>
          </w:tcPr>
          <w:p w14:paraId="636D9DCF" w14:textId="427DC309"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2015 жылғы дең</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гейге қарағанда тамақ өнімдері өндірісіндегі негізгі капиталға салынған инвестициялардың нақты көлем индексі</w:t>
            </w:r>
          </w:p>
        </w:tc>
        <w:tc>
          <w:tcPr>
            <w:tcW w:w="2807" w:type="dxa"/>
            <w:tcBorders>
              <w:top w:val="single" w:sz="4" w:space="0" w:color="auto"/>
              <w:left w:val="single" w:sz="4" w:space="0" w:color="auto"/>
              <w:bottom w:val="single" w:sz="4" w:space="0" w:color="auto"/>
              <w:right w:val="single" w:sz="4" w:space="0" w:color="auto"/>
            </w:tcBorders>
            <w:hideMark/>
          </w:tcPr>
          <w:p w14:paraId="7F4BF91E"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 xml:space="preserve">Ауыл шаруашылығында 500 мыңға дейін адамды жұмыспен, оның ішінде: </w:t>
            </w:r>
          </w:p>
          <w:p w14:paraId="20A0FBD2" w14:textId="77777777"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- 100 мың тұрақты жұмыс орнымен;</w:t>
            </w:r>
          </w:p>
          <w:p w14:paraId="5AE96DF2" w14:textId="03784362" w:rsidR="00DA1087" w:rsidRPr="00DA1087" w:rsidRDefault="00DA1087" w:rsidP="00457CE9">
            <w:pPr>
              <w:rPr>
                <w:rFonts w:ascii="Times New Roman" w:hAnsi="Times New Roman" w:cs="Times New Roman"/>
                <w:sz w:val="24"/>
                <w:szCs w:val="24"/>
                <w:shd w:val="clear" w:color="auto" w:fill="FFFFFF"/>
                <w:lang w:val="kk-KZ"/>
              </w:rPr>
            </w:pPr>
            <w:r w:rsidRPr="00DA1087">
              <w:rPr>
                <w:rFonts w:ascii="Times New Roman" w:hAnsi="Times New Roman" w:cs="Times New Roman"/>
                <w:sz w:val="24"/>
                <w:szCs w:val="24"/>
                <w:shd w:val="clear" w:color="auto" w:fill="FFFFFF"/>
                <w:lang w:val="kk-KZ"/>
              </w:rPr>
              <w:t>- 400 мың маусымдық жұмыс орнымен қамтама</w:t>
            </w:r>
            <w:r>
              <w:rPr>
                <w:rFonts w:ascii="Times New Roman" w:hAnsi="Times New Roman" w:cs="Times New Roman"/>
                <w:sz w:val="24"/>
                <w:szCs w:val="24"/>
                <w:shd w:val="clear" w:color="auto" w:fill="FFFFFF"/>
                <w:lang w:val="kk-KZ"/>
              </w:rPr>
              <w:t xml:space="preserve"> </w:t>
            </w:r>
            <w:r w:rsidRPr="00DA1087">
              <w:rPr>
                <w:rFonts w:ascii="Times New Roman" w:hAnsi="Times New Roman" w:cs="Times New Roman"/>
                <w:sz w:val="24"/>
                <w:szCs w:val="24"/>
                <w:shd w:val="clear" w:color="auto" w:fill="FFFFFF"/>
                <w:lang w:val="kk-KZ"/>
              </w:rPr>
              <w:t>сыз ету</w:t>
            </w:r>
          </w:p>
        </w:tc>
      </w:tr>
      <w:tr w:rsidR="004E02B0" w:rsidRPr="00DA1087" w14:paraId="0CB96386" w14:textId="77777777" w:rsidTr="00D0056B">
        <w:trPr>
          <w:jc w:val="center"/>
        </w:trPr>
        <w:tc>
          <w:tcPr>
            <w:tcW w:w="9530" w:type="dxa"/>
            <w:gridSpan w:val="4"/>
            <w:tcBorders>
              <w:top w:val="single" w:sz="4" w:space="0" w:color="auto"/>
              <w:left w:val="single" w:sz="4" w:space="0" w:color="auto"/>
              <w:bottom w:val="single" w:sz="4" w:space="0" w:color="auto"/>
              <w:right w:val="single" w:sz="4" w:space="0" w:color="auto"/>
            </w:tcBorders>
          </w:tcPr>
          <w:p w14:paraId="1266CC54" w14:textId="27DB0B2F" w:rsidR="004E02B0" w:rsidRPr="00DA1087" w:rsidRDefault="00DA1087" w:rsidP="00DA1087">
            <w:pPr>
              <w:ind w:firstLine="601"/>
              <w:rPr>
                <w:rFonts w:ascii="Times New Roman" w:hAnsi="Times New Roman" w:cs="Times New Roman"/>
                <w:sz w:val="24"/>
                <w:szCs w:val="24"/>
                <w:shd w:val="clear" w:color="auto" w:fill="FFFFFF"/>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4E02B0" w:rsidRPr="00DA1087">
              <w:rPr>
                <w:rFonts w:ascii="Times New Roman" w:hAnsi="Times New Roman" w:cs="Times New Roman"/>
                <w:sz w:val="24"/>
                <w:szCs w:val="24"/>
                <w:lang w:val="kk-KZ"/>
              </w:rPr>
              <w:t xml:space="preserve"> </w:t>
            </w:r>
            <w:r w:rsidR="004E02B0" w:rsidRPr="00DA1087">
              <w:rPr>
                <w:rFonts w:ascii="Times New Roman" w:hAnsi="Times New Roman" w:cs="Times New Roman"/>
                <w:sz w:val="24"/>
                <w:szCs w:val="24"/>
                <w:lang w:val="en-US"/>
              </w:rPr>
              <w:t>[</w:t>
            </w:r>
            <w:r w:rsidR="00943D2A">
              <w:rPr>
                <w:rFonts w:ascii="Times New Roman" w:hAnsi="Times New Roman" w:cs="Times New Roman"/>
                <w:sz w:val="24"/>
                <w:szCs w:val="24"/>
                <w:lang w:val="en-US"/>
              </w:rPr>
              <w:t>81</w:t>
            </w:r>
            <w:r w:rsidR="00652A28">
              <w:rPr>
                <w:rFonts w:ascii="Times New Roman" w:hAnsi="Times New Roman" w:cs="Times New Roman"/>
                <w:sz w:val="24"/>
                <w:szCs w:val="24"/>
                <w:lang w:val="en-US"/>
              </w:rPr>
              <w:t>-82</w:t>
            </w:r>
            <w:r w:rsidR="004E02B0" w:rsidRPr="00DA1087">
              <w:rPr>
                <w:rFonts w:ascii="Times New Roman" w:hAnsi="Times New Roman" w:cs="Times New Roman"/>
                <w:sz w:val="24"/>
                <w:szCs w:val="24"/>
                <w:lang w:val="en-US"/>
              </w:rPr>
              <w:t xml:space="preserve">] </w:t>
            </w:r>
          </w:p>
        </w:tc>
      </w:tr>
    </w:tbl>
    <w:p w14:paraId="308DB885" w14:textId="77777777" w:rsidR="008604CB" w:rsidRPr="00457CE9" w:rsidRDefault="008604CB" w:rsidP="00457CE9">
      <w:pPr>
        <w:widowControl w:val="0"/>
        <w:spacing w:after="0" w:line="240" w:lineRule="auto"/>
        <w:ind w:firstLine="709"/>
        <w:jc w:val="both"/>
        <w:rPr>
          <w:rFonts w:ascii="Times New Roman" w:eastAsia="Times New Roman" w:hAnsi="Times New Roman" w:cs="Times New Roman"/>
          <w:kern w:val="36"/>
          <w:sz w:val="28"/>
          <w:szCs w:val="28"/>
          <w:lang w:val="kk-KZ" w:eastAsia="ru-RU"/>
        </w:rPr>
      </w:pPr>
    </w:p>
    <w:p w14:paraId="1AADBF71" w14:textId="77777777" w:rsidR="00DA404F" w:rsidRDefault="00DA404F" w:rsidP="00DA404F">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Мемлекеттік бағдарлама ауыл шаруашылығында жұмыс істейтін 1 адамға еңбек өнімділігін 2015 жылы 1,2 млн.теңгеден 2021 жылға қарай 3,7 млн. теңгеге дейін, сондай-ақ өңделген өнімнің экспортын 2015 жылғы 945,1 млн. АҚШ долларынан 2021 жылы 2400 АҚШ долларына дейін жеткізу мақсаты ретінде анықталған [81]. </w:t>
      </w:r>
    </w:p>
    <w:p w14:paraId="51A1684C" w14:textId="41DDBB79" w:rsidR="00617FA0" w:rsidRPr="00457CE9" w:rsidRDefault="00617FA0" w:rsidP="00457CE9">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2021-2025 жж. еңбек өнімділігін 6,2 млн. теңгеге дейін ұлғайту деп ұлттық жобада бекітілген</w:t>
      </w:r>
      <w:r w:rsidR="0036683E" w:rsidRPr="0036683E">
        <w:rPr>
          <w:rFonts w:ascii="Times New Roman" w:eastAsia="Times New Roman" w:hAnsi="Times New Roman" w:cs="Times New Roman"/>
          <w:kern w:val="36"/>
          <w:sz w:val="28"/>
          <w:szCs w:val="28"/>
          <w:lang w:val="kk-KZ" w:eastAsia="ru-RU"/>
        </w:rPr>
        <w:t xml:space="preserve"> [82]</w:t>
      </w:r>
      <w:r w:rsidRPr="00457CE9">
        <w:rPr>
          <w:rFonts w:ascii="Times New Roman" w:eastAsia="Times New Roman" w:hAnsi="Times New Roman" w:cs="Times New Roman"/>
          <w:kern w:val="36"/>
          <w:sz w:val="28"/>
          <w:szCs w:val="28"/>
          <w:lang w:val="kk-KZ" w:eastAsia="ru-RU"/>
        </w:rPr>
        <w:t xml:space="preserve">, дегенмен әр жылға жеке көрсеткіштер келтірілмеген, бұл өз ұлттық жобаны іске асырған кезде қаншалықты бөлініп жатқан бюджет қаражаттарының тиімді пайдаланылып жатқанын бағалауға мүмкіндік бермейді. </w:t>
      </w:r>
    </w:p>
    <w:p w14:paraId="1DF28695" w14:textId="5B66071F" w:rsidR="00EC368C" w:rsidRPr="00457CE9" w:rsidRDefault="00EC368C"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Қазақстан Республикасында АӨК-і соңғы 30 жылда басқа салалармен салыстырғанда даму деңгейінің жеткіліксіздігімен, технологиялық артта қалуымен, материалдық-техникалық базасының моральдық және физикалық тозуы жоғарылығымен белгілі. АӨК дамыту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Тұрақты даму мақсаттары</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деп аталатын құжатта анықталған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2 мақсат. Ашаршылықты жою, </w:t>
      </w:r>
      <w:r w:rsidR="001E2869">
        <w:rPr>
          <w:rFonts w:ascii="Times New Roman" w:eastAsia="Times New Roman" w:hAnsi="Times New Roman" w:cs="Times New Roman"/>
          <w:kern w:val="36"/>
          <w:sz w:val="28"/>
          <w:szCs w:val="28"/>
          <w:lang w:val="kk-KZ" w:eastAsia="ru-RU"/>
        </w:rPr>
        <w:t>азық-түлік</w:t>
      </w:r>
      <w:r w:rsidRPr="00457CE9">
        <w:rPr>
          <w:rFonts w:ascii="Times New Roman" w:eastAsia="Times New Roman" w:hAnsi="Times New Roman" w:cs="Times New Roman"/>
          <w:kern w:val="36"/>
          <w:sz w:val="28"/>
          <w:szCs w:val="28"/>
          <w:lang w:val="kk-KZ" w:eastAsia="ru-RU"/>
        </w:rPr>
        <w:t>тік қауіпсіздікті қамтамасыз ету және тамақтануды жақсарту, ауыл шаруашылығының тұрақты дамуына ықпал ету</w:t>
      </w:r>
      <w:r w:rsidR="003C56BE" w:rsidRPr="00457CE9">
        <w:rPr>
          <w:rFonts w:ascii="Times New Roman" w:eastAsia="Times New Roman" w:hAnsi="Times New Roman" w:cs="Times New Roman"/>
          <w:kern w:val="36"/>
          <w:sz w:val="28"/>
          <w:szCs w:val="28"/>
          <w:lang w:val="kk-KZ" w:eastAsia="ru-RU"/>
        </w:rPr>
        <w:t>»</w:t>
      </w:r>
      <w:r w:rsidR="00DA1087">
        <w:rPr>
          <w:rFonts w:ascii="Times New Roman" w:eastAsia="Times New Roman" w:hAnsi="Times New Roman" w:cs="Times New Roman"/>
          <w:kern w:val="36"/>
          <w:sz w:val="28"/>
          <w:szCs w:val="28"/>
          <w:lang w:val="kk-KZ" w:eastAsia="ru-RU"/>
        </w:rPr>
        <w:t xml:space="preserve"> </w:t>
      </w:r>
      <w:r w:rsidR="003A7E72" w:rsidRPr="00457CE9">
        <w:rPr>
          <w:rFonts w:ascii="Times New Roman" w:eastAsia="Times New Roman" w:hAnsi="Times New Roman" w:cs="Times New Roman"/>
          <w:kern w:val="36"/>
          <w:sz w:val="28"/>
          <w:szCs w:val="28"/>
          <w:lang w:val="kk-KZ" w:eastAsia="ru-RU"/>
        </w:rPr>
        <w:t>[1</w:t>
      </w:r>
      <w:r w:rsidR="00943D2A" w:rsidRPr="00943D2A">
        <w:rPr>
          <w:rFonts w:ascii="Times New Roman" w:eastAsia="Times New Roman" w:hAnsi="Times New Roman" w:cs="Times New Roman"/>
          <w:kern w:val="36"/>
          <w:sz w:val="28"/>
          <w:szCs w:val="28"/>
          <w:lang w:val="kk-KZ" w:eastAsia="ru-RU"/>
        </w:rPr>
        <w:t>1</w:t>
      </w:r>
      <w:r w:rsidR="003A7E72"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мақсатымен байланысты, және мемлекеттің стратегиялық мақсатының ең негізгісі болып табылады.</w:t>
      </w:r>
    </w:p>
    <w:p w14:paraId="764A7973" w14:textId="67257EF2" w:rsidR="00444240" w:rsidRDefault="00444240" w:rsidP="00457CE9">
      <w:pPr>
        <w:spacing w:after="0" w:line="240" w:lineRule="auto"/>
        <w:ind w:firstLine="709"/>
        <w:jc w:val="both"/>
        <w:rPr>
          <w:rFonts w:ascii="Times New Roman" w:hAnsi="Times New Roman" w:cs="Times New Roman"/>
          <w:sz w:val="28"/>
          <w:szCs w:val="28"/>
          <w:lang w:val="kk-KZ"/>
        </w:rPr>
      </w:pPr>
      <w:r w:rsidRPr="00457CE9">
        <w:rPr>
          <w:rFonts w:ascii="Times New Roman" w:eastAsia="Times New Roman" w:hAnsi="Times New Roman" w:cs="Times New Roman"/>
          <w:kern w:val="36"/>
          <w:sz w:val="28"/>
          <w:szCs w:val="28"/>
          <w:lang w:val="kk-KZ" w:eastAsia="ru-RU"/>
        </w:rPr>
        <w:t>АӨК дамыту бойынша мемлекеттік бағдарламаны әзірлеуші және іске асырушы ҚР Ауыл шаруашылығы министрлігі ресми сайтында бюджеттік бағдарламаларды (кіші бағдарламаларды) жүзеге асыру туралы мониторингтік қорытынды есебін 2016-2022 жж. жариялаған.</w:t>
      </w:r>
      <w:r w:rsidR="0036683E" w:rsidRPr="0036683E">
        <w:rPr>
          <w:rFonts w:ascii="Times New Roman" w:eastAsia="Times New Roman" w:hAnsi="Times New Roman" w:cs="Times New Roman"/>
          <w:kern w:val="36"/>
          <w:sz w:val="28"/>
          <w:szCs w:val="28"/>
          <w:lang w:val="kk-KZ" w:eastAsia="ru-RU"/>
        </w:rPr>
        <w:t xml:space="preserve"> </w:t>
      </w:r>
      <w:r w:rsidR="0036683E">
        <w:rPr>
          <w:rFonts w:ascii="Times New Roman" w:eastAsia="Times New Roman" w:hAnsi="Times New Roman" w:cs="Times New Roman"/>
          <w:kern w:val="36"/>
          <w:sz w:val="28"/>
          <w:szCs w:val="28"/>
          <w:lang w:val="kk-KZ" w:eastAsia="ru-RU"/>
        </w:rPr>
        <w:t>Бюджеттік бағдарламалары (кіші бағдарламалары) арқылы АӨК дамыту іс-шараларын іске асыруға бюджет қаражаты жұмсалады.</w:t>
      </w:r>
      <w:r w:rsidRPr="00457CE9">
        <w:rPr>
          <w:rFonts w:ascii="Times New Roman" w:eastAsia="Times New Roman" w:hAnsi="Times New Roman" w:cs="Times New Roman"/>
          <w:kern w:val="36"/>
          <w:sz w:val="28"/>
          <w:szCs w:val="28"/>
          <w:lang w:val="kk-KZ" w:eastAsia="ru-RU"/>
        </w:rPr>
        <w:t xml:space="preserve"> Соның негізінде бюджет қаражатын пайдалану туралы ақпарат сәйкес жылдар үшін, құрамы мен құрылымына талдау жасалды. </w:t>
      </w:r>
      <w:r w:rsidRPr="00457CE9">
        <w:rPr>
          <w:rFonts w:ascii="Times New Roman" w:hAnsi="Times New Roman" w:cs="Times New Roman"/>
          <w:sz w:val="28"/>
          <w:szCs w:val="28"/>
          <w:lang w:val="kk-KZ"/>
        </w:rPr>
        <w:t>2016</w:t>
      </w:r>
      <w:r w:rsidR="00E82DD9" w:rsidRPr="00457CE9">
        <w:rPr>
          <w:rFonts w:ascii="Times New Roman" w:hAnsi="Times New Roman" w:cs="Times New Roman"/>
          <w:sz w:val="28"/>
          <w:szCs w:val="28"/>
          <w:lang w:val="kk-KZ"/>
        </w:rPr>
        <w:t>-2022 жж.</w:t>
      </w:r>
      <w:r w:rsidRPr="00457CE9">
        <w:rPr>
          <w:rFonts w:ascii="Times New Roman" w:hAnsi="Times New Roman" w:cs="Times New Roman"/>
          <w:sz w:val="28"/>
          <w:szCs w:val="28"/>
          <w:lang w:val="kk-KZ"/>
        </w:rPr>
        <w:t xml:space="preserve"> </w:t>
      </w:r>
      <w:r w:rsidR="00E82DD9" w:rsidRPr="00457CE9">
        <w:rPr>
          <w:rFonts w:ascii="Times New Roman" w:hAnsi="Times New Roman" w:cs="Times New Roman"/>
          <w:sz w:val="28"/>
          <w:szCs w:val="28"/>
          <w:lang w:val="kk-KZ"/>
        </w:rPr>
        <w:t xml:space="preserve">Ауыл шаруашылығы министрлігінің </w:t>
      </w:r>
      <w:r w:rsidRPr="00457CE9">
        <w:rPr>
          <w:rFonts w:ascii="Times New Roman" w:hAnsi="Times New Roman" w:cs="Times New Roman"/>
          <w:sz w:val="28"/>
          <w:szCs w:val="28"/>
          <w:lang w:val="kk-KZ"/>
        </w:rPr>
        <w:t>АӨК дамытуға бағытталған бюджеттік бағдарламалары</w:t>
      </w:r>
      <w:r w:rsidR="00E82DD9" w:rsidRPr="00457CE9">
        <w:rPr>
          <w:rFonts w:ascii="Times New Roman" w:hAnsi="Times New Roman" w:cs="Times New Roman"/>
          <w:sz w:val="28"/>
          <w:szCs w:val="28"/>
          <w:lang w:val="kk-KZ"/>
        </w:rPr>
        <w:t xml:space="preserve"> мен оның кодтары </w:t>
      </w:r>
      <w:r w:rsidR="008604CB" w:rsidRPr="00457CE9">
        <w:rPr>
          <w:rFonts w:ascii="Times New Roman" w:hAnsi="Times New Roman" w:cs="Times New Roman"/>
          <w:sz w:val="28"/>
          <w:szCs w:val="28"/>
          <w:lang w:val="kk-KZ"/>
        </w:rPr>
        <w:t>1</w:t>
      </w:r>
      <w:r w:rsidR="00023296">
        <w:rPr>
          <w:rFonts w:ascii="Times New Roman" w:hAnsi="Times New Roman" w:cs="Times New Roman"/>
          <w:sz w:val="28"/>
          <w:szCs w:val="28"/>
          <w:lang w:val="kk-KZ"/>
        </w:rPr>
        <w:t>1</w:t>
      </w:r>
      <w:r w:rsidRPr="00457CE9">
        <w:rPr>
          <w:rFonts w:ascii="Times New Roman" w:hAnsi="Times New Roman" w:cs="Times New Roman"/>
          <w:sz w:val="28"/>
          <w:szCs w:val="28"/>
          <w:lang w:val="kk-KZ"/>
        </w:rPr>
        <w:t>-кестеде келтірілген.</w:t>
      </w:r>
    </w:p>
    <w:p w14:paraId="288E38AB" w14:textId="29F6A020" w:rsidR="00D0056B" w:rsidRDefault="00D0056B" w:rsidP="00D0056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23296">
        <w:rPr>
          <w:rFonts w:ascii="Times New Roman" w:hAnsi="Times New Roman" w:cs="Times New Roman"/>
          <w:sz w:val="28"/>
          <w:szCs w:val="28"/>
          <w:lang w:val="kk-KZ"/>
        </w:rPr>
        <w:t>1</w:t>
      </w:r>
      <w:r>
        <w:rPr>
          <w:rFonts w:ascii="Times New Roman" w:hAnsi="Times New Roman" w:cs="Times New Roman"/>
          <w:sz w:val="28"/>
          <w:szCs w:val="28"/>
          <w:lang w:val="kk-KZ"/>
        </w:rPr>
        <w:t xml:space="preserve">-кесте мәліметтерінен 2016-2022 жылдар аралығында Ауыл шаруашылығы министрлігі АӨК дамытуға арналған мемлекеттік бағдарламаны, ұлттық жобаны іске асыру мақсатында 40 бюджеттік бағдарламалары арқылы бюджет қаражаты игерілген. </w:t>
      </w:r>
    </w:p>
    <w:p w14:paraId="1ABA64FA" w14:textId="4EF3F363" w:rsidR="00E82DD9" w:rsidRDefault="00E82DD9" w:rsidP="00DA1087">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8604CB" w:rsidRPr="00457CE9">
        <w:rPr>
          <w:rFonts w:ascii="Times New Roman" w:hAnsi="Times New Roman" w:cs="Times New Roman"/>
          <w:sz w:val="28"/>
          <w:szCs w:val="28"/>
          <w:lang w:val="kk-KZ"/>
        </w:rPr>
        <w:t>1</w:t>
      </w:r>
      <w:r w:rsidR="00023296">
        <w:rPr>
          <w:rFonts w:ascii="Times New Roman" w:hAnsi="Times New Roman" w:cs="Times New Roman"/>
          <w:sz w:val="28"/>
          <w:szCs w:val="28"/>
          <w:lang w:val="kk-KZ"/>
        </w:rPr>
        <w:t>1</w:t>
      </w:r>
      <w:r w:rsidRPr="00457CE9">
        <w:rPr>
          <w:rFonts w:ascii="Times New Roman" w:hAnsi="Times New Roman" w:cs="Times New Roman"/>
          <w:sz w:val="28"/>
          <w:szCs w:val="28"/>
          <w:lang w:val="kk-KZ"/>
        </w:rPr>
        <w:t xml:space="preserve"> – 2016-2022 жж. Ауыл шаруашылығы министрлігімен іске асырылған АӨК дамытуға бағытталған бюджеттік бағдарламаларының атауы</w:t>
      </w:r>
    </w:p>
    <w:p w14:paraId="01B4EC17" w14:textId="77777777" w:rsidR="00DA1087" w:rsidRPr="00DA1087" w:rsidRDefault="00DA1087" w:rsidP="00457CE9">
      <w:pPr>
        <w:spacing w:after="0" w:line="240" w:lineRule="auto"/>
        <w:rPr>
          <w:rFonts w:ascii="Times New Roman" w:hAnsi="Times New Roman" w:cs="Times New Roman"/>
          <w:sz w:val="16"/>
          <w:szCs w:val="16"/>
          <w:lang w:val="kk-KZ"/>
        </w:rPr>
      </w:pPr>
    </w:p>
    <w:tbl>
      <w:tblPr>
        <w:tblStyle w:val="a3"/>
        <w:tblW w:w="9634" w:type="dxa"/>
        <w:jc w:val="center"/>
        <w:tblLook w:val="04A0" w:firstRow="1" w:lastRow="0" w:firstColumn="1" w:lastColumn="0" w:noHBand="0" w:noVBand="1"/>
      </w:tblPr>
      <w:tblGrid>
        <w:gridCol w:w="849"/>
        <w:gridCol w:w="8785"/>
      </w:tblGrid>
      <w:tr w:rsidR="00DA1087" w:rsidRPr="00DA1087" w14:paraId="7E9E6ED3"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hideMark/>
          </w:tcPr>
          <w:p w14:paraId="7F1D6B23"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lang w:val="kk-KZ"/>
              </w:rPr>
              <w:t>Код</w:t>
            </w:r>
          </w:p>
        </w:tc>
        <w:tc>
          <w:tcPr>
            <w:tcW w:w="8785" w:type="dxa"/>
            <w:tcBorders>
              <w:top w:val="single" w:sz="4" w:space="0" w:color="auto"/>
              <w:left w:val="single" w:sz="4" w:space="0" w:color="auto"/>
              <w:bottom w:val="single" w:sz="4" w:space="0" w:color="auto"/>
              <w:right w:val="single" w:sz="4" w:space="0" w:color="auto"/>
            </w:tcBorders>
            <w:hideMark/>
          </w:tcPr>
          <w:p w14:paraId="26A40D49" w14:textId="77777777" w:rsidR="00DA1087" w:rsidRPr="00DA1087" w:rsidRDefault="00DA1087" w:rsidP="00457CE9">
            <w:pPr>
              <w:jc w:val="center"/>
              <w:rPr>
                <w:rFonts w:ascii="Times New Roman" w:hAnsi="Times New Roman" w:cs="Times New Roman"/>
                <w:sz w:val="24"/>
                <w:szCs w:val="24"/>
                <w:lang w:val="en-US"/>
              </w:rPr>
            </w:pPr>
            <w:r w:rsidRPr="00DA1087">
              <w:rPr>
                <w:rFonts w:ascii="Times New Roman" w:hAnsi="Times New Roman" w:cs="Times New Roman"/>
                <w:sz w:val="24"/>
                <w:szCs w:val="24"/>
                <w:lang w:val="kk-KZ"/>
              </w:rPr>
              <w:t>Бюджеттік бағдарламалар</w:t>
            </w:r>
          </w:p>
        </w:tc>
      </w:tr>
      <w:tr w:rsidR="00DA1087" w:rsidRPr="00DA1087" w14:paraId="5A2FD009"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tcPr>
          <w:p w14:paraId="5434EFC8" w14:textId="477B10DF" w:rsidR="00DA1087" w:rsidRPr="00DA1087" w:rsidRDefault="00DA1087" w:rsidP="00457CE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785" w:type="dxa"/>
            <w:tcBorders>
              <w:top w:val="single" w:sz="4" w:space="0" w:color="auto"/>
              <w:left w:val="single" w:sz="4" w:space="0" w:color="auto"/>
              <w:bottom w:val="single" w:sz="4" w:space="0" w:color="auto"/>
              <w:right w:val="single" w:sz="4" w:space="0" w:color="auto"/>
            </w:tcBorders>
          </w:tcPr>
          <w:p w14:paraId="0DDFB502" w14:textId="57430CAF" w:rsidR="00DA1087" w:rsidRPr="00DA1087" w:rsidRDefault="00DA1087" w:rsidP="00457CE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DA1087" w:rsidRPr="00B108D0" w14:paraId="67F10DB3"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D8B4612"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lang w:val="kk-KZ"/>
              </w:rPr>
              <w:t>00</w:t>
            </w:r>
            <w:r w:rsidRPr="00DA1087">
              <w:rPr>
                <w:rFonts w:ascii="Times New Roman" w:hAnsi="Times New Roman" w:cs="Times New Roman"/>
                <w:sz w:val="24"/>
                <w:szCs w:val="24"/>
              </w:rPr>
              <w:t>1</w:t>
            </w:r>
          </w:p>
        </w:tc>
        <w:tc>
          <w:tcPr>
            <w:tcW w:w="8785" w:type="dxa"/>
            <w:tcBorders>
              <w:top w:val="single" w:sz="4" w:space="0" w:color="auto"/>
              <w:left w:val="single" w:sz="4" w:space="0" w:color="auto"/>
              <w:bottom w:val="single" w:sz="4" w:space="0" w:color="auto"/>
              <w:right w:val="single" w:sz="4" w:space="0" w:color="auto"/>
            </w:tcBorders>
            <w:hideMark/>
          </w:tcPr>
          <w:p w14:paraId="330BD4D7"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Ауыл шаруашылығы және табиғатты пайдалану саласындағы  жоспарлау, реттеу, басқару</w:t>
            </w:r>
          </w:p>
        </w:tc>
      </w:tr>
      <w:tr w:rsidR="00DA1087" w:rsidRPr="00B108D0" w14:paraId="0A1F0CAF"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269EF1E9"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023</w:t>
            </w:r>
          </w:p>
        </w:tc>
        <w:tc>
          <w:tcPr>
            <w:tcW w:w="8785" w:type="dxa"/>
            <w:tcBorders>
              <w:top w:val="single" w:sz="4" w:space="0" w:color="auto"/>
              <w:left w:val="single" w:sz="4" w:space="0" w:color="auto"/>
              <w:bottom w:val="single" w:sz="4" w:space="0" w:color="auto"/>
              <w:right w:val="single" w:sz="4" w:space="0" w:color="auto"/>
            </w:tcBorders>
            <w:hideMark/>
          </w:tcPr>
          <w:p w14:paraId="3AB34306"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Агроөнеркәсіптік кешен субъектілерін қолдау жөніндегі іс-шараларды жүргізу үшін «ҚазАгро» ұлттық басқарушы холдингі» АҚ-на несие беру</w:t>
            </w:r>
          </w:p>
        </w:tc>
      </w:tr>
      <w:tr w:rsidR="00DA1087" w:rsidRPr="00B108D0" w14:paraId="2E6503DC"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0023BE4"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101</w:t>
            </w:r>
          </w:p>
        </w:tc>
        <w:tc>
          <w:tcPr>
            <w:tcW w:w="8785" w:type="dxa"/>
            <w:tcBorders>
              <w:top w:val="single" w:sz="4" w:space="0" w:color="auto"/>
              <w:left w:val="single" w:sz="4" w:space="0" w:color="auto"/>
              <w:bottom w:val="single" w:sz="4" w:space="0" w:color="auto"/>
              <w:right w:val="single" w:sz="4" w:space="0" w:color="auto"/>
            </w:tcBorders>
            <w:hideMark/>
          </w:tcPr>
          <w:p w14:paraId="40C05AB7"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Өкілдік шығындарға арналған қаражат есебінен іс-шаралар өткізу</w:t>
            </w:r>
          </w:p>
        </w:tc>
      </w:tr>
      <w:tr w:rsidR="00DA1087" w:rsidRPr="00B108D0" w14:paraId="00B07658"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3F9C26C"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105</w:t>
            </w:r>
          </w:p>
        </w:tc>
        <w:tc>
          <w:tcPr>
            <w:tcW w:w="8785" w:type="dxa"/>
            <w:tcBorders>
              <w:top w:val="single" w:sz="4" w:space="0" w:color="auto"/>
              <w:left w:val="single" w:sz="4" w:space="0" w:color="auto"/>
              <w:bottom w:val="single" w:sz="4" w:space="0" w:color="auto"/>
              <w:right w:val="single" w:sz="4" w:space="0" w:color="auto"/>
            </w:tcBorders>
            <w:hideMark/>
          </w:tcPr>
          <w:p w14:paraId="1FA46481"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Бюджеттік инвестициялық жобалардың техникалық-экономикалық негіздемелерін және мемлекеттік-жекешелік әріптестік жобаларының конкурстық құжаттамаларын, концессиялық жобаларын әзірлеу немесе түзету, сондай-ақ оларға қажетті сараптамалар жүргізу, мемлекеттік-жекешелік әріптестік жобалары мен концессиялық жобаларды кеңестік сүйемелдеу</w:t>
            </w:r>
          </w:p>
        </w:tc>
      </w:tr>
      <w:tr w:rsidR="00DA1087" w:rsidRPr="00B108D0" w14:paraId="0193DBEB"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25D3D03F"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109</w:t>
            </w:r>
          </w:p>
        </w:tc>
        <w:tc>
          <w:tcPr>
            <w:tcW w:w="8785" w:type="dxa"/>
            <w:tcBorders>
              <w:top w:val="single" w:sz="4" w:space="0" w:color="auto"/>
              <w:left w:val="single" w:sz="4" w:space="0" w:color="auto"/>
              <w:bottom w:val="single" w:sz="4" w:space="0" w:color="auto"/>
              <w:right w:val="single" w:sz="4" w:space="0" w:color="auto"/>
            </w:tcBorders>
            <w:hideMark/>
          </w:tcPr>
          <w:p w14:paraId="49E8C329"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Қазақстан Республикасы Үкіметінің шұғыл шығындарға арналған резерві есебінен іс-шаралар өткіз</w:t>
            </w:r>
            <w:r w:rsidRPr="00DA1087">
              <w:rPr>
                <w:rFonts w:ascii="Times New Roman" w:hAnsi="Times New Roman" w:cs="Times New Roman"/>
                <w:sz w:val="24"/>
                <w:szCs w:val="24"/>
                <w:lang w:val="kk-KZ" w:eastAsia="ru-RU"/>
              </w:rPr>
              <w:t>у</w:t>
            </w:r>
          </w:p>
        </w:tc>
      </w:tr>
      <w:tr w:rsidR="00DA1087" w:rsidRPr="00DA1087" w14:paraId="7D6CED21"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4A6D987"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116</w:t>
            </w:r>
          </w:p>
        </w:tc>
        <w:tc>
          <w:tcPr>
            <w:tcW w:w="8785" w:type="dxa"/>
            <w:tcBorders>
              <w:top w:val="single" w:sz="4" w:space="0" w:color="auto"/>
              <w:left w:val="single" w:sz="4" w:space="0" w:color="auto"/>
              <w:bottom w:val="single" w:sz="4" w:space="0" w:color="auto"/>
              <w:right w:val="single" w:sz="4" w:space="0" w:color="auto"/>
            </w:tcBorders>
            <w:hideMark/>
          </w:tcPr>
          <w:p w14:paraId="6FF3F78E" w14:textId="77777777"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rPr>
              <w:t>Қазақстан Республикасы Үкіметінің шұғыл шығындарға арналған резерві есебінен іс-шараларды өткізуге мемлекеттік басқарудың басқа деңгейлеріне берілетін трансферттер</w:t>
            </w:r>
          </w:p>
        </w:tc>
      </w:tr>
      <w:tr w:rsidR="00DA1087" w:rsidRPr="00DA1087" w14:paraId="2E4A290C"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tcPr>
          <w:p w14:paraId="086B2502" w14:textId="59320480"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131</w:t>
            </w:r>
          </w:p>
        </w:tc>
        <w:tc>
          <w:tcPr>
            <w:tcW w:w="8785" w:type="dxa"/>
            <w:tcBorders>
              <w:top w:val="single" w:sz="4" w:space="0" w:color="auto"/>
              <w:left w:val="single" w:sz="4" w:space="0" w:color="auto"/>
              <w:bottom w:val="single" w:sz="4" w:space="0" w:color="auto"/>
              <w:right w:val="single" w:sz="4" w:space="0" w:color="auto"/>
            </w:tcBorders>
          </w:tcPr>
          <w:p w14:paraId="11777181" w14:textId="2209565C"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lang w:val="kk-KZ"/>
              </w:rPr>
              <w:t>Ғылыми және (немесе) ғылыми-техникалық қызмет субъектілерін базалық қаржыландыруды қамтамасыз ету</w:t>
            </w:r>
          </w:p>
        </w:tc>
      </w:tr>
      <w:tr w:rsidR="00DA1087" w:rsidRPr="00DA1087" w14:paraId="4882A3E4"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DAEDE85"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136</w:t>
            </w:r>
          </w:p>
        </w:tc>
        <w:tc>
          <w:tcPr>
            <w:tcW w:w="8785" w:type="dxa"/>
            <w:tcBorders>
              <w:top w:val="single" w:sz="4" w:space="0" w:color="auto"/>
              <w:left w:val="single" w:sz="4" w:space="0" w:color="auto"/>
              <w:bottom w:val="single" w:sz="4" w:space="0" w:color="auto"/>
              <w:right w:val="single" w:sz="4" w:space="0" w:color="auto"/>
            </w:tcBorders>
            <w:hideMark/>
          </w:tcPr>
          <w:p w14:paraId="089B4A6B"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Қазақстан мен Экономикалық ынтымақтастық және даму ұйымы арасында ынтымақтастықты нығайту жөніндегі Елдік бағдарламаны іске асыруды қамтамасыз ету</w:t>
            </w:r>
          </w:p>
        </w:tc>
      </w:tr>
      <w:tr w:rsidR="00DA1087" w:rsidRPr="00B108D0" w14:paraId="1ACBA5D1"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50C31A9"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138</w:t>
            </w:r>
          </w:p>
        </w:tc>
        <w:tc>
          <w:tcPr>
            <w:tcW w:w="8785" w:type="dxa"/>
            <w:tcBorders>
              <w:top w:val="single" w:sz="4" w:space="0" w:color="auto"/>
              <w:left w:val="single" w:sz="4" w:space="0" w:color="auto"/>
              <w:bottom w:val="single" w:sz="4" w:space="0" w:color="auto"/>
              <w:right w:val="single" w:sz="4" w:space="0" w:color="auto"/>
            </w:tcBorders>
            <w:hideMark/>
          </w:tcPr>
          <w:p w14:paraId="6FDA0A57" w14:textId="3C8FC7F5"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Мемлекеттік қызметкерлердің біліктіліг</w:t>
            </w:r>
            <w:r>
              <w:rPr>
                <w:rFonts w:ascii="Times New Roman" w:hAnsi="Times New Roman" w:cs="Times New Roman"/>
                <w:sz w:val="24"/>
                <w:szCs w:val="24"/>
                <w:lang w:val="kk-KZ"/>
              </w:rPr>
              <w:t>ін жоғарылатумен қамтамасыз ету</w:t>
            </w:r>
          </w:p>
        </w:tc>
      </w:tr>
      <w:tr w:rsidR="00DA1087" w:rsidRPr="00DA1087" w14:paraId="2D24DE61"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2090E06"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150</w:t>
            </w:r>
          </w:p>
        </w:tc>
        <w:tc>
          <w:tcPr>
            <w:tcW w:w="8785" w:type="dxa"/>
            <w:tcBorders>
              <w:top w:val="single" w:sz="4" w:space="0" w:color="auto"/>
              <w:left w:val="single" w:sz="4" w:space="0" w:color="auto"/>
              <w:bottom w:val="single" w:sz="4" w:space="0" w:color="auto"/>
              <w:right w:val="single" w:sz="4" w:space="0" w:color="auto"/>
            </w:tcBorders>
            <w:hideMark/>
          </w:tcPr>
          <w:p w14:paraId="306BA850"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 xml:space="preserve">Квазимемлекеттік сектор субъектілерін </w:t>
            </w:r>
            <w:r w:rsidRPr="00DA1087">
              <w:rPr>
                <w:rFonts w:ascii="Times New Roman" w:hAnsi="Times New Roman" w:cs="Times New Roman"/>
                <w:sz w:val="24"/>
                <w:szCs w:val="24"/>
                <w:lang w:val="kk-KZ"/>
              </w:rPr>
              <w:t>қ</w:t>
            </w:r>
            <w:r w:rsidRPr="00DA1087">
              <w:rPr>
                <w:rFonts w:ascii="Times New Roman" w:hAnsi="Times New Roman" w:cs="Times New Roman"/>
                <w:sz w:val="24"/>
                <w:szCs w:val="24"/>
              </w:rPr>
              <w:t>арыз алу ж</w:t>
            </w:r>
            <w:r w:rsidRPr="00DA1087">
              <w:rPr>
                <w:rFonts w:ascii="Times New Roman" w:hAnsi="Times New Roman" w:cs="Times New Roman"/>
                <w:sz w:val="24"/>
                <w:szCs w:val="24"/>
                <w:lang w:val="kk-KZ"/>
              </w:rPr>
              <w:t>ө</w:t>
            </w:r>
            <w:r w:rsidRPr="00DA1087">
              <w:rPr>
                <w:rFonts w:ascii="Times New Roman" w:hAnsi="Times New Roman" w:cs="Times New Roman"/>
                <w:sz w:val="24"/>
                <w:szCs w:val="24"/>
              </w:rPr>
              <w:t xml:space="preserve">ніндегі жобаларды іске асыру </w:t>
            </w:r>
            <w:r w:rsidRPr="00DA1087">
              <w:rPr>
                <w:rFonts w:ascii="Times New Roman" w:hAnsi="Times New Roman" w:cs="Times New Roman"/>
                <w:sz w:val="24"/>
                <w:szCs w:val="24"/>
                <w:lang w:val="kk-KZ"/>
              </w:rPr>
              <w:t>ү</w:t>
            </w:r>
            <w:r w:rsidRPr="00DA1087">
              <w:rPr>
                <w:rFonts w:ascii="Times New Roman" w:hAnsi="Times New Roman" w:cs="Times New Roman"/>
                <w:sz w:val="24"/>
                <w:szCs w:val="24"/>
              </w:rPr>
              <w:t>шін квазимемлекеттік сектор субъектілеріні</w:t>
            </w:r>
            <w:r w:rsidRPr="00DA1087">
              <w:rPr>
                <w:rFonts w:ascii="Times New Roman" w:hAnsi="Times New Roman" w:cs="Times New Roman"/>
                <w:sz w:val="24"/>
                <w:szCs w:val="24"/>
                <w:lang w:val="kk-KZ"/>
              </w:rPr>
              <w:t>ң</w:t>
            </w:r>
            <w:r w:rsidRPr="00DA1087">
              <w:rPr>
                <w:rFonts w:ascii="Times New Roman" w:hAnsi="Times New Roman" w:cs="Times New Roman"/>
                <w:sz w:val="24"/>
                <w:szCs w:val="24"/>
              </w:rPr>
              <w:t xml:space="preserve"> жар</w:t>
            </w:r>
            <w:r w:rsidRPr="00DA1087">
              <w:rPr>
                <w:rFonts w:ascii="Times New Roman" w:hAnsi="Times New Roman" w:cs="Times New Roman"/>
                <w:sz w:val="24"/>
                <w:szCs w:val="24"/>
                <w:lang w:val="kk-KZ"/>
              </w:rPr>
              <w:t>ғ</w:t>
            </w:r>
            <w:r w:rsidRPr="00DA1087">
              <w:rPr>
                <w:rFonts w:ascii="Times New Roman" w:hAnsi="Times New Roman" w:cs="Times New Roman"/>
                <w:sz w:val="24"/>
                <w:szCs w:val="24"/>
              </w:rPr>
              <w:t>ылы</w:t>
            </w:r>
            <w:r w:rsidRPr="00DA1087">
              <w:rPr>
                <w:rFonts w:ascii="Times New Roman" w:hAnsi="Times New Roman" w:cs="Times New Roman"/>
                <w:sz w:val="24"/>
                <w:szCs w:val="24"/>
                <w:lang w:val="kk-KZ"/>
              </w:rPr>
              <w:t>қ</w:t>
            </w:r>
            <w:r w:rsidRPr="00DA1087">
              <w:rPr>
                <w:rFonts w:ascii="Times New Roman" w:hAnsi="Times New Roman" w:cs="Times New Roman"/>
                <w:sz w:val="24"/>
                <w:szCs w:val="24"/>
              </w:rPr>
              <w:t xml:space="preserve"> капиталын </w:t>
            </w:r>
            <w:r w:rsidRPr="00DA1087">
              <w:rPr>
                <w:rFonts w:ascii="Times New Roman" w:hAnsi="Times New Roman" w:cs="Times New Roman"/>
                <w:sz w:val="24"/>
                <w:szCs w:val="24"/>
                <w:lang w:val="kk-KZ"/>
              </w:rPr>
              <w:t>ұ</w:t>
            </w:r>
            <w:r w:rsidRPr="00DA1087">
              <w:rPr>
                <w:rFonts w:ascii="Times New Roman" w:hAnsi="Times New Roman" w:cs="Times New Roman"/>
                <w:sz w:val="24"/>
                <w:szCs w:val="24"/>
              </w:rPr>
              <w:t>л</w:t>
            </w:r>
            <w:r w:rsidRPr="00DA1087">
              <w:rPr>
                <w:rFonts w:ascii="Times New Roman" w:hAnsi="Times New Roman" w:cs="Times New Roman"/>
                <w:sz w:val="24"/>
                <w:szCs w:val="24"/>
                <w:lang w:val="kk-KZ"/>
              </w:rPr>
              <w:t>ғ</w:t>
            </w:r>
            <w:r w:rsidRPr="00DA1087">
              <w:rPr>
                <w:rFonts w:ascii="Times New Roman" w:hAnsi="Times New Roman" w:cs="Times New Roman"/>
                <w:sz w:val="24"/>
                <w:szCs w:val="24"/>
              </w:rPr>
              <w:t>айту</w:t>
            </w:r>
          </w:p>
        </w:tc>
      </w:tr>
      <w:tr w:rsidR="00DA1087" w:rsidRPr="00B108D0" w14:paraId="0F9E64D4"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5136AE4E"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152</w:t>
            </w:r>
          </w:p>
        </w:tc>
        <w:tc>
          <w:tcPr>
            <w:tcW w:w="8785" w:type="dxa"/>
            <w:tcBorders>
              <w:top w:val="single" w:sz="4" w:space="0" w:color="auto"/>
              <w:left w:val="single" w:sz="4" w:space="0" w:color="auto"/>
              <w:bottom w:val="single" w:sz="4" w:space="0" w:color="auto"/>
              <w:right w:val="single" w:sz="4" w:space="0" w:color="auto"/>
            </w:tcBorders>
            <w:hideMark/>
          </w:tcPr>
          <w:p w14:paraId="39C9D934"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Қазақстан Республикасының орнықты дамуына және өсуіне жәрдемдесу шеңберінде бюджеттік инвестициялық жобаларды іске асыру</w:t>
            </w:r>
          </w:p>
        </w:tc>
      </w:tr>
      <w:tr w:rsidR="00DA1087" w:rsidRPr="00DA1087" w14:paraId="0745356B"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3E8C833"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159</w:t>
            </w:r>
          </w:p>
        </w:tc>
        <w:tc>
          <w:tcPr>
            <w:tcW w:w="8785" w:type="dxa"/>
            <w:tcBorders>
              <w:top w:val="single" w:sz="4" w:space="0" w:color="auto"/>
              <w:left w:val="single" w:sz="4" w:space="0" w:color="auto"/>
              <w:bottom w:val="single" w:sz="4" w:space="0" w:color="auto"/>
              <w:right w:val="single" w:sz="4" w:space="0" w:color="auto"/>
            </w:tcBorders>
            <w:vAlign w:val="bottom"/>
            <w:hideMark/>
          </w:tcPr>
          <w:p w14:paraId="74554BAE"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 xml:space="preserve">Қазақстан Республикасы мен </w:t>
            </w:r>
            <w:r w:rsidRPr="00DA1087">
              <w:rPr>
                <w:rFonts w:ascii="Times New Roman" w:hAnsi="Times New Roman" w:cs="Times New Roman"/>
                <w:sz w:val="24"/>
                <w:szCs w:val="24"/>
                <w:lang w:val="kk-KZ"/>
              </w:rPr>
              <w:t>Э</w:t>
            </w:r>
            <w:r w:rsidRPr="00DA1087">
              <w:rPr>
                <w:rFonts w:ascii="Times New Roman" w:hAnsi="Times New Roman" w:cs="Times New Roman"/>
                <w:sz w:val="24"/>
                <w:szCs w:val="24"/>
              </w:rPr>
              <w:t>кономикалық ынтымақтастық және даму ұйымы арасындағы ынтымақтастық шеңберінде Қазақстан Республикасының әлеуметтік-экономикалық жағдайына зерттеулер жүргізуді қамтамасыз ету</w:t>
            </w:r>
          </w:p>
        </w:tc>
      </w:tr>
      <w:tr w:rsidR="00DA1087" w:rsidRPr="00DA1087" w14:paraId="612FA96F"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3BE706B"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233</w:t>
            </w:r>
          </w:p>
        </w:tc>
        <w:tc>
          <w:tcPr>
            <w:tcW w:w="8785" w:type="dxa"/>
            <w:tcBorders>
              <w:top w:val="single" w:sz="4" w:space="0" w:color="auto"/>
              <w:left w:val="single" w:sz="4" w:space="0" w:color="auto"/>
              <w:bottom w:val="single" w:sz="4" w:space="0" w:color="auto"/>
              <w:right w:val="single" w:sz="4" w:space="0" w:color="auto"/>
            </w:tcBorders>
            <w:hideMark/>
          </w:tcPr>
          <w:p w14:paraId="0BEB6934" w14:textId="77777777"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lang w:val="kk-KZ"/>
              </w:rPr>
              <w:t>Табиғи ресурстарды жоспарлау, мониторингтеу, сақтау және тиімді пайдалану  жүйесін жетілдіру</w:t>
            </w:r>
          </w:p>
        </w:tc>
      </w:tr>
      <w:tr w:rsidR="00DA1087" w:rsidRPr="00B108D0" w14:paraId="269D6526"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D41B8D2"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241</w:t>
            </w:r>
          </w:p>
        </w:tc>
        <w:tc>
          <w:tcPr>
            <w:tcW w:w="8785" w:type="dxa"/>
            <w:tcBorders>
              <w:top w:val="single" w:sz="4" w:space="0" w:color="auto"/>
              <w:left w:val="single" w:sz="4" w:space="0" w:color="auto"/>
              <w:bottom w:val="single" w:sz="4" w:space="0" w:color="auto"/>
              <w:right w:val="single" w:sz="4" w:space="0" w:color="auto"/>
            </w:tcBorders>
            <w:hideMark/>
          </w:tcPr>
          <w:p w14:paraId="0D5C3D03"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«Қазсушар» шаруашылық жүргізу құқығындағы республикалық мемлекеттік кәсіпорнының жарғылық капиталын ұлғайту</w:t>
            </w:r>
          </w:p>
        </w:tc>
      </w:tr>
      <w:tr w:rsidR="00DA1087" w:rsidRPr="00DA1087" w14:paraId="395AC538"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C7C333C"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248</w:t>
            </w:r>
          </w:p>
        </w:tc>
        <w:tc>
          <w:tcPr>
            <w:tcW w:w="8785" w:type="dxa"/>
            <w:tcBorders>
              <w:top w:val="single" w:sz="4" w:space="0" w:color="auto"/>
              <w:left w:val="single" w:sz="4" w:space="0" w:color="auto"/>
              <w:bottom w:val="single" w:sz="4" w:space="0" w:color="auto"/>
              <w:right w:val="single" w:sz="4" w:space="0" w:color="auto"/>
            </w:tcBorders>
            <w:hideMark/>
          </w:tcPr>
          <w:p w14:paraId="13C64BE8"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«Сәкен Сейфуллин атындағы Қазақ агротехникалық университеті» АҚ жарғылық капиталын ұлғайту</w:t>
            </w:r>
          </w:p>
        </w:tc>
      </w:tr>
      <w:tr w:rsidR="00DA1087" w:rsidRPr="00B108D0" w14:paraId="5B6DEF4C"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ECF1A18"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249</w:t>
            </w:r>
          </w:p>
        </w:tc>
        <w:tc>
          <w:tcPr>
            <w:tcW w:w="8785" w:type="dxa"/>
            <w:tcBorders>
              <w:top w:val="single" w:sz="4" w:space="0" w:color="auto"/>
              <w:left w:val="single" w:sz="4" w:space="0" w:color="auto"/>
              <w:bottom w:val="single" w:sz="4" w:space="0" w:color="auto"/>
              <w:right w:val="single" w:sz="4" w:space="0" w:color="auto"/>
            </w:tcBorders>
            <w:hideMark/>
          </w:tcPr>
          <w:p w14:paraId="0A28D487"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Мал шаруашылығын дамыту үшін  және мал шаруашылығы өнiмiн өндіруге, қайта өңдеуге, өткізуге  жағдай жасау</w:t>
            </w:r>
          </w:p>
        </w:tc>
      </w:tr>
      <w:tr w:rsidR="00DA1087" w:rsidRPr="00B108D0" w14:paraId="6FC6A369"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4F9B5F00"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250</w:t>
            </w:r>
          </w:p>
        </w:tc>
        <w:tc>
          <w:tcPr>
            <w:tcW w:w="8785" w:type="dxa"/>
            <w:tcBorders>
              <w:top w:val="single" w:sz="4" w:space="0" w:color="auto"/>
              <w:left w:val="single" w:sz="4" w:space="0" w:color="auto"/>
              <w:bottom w:val="single" w:sz="4" w:space="0" w:color="auto"/>
              <w:right w:val="single" w:sz="4" w:space="0" w:color="auto"/>
            </w:tcBorders>
            <w:hideMark/>
          </w:tcPr>
          <w:p w14:paraId="1698677B"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Қаржылық көрсетілетін қызметтердің қолжетімділігін арттыру</w:t>
            </w:r>
          </w:p>
        </w:tc>
      </w:tr>
      <w:tr w:rsidR="00DA1087" w:rsidRPr="00DA1087" w14:paraId="74B952A6"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3D3880AB"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253</w:t>
            </w:r>
          </w:p>
        </w:tc>
        <w:tc>
          <w:tcPr>
            <w:tcW w:w="8785" w:type="dxa"/>
            <w:tcBorders>
              <w:top w:val="single" w:sz="4" w:space="0" w:color="auto"/>
              <w:left w:val="single" w:sz="4" w:space="0" w:color="auto"/>
              <w:bottom w:val="single" w:sz="4" w:space="0" w:color="auto"/>
              <w:right w:val="single" w:sz="4" w:space="0" w:color="auto"/>
            </w:tcBorders>
            <w:hideMark/>
          </w:tcPr>
          <w:p w14:paraId="3BACF17E"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Өтеусіз негізде агроөнеркәсіптік кешен субъектілерін ақпараттық қамтамасыз ету</w:t>
            </w:r>
          </w:p>
        </w:tc>
      </w:tr>
      <w:tr w:rsidR="00DA1087" w:rsidRPr="00DA1087" w14:paraId="3C182CD6" w14:textId="77777777" w:rsidTr="00DA1087">
        <w:trPr>
          <w:jc w:val="center"/>
        </w:trPr>
        <w:tc>
          <w:tcPr>
            <w:tcW w:w="849" w:type="dxa"/>
            <w:hideMark/>
          </w:tcPr>
          <w:p w14:paraId="5D142030"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254</w:t>
            </w:r>
          </w:p>
        </w:tc>
        <w:tc>
          <w:tcPr>
            <w:tcW w:w="8785" w:type="dxa"/>
            <w:hideMark/>
          </w:tcPr>
          <w:p w14:paraId="6823AFB2"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Су ресурстарын тиімді басқару</w:t>
            </w:r>
          </w:p>
        </w:tc>
      </w:tr>
      <w:tr w:rsidR="00DA1087" w:rsidRPr="00DA1087" w14:paraId="2E0B3013" w14:textId="77777777" w:rsidTr="00DA1087">
        <w:trPr>
          <w:jc w:val="center"/>
        </w:trPr>
        <w:tc>
          <w:tcPr>
            <w:tcW w:w="849" w:type="dxa"/>
            <w:tcBorders>
              <w:top w:val="single" w:sz="4" w:space="0" w:color="auto"/>
              <w:left w:val="single" w:sz="4" w:space="0" w:color="auto"/>
              <w:bottom w:val="nil"/>
              <w:right w:val="single" w:sz="4" w:space="0" w:color="auto"/>
            </w:tcBorders>
            <w:vAlign w:val="center"/>
            <w:hideMark/>
          </w:tcPr>
          <w:p w14:paraId="5F584446"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255</w:t>
            </w:r>
          </w:p>
        </w:tc>
        <w:tc>
          <w:tcPr>
            <w:tcW w:w="8785" w:type="dxa"/>
            <w:tcBorders>
              <w:top w:val="single" w:sz="4" w:space="0" w:color="auto"/>
              <w:left w:val="single" w:sz="4" w:space="0" w:color="auto"/>
              <w:bottom w:val="nil"/>
              <w:right w:val="single" w:sz="4" w:space="0" w:color="auto"/>
            </w:tcBorders>
            <w:hideMark/>
          </w:tcPr>
          <w:p w14:paraId="584018FB"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Өсімдік шаруашылығы өнiмiн өндіруді, қайта өңдеуді, өткізуді дамыту үшін жағдай жасау</w:t>
            </w:r>
          </w:p>
        </w:tc>
      </w:tr>
      <w:tr w:rsidR="00DA1087" w:rsidRPr="00DA1087" w14:paraId="07EFC3B6" w14:textId="77777777" w:rsidTr="001E64ED">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9A7B10D"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256</w:t>
            </w:r>
          </w:p>
        </w:tc>
        <w:tc>
          <w:tcPr>
            <w:tcW w:w="8785" w:type="dxa"/>
            <w:tcBorders>
              <w:top w:val="single" w:sz="4" w:space="0" w:color="auto"/>
              <w:left w:val="single" w:sz="4" w:space="0" w:color="auto"/>
              <w:bottom w:val="single" w:sz="4" w:space="0" w:color="auto"/>
              <w:right w:val="single" w:sz="4" w:space="0" w:color="auto"/>
            </w:tcBorders>
            <w:hideMark/>
          </w:tcPr>
          <w:p w14:paraId="314039A2" w14:textId="77777777"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rPr>
              <w:t>Орман ресурстары мен жануарлар әлемін сақтау мен дамытуды басқару, қамтамасыз ету</w:t>
            </w:r>
          </w:p>
        </w:tc>
      </w:tr>
      <w:tr w:rsidR="00DA1087" w:rsidRPr="00DA1087" w14:paraId="09F212A5" w14:textId="77777777" w:rsidTr="001E64ED">
        <w:trPr>
          <w:jc w:val="center"/>
        </w:trPr>
        <w:tc>
          <w:tcPr>
            <w:tcW w:w="849" w:type="dxa"/>
            <w:tcBorders>
              <w:top w:val="single" w:sz="4" w:space="0" w:color="auto"/>
              <w:left w:val="single" w:sz="4" w:space="0" w:color="auto"/>
              <w:bottom w:val="nil"/>
              <w:right w:val="single" w:sz="4" w:space="0" w:color="auto"/>
            </w:tcBorders>
            <w:vAlign w:val="center"/>
            <w:hideMark/>
          </w:tcPr>
          <w:p w14:paraId="23F2BC17"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257</w:t>
            </w:r>
          </w:p>
        </w:tc>
        <w:tc>
          <w:tcPr>
            <w:tcW w:w="8785" w:type="dxa"/>
            <w:tcBorders>
              <w:top w:val="single" w:sz="4" w:space="0" w:color="auto"/>
              <w:left w:val="single" w:sz="4" w:space="0" w:color="auto"/>
              <w:bottom w:val="nil"/>
              <w:right w:val="single" w:sz="4" w:space="0" w:color="auto"/>
            </w:tcBorders>
            <w:hideMark/>
          </w:tcPr>
          <w:p w14:paraId="32267F65" w14:textId="22B0B8FB"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rPr>
              <w:t>Қазақстандық-Венгерлік тікелей инвестицияларды</w:t>
            </w:r>
            <w:r w:rsidR="000D577B">
              <w:rPr>
                <w:rFonts w:ascii="Times New Roman" w:hAnsi="Times New Roman" w:cs="Times New Roman"/>
                <w:sz w:val="24"/>
                <w:szCs w:val="24"/>
                <w:lang w:val="kk-KZ"/>
              </w:rPr>
              <w:t>ң</w:t>
            </w:r>
            <w:r w:rsidRPr="00DA1087">
              <w:rPr>
                <w:rFonts w:ascii="Times New Roman" w:hAnsi="Times New Roman" w:cs="Times New Roman"/>
                <w:sz w:val="24"/>
                <w:szCs w:val="24"/>
              </w:rPr>
              <w:t xml:space="preserve"> инвестициялық қорын қаржыландыру үшін «ҚазАгро» ұлттық басқарушы холдингі» АҚ жар</w:t>
            </w:r>
            <w:r w:rsidRPr="00DA1087">
              <w:rPr>
                <w:rFonts w:ascii="Times New Roman" w:hAnsi="Times New Roman" w:cs="Times New Roman"/>
                <w:sz w:val="24"/>
                <w:szCs w:val="24"/>
                <w:lang w:val="kk-KZ"/>
              </w:rPr>
              <w:t>ғ</w:t>
            </w:r>
            <w:r w:rsidRPr="00DA1087">
              <w:rPr>
                <w:rFonts w:ascii="Times New Roman" w:hAnsi="Times New Roman" w:cs="Times New Roman"/>
                <w:sz w:val="24"/>
                <w:szCs w:val="24"/>
              </w:rPr>
              <w:t>ылық капиталын ұлғайту</w:t>
            </w:r>
          </w:p>
        </w:tc>
      </w:tr>
      <w:tr w:rsidR="001E64ED" w:rsidRPr="00DA1087" w14:paraId="12776C58" w14:textId="77777777" w:rsidTr="001E64ED">
        <w:trPr>
          <w:jc w:val="center"/>
        </w:trPr>
        <w:tc>
          <w:tcPr>
            <w:tcW w:w="9634" w:type="dxa"/>
            <w:gridSpan w:val="2"/>
            <w:tcBorders>
              <w:top w:val="nil"/>
              <w:left w:val="nil"/>
              <w:bottom w:val="single" w:sz="4" w:space="0" w:color="auto"/>
              <w:right w:val="nil"/>
            </w:tcBorders>
            <w:vAlign w:val="center"/>
          </w:tcPr>
          <w:p w14:paraId="4175F809" w14:textId="7402BB91" w:rsidR="001E64ED" w:rsidRPr="00DA1087" w:rsidRDefault="001E64ED" w:rsidP="00C80BF1">
            <w:pPr>
              <w:ind w:hanging="96"/>
              <w:rPr>
                <w:rFonts w:ascii="Times New Roman" w:hAnsi="Times New Roman" w:cs="Times New Roman"/>
                <w:sz w:val="28"/>
                <w:szCs w:val="28"/>
                <w:lang w:val="kk-KZ"/>
              </w:rPr>
            </w:pPr>
            <w:r w:rsidRPr="00DA1087">
              <w:rPr>
                <w:rFonts w:ascii="Times New Roman" w:hAnsi="Times New Roman" w:cs="Times New Roman"/>
                <w:sz w:val="28"/>
                <w:szCs w:val="28"/>
                <w:lang w:val="kk-KZ"/>
              </w:rPr>
              <w:t>1</w:t>
            </w:r>
            <w:r w:rsidR="00023296">
              <w:rPr>
                <w:rFonts w:ascii="Times New Roman" w:hAnsi="Times New Roman" w:cs="Times New Roman"/>
                <w:sz w:val="28"/>
                <w:szCs w:val="28"/>
                <w:lang w:val="kk-KZ"/>
              </w:rPr>
              <w:t>1</w:t>
            </w:r>
            <w:r w:rsidRPr="00DA1087">
              <w:rPr>
                <w:rFonts w:ascii="Times New Roman" w:hAnsi="Times New Roman" w:cs="Times New Roman"/>
                <w:sz w:val="28"/>
                <w:szCs w:val="28"/>
                <w:lang w:val="kk-KZ"/>
              </w:rPr>
              <w:t>-кестенің жалғасы</w:t>
            </w:r>
          </w:p>
          <w:p w14:paraId="65B95825" w14:textId="77777777" w:rsidR="001E64ED" w:rsidRPr="00DA1087" w:rsidRDefault="001E64ED" w:rsidP="00C80BF1">
            <w:pPr>
              <w:rPr>
                <w:rFonts w:ascii="Times New Roman" w:hAnsi="Times New Roman" w:cs="Times New Roman"/>
                <w:sz w:val="16"/>
                <w:szCs w:val="16"/>
                <w:lang w:val="kk-KZ"/>
              </w:rPr>
            </w:pPr>
          </w:p>
        </w:tc>
      </w:tr>
      <w:tr w:rsidR="001E64ED" w:rsidRPr="00DA1087" w14:paraId="4CA546C3" w14:textId="77777777" w:rsidTr="00C80BF1">
        <w:trPr>
          <w:jc w:val="center"/>
        </w:trPr>
        <w:tc>
          <w:tcPr>
            <w:tcW w:w="849" w:type="dxa"/>
            <w:tcBorders>
              <w:top w:val="single" w:sz="4" w:space="0" w:color="auto"/>
              <w:left w:val="single" w:sz="4" w:space="0" w:color="auto"/>
              <w:bottom w:val="single" w:sz="4" w:space="0" w:color="auto"/>
              <w:right w:val="single" w:sz="4" w:space="0" w:color="auto"/>
            </w:tcBorders>
            <w:vAlign w:val="center"/>
          </w:tcPr>
          <w:p w14:paraId="0A842AD6" w14:textId="77777777" w:rsidR="001E64ED" w:rsidRPr="00DA1087" w:rsidRDefault="001E64ED" w:rsidP="00C80BF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785" w:type="dxa"/>
            <w:tcBorders>
              <w:top w:val="single" w:sz="4" w:space="0" w:color="auto"/>
              <w:left w:val="single" w:sz="4" w:space="0" w:color="auto"/>
              <w:bottom w:val="single" w:sz="4" w:space="0" w:color="auto"/>
              <w:right w:val="single" w:sz="4" w:space="0" w:color="auto"/>
            </w:tcBorders>
          </w:tcPr>
          <w:p w14:paraId="0B6C166F" w14:textId="77777777" w:rsidR="001E64ED" w:rsidRPr="00DA1087" w:rsidRDefault="001E64ED" w:rsidP="00C80BF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DA1087" w:rsidRPr="00DA1087" w14:paraId="2A9F1143"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D5F9175"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258</w:t>
            </w:r>
          </w:p>
        </w:tc>
        <w:tc>
          <w:tcPr>
            <w:tcW w:w="8785" w:type="dxa"/>
            <w:tcBorders>
              <w:top w:val="single" w:sz="4" w:space="0" w:color="auto"/>
              <w:left w:val="single" w:sz="4" w:space="0" w:color="auto"/>
              <w:bottom w:val="single" w:sz="4" w:space="0" w:color="auto"/>
              <w:right w:val="single" w:sz="4" w:space="0" w:color="auto"/>
            </w:tcBorders>
            <w:hideMark/>
          </w:tcPr>
          <w:p w14:paraId="565C3661"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Агро</w:t>
            </w:r>
            <w:r w:rsidRPr="00DA1087">
              <w:rPr>
                <w:rFonts w:ascii="Times New Roman" w:hAnsi="Times New Roman" w:cs="Times New Roman"/>
                <w:sz w:val="24"/>
                <w:szCs w:val="24"/>
                <w:lang w:val="kk-KZ"/>
              </w:rPr>
              <w:t>ө</w:t>
            </w:r>
            <w:r w:rsidRPr="00DA1087">
              <w:rPr>
                <w:rFonts w:ascii="Times New Roman" w:hAnsi="Times New Roman" w:cs="Times New Roman"/>
                <w:sz w:val="24"/>
                <w:szCs w:val="24"/>
              </w:rPr>
              <w:t>нерк</w:t>
            </w:r>
            <w:r w:rsidRPr="00DA1087">
              <w:rPr>
                <w:rFonts w:ascii="Times New Roman" w:hAnsi="Times New Roman" w:cs="Times New Roman"/>
                <w:sz w:val="24"/>
                <w:szCs w:val="24"/>
                <w:lang w:val="kk-KZ"/>
              </w:rPr>
              <w:t>ә</w:t>
            </w:r>
            <w:r w:rsidRPr="00DA1087">
              <w:rPr>
                <w:rFonts w:ascii="Times New Roman" w:hAnsi="Times New Roman" w:cs="Times New Roman"/>
                <w:sz w:val="24"/>
                <w:szCs w:val="24"/>
              </w:rPr>
              <w:t>сіптік кешенді дамытуды ынталандыру ж</w:t>
            </w:r>
            <w:r w:rsidRPr="00DA1087">
              <w:rPr>
                <w:rFonts w:ascii="Times New Roman" w:hAnsi="Times New Roman" w:cs="Times New Roman"/>
                <w:sz w:val="24"/>
                <w:szCs w:val="24"/>
                <w:lang w:val="kk-KZ"/>
              </w:rPr>
              <w:t>ө</w:t>
            </w:r>
            <w:r w:rsidRPr="00DA1087">
              <w:rPr>
                <w:rFonts w:ascii="Times New Roman" w:hAnsi="Times New Roman" w:cs="Times New Roman"/>
                <w:sz w:val="24"/>
                <w:szCs w:val="24"/>
              </w:rPr>
              <w:t>ніндегі мемлекеттік саясатты іске асыру үшін «ҚазАгро» ұлттық басқарушы холдингі» АҚ жар</w:t>
            </w:r>
            <w:r w:rsidRPr="00DA1087">
              <w:rPr>
                <w:rFonts w:ascii="Times New Roman" w:hAnsi="Times New Roman" w:cs="Times New Roman"/>
                <w:sz w:val="24"/>
                <w:szCs w:val="24"/>
                <w:lang w:val="kk-KZ"/>
              </w:rPr>
              <w:t>ғ</w:t>
            </w:r>
            <w:r w:rsidRPr="00DA1087">
              <w:rPr>
                <w:rFonts w:ascii="Times New Roman" w:hAnsi="Times New Roman" w:cs="Times New Roman"/>
                <w:sz w:val="24"/>
                <w:szCs w:val="24"/>
              </w:rPr>
              <w:t>ылық капиталын ұлғайту</w:t>
            </w:r>
          </w:p>
        </w:tc>
      </w:tr>
      <w:tr w:rsidR="00DA1087" w:rsidRPr="00DA1087" w14:paraId="09C8F3BC"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DCD81F5"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259</w:t>
            </w:r>
          </w:p>
        </w:tc>
        <w:tc>
          <w:tcPr>
            <w:tcW w:w="8785" w:type="dxa"/>
            <w:tcBorders>
              <w:top w:val="single" w:sz="4" w:space="0" w:color="auto"/>
              <w:left w:val="single" w:sz="4" w:space="0" w:color="auto"/>
              <w:bottom w:val="single" w:sz="4" w:space="0" w:color="auto"/>
              <w:right w:val="single" w:sz="4" w:space="0" w:color="auto"/>
            </w:tcBorders>
            <w:hideMark/>
          </w:tcPr>
          <w:p w14:paraId="7FFF8CC9" w14:textId="58068B65"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Жер ресурстарына ақпараттың қол жетімділігін жоғар</w:t>
            </w:r>
            <w:r w:rsidRPr="00DA1087">
              <w:rPr>
                <w:rFonts w:ascii="Times New Roman" w:hAnsi="Times New Roman" w:cs="Times New Roman"/>
                <w:sz w:val="24"/>
                <w:szCs w:val="24"/>
                <w:lang w:val="kk-KZ"/>
              </w:rPr>
              <w:t>ы</w:t>
            </w:r>
            <w:r w:rsidRPr="00DA1087">
              <w:rPr>
                <w:rFonts w:ascii="Times New Roman" w:hAnsi="Times New Roman" w:cs="Times New Roman"/>
                <w:sz w:val="24"/>
                <w:szCs w:val="24"/>
              </w:rPr>
              <w:t>лату</w:t>
            </w:r>
          </w:p>
        </w:tc>
      </w:tr>
      <w:tr w:rsidR="00DA1087" w:rsidRPr="00DA1087" w14:paraId="429B4647"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5F23646E"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261</w:t>
            </w:r>
          </w:p>
        </w:tc>
        <w:tc>
          <w:tcPr>
            <w:tcW w:w="8785" w:type="dxa"/>
            <w:tcBorders>
              <w:top w:val="single" w:sz="4" w:space="0" w:color="auto"/>
              <w:left w:val="single" w:sz="4" w:space="0" w:color="auto"/>
              <w:bottom w:val="single" w:sz="4" w:space="0" w:color="auto"/>
              <w:right w:val="single" w:sz="4" w:space="0" w:color="auto"/>
            </w:tcBorders>
            <w:hideMark/>
          </w:tcPr>
          <w:p w14:paraId="6BD0C17A" w14:textId="77777777"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rPr>
              <w:t>Су бөлу жөніндегі уағдаластықтарға сәйкес шекаралас елдерден трансшекаралық өзендер ағынының түсуін қамтамасыз ету</w:t>
            </w:r>
          </w:p>
        </w:tc>
      </w:tr>
      <w:tr w:rsidR="00DA1087" w:rsidRPr="00DA1087" w14:paraId="4564EAA1"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818746C"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262</w:t>
            </w:r>
          </w:p>
        </w:tc>
        <w:tc>
          <w:tcPr>
            <w:tcW w:w="8785" w:type="dxa"/>
            <w:tcBorders>
              <w:top w:val="single" w:sz="4" w:space="0" w:color="auto"/>
              <w:left w:val="single" w:sz="4" w:space="0" w:color="auto"/>
              <w:bottom w:val="single" w:sz="4" w:space="0" w:color="auto"/>
              <w:right w:val="single" w:sz="4" w:space="0" w:color="auto"/>
            </w:tcBorders>
            <w:hideMark/>
          </w:tcPr>
          <w:p w14:paraId="7D371671" w14:textId="77777777" w:rsidR="00DA1087" w:rsidRPr="00DA1087" w:rsidRDefault="00DA1087" w:rsidP="00457CE9">
            <w:pPr>
              <w:rPr>
                <w:rFonts w:ascii="Times New Roman" w:hAnsi="Times New Roman" w:cs="Times New Roman"/>
                <w:sz w:val="24"/>
                <w:szCs w:val="24"/>
              </w:rPr>
            </w:pPr>
            <w:r w:rsidRPr="00DA1087">
              <w:rPr>
                <w:rFonts w:ascii="Times New Roman" w:hAnsi="Times New Roman" w:cs="Times New Roman"/>
                <w:sz w:val="24"/>
                <w:szCs w:val="24"/>
              </w:rPr>
              <w:t xml:space="preserve">Агроөнеркәсіптік кешен субъектілерін қолдау жөніндегі іс - шараларды жүргізу үшін </w:t>
            </w:r>
            <w:r w:rsidRPr="00DA1087">
              <w:rPr>
                <w:rFonts w:ascii="Times New Roman" w:hAnsi="Times New Roman" w:cs="Times New Roman"/>
                <w:sz w:val="24"/>
                <w:szCs w:val="24"/>
                <w:lang w:val="kk-KZ"/>
              </w:rPr>
              <w:t>«</w:t>
            </w:r>
            <w:r w:rsidRPr="00DA1087">
              <w:rPr>
                <w:rFonts w:ascii="Times New Roman" w:hAnsi="Times New Roman" w:cs="Times New Roman"/>
                <w:sz w:val="24"/>
                <w:szCs w:val="24"/>
              </w:rPr>
              <w:t>Аграрлық кредиттік корпорация</w:t>
            </w:r>
            <w:r w:rsidRPr="00DA1087">
              <w:rPr>
                <w:rFonts w:ascii="Times New Roman" w:hAnsi="Times New Roman" w:cs="Times New Roman"/>
                <w:sz w:val="24"/>
                <w:szCs w:val="24"/>
                <w:lang w:val="kk-KZ"/>
              </w:rPr>
              <w:t>»</w:t>
            </w:r>
            <w:r w:rsidRPr="00DA1087">
              <w:rPr>
                <w:rFonts w:ascii="Times New Roman" w:hAnsi="Times New Roman" w:cs="Times New Roman"/>
                <w:sz w:val="24"/>
                <w:szCs w:val="24"/>
              </w:rPr>
              <w:t xml:space="preserve"> АҚ-</w:t>
            </w:r>
            <w:r w:rsidRPr="00DA1087">
              <w:rPr>
                <w:rFonts w:ascii="Times New Roman" w:hAnsi="Times New Roman" w:cs="Times New Roman"/>
                <w:sz w:val="24"/>
                <w:szCs w:val="24"/>
                <w:lang w:val="kk-KZ"/>
              </w:rPr>
              <w:t>н</w:t>
            </w:r>
            <w:r w:rsidRPr="00DA1087">
              <w:rPr>
                <w:rFonts w:ascii="Times New Roman" w:hAnsi="Times New Roman" w:cs="Times New Roman"/>
                <w:sz w:val="24"/>
                <w:szCs w:val="24"/>
              </w:rPr>
              <w:t xml:space="preserve">а </w:t>
            </w:r>
            <w:r w:rsidRPr="00DA1087">
              <w:rPr>
                <w:rFonts w:ascii="Times New Roman" w:hAnsi="Times New Roman" w:cs="Times New Roman"/>
                <w:sz w:val="24"/>
                <w:szCs w:val="24"/>
                <w:lang w:val="kk-KZ"/>
              </w:rPr>
              <w:t xml:space="preserve">несие </w:t>
            </w:r>
            <w:r w:rsidRPr="00DA1087">
              <w:rPr>
                <w:rFonts w:ascii="Times New Roman" w:hAnsi="Times New Roman" w:cs="Times New Roman"/>
                <w:sz w:val="24"/>
                <w:szCs w:val="24"/>
              </w:rPr>
              <w:t>беру</w:t>
            </w:r>
          </w:p>
        </w:tc>
      </w:tr>
      <w:tr w:rsidR="00DA1087" w:rsidRPr="000D577B" w14:paraId="5BD1B5D9"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A1A57BD"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263</w:t>
            </w:r>
          </w:p>
        </w:tc>
        <w:tc>
          <w:tcPr>
            <w:tcW w:w="8785" w:type="dxa"/>
            <w:tcBorders>
              <w:top w:val="single" w:sz="4" w:space="0" w:color="auto"/>
              <w:left w:val="single" w:sz="4" w:space="0" w:color="auto"/>
              <w:bottom w:val="single" w:sz="4" w:space="0" w:color="auto"/>
              <w:right w:val="single" w:sz="4" w:space="0" w:color="auto"/>
            </w:tcBorders>
            <w:hideMark/>
          </w:tcPr>
          <w:p w14:paraId="2FA4AEC6" w14:textId="724A1D07" w:rsidR="00DA1087" w:rsidRPr="00651588" w:rsidRDefault="00DA1087" w:rsidP="00457CE9">
            <w:pPr>
              <w:rPr>
                <w:rFonts w:ascii="Times New Roman" w:hAnsi="Times New Roman" w:cs="Times New Roman"/>
                <w:sz w:val="24"/>
                <w:szCs w:val="24"/>
                <w:lang w:val="kk-KZ"/>
              </w:rPr>
            </w:pPr>
            <w:r w:rsidRPr="00651588">
              <w:rPr>
                <w:rFonts w:ascii="Times New Roman" w:hAnsi="Times New Roman" w:cs="Times New Roman"/>
                <w:sz w:val="24"/>
                <w:szCs w:val="24"/>
                <w:lang w:val="kk-KZ"/>
              </w:rPr>
              <w:t>ҚР</w:t>
            </w:r>
            <w:r w:rsidRPr="00651588">
              <w:rPr>
                <w:rFonts w:ascii="Times New Roman" w:hAnsi="Times New Roman" w:cs="Times New Roman"/>
                <w:sz w:val="24"/>
                <w:szCs w:val="24"/>
              </w:rPr>
              <w:t xml:space="preserve"> 2015-2019 </w:t>
            </w:r>
            <w:r w:rsidRPr="00651588">
              <w:rPr>
                <w:rFonts w:ascii="Times New Roman" w:hAnsi="Times New Roman" w:cs="Times New Roman"/>
                <w:sz w:val="24"/>
                <w:szCs w:val="24"/>
                <w:lang w:val="kk-KZ"/>
              </w:rPr>
              <w:t>жж. Индустриялық-инновациялық дамуға арналған мемлекеттік бағдарлама шеңберінде зертханалар құру үшін «Ұлттық Аграрлық ғылыми-білім беру орталығы» К</w:t>
            </w:r>
            <w:r w:rsidR="000D577B" w:rsidRPr="00651588">
              <w:rPr>
                <w:rFonts w:ascii="Times New Roman" w:hAnsi="Times New Roman" w:cs="Times New Roman"/>
                <w:sz w:val="24"/>
                <w:szCs w:val="24"/>
                <w:lang w:val="kk-KZ"/>
              </w:rPr>
              <w:t>е</w:t>
            </w:r>
            <w:r w:rsidRPr="00651588">
              <w:rPr>
                <w:rFonts w:ascii="Times New Roman" w:hAnsi="Times New Roman" w:cs="Times New Roman"/>
                <w:sz w:val="24"/>
                <w:szCs w:val="24"/>
                <w:lang w:val="kk-KZ"/>
              </w:rPr>
              <w:t xml:space="preserve">АҚ-ң жарғылық капиталын ұлғайту </w:t>
            </w:r>
          </w:p>
        </w:tc>
      </w:tr>
      <w:tr w:rsidR="00DA1087" w:rsidRPr="00DA1087" w14:paraId="40986761"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2E61BE30"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264</w:t>
            </w:r>
          </w:p>
        </w:tc>
        <w:tc>
          <w:tcPr>
            <w:tcW w:w="8785" w:type="dxa"/>
            <w:tcBorders>
              <w:top w:val="single" w:sz="4" w:space="0" w:color="auto"/>
              <w:left w:val="single" w:sz="4" w:space="0" w:color="auto"/>
              <w:bottom w:val="single" w:sz="4" w:space="0" w:color="auto"/>
              <w:right w:val="single" w:sz="4" w:space="0" w:color="auto"/>
            </w:tcBorders>
            <w:hideMark/>
          </w:tcPr>
          <w:p w14:paraId="76CA0E6D" w14:textId="77777777" w:rsidR="00DA1087" w:rsidRPr="00651588" w:rsidRDefault="00DA1087" w:rsidP="00457CE9">
            <w:pPr>
              <w:rPr>
                <w:rFonts w:ascii="Times New Roman" w:hAnsi="Times New Roman" w:cs="Times New Roman"/>
                <w:sz w:val="24"/>
                <w:szCs w:val="24"/>
              </w:rPr>
            </w:pPr>
            <w:r w:rsidRPr="00651588">
              <w:rPr>
                <w:rFonts w:ascii="Times New Roman" w:hAnsi="Times New Roman" w:cs="Times New Roman"/>
                <w:sz w:val="24"/>
                <w:szCs w:val="24"/>
                <w:lang w:val="kk-KZ"/>
              </w:rPr>
              <w:t>Нәтижелі жұмыспен қамтуды және жаппай кәсіпкерлікті дамытуға облыстық бюджеттерге несие беру</w:t>
            </w:r>
          </w:p>
        </w:tc>
      </w:tr>
      <w:tr w:rsidR="00DA1087" w:rsidRPr="00B108D0" w14:paraId="4132294A"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9D02249" w14:textId="77777777" w:rsidR="00DA1087" w:rsidRPr="00DA1087" w:rsidRDefault="00DA1087" w:rsidP="00457CE9">
            <w:pPr>
              <w:jc w:val="center"/>
              <w:rPr>
                <w:rFonts w:ascii="Times New Roman" w:hAnsi="Times New Roman" w:cs="Times New Roman"/>
                <w:sz w:val="24"/>
                <w:szCs w:val="24"/>
                <w:lang w:val="kk-KZ"/>
              </w:rPr>
            </w:pPr>
            <w:r w:rsidRPr="00DA1087">
              <w:rPr>
                <w:rFonts w:ascii="Times New Roman" w:hAnsi="Times New Roman" w:cs="Times New Roman"/>
                <w:sz w:val="24"/>
                <w:szCs w:val="24"/>
              </w:rPr>
              <w:t>265</w:t>
            </w:r>
          </w:p>
        </w:tc>
        <w:tc>
          <w:tcPr>
            <w:tcW w:w="8785" w:type="dxa"/>
            <w:tcBorders>
              <w:top w:val="single" w:sz="4" w:space="0" w:color="auto"/>
              <w:left w:val="single" w:sz="4" w:space="0" w:color="auto"/>
              <w:bottom w:val="single" w:sz="4" w:space="0" w:color="auto"/>
              <w:right w:val="single" w:sz="4" w:space="0" w:color="auto"/>
            </w:tcBorders>
            <w:hideMark/>
          </w:tcPr>
          <w:p w14:paraId="60C002A4" w14:textId="77777777" w:rsidR="00DA1087" w:rsidRPr="00651588" w:rsidRDefault="00DA1087" w:rsidP="00457CE9">
            <w:pPr>
              <w:rPr>
                <w:rFonts w:ascii="Times New Roman" w:hAnsi="Times New Roman" w:cs="Times New Roman"/>
                <w:sz w:val="24"/>
                <w:szCs w:val="24"/>
                <w:lang w:val="kk-KZ"/>
              </w:rPr>
            </w:pPr>
            <w:r w:rsidRPr="00651588">
              <w:rPr>
                <w:rFonts w:ascii="Times New Roman" w:hAnsi="Times New Roman" w:cs="Times New Roman"/>
                <w:sz w:val="24"/>
                <w:szCs w:val="24"/>
                <w:lang w:val="kk-KZ"/>
              </w:rPr>
              <w:t>Ауыл шаруашылығы өнімдерін қайта өңдеуді дамыту үшін жағдайлар жасау</w:t>
            </w:r>
          </w:p>
        </w:tc>
      </w:tr>
      <w:tr w:rsidR="00DA1087" w:rsidRPr="00DA1087" w14:paraId="58B79247"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5204D627"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266</w:t>
            </w:r>
          </w:p>
        </w:tc>
        <w:tc>
          <w:tcPr>
            <w:tcW w:w="8785" w:type="dxa"/>
            <w:tcBorders>
              <w:top w:val="single" w:sz="4" w:space="0" w:color="auto"/>
              <w:left w:val="single" w:sz="4" w:space="0" w:color="auto"/>
              <w:bottom w:val="single" w:sz="4" w:space="0" w:color="auto"/>
              <w:right w:val="single" w:sz="4" w:space="0" w:color="auto"/>
            </w:tcBorders>
            <w:hideMark/>
          </w:tcPr>
          <w:p w14:paraId="1E986DC3" w14:textId="77777777" w:rsidR="00DA1087" w:rsidRPr="00651588" w:rsidRDefault="00DA1087" w:rsidP="00457CE9">
            <w:pPr>
              <w:rPr>
                <w:rFonts w:ascii="Times New Roman" w:hAnsi="Times New Roman" w:cs="Times New Roman"/>
                <w:sz w:val="24"/>
                <w:szCs w:val="24"/>
                <w:lang w:val="kk-KZ"/>
              </w:rPr>
            </w:pPr>
            <w:r w:rsidRPr="00651588">
              <w:rPr>
                <w:rFonts w:ascii="Times New Roman" w:hAnsi="Times New Roman" w:cs="Times New Roman"/>
                <w:sz w:val="24"/>
                <w:szCs w:val="24"/>
              </w:rPr>
              <w:t>Нәтижелі жұмыспен қамту және жаппай кәсіпкерлік жөніндегі іс-шараларды іске асыру</w:t>
            </w:r>
          </w:p>
        </w:tc>
      </w:tr>
      <w:tr w:rsidR="00DA1087" w:rsidRPr="00DA1087" w14:paraId="4A1D47AA"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D5D958F"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267</w:t>
            </w:r>
          </w:p>
        </w:tc>
        <w:tc>
          <w:tcPr>
            <w:tcW w:w="8785" w:type="dxa"/>
            <w:tcBorders>
              <w:top w:val="single" w:sz="4" w:space="0" w:color="auto"/>
              <w:left w:val="single" w:sz="4" w:space="0" w:color="auto"/>
              <w:bottom w:val="single" w:sz="4" w:space="0" w:color="auto"/>
              <w:right w:val="single" w:sz="4" w:space="0" w:color="auto"/>
            </w:tcBorders>
            <w:hideMark/>
          </w:tcPr>
          <w:p w14:paraId="5A3F5142"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Білім мен ғылыми зерттеулердің қолжетімділігін арттыру</w:t>
            </w:r>
          </w:p>
        </w:tc>
      </w:tr>
      <w:tr w:rsidR="00DA1087" w:rsidRPr="00DA1087" w14:paraId="30E23F77"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E2BB7E0"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268</w:t>
            </w:r>
          </w:p>
        </w:tc>
        <w:tc>
          <w:tcPr>
            <w:tcW w:w="8785" w:type="dxa"/>
            <w:tcBorders>
              <w:top w:val="single" w:sz="4" w:space="0" w:color="auto"/>
              <w:left w:val="single" w:sz="4" w:space="0" w:color="auto"/>
              <w:bottom w:val="single" w:sz="4" w:space="0" w:color="auto"/>
              <w:right w:val="single" w:sz="4" w:space="0" w:color="auto"/>
            </w:tcBorders>
            <w:hideMark/>
          </w:tcPr>
          <w:p w14:paraId="1E39F7C0"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Суару және дренаж жүйелерін жетілдіру</w:t>
            </w:r>
          </w:p>
        </w:tc>
      </w:tr>
      <w:tr w:rsidR="00DA1087" w:rsidRPr="00DA1087" w14:paraId="02855959"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6E866C03"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269</w:t>
            </w:r>
          </w:p>
        </w:tc>
        <w:tc>
          <w:tcPr>
            <w:tcW w:w="8785" w:type="dxa"/>
            <w:tcBorders>
              <w:top w:val="single" w:sz="4" w:space="0" w:color="auto"/>
              <w:left w:val="single" w:sz="4" w:space="0" w:color="auto"/>
              <w:bottom w:val="single" w:sz="4" w:space="0" w:color="auto"/>
              <w:right w:val="single" w:sz="4" w:space="0" w:color="auto"/>
            </w:tcBorders>
            <w:vAlign w:val="bottom"/>
            <w:hideMark/>
          </w:tcPr>
          <w:p w14:paraId="35EA8F39" w14:textId="19C2A7DD"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 xml:space="preserve">Ғылыми ұйымдарды жаңғырту үшін </w:t>
            </w:r>
            <w:r w:rsidRPr="00DA1087">
              <w:rPr>
                <w:rFonts w:ascii="Times New Roman" w:hAnsi="Times New Roman" w:cs="Times New Roman"/>
                <w:sz w:val="24"/>
                <w:szCs w:val="24"/>
                <w:lang w:val="kk-KZ"/>
              </w:rPr>
              <w:t>«Ұ</w:t>
            </w:r>
            <w:r w:rsidRPr="00DA1087">
              <w:rPr>
                <w:rFonts w:ascii="Times New Roman" w:hAnsi="Times New Roman" w:cs="Times New Roman"/>
                <w:sz w:val="24"/>
                <w:szCs w:val="24"/>
              </w:rPr>
              <w:t>лттық аграрлық ғылыми-білім беру орталығы</w:t>
            </w:r>
            <w:r w:rsidRPr="00DA1087">
              <w:rPr>
                <w:rFonts w:ascii="Times New Roman" w:hAnsi="Times New Roman" w:cs="Times New Roman"/>
                <w:sz w:val="24"/>
                <w:szCs w:val="24"/>
                <w:lang w:val="kk-KZ"/>
              </w:rPr>
              <w:t>»</w:t>
            </w:r>
            <w:r w:rsidRPr="00DA1087">
              <w:rPr>
                <w:rFonts w:ascii="Times New Roman" w:hAnsi="Times New Roman" w:cs="Times New Roman"/>
                <w:sz w:val="24"/>
                <w:szCs w:val="24"/>
              </w:rPr>
              <w:t xml:space="preserve"> К</w:t>
            </w:r>
            <w:r w:rsidR="000D577B">
              <w:rPr>
                <w:rFonts w:ascii="Times New Roman" w:hAnsi="Times New Roman" w:cs="Times New Roman"/>
                <w:sz w:val="24"/>
                <w:szCs w:val="24"/>
                <w:lang w:val="kk-KZ"/>
              </w:rPr>
              <w:t>е</w:t>
            </w:r>
            <w:r w:rsidRPr="00DA1087">
              <w:rPr>
                <w:rFonts w:ascii="Times New Roman" w:hAnsi="Times New Roman" w:cs="Times New Roman"/>
                <w:sz w:val="24"/>
                <w:szCs w:val="24"/>
              </w:rPr>
              <w:t>АҚ жарғылық капиталын ұлғайту</w:t>
            </w:r>
          </w:p>
        </w:tc>
      </w:tr>
      <w:tr w:rsidR="00DA1087" w:rsidRPr="00DA1087" w14:paraId="4F70C526"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2636932D"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063</w:t>
            </w:r>
          </w:p>
        </w:tc>
        <w:tc>
          <w:tcPr>
            <w:tcW w:w="8785" w:type="dxa"/>
            <w:tcBorders>
              <w:top w:val="single" w:sz="4" w:space="0" w:color="auto"/>
              <w:left w:val="single" w:sz="4" w:space="0" w:color="auto"/>
              <w:bottom w:val="single" w:sz="4" w:space="0" w:color="auto"/>
              <w:right w:val="single" w:sz="4" w:space="0" w:color="auto"/>
            </w:tcBorders>
            <w:vAlign w:val="bottom"/>
            <w:hideMark/>
          </w:tcPr>
          <w:p w14:paraId="16B8ED35"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 xml:space="preserve">Солтүстік Қазақстан облысының облыстық бюджетіне </w:t>
            </w:r>
            <w:r w:rsidRPr="00DA1087">
              <w:rPr>
                <w:rFonts w:ascii="Times New Roman" w:hAnsi="Times New Roman" w:cs="Times New Roman"/>
                <w:sz w:val="24"/>
                <w:szCs w:val="24"/>
                <w:lang w:val="kk-KZ"/>
              </w:rPr>
              <w:t>«</w:t>
            </w:r>
            <w:r w:rsidRPr="00DA1087">
              <w:rPr>
                <w:rFonts w:ascii="Times New Roman" w:hAnsi="Times New Roman" w:cs="Times New Roman"/>
                <w:sz w:val="24"/>
                <w:szCs w:val="24"/>
              </w:rPr>
              <w:t>Солтүстік</w:t>
            </w:r>
            <w:r w:rsidRPr="00DA1087">
              <w:rPr>
                <w:rFonts w:ascii="Times New Roman" w:hAnsi="Times New Roman" w:cs="Times New Roman"/>
                <w:sz w:val="24"/>
                <w:szCs w:val="24"/>
                <w:lang w:val="kk-KZ"/>
              </w:rPr>
              <w:t xml:space="preserve">» </w:t>
            </w:r>
            <w:r w:rsidRPr="00DA1087">
              <w:rPr>
                <w:rFonts w:ascii="Times New Roman" w:hAnsi="Times New Roman" w:cs="Times New Roman"/>
                <w:sz w:val="24"/>
                <w:szCs w:val="24"/>
              </w:rPr>
              <w:t>әлеуметтік-кәсіпкерлік корпорациясы</w:t>
            </w:r>
            <w:r w:rsidRPr="00DA1087">
              <w:rPr>
                <w:rFonts w:ascii="Times New Roman" w:hAnsi="Times New Roman" w:cs="Times New Roman"/>
                <w:sz w:val="24"/>
                <w:szCs w:val="24"/>
                <w:lang w:val="kk-KZ"/>
              </w:rPr>
              <w:t xml:space="preserve">» </w:t>
            </w:r>
            <w:r w:rsidRPr="00DA1087">
              <w:rPr>
                <w:rFonts w:ascii="Times New Roman" w:hAnsi="Times New Roman" w:cs="Times New Roman"/>
                <w:sz w:val="24"/>
                <w:szCs w:val="24"/>
              </w:rPr>
              <w:t>АҚ</w:t>
            </w:r>
            <w:r w:rsidRPr="00DA1087">
              <w:rPr>
                <w:rFonts w:ascii="Times New Roman" w:hAnsi="Times New Roman" w:cs="Times New Roman"/>
                <w:sz w:val="24"/>
                <w:szCs w:val="24"/>
                <w:lang w:val="kk-KZ"/>
              </w:rPr>
              <w:t xml:space="preserve">-ның </w:t>
            </w:r>
            <w:r w:rsidRPr="00DA1087">
              <w:rPr>
                <w:rFonts w:ascii="Times New Roman" w:hAnsi="Times New Roman" w:cs="Times New Roman"/>
                <w:sz w:val="24"/>
                <w:szCs w:val="24"/>
              </w:rPr>
              <w:t>жарғылық капиталын ұлғайтуға берілетін нысаналы даму трансферттері</w:t>
            </w:r>
          </w:p>
        </w:tc>
      </w:tr>
      <w:tr w:rsidR="00DA1087" w:rsidRPr="00DA1087" w14:paraId="04C8BAE6"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4C2C86E0"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lang w:val="kk-KZ"/>
              </w:rPr>
              <w:t>006</w:t>
            </w:r>
          </w:p>
        </w:tc>
        <w:tc>
          <w:tcPr>
            <w:tcW w:w="8785" w:type="dxa"/>
            <w:tcBorders>
              <w:top w:val="single" w:sz="4" w:space="0" w:color="auto"/>
              <w:left w:val="single" w:sz="4" w:space="0" w:color="auto"/>
              <w:bottom w:val="single" w:sz="4" w:space="0" w:color="auto"/>
              <w:right w:val="single" w:sz="4" w:space="0" w:color="auto"/>
            </w:tcBorders>
            <w:hideMark/>
          </w:tcPr>
          <w:p w14:paraId="633F0C53" w14:textId="47AC9C85"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 xml:space="preserve">Ауылдық елді мекендерде және шағын қалаларда микрокредит беру үшін облыстық бюджеттерге </w:t>
            </w:r>
            <w:r w:rsidR="000D577B">
              <w:rPr>
                <w:rFonts w:ascii="Times New Roman" w:hAnsi="Times New Roman" w:cs="Times New Roman"/>
                <w:sz w:val="24"/>
                <w:szCs w:val="24"/>
                <w:lang w:val="kk-KZ"/>
              </w:rPr>
              <w:t>несие</w:t>
            </w:r>
            <w:r w:rsidRPr="00DA1087">
              <w:rPr>
                <w:rFonts w:ascii="Times New Roman" w:hAnsi="Times New Roman" w:cs="Times New Roman"/>
                <w:sz w:val="24"/>
                <w:szCs w:val="24"/>
                <w:lang w:val="kk-KZ"/>
              </w:rPr>
              <w:t xml:space="preserve"> беру</w:t>
            </w:r>
          </w:p>
        </w:tc>
      </w:tr>
      <w:tr w:rsidR="00DA1087" w:rsidRPr="00DA1087" w14:paraId="0AF7BD05"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372ACECD"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lang w:val="kk-KZ"/>
              </w:rPr>
              <w:t>013</w:t>
            </w:r>
          </w:p>
        </w:tc>
        <w:tc>
          <w:tcPr>
            <w:tcW w:w="8785" w:type="dxa"/>
            <w:tcBorders>
              <w:top w:val="single" w:sz="4" w:space="0" w:color="auto"/>
              <w:left w:val="single" w:sz="4" w:space="0" w:color="auto"/>
              <w:bottom w:val="single" w:sz="4" w:space="0" w:color="auto"/>
              <w:right w:val="single" w:sz="4" w:space="0" w:color="auto"/>
            </w:tcBorders>
            <w:hideMark/>
          </w:tcPr>
          <w:p w14:paraId="004C5223" w14:textId="1565AC26"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 xml:space="preserve">Агроөнеркәсіптік кешен субъектілерінің ирригациялық жүйелерді сатып алуы және оларды орнату бойынша дайындық жұмыстарын қаржыландыру үшін облыстық бюджеттерге </w:t>
            </w:r>
            <w:r w:rsidR="000D577B">
              <w:rPr>
                <w:rFonts w:ascii="Times New Roman" w:hAnsi="Times New Roman" w:cs="Times New Roman"/>
                <w:sz w:val="24"/>
                <w:szCs w:val="24"/>
                <w:lang w:val="kk-KZ"/>
              </w:rPr>
              <w:t>несие</w:t>
            </w:r>
            <w:r w:rsidRPr="00DA1087">
              <w:rPr>
                <w:rFonts w:ascii="Times New Roman" w:hAnsi="Times New Roman" w:cs="Times New Roman"/>
                <w:sz w:val="24"/>
                <w:szCs w:val="24"/>
                <w:lang w:val="kk-KZ"/>
              </w:rPr>
              <w:t xml:space="preserve"> беру</w:t>
            </w:r>
          </w:p>
        </w:tc>
      </w:tr>
      <w:tr w:rsidR="00DA1087" w:rsidRPr="00DA1087" w14:paraId="67DB74A7"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2DD1785"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lang w:val="kk-KZ"/>
              </w:rPr>
              <w:t>100</w:t>
            </w:r>
          </w:p>
        </w:tc>
        <w:tc>
          <w:tcPr>
            <w:tcW w:w="8785" w:type="dxa"/>
            <w:tcBorders>
              <w:top w:val="single" w:sz="4" w:space="0" w:color="auto"/>
              <w:left w:val="single" w:sz="4" w:space="0" w:color="auto"/>
              <w:bottom w:val="single" w:sz="4" w:space="0" w:color="auto"/>
              <w:right w:val="single" w:sz="4" w:space="0" w:color="auto"/>
            </w:tcBorders>
            <w:hideMark/>
          </w:tcPr>
          <w:p w14:paraId="26DC2DF2"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Қазақстан Республикасы Үкіметінің төтенше резерві есебінен іс-шаралар өткізу</w:t>
            </w:r>
          </w:p>
        </w:tc>
      </w:tr>
      <w:tr w:rsidR="00DA1087" w:rsidRPr="00DA1087" w14:paraId="4E505AEF"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371CB279"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rPr>
              <w:t>004</w:t>
            </w:r>
          </w:p>
        </w:tc>
        <w:tc>
          <w:tcPr>
            <w:tcW w:w="8785" w:type="dxa"/>
            <w:tcBorders>
              <w:top w:val="single" w:sz="4" w:space="0" w:color="auto"/>
              <w:left w:val="single" w:sz="4" w:space="0" w:color="auto"/>
              <w:bottom w:val="single" w:sz="4" w:space="0" w:color="auto"/>
              <w:right w:val="single" w:sz="4" w:space="0" w:color="auto"/>
            </w:tcBorders>
            <w:hideMark/>
          </w:tcPr>
          <w:p w14:paraId="62F78FB1" w14:textId="5787605C"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 xml:space="preserve">Солтүстік Қазақстан облысының облыстық бюджетіне </w:t>
            </w:r>
            <w:r w:rsidRPr="00DA1087">
              <w:rPr>
                <w:rFonts w:ascii="Times New Roman" w:hAnsi="Times New Roman" w:cs="Times New Roman"/>
                <w:sz w:val="24"/>
                <w:szCs w:val="24"/>
                <w:lang w:val="kk-KZ"/>
              </w:rPr>
              <w:t>«</w:t>
            </w:r>
            <w:r w:rsidRPr="00DA1087">
              <w:rPr>
                <w:rFonts w:ascii="Times New Roman" w:hAnsi="Times New Roman" w:cs="Times New Roman"/>
                <w:sz w:val="24"/>
                <w:szCs w:val="24"/>
              </w:rPr>
              <w:t>Солтүстік әлеуметтік кәсіпкерлік корпорациясы</w:t>
            </w:r>
            <w:r w:rsidRPr="00DA1087">
              <w:rPr>
                <w:rFonts w:ascii="Times New Roman" w:hAnsi="Times New Roman" w:cs="Times New Roman"/>
                <w:sz w:val="24"/>
                <w:szCs w:val="24"/>
                <w:lang w:val="kk-KZ"/>
              </w:rPr>
              <w:t xml:space="preserve">» </w:t>
            </w:r>
            <w:r w:rsidRPr="00DA1087">
              <w:rPr>
                <w:rFonts w:ascii="Times New Roman" w:hAnsi="Times New Roman" w:cs="Times New Roman"/>
                <w:sz w:val="24"/>
                <w:szCs w:val="24"/>
              </w:rPr>
              <w:t>АҚ жарғылық капиталын ұлғайтуға берілетін нысаналы даму трансферттері</w:t>
            </w:r>
          </w:p>
        </w:tc>
      </w:tr>
      <w:tr w:rsidR="00DA1087" w:rsidRPr="00DA1087" w14:paraId="69360955"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28BE6CC5"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lang w:val="kk-KZ"/>
              </w:rPr>
              <w:t>005</w:t>
            </w:r>
          </w:p>
        </w:tc>
        <w:tc>
          <w:tcPr>
            <w:tcW w:w="8785" w:type="dxa"/>
            <w:tcBorders>
              <w:top w:val="single" w:sz="4" w:space="0" w:color="auto"/>
              <w:left w:val="single" w:sz="4" w:space="0" w:color="auto"/>
              <w:bottom w:val="single" w:sz="4" w:space="0" w:color="auto"/>
              <w:right w:val="single" w:sz="4" w:space="0" w:color="auto"/>
            </w:tcBorders>
            <w:hideMark/>
          </w:tcPr>
          <w:p w14:paraId="2C5F9078" w14:textId="1F4F6BBF"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lang w:val="kk-KZ"/>
              </w:rPr>
              <w:t>Агроөнеркәсіптік кешенді ынталандыру жөніндегі мемлекеттік саясатты іске асыру үшін «Азық-түлік келісімшарттық корпорациясы «Ұлттық компаниясы» АҚ жарғылық капиталын ұлғайту</w:t>
            </w:r>
          </w:p>
        </w:tc>
      </w:tr>
      <w:tr w:rsidR="00DA1087" w:rsidRPr="00DA1087" w14:paraId="665D0C05" w14:textId="77777777" w:rsidTr="00DA1087">
        <w:trP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7AA6C706" w14:textId="77777777" w:rsidR="00DA1087" w:rsidRPr="00DA1087" w:rsidRDefault="00DA1087" w:rsidP="00457CE9">
            <w:pPr>
              <w:jc w:val="center"/>
              <w:rPr>
                <w:rFonts w:ascii="Times New Roman" w:hAnsi="Times New Roman" w:cs="Times New Roman"/>
                <w:sz w:val="24"/>
                <w:szCs w:val="24"/>
              </w:rPr>
            </w:pPr>
            <w:r w:rsidRPr="00DA1087">
              <w:rPr>
                <w:rFonts w:ascii="Times New Roman" w:hAnsi="Times New Roman" w:cs="Times New Roman"/>
                <w:sz w:val="24"/>
                <w:szCs w:val="24"/>
                <w:lang w:val="kk-KZ"/>
              </w:rPr>
              <w:t>212</w:t>
            </w:r>
          </w:p>
        </w:tc>
        <w:tc>
          <w:tcPr>
            <w:tcW w:w="8785" w:type="dxa"/>
            <w:tcBorders>
              <w:top w:val="single" w:sz="4" w:space="0" w:color="auto"/>
              <w:left w:val="single" w:sz="4" w:space="0" w:color="auto"/>
              <w:bottom w:val="single" w:sz="4" w:space="0" w:color="auto"/>
              <w:right w:val="single" w:sz="4" w:space="0" w:color="auto"/>
            </w:tcBorders>
            <w:hideMark/>
          </w:tcPr>
          <w:p w14:paraId="6B2E32BA" w14:textId="77777777" w:rsidR="00DA1087" w:rsidRPr="00DA1087" w:rsidRDefault="00DA1087" w:rsidP="00457CE9">
            <w:pPr>
              <w:rPr>
                <w:rFonts w:ascii="Times New Roman" w:hAnsi="Times New Roman" w:cs="Times New Roman"/>
                <w:sz w:val="24"/>
                <w:szCs w:val="24"/>
                <w:lang w:val="kk-KZ"/>
              </w:rPr>
            </w:pPr>
            <w:r w:rsidRPr="00DA1087">
              <w:rPr>
                <w:rFonts w:ascii="Times New Roman" w:hAnsi="Times New Roman" w:cs="Times New Roman"/>
                <w:sz w:val="24"/>
                <w:szCs w:val="24"/>
              </w:rPr>
              <w:t>Қазақстан Республикасының Ауыл шаруашылығы министрлігі</w:t>
            </w:r>
          </w:p>
        </w:tc>
      </w:tr>
      <w:tr w:rsidR="00DA1087" w:rsidRPr="00DA1087" w14:paraId="62BF4DD9" w14:textId="77777777" w:rsidTr="00DA1087">
        <w:trPr>
          <w:jc w:val="center"/>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FE9ADDA" w14:textId="4DFC2A38" w:rsidR="00DA1087" w:rsidRPr="00DA1087" w:rsidRDefault="00DA1087" w:rsidP="003E4615">
            <w:pPr>
              <w:ind w:firstLine="632"/>
              <w:rPr>
                <w:rFonts w:ascii="Times New Roman" w:hAnsi="Times New Roman" w:cs="Times New Roman"/>
                <w:sz w:val="24"/>
                <w:szCs w:val="24"/>
              </w:rPr>
            </w:pPr>
            <w:r w:rsidRPr="00DA1087">
              <w:rPr>
                <w:rFonts w:ascii="Times New Roman" w:eastAsia="Calibri" w:hAnsi="Times New Roman" w:cs="Times New Roman"/>
                <w:sz w:val="24"/>
                <w:szCs w:val="24"/>
              </w:rPr>
              <w:t>Ескерту –</w:t>
            </w:r>
            <w:r w:rsidRPr="00DA1087">
              <w:rPr>
                <w:rFonts w:ascii="Times New Roman" w:eastAsia="Calibri" w:hAnsi="Times New Roman" w:cs="Times New Roman"/>
                <w:bCs/>
                <w:sz w:val="24"/>
                <w:szCs w:val="24"/>
                <w:lang w:val="kk-KZ"/>
              </w:rPr>
              <w:t xml:space="preserve"> Әдебиет негізінде құралған </w:t>
            </w:r>
            <w:r w:rsidRPr="00DA1087">
              <w:rPr>
                <w:rFonts w:ascii="Times New Roman" w:hAnsi="Times New Roman" w:cs="Times New Roman"/>
                <w:sz w:val="24"/>
                <w:szCs w:val="24"/>
              </w:rPr>
              <w:t xml:space="preserve"> [</w:t>
            </w:r>
            <w:r w:rsidR="00D0056B">
              <w:rPr>
                <w:rFonts w:ascii="Times New Roman" w:hAnsi="Times New Roman" w:cs="Times New Roman"/>
                <w:sz w:val="24"/>
                <w:szCs w:val="24"/>
                <w:lang w:val="kk-KZ"/>
              </w:rPr>
              <w:t>8</w:t>
            </w:r>
            <w:r w:rsidR="00943D2A">
              <w:rPr>
                <w:rFonts w:ascii="Times New Roman" w:hAnsi="Times New Roman" w:cs="Times New Roman"/>
                <w:sz w:val="24"/>
                <w:szCs w:val="24"/>
                <w:lang w:val="en-US"/>
              </w:rPr>
              <w:t>3</w:t>
            </w:r>
            <w:r w:rsidRPr="00DA1087">
              <w:rPr>
                <w:rFonts w:ascii="Times New Roman" w:hAnsi="Times New Roman" w:cs="Times New Roman"/>
                <w:sz w:val="24"/>
                <w:szCs w:val="24"/>
              </w:rPr>
              <w:t>-</w:t>
            </w:r>
            <w:r w:rsidR="00943D2A">
              <w:rPr>
                <w:rFonts w:ascii="Times New Roman" w:hAnsi="Times New Roman" w:cs="Times New Roman"/>
                <w:sz w:val="24"/>
                <w:szCs w:val="24"/>
                <w:lang w:val="en-US"/>
              </w:rPr>
              <w:t>97</w:t>
            </w:r>
            <w:r w:rsidRPr="00DA1087">
              <w:rPr>
                <w:rFonts w:ascii="Times New Roman" w:hAnsi="Times New Roman" w:cs="Times New Roman"/>
                <w:sz w:val="24"/>
                <w:szCs w:val="24"/>
              </w:rPr>
              <w:t xml:space="preserve">] </w:t>
            </w:r>
          </w:p>
        </w:tc>
      </w:tr>
    </w:tbl>
    <w:p w14:paraId="393348DB" w14:textId="76F51D5F" w:rsidR="00DA1087" w:rsidRDefault="00DA1087" w:rsidP="00457CE9">
      <w:pPr>
        <w:spacing w:after="0" w:line="240" w:lineRule="auto"/>
        <w:ind w:firstLine="709"/>
        <w:jc w:val="both"/>
        <w:rPr>
          <w:rFonts w:ascii="Times New Roman" w:hAnsi="Times New Roman" w:cs="Times New Roman"/>
          <w:sz w:val="28"/>
          <w:szCs w:val="28"/>
          <w:lang w:val="kk-KZ"/>
        </w:rPr>
      </w:pPr>
    </w:p>
    <w:p w14:paraId="53487ABC" w14:textId="77777777" w:rsidR="000D577B" w:rsidRDefault="000D577B" w:rsidP="000D577B">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hAnsi="Times New Roman" w:cs="Times New Roman"/>
          <w:sz w:val="28"/>
          <w:szCs w:val="28"/>
          <w:lang w:val="kk-KZ"/>
        </w:rPr>
        <w:t>212 «Ауыл шаруашылығы министрлігі» бюджет бағдарламасының әкімшісі АӨК дамыту бағдарламасын әзірлеуші және іске асыратын орган ретінде ҚР «Республикалық бюджет туралы» заңына сәйкес бөлінген бюджет қаражатын қайта бөлуді жүзеге асырады.</w:t>
      </w:r>
    </w:p>
    <w:p w14:paraId="31490E73" w14:textId="76087052" w:rsidR="00B746F2" w:rsidRPr="00457CE9" w:rsidRDefault="00F62826" w:rsidP="003E4615">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2016-2022 жылдарға Ауыл шаруашылығы министрлігінің бюджеттік бағдарламалары шығындарының құрамы мен құрылымы</w:t>
      </w:r>
      <w:r w:rsidR="00651588">
        <w:rPr>
          <w:rFonts w:ascii="Times New Roman" w:hAnsi="Times New Roman" w:cs="Times New Roman"/>
          <w:sz w:val="28"/>
          <w:szCs w:val="28"/>
          <w:lang w:val="kk-KZ"/>
        </w:rPr>
        <w:t>ның динамикасы</w:t>
      </w:r>
      <w:r w:rsidRPr="00457CE9">
        <w:rPr>
          <w:rFonts w:ascii="Times New Roman" w:hAnsi="Times New Roman" w:cs="Times New Roman"/>
          <w:sz w:val="28"/>
          <w:szCs w:val="28"/>
          <w:lang w:val="kk-KZ"/>
        </w:rPr>
        <w:t xml:space="preserve"> </w:t>
      </w:r>
      <w:r w:rsidR="008B6865" w:rsidRPr="00457CE9">
        <w:rPr>
          <w:rFonts w:ascii="Times New Roman" w:hAnsi="Times New Roman" w:cs="Times New Roman"/>
          <w:sz w:val="28"/>
          <w:szCs w:val="28"/>
          <w:lang w:val="kk-KZ"/>
        </w:rPr>
        <w:t>1</w:t>
      </w:r>
      <w:r w:rsidR="00023296">
        <w:rPr>
          <w:rFonts w:ascii="Times New Roman" w:hAnsi="Times New Roman" w:cs="Times New Roman"/>
          <w:sz w:val="28"/>
          <w:szCs w:val="28"/>
          <w:lang w:val="kk-KZ"/>
        </w:rPr>
        <w:t>2</w:t>
      </w:r>
      <w:r w:rsidRPr="00457CE9">
        <w:rPr>
          <w:rFonts w:ascii="Times New Roman" w:hAnsi="Times New Roman" w:cs="Times New Roman"/>
          <w:sz w:val="28"/>
          <w:szCs w:val="28"/>
          <w:lang w:val="kk-KZ"/>
        </w:rPr>
        <w:t>-кестеде келтірілген.</w:t>
      </w:r>
    </w:p>
    <w:p w14:paraId="58178EEB" w14:textId="36E5E587" w:rsidR="003E4615" w:rsidRDefault="00B746F2" w:rsidP="003E4615">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2016-2022 жылдар аралығында іске асырылған бюджет бағдарламаларының саны әртүрлі, мәселен 2016 жылы 23, 2017 жылы 22, 2018 жылы 26, 2019 жылы 17, 2020 жылы 15, 2021 жылы 13, 2022 жылы 16 бюджеттік бағдарламалары іске асырылған [</w:t>
      </w:r>
      <w:r w:rsidR="00943D2A" w:rsidRPr="00943D2A">
        <w:rPr>
          <w:rFonts w:ascii="Times New Roman" w:hAnsi="Times New Roman" w:cs="Times New Roman"/>
          <w:sz w:val="28"/>
          <w:szCs w:val="28"/>
          <w:lang w:val="kk-KZ"/>
        </w:rPr>
        <w:t>8</w:t>
      </w:r>
      <w:r w:rsidR="00D87119" w:rsidRPr="00457CE9">
        <w:rPr>
          <w:rFonts w:ascii="Times New Roman" w:hAnsi="Times New Roman" w:cs="Times New Roman"/>
          <w:sz w:val="28"/>
          <w:szCs w:val="28"/>
          <w:lang w:val="kk-KZ"/>
        </w:rPr>
        <w:t>3-</w:t>
      </w:r>
      <w:r w:rsidR="00943D2A" w:rsidRPr="00943D2A">
        <w:rPr>
          <w:rFonts w:ascii="Times New Roman" w:hAnsi="Times New Roman" w:cs="Times New Roman"/>
          <w:sz w:val="28"/>
          <w:szCs w:val="28"/>
          <w:lang w:val="kk-KZ"/>
        </w:rPr>
        <w:t>97</w:t>
      </w:r>
      <w:r w:rsidRPr="00457CE9">
        <w:rPr>
          <w:rFonts w:ascii="Times New Roman" w:hAnsi="Times New Roman" w:cs="Times New Roman"/>
          <w:sz w:val="28"/>
          <w:szCs w:val="28"/>
          <w:lang w:val="kk-KZ"/>
        </w:rPr>
        <w:t>].</w:t>
      </w:r>
      <w:r w:rsidR="009B4CC2" w:rsidRPr="00457CE9">
        <w:rPr>
          <w:rFonts w:ascii="Times New Roman" w:hAnsi="Times New Roman" w:cs="Times New Roman"/>
          <w:sz w:val="28"/>
          <w:szCs w:val="28"/>
          <w:lang w:val="kk-KZ"/>
        </w:rPr>
        <w:t xml:space="preserve"> </w:t>
      </w:r>
    </w:p>
    <w:p w14:paraId="5FD90C55" w14:textId="77777777" w:rsidR="003E4615" w:rsidRDefault="003E4615" w:rsidP="003E4615">
      <w:pPr>
        <w:spacing w:after="0" w:line="240" w:lineRule="auto"/>
        <w:ind w:firstLine="709"/>
        <w:jc w:val="both"/>
        <w:rPr>
          <w:rFonts w:ascii="Times New Roman" w:hAnsi="Times New Roman" w:cs="Times New Roman"/>
          <w:sz w:val="28"/>
          <w:szCs w:val="28"/>
          <w:lang w:val="kk-KZ"/>
        </w:rPr>
      </w:pPr>
    </w:p>
    <w:p w14:paraId="743C54CD" w14:textId="229A0E43" w:rsidR="002802A8" w:rsidRDefault="002802A8"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8B6865" w:rsidRPr="00457CE9">
        <w:rPr>
          <w:rFonts w:ascii="Times New Roman" w:hAnsi="Times New Roman" w:cs="Times New Roman"/>
          <w:sz w:val="28"/>
          <w:szCs w:val="28"/>
          <w:lang w:val="kk-KZ"/>
        </w:rPr>
        <w:t>1</w:t>
      </w:r>
      <w:r w:rsidR="00023296">
        <w:rPr>
          <w:rFonts w:ascii="Times New Roman" w:hAnsi="Times New Roman" w:cs="Times New Roman"/>
          <w:sz w:val="28"/>
          <w:szCs w:val="28"/>
          <w:lang w:val="kk-KZ"/>
        </w:rPr>
        <w:t>2</w:t>
      </w:r>
      <w:r w:rsidRPr="00457CE9">
        <w:rPr>
          <w:rFonts w:ascii="Times New Roman" w:hAnsi="Times New Roman" w:cs="Times New Roman"/>
          <w:sz w:val="28"/>
          <w:szCs w:val="28"/>
          <w:lang w:val="kk-KZ"/>
        </w:rPr>
        <w:t xml:space="preserve"> – 201</w:t>
      </w:r>
      <w:r w:rsidR="000E2244" w:rsidRPr="00457CE9">
        <w:rPr>
          <w:rFonts w:ascii="Times New Roman" w:hAnsi="Times New Roman" w:cs="Times New Roman"/>
          <w:sz w:val="28"/>
          <w:szCs w:val="28"/>
          <w:lang w:val="kk-KZ"/>
        </w:rPr>
        <w:t>6</w:t>
      </w:r>
      <w:r w:rsidR="000D2C6B" w:rsidRPr="00457CE9">
        <w:rPr>
          <w:rFonts w:ascii="Times New Roman" w:hAnsi="Times New Roman" w:cs="Times New Roman"/>
          <w:sz w:val="28"/>
          <w:szCs w:val="28"/>
          <w:lang w:val="kk-KZ"/>
        </w:rPr>
        <w:t>-2022</w:t>
      </w:r>
      <w:r w:rsidRPr="00457CE9">
        <w:rPr>
          <w:rFonts w:ascii="Times New Roman" w:hAnsi="Times New Roman" w:cs="Times New Roman"/>
          <w:sz w:val="28"/>
          <w:szCs w:val="28"/>
          <w:lang w:val="kk-KZ"/>
        </w:rPr>
        <w:t xml:space="preserve"> жылға А</w:t>
      </w:r>
      <w:r w:rsidR="000D2C6B" w:rsidRPr="00457CE9">
        <w:rPr>
          <w:rFonts w:ascii="Times New Roman" w:hAnsi="Times New Roman" w:cs="Times New Roman"/>
          <w:sz w:val="28"/>
          <w:szCs w:val="28"/>
          <w:lang w:val="kk-KZ"/>
        </w:rPr>
        <w:t>уыл шаруашылығы министрлігі</w:t>
      </w:r>
      <w:r w:rsidRPr="00457CE9">
        <w:rPr>
          <w:rFonts w:ascii="Times New Roman" w:hAnsi="Times New Roman" w:cs="Times New Roman"/>
          <w:sz w:val="28"/>
          <w:szCs w:val="28"/>
          <w:lang w:val="kk-KZ"/>
        </w:rPr>
        <w:t>нің бюджеттік бағдарламалары шығындарының құрамы мен құрылымы, млн.</w:t>
      </w:r>
      <w:r w:rsidR="003E4615">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теңге</w:t>
      </w:r>
    </w:p>
    <w:p w14:paraId="5882F6C2" w14:textId="77777777" w:rsidR="003E4615" w:rsidRPr="003E4615" w:rsidRDefault="003E4615" w:rsidP="00457CE9">
      <w:pPr>
        <w:spacing w:after="0" w:line="240" w:lineRule="auto"/>
        <w:jc w:val="both"/>
        <w:rPr>
          <w:rFonts w:ascii="Times New Roman" w:hAnsi="Times New Roman" w:cs="Times New Roman"/>
          <w:sz w:val="16"/>
          <w:szCs w:val="16"/>
          <w:lang w:val="kk-KZ"/>
        </w:rPr>
      </w:pPr>
    </w:p>
    <w:tbl>
      <w:tblPr>
        <w:tblStyle w:val="a3"/>
        <w:tblW w:w="9538" w:type="dxa"/>
        <w:jc w:val="center"/>
        <w:tblLayout w:type="fixed"/>
        <w:tblLook w:val="04A0" w:firstRow="1" w:lastRow="0" w:firstColumn="1" w:lastColumn="0" w:noHBand="0" w:noVBand="1"/>
      </w:tblPr>
      <w:tblGrid>
        <w:gridCol w:w="943"/>
        <w:gridCol w:w="1345"/>
        <w:gridCol w:w="1596"/>
        <w:gridCol w:w="1470"/>
        <w:gridCol w:w="1427"/>
        <w:gridCol w:w="1400"/>
        <w:gridCol w:w="1357"/>
      </w:tblGrid>
      <w:tr w:rsidR="003E4615" w:rsidRPr="003E4615" w14:paraId="45558D4A" w14:textId="77777777" w:rsidTr="00C95FCE">
        <w:trPr>
          <w:jc w:val="center"/>
        </w:trPr>
        <w:tc>
          <w:tcPr>
            <w:tcW w:w="943" w:type="dxa"/>
            <w:shd w:val="clear" w:color="auto" w:fill="auto"/>
            <w:vAlign w:val="center"/>
          </w:tcPr>
          <w:p w14:paraId="095D32A7" w14:textId="7F629422"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Коды</w:t>
            </w:r>
          </w:p>
        </w:tc>
        <w:tc>
          <w:tcPr>
            <w:tcW w:w="1345" w:type="dxa"/>
            <w:shd w:val="clear" w:color="auto" w:fill="auto"/>
            <w:vAlign w:val="center"/>
          </w:tcPr>
          <w:p w14:paraId="4A209B7F" w14:textId="6D27761A"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2016 жыл</w:t>
            </w:r>
          </w:p>
        </w:tc>
        <w:tc>
          <w:tcPr>
            <w:tcW w:w="1596" w:type="dxa"/>
            <w:shd w:val="clear" w:color="auto" w:fill="auto"/>
            <w:vAlign w:val="center"/>
          </w:tcPr>
          <w:p w14:paraId="5809109E" w14:textId="1DEAA53B"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 xml:space="preserve">Үлесі, </w:t>
            </w:r>
            <w:r w:rsidRPr="003E4615">
              <w:rPr>
                <w:rFonts w:ascii="Times New Roman" w:hAnsi="Times New Roman" w:cs="Times New Roman"/>
                <w:sz w:val="24"/>
                <w:szCs w:val="24"/>
              </w:rPr>
              <w:t>%</w:t>
            </w:r>
          </w:p>
        </w:tc>
        <w:tc>
          <w:tcPr>
            <w:tcW w:w="1470" w:type="dxa"/>
            <w:shd w:val="clear" w:color="auto" w:fill="auto"/>
            <w:vAlign w:val="center"/>
          </w:tcPr>
          <w:p w14:paraId="6C18A570" w14:textId="207C34FA"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2017 жыл</w:t>
            </w:r>
          </w:p>
        </w:tc>
        <w:tc>
          <w:tcPr>
            <w:tcW w:w="1427" w:type="dxa"/>
            <w:shd w:val="clear" w:color="auto" w:fill="auto"/>
            <w:vAlign w:val="center"/>
          </w:tcPr>
          <w:p w14:paraId="088FAEBB" w14:textId="26C08B20"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Үлесі, %</w:t>
            </w:r>
          </w:p>
        </w:tc>
        <w:tc>
          <w:tcPr>
            <w:tcW w:w="1400" w:type="dxa"/>
            <w:shd w:val="clear" w:color="auto" w:fill="auto"/>
            <w:vAlign w:val="center"/>
          </w:tcPr>
          <w:p w14:paraId="0B2EE4EC" w14:textId="0CDD18C5"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2018 жыл</w:t>
            </w:r>
          </w:p>
        </w:tc>
        <w:tc>
          <w:tcPr>
            <w:tcW w:w="1357" w:type="dxa"/>
            <w:shd w:val="clear" w:color="auto" w:fill="auto"/>
            <w:vAlign w:val="center"/>
          </w:tcPr>
          <w:p w14:paraId="2110F2ED" w14:textId="190C0400"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Үлесі, %</w:t>
            </w:r>
          </w:p>
        </w:tc>
      </w:tr>
      <w:tr w:rsidR="003E4615" w:rsidRPr="003E4615" w14:paraId="5CA568D5" w14:textId="77777777" w:rsidTr="00C95FCE">
        <w:trPr>
          <w:jc w:val="center"/>
        </w:trPr>
        <w:tc>
          <w:tcPr>
            <w:tcW w:w="943" w:type="dxa"/>
            <w:shd w:val="clear" w:color="auto" w:fill="auto"/>
            <w:vAlign w:val="center"/>
          </w:tcPr>
          <w:p w14:paraId="5631B040" w14:textId="50B3A199"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45" w:type="dxa"/>
            <w:shd w:val="clear" w:color="auto" w:fill="auto"/>
            <w:vAlign w:val="center"/>
          </w:tcPr>
          <w:p w14:paraId="4B435BEB" w14:textId="164B4BD8"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96" w:type="dxa"/>
            <w:shd w:val="clear" w:color="auto" w:fill="auto"/>
            <w:vAlign w:val="center"/>
          </w:tcPr>
          <w:p w14:paraId="722A29F3" w14:textId="61A9481A"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70" w:type="dxa"/>
            <w:shd w:val="clear" w:color="auto" w:fill="auto"/>
            <w:vAlign w:val="center"/>
          </w:tcPr>
          <w:p w14:paraId="5698387A" w14:textId="363FF4D9"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27" w:type="dxa"/>
            <w:shd w:val="clear" w:color="auto" w:fill="auto"/>
            <w:vAlign w:val="center"/>
          </w:tcPr>
          <w:p w14:paraId="28BB7B0F" w14:textId="4EA0F5C8"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00" w:type="dxa"/>
            <w:shd w:val="clear" w:color="auto" w:fill="auto"/>
            <w:vAlign w:val="center"/>
          </w:tcPr>
          <w:p w14:paraId="3B6CC704" w14:textId="1001E867"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57" w:type="dxa"/>
            <w:shd w:val="clear" w:color="auto" w:fill="auto"/>
            <w:vAlign w:val="center"/>
          </w:tcPr>
          <w:p w14:paraId="571BB2C1" w14:textId="343D7CBA" w:rsidR="003E4615" w:rsidRPr="003E4615" w:rsidRDefault="003E4615" w:rsidP="003E4615">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E4615" w:rsidRPr="003E4615" w14:paraId="6329595B" w14:textId="77777777" w:rsidTr="00C95FCE">
        <w:trPr>
          <w:jc w:val="center"/>
        </w:trPr>
        <w:tc>
          <w:tcPr>
            <w:tcW w:w="943" w:type="dxa"/>
            <w:shd w:val="clear" w:color="auto" w:fill="auto"/>
            <w:vAlign w:val="center"/>
          </w:tcPr>
          <w:p w14:paraId="0A369190" w14:textId="03D9E447"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00</w:t>
            </w:r>
            <w:r w:rsidRPr="003E4615">
              <w:rPr>
                <w:rFonts w:ascii="Times New Roman" w:hAnsi="Times New Roman" w:cs="Times New Roman"/>
                <w:sz w:val="24"/>
                <w:szCs w:val="24"/>
              </w:rPr>
              <w:t>1</w:t>
            </w:r>
          </w:p>
        </w:tc>
        <w:tc>
          <w:tcPr>
            <w:tcW w:w="1345" w:type="dxa"/>
            <w:shd w:val="clear" w:color="auto" w:fill="auto"/>
            <w:vAlign w:val="center"/>
          </w:tcPr>
          <w:p w14:paraId="1B1C052B" w14:textId="4DD17D8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rPr>
              <w:t>13368</w:t>
            </w:r>
            <w:r w:rsidRPr="003E4615">
              <w:rPr>
                <w:rFonts w:ascii="Times New Roman" w:hAnsi="Times New Roman" w:cs="Times New Roman"/>
                <w:sz w:val="24"/>
                <w:szCs w:val="24"/>
                <w:lang w:val="kk-KZ"/>
              </w:rPr>
              <w:t>,3</w:t>
            </w:r>
          </w:p>
        </w:tc>
        <w:tc>
          <w:tcPr>
            <w:tcW w:w="1596" w:type="dxa"/>
            <w:shd w:val="clear" w:color="auto" w:fill="auto"/>
            <w:vAlign w:val="center"/>
          </w:tcPr>
          <w:p w14:paraId="25B9B528" w14:textId="78CAA87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4,09</w:t>
            </w:r>
          </w:p>
        </w:tc>
        <w:tc>
          <w:tcPr>
            <w:tcW w:w="1470" w:type="dxa"/>
            <w:shd w:val="clear" w:color="auto" w:fill="auto"/>
            <w:vAlign w:val="center"/>
          </w:tcPr>
          <w:p w14:paraId="768A21D1" w14:textId="6ECF6745"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11699</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427" w:type="dxa"/>
            <w:shd w:val="clear" w:color="auto" w:fill="auto"/>
            <w:vAlign w:val="center"/>
          </w:tcPr>
          <w:p w14:paraId="2C40514D" w14:textId="566D4AF0"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3,36</w:t>
            </w:r>
          </w:p>
        </w:tc>
        <w:tc>
          <w:tcPr>
            <w:tcW w:w="1400" w:type="dxa"/>
            <w:shd w:val="clear" w:color="auto" w:fill="auto"/>
            <w:vAlign w:val="center"/>
          </w:tcPr>
          <w:p w14:paraId="3A7BD2E9" w14:textId="7D0243F2"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rPr>
              <w:t>13802</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4</w:t>
            </w:r>
          </w:p>
        </w:tc>
        <w:tc>
          <w:tcPr>
            <w:tcW w:w="1357" w:type="dxa"/>
            <w:shd w:val="clear" w:color="auto" w:fill="auto"/>
            <w:vAlign w:val="center"/>
          </w:tcPr>
          <w:p w14:paraId="3B57099D" w14:textId="5AF593D9"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3,42</w:t>
            </w:r>
          </w:p>
        </w:tc>
      </w:tr>
      <w:tr w:rsidR="003E4615" w:rsidRPr="003E4615" w14:paraId="431796D9" w14:textId="77777777" w:rsidTr="00C95FCE">
        <w:trPr>
          <w:jc w:val="center"/>
        </w:trPr>
        <w:tc>
          <w:tcPr>
            <w:tcW w:w="943" w:type="dxa"/>
            <w:shd w:val="clear" w:color="auto" w:fill="auto"/>
            <w:vAlign w:val="center"/>
          </w:tcPr>
          <w:p w14:paraId="08C609CD" w14:textId="68472832"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023</w:t>
            </w:r>
          </w:p>
        </w:tc>
        <w:tc>
          <w:tcPr>
            <w:tcW w:w="1345" w:type="dxa"/>
            <w:shd w:val="clear" w:color="auto" w:fill="auto"/>
            <w:vAlign w:val="center"/>
          </w:tcPr>
          <w:p w14:paraId="7F2ACC9C" w14:textId="11ADF56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rPr>
              <w:t>60000,0</w:t>
            </w:r>
          </w:p>
        </w:tc>
        <w:tc>
          <w:tcPr>
            <w:tcW w:w="1596" w:type="dxa"/>
            <w:shd w:val="clear" w:color="auto" w:fill="auto"/>
            <w:vAlign w:val="center"/>
          </w:tcPr>
          <w:p w14:paraId="0173A330" w14:textId="59AC93A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lang w:val="kk-KZ"/>
              </w:rPr>
              <w:t>18,3</w:t>
            </w:r>
          </w:p>
        </w:tc>
        <w:tc>
          <w:tcPr>
            <w:tcW w:w="1470" w:type="dxa"/>
            <w:shd w:val="clear" w:color="auto" w:fill="auto"/>
            <w:vAlign w:val="center"/>
          </w:tcPr>
          <w:p w14:paraId="3CFE2906" w14:textId="6DDCCDC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7D78A6BD" w14:textId="4ACE225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18A19F84" w14:textId="6107D9CA"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0B71525D" w14:textId="7D53E1E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57412D94" w14:textId="77777777" w:rsidTr="00C95FCE">
        <w:trPr>
          <w:jc w:val="center"/>
        </w:trPr>
        <w:tc>
          <w:tcPr>
            <w:tcW w:w="943" w:type="dxa"/>
            <w:shd w:val="clear" w:color="auto" w:fill="auto"/>
            <w:vAlign w:val="center"/>
          </w:tcPr>
          <w:p w14:paraId="5F13167C" w14:textId="19789AD7"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136</w:t>
            </w:r>
          </w:p>
        </w:tc>
        <w:tc>
          <w:tcPr>
            <w:tcW w:w="1345" w:type="dxa"/>
            <w:shd w:val="clear" w:color="auto" w:fill="auto"/>
            <w:vAlign w:val="center"/>
          </w:tcPr>
          <w:p w14:paraId="47281223" w14:textId="70D10730"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11</w:t>
            </w:r>
            <w:r w:rsidRPr="003E4615">
              <w:rPr>
                <w:rFonts w:ascii="Times New Roman" w:hAnsi="Times New Roman" w:cs="Times New Roman"/>
                <w:sz w:val="24"/>
                <w:szCs w:val="24"/>
                <w:lang w:val="kk-KZ"/>
              </w:rPr>
              <w:t>,3</w:t>
            </w:r>
          </w:p>
        </w:tc>
        <w:tc>
          <w:tcPr>
            <w:tcW w:w="1596" w:type="dxa"/>
            <w:shd w:val="clear" w:color="auto" w:fill="auto"/>
            <w:vAlign w:val="center"/>
          </w:tcPr>
          <w:p w14:paraId="674CA241" w14:textId="1E0DB7B2"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0,03</w:t>
            </w:r>
          </w:p>
        </w:tc>
        <w:tc>
          <w:tcPr>
            <w:tcW w:w="1470" w:type="dxa"/>
            <w:shd w:val="clear" w:color="auto" w:fill="auto"/>
            <w:vAlign w:val="center"/>
          </w:tcPr>
          <w:p w14:paraId="01F973C7" w14:textId="053AFC1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59DB5CCD" w14:textId="42E5D2C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4F841790" w14:textId="05D4D127"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1988E028" w14:textId="291D68F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14B0385C" w14:textId="77777777" w:rsidTr="00C95FCE">
        <w:trPr>
          <w:jc w:val="center"/>
        </w:trPr>
        <w:tc>
          <w:tcPr>
            <w:tcW w:w="943" w:type="dxa"/>
            <w:shd w:val="clear" w:color="auto" w:fill="auto"/>
            <w:vAlign w:val="center"/>
          </w:tcPr>
          <w:p w14:paraId="23962055" w14:textId="324215C9"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233</w:t>
            </w:r>
          </w:p>
        </w:tc>
        <w:tc>
          <w:tcPr>
            <w:tcW w:w="1345" w:type="dxa"/>
            <w:shd w:val="clear" w:color="auto" w:fill="auto"/>
            <w:vAlign w:val="center"/>
          </w:tcPr>
          <w:p w14:paraId="642EB9EC" w14:textId="2C4A92A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51</w:t>
            </w:r>
            <w:r w:rsidRPr="003E4615">
              <w:rPr>
                <w:rFonts w:ascii="Times New Roman" w:hAnsi="Times New Roman" w:cs="Times New Roman"/>
                <w:sz w:val="24"/>
                <w:szCs w:val="24"/>
                <w:lang w:val="kk-KZ"/>
              </w:rPr>
              <w:t>,4</w:t>
            </w:r>
          </w:p>
        </w:tc>
        <w:tc>
          <w:tcPr>
            <w:tcW w:w="1596" w:type="dxa"/>
            <w:shd w:val="clear" w:color="auto" w:fill="auto"/>
            <w:vAlign w:val="center"/>
          </w:tcPr>
          <w:p w14:paraId="6F9F7D21" w14:textId="43E96B02"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0,02</w:t>
            </w:r>
          </w:p>
        </w:tc>
        <w:tc>
          <w:tcPr>
            <w:tcW w:w="1470" w:type="dxa"/>
            <w:shd w:val="clear" w:color="auto" w:fill="auto"/>
            <w:vAlign w:val="center"/>
          </w:tcPr>
          <w:p w14:paraId="5490587E" w14:textId="50686E0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409FBD34" w14:textId="5150F5F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4B2A4F27" w14:textId="29F95AF4"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312B6E26" w14:textId="67E1700C"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51138FC7" w14:textId="77777777" w:rsidTr="00C95FCE">
        <w:trPr>
          <w:jc w:val="center"/>
        </w:trPr>
        <w:tc>
          <w:tcPr>
            <w:tcW w:w="943" w:type="dxa"/>
            <w:shd w:val="clear" w:color="auto" w:fill="auto"/>
            <w:vAlign w:val="center"/>
          </w:tcPr>
          <w:p w14:paraId="10E7D2DF" w14:textId="6CBB111A"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248</w:t>
            </w:r>
          </w:p>
        </w:tc>
        <w:tc>
          <w:tcPr>
            <w:tcW w:w="1345" w:type="dxa"/>
            <w:shd w:val="clear" w:color="auto" w:fill="auto"/>
            <w:vAlign w:val="center"/>
          </w:tcPr>
          <w:p w14:paraId="6C9EDDE0" w14:textId="5F8C096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518</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1</w:t>
            </w:r>
          </w:p>
        </w:tc>
        <w:tc>
          <w:tcPr>
            <w:tcW w:w="1596" w:type="dxa"/>
            <w:shd w:val="clear" w:color="auto" w:fill="auto"/>
            <w:vAlign w:val="center"/>
          </w:tcPr>
          <w:p w14:paraId="25B2BF75" w14:textId="1A52ABE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lang w:val="kk-KZ"/>
              </w:rPr>
              <w:t>0,16</w:t>
            </w:r>
          </w:p>
        </w:tc>
        <w:tc>
          <w:tcPr>
            <w:tcW w:w="1470" w:type="dxa"/>
            <w:shd w:val="clear" w:color="auto" w:fill="auto"/>
            <w:vAlign w:val="center"/>
          </w:tcPr>
          <w:p w14:paraId="5567A054" w14:textId="5E23020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037E9288" w14:textId="0011BA0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29C820FB" w14:textId="4319B50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7DA61226" w14:textId="23CA1E6C"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67912854" w14:textId="77777777" w:rsidTr="00C95FCE">
        <w:trPr>
          <w:jc w:val="center"/>
        </w:trPr>
        <w:tc>
          <w:tcPr>
            <w:tcW w:w="943" w:type="dxa"/>
            <w:shd w:val="clear" w:color="auto" w:fill="auto"/>
            <w:vAlign w:val="center"/>
          </w:tcPr>
          <w:p w14:paraId="67112506" w14:textId="7098DEA8"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253</w:t>
            </w:r>
          </w:p>
        </w:tc>
        <w:tc>
          <w:tcPr>
            <w:tcW w:w="1345" w:type="dxa"/>
            <w:shd w:val="clear" w:color="auto" w:fill="auto"/>
            <w:vAlign w:val="center"/>
          </w:tcPr>
          <w:p w14:paraId="2A955001" w14:textId="33A2BFE7"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1023</w:t>
            </w:r>
            <w:r w:rsidRPr="003E4615">
              <w:rPr>
                <w:rFonts w:ascii="Times New Roman" w:hAnsi="Times New Roman" w:cs="Times New Roman"/>
                <w:sz w:val="24"/>
                <w:szCs w:val="24"/>
                <w:lang w:val="kk-KZ"/>
              </w:rPr>
              <w:t>,7</w:t>
            </w:r>
          </w:p>
        </w:tc>
        <w:tc>
          <w:tcPr>
            <w:tcW w:w="1596" w:type="dxa"/>
            <w:shd w:val="clear" w:color="auto" w:fill="auto"/>
            <w:vAlign w:val="center"/>
          </w:tcPr>
          <w:p w14:paraId="3D2B0E8E" w14:textId="05A8D7EA"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0,31</w:t>
            </w:r>
          </w:p>
        </w:tc>
        <w:tc>
          <w:tcPr>
            <w:tcW w:w="1470" w:type="dxa"/>
            <w:shd w:val="clear" w:color="auto" w:fill="auto"/>
            <w:vAlign w:val="center"/>
          </w:tcPr>
          <w:p w14:paraId="37DA2F69" w14:textId="4C434A6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4859901B" w14:textId="4C8B207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2EFA4828" w14:textId="106A8D5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52AEF308" w14:textId="226F933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7BA597E9" w14:textId="77777777" w:rsidTr="00C95FCE">
        <w:trPr>
          <w:jc w:val="center"/>
        </w:trPr>
        <w:tc>
          <w:tcPr>
            <w:tcW w:w="943" w:type="dxa"/>
            <w:shd w:val="clear" w:color="auto" w:fill="auto"/>
            <w:vAlign w:val="center"/>
          </w:tcPr>
          <w:p w14:paraId="368976C8" w14:textId="396FDB10"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257</w:t>
            </w:r>
          </w:p>
        </w:tc>
        <w:tc>
          <w:tcPr>
            <w:tcW w:w="1345" w:type="dxa"/>
            <w:shd w:val="clear" w:color="auto" w:fill="auto"/>
            <w:vAlign w:val="center"/>
          </w:tcPr>
          <w:p w14:paraId="2CE2E9F0" w14:textId="1333D15A"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1850,0</w:t>
            </w:r>
          </w:p>
        </w:tc>
        <w:tc>
          <w:tcPr>
            <w:tcW w:w="1596" w:type="dxa"/>
            <w:shd w:val="clear" w:color="auto" w:fill="auto"/>
            <w:vAlign w:val="center"/>
          </w:tcPr>
          <w:p w14:paraId="183579B3" w14:textId="45F329AF"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0,57</w:t>
            </w:r>
          </w:p>
        </w:tc>
        <w:tc>
          <w:tcPr>
            <w:tcW w:w="1470" w:type="dxa"/>
            <w:shd w:val="clear" w:color="auto" w:fill="auto"/>
            <w:vAlign w:val="center"/>
          </w:tcPr>
          <w:p w14:paraId="568A95E0" w14:textId="62BE11D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1DA4A804" w14:textId="30BF0B8C"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50CE5BAC" w14:textId="2C2AB44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179FB47F" w14:textId="0EF48FD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1792B037" w14:textId="77777777" w:rsidTr="00C95FCE">
        <w:trPr>
          <w:jc w:val="center"/>
        </w:trPr>
        <w:tc>
          <w:tcPr>
            <w:tcW w:w="943" w:type="dxa"/>
            <w:shd w:val="clear" w:color="auto" w:fill="auto"/>
            <w:vAlign w:val="center"/>
          </w:tcPr>
          <w:p w14:paraId="633B8205" w14:textId="1C92FD10"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152</w:t>
            </w:r>
          </w:p>
        </w:tc>
        <w:tc>
          <w:tcPr>
            <w:tcW w:w="1345" w:type="dxa"/>
            <w:shd w:val="clear" w:color="auto" w:fill="auto"/>
            <w:vAlign w:val="center"/>
          </w:tcPr>
          <w:p w14:paraId="4CBE8BD6" w14:textId="4E030429"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1893</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9</w:t>
            </w:r>
          </w:p>
        </w:tc>
        <w:tc>
          <w:tcPr>
            <w:tcW w:w="1596" w:type="dxa"/>
            <w:shd w:val="clear" w:color="auto" w:fill="auto"/>
            <w:vAlign w:val="center"/>
          </w:tcPr>
          <w:p w14:paraId="45077E10" w14:textId="64C37F52"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rPr>
              <w:t>0,58</w:t>
            </w:r>
          </w:p>
        </w:tc>
        <w:tc>
          <w:tcPr>
            <w:tcW w:w="1470" w:type="dxa"/>
            <w:shd w:val="clear" w:color="auto" w:fill="auto"/>
            <w:vAlign w:val="center"/>
          </w:tcPr>
          <w:p w14:paraId="4B7C062D" w14:textId="3AF8523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871</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4</w:t>
            </w:r>
          </w:p>
        </w:tc>
        <w:tc>
          <w:tcPr>
            <w:tcW w:w="1427" w:type="dxa"/>
            <w:shd w:val="clear" w:color="auto" w:fill="auto"/>
            <w:vAlign w:val="center"/>
          </w:tcPr>
          <w:p w14:paraId="7005C86F" w14:textId="6377EC1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0,25</w:t>
            </w:r>
          </w:p>
        </w:tc>
        <w:tc>
          <w:tcPr>
            <w:tcW w:w="1400" w:type="dxa"/>
            <w:shd w:val="clear" w:color="auto" w:fill="auto"/>
            <w:vAlign w:val="center"/>
          </w:tcPr>
          <w:p w14:paraId="28E72D3B" w14:textId="0AA9FB57"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47BF0148" w14:textId="361BF42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4BEAFCE7" w14:textId="77777777" w:rsidTr="00C95FCE">
        <w:trPr>
          <w:jc w:val="center"/>
        </w:trPr>
        <w:tc>
          <w:tcPr>
            <w:tcW w:w="943" w:type="dxa"/>
            <w:shd w:val="clear" w:color="auto" w:fill="auto"/>
            <w:vAlign w:val="center"/>
          </w:tcPr>
          <w:p w14:paraId="719A18B2" w14:textId="681C312F"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105</w:t>
            </w:r>
          </w:p>
        </w:tc>
        <w:tc>
          <w:tcPr>
            <w:tcW w:w="1345" w:type="dxa"/>
            <w:shd w:val="clear" w:color="auto" w:fill="auto"/>
            <w:vAlign w:val="center"/>
          </w:tcPr>
          <w:p w14:paraId="353CBF5E" w14:textId="1C97B79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21</w:t>
            </w:r>
            <w:r w:rsidRPr="003E4615">
              <w:rPr>
                <w:rFonts w:ascii="Times New Roman" w:hAnsi="Times New Roman" w:cs="Times New Roman"/>
                <w:sz w:val="24"/>
                <w:szCs w:val="24"/>
                <w:lang w:val="kk-KZ"/>
              </w:rPr>
              <w:t>,9</w:t>
            </w:r>
          </w:p>
        </w:tc>
        <w:tc>
          <w:tcPr>
            <w:tcW w:w="1596" w:type="dxa"/>
            <w:shd w:val="clear" w:color="auto" w:fill="auto"/>
            <w:vAlign w:val="center"/>
          </w:tcPr>
          <w:p w14:paraId="768637A3" w14:textId="036BA5DB"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rPr>
              <w:t>0,01</w:t>
            </w:r>
          </w:p>
        </w:tc>
        <w:tc>
          <w:tcPr>
            <w:tcW w:w="1470" w:type="dxa"/>
            <w:shd w:val="clear" w:color="auto" w:fill="auto"/>
            <w:vAlign w:val="center"/>
          </w:tcPr>
          <w:p w14:paraId="161154CA" w14:textId="53C66F4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358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8</w:t>
            </w:r>
          </w:p>
        </w:tc>
        <w:tc>
          <w:tcPr>
            <w:tcW w:w="1427" w:type="dxa"/>
            <w:shd w:val="clear" w:color="auto" w:fill="auto"/>
            <w:vAlign w:val="center"/>
          </w:tcPr>
          <w:p w14:paraId="31EE8481" w14:textId="7EA8549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0,1</w:t>
            </w:r>
          </w:p>
        </w:tc>
        <w:tc>
          <w:tcPr>
            <w:tcW w:w="1400" w:type="dxa"/>
            <w:shd w:val="clear" w:color="auto" w:fill="auto"/>
            <w:vAlign w:val="center"/>
          </w:tcPr>
          <w:p w14:paraId="265E0868" w14:textId="1AC1A4C8"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color w:val="000000"/>
                <w:sz w:val="24"/>
                <w:szCs w:val="24"/>
              </w:rPr>
              <w:t>277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357" w:type="dxa"/>
            <w:shd w:val="clear" w:color="auto" w:fill="auto"/>
            <w:vAlign w:val="center"/>
          </w:tcPr>
          <w:p w14:paraId="00753276" w14:textId="11DB5F9B"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0,07</w:t>
            </w:r>
          </w:p>
        </w:tc>
      </w:tr>
      <w:tr w:rsidR="003E4615" w:rsidRPr="003E4615" w14:paraId="79C6A707" w14:textId="77777777" w:rsidTr="00C95FCE">
        <w:trPr>
          <w:jc w:val="center"/>
        </w:trPr>
        <w:tc>
          <w:tcPr>
            <w:tcW w:w="943" w:type="dxa"/>
            <w:shd w:val="clear" w:color="auto" w:fill="auto"/>
            <w:vAlign w:val="center"/>
          </w:tcPr>
          <w:p w14:paraId="19CB6F2F" w14:textId="55D24CF3"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241</w:t>
            </w:r>
          </w:p>
        </w:tc>
        <w:tc>
          <w:tcPr>
            <w:tcW w:w="1345" w:type="dxa"/>
            <w:shd w:val="clear" w:color="auto" w:fill="auto"/>
            <w:vAlign w:val="center"/>
          </w:tcPr>
          <w:p w14:paraId="2C750E41" w14:textId="7FDEE55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710,0</w:t>
            </w:r>
          </w:p>
        </w:tc>
        <w:tc>
          <w:tcPr>
            <w:tcW w:w="1596" w:type="dxa"/>
            <w:shd w:val="clear" w:color="auto" w:fill="auto"/>
            <w:vAlign w:val="center"/>
          </w:tcPr>
          <w:p w14:paraId="21B0A596" w14:textId="2511E78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0,22</w:t>
            </w:r>
          </w:p>
        </w:tc>
        <w:tc>
          <w:tcPr>
            <w:tcW w:w="1470" w:type="dxa"/>
            <w:shd w:val="clear" w:color="auto" w:fill="auto"/>
            <w:vAlign w:val="center"/>
          </w:tcPr>
          <w:p w14:paraId="10CD3A65" w14:textId="3AEB9EC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7675</w:t>
            </w:r>
            <w:r w:rsidRPr="003E4615">
              <w:rPr>
                <w:rFonts w:ascii="Times New Roman" w:hAnsi="Times New Roman" w:cs="Times New Roman"/>
                <w:color w:val="000000"/>
                <w:sz w:val="24"/>
                <w:szCs w:val="24"/>
                <w:lang w:val="kk-KZ"/>
              </w:rPr>
              <w:t>,1</w:t>
            </w:r>
          </w:p>
        </w:tc>
        <w:tc>
          <w:tcPr>
            <w:tcW w:w="1427" w:type="dxa"/>
            <w:shd w:val="clear" w:color="auto" w:fill="auto"/>
            <w:vAlign w:val="center"/>
          </w:tcPr>
          <w:p w14:paraId="2C45F26F" w14:textId="7C36FA6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2,21</w:t>
            </w:r>
          </w:p>
        </w:tc>
        <w:tc>
          <w:tcPr>
            <w:tcW w:w="1400" w:type="dxa"/>
            <w:shd w:val="clear" w:color="auto" w:fill="auto"/>
            <w:vAlign w:val="center"/>
          </w:tcPr>
          <w:p w14:paraId="12725994" w14:textId="64303D05"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color w:val="000000"/>
                <w:sz w:val="24"/>
                <w:szCs w:val="24"/>
              </w:rPr>
              <w:t>9950</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357" w:type="dxa"/>
            <w:shd w:val="clear" w:color="auto" w:fill="auto"/>
            <w:vAlign w:val="center"/>
          </w:tcPr>
          <w:p w14:paraId="47E340A8" w14:textId="29A1C44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2,47</w:t>
            </w:r>
          </w:p>
        </w:tc>
      </w:tr>
      <w:tr w:rsidR="003E4615" w:rsidRPr="003E4615" w14:paraId="3A4DDB33" w14:textId="77777777" w:rsidTr="00C95FCE">
        <w:trPr>
          <w:jc w:val="center"/>
        </w:trPr>
        <w:tc>
          <w:tcPr>
            <w:tcW w:w="943" w:type="dxa"/>
            <w:shd w:val="clear" w:color="auto" w:fill="auto"/>
            <w:vAlign w:val="center"/>
          </w:tcPr>
          <w:p w14:paraId="37245BE6" w14:textId="769638FA"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254</w:t>
            </w:r>
          </w:p>
        </w:tc>
        <w:tc>
          <w:tcPr>
            <w:tcW w:w="1345" w:type="dxa"/>
            <w:shd w:val="clear" w:color="auto" w:fill="auto"/>
            <w:vAlign w:val="center"/>
          </w:tcPr>
          <w:p w14:paraId="08E65CCD" w14:textId="7C14C02F"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27662</w:t>
            </w:r>
            <w:r w:rsidRPr="003E4615">
              <w:rPr>
                <w:rFonts w:ascii="Times New Roman" w:hAnsi="Times New Roman" w:cs="Times New Roman"/>
                <w:sz w:val="24"/>
                <w:szCs w:val="24"/>
                <w:lang w:val="kk-KZ"/>
              </w:rPr>
              <w:t>,8</w:t>
            </w:r>
          </w:p>
        </w:tc>
        <w:tc>
          <w:tcPr>
            <w:tcW w:w="1596" w:type="dxa"/>
            <w:shd w:val="clear" w:color="auto" w:fill="auto"/>
            <w:vAlign w:val="center"/>
          </w:tcPr>
          <w:p w14:paraId="0882DA93" w14:textId="431DC48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8,46</w:t>
            </w:r>
          </w:p>
        </w:tc>
        <w:tc>
          <w:tcPr>
            <w:tcW w:w="1470" w:type="dxa"/>
            <w:shd w:val="clear" w:color="auto" w:fill="auto"/>
            <w:vAlign w:val="center"/>
          </w:tcPr>
          <w:p w14:paraId="1F07F26D" w14:textId="6809802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lang w:val="kk-KZ"/>
              </w:rPr>
              <w:t>37474,5</w:t>
            </w:r>
          </w:p>
        </w:tc>
        <w:tc>
          <w:tcPr>
            <w:tcW w:w="1427" w:type="dxa"/>
            <w:shd w:val="clear" w:color="auto" w:fill="auto"/>
            <w:vAlign w:val="center"/>
          </w:tcPr>
          <w:p w14:paraId="0EEBFBD8" w14:textId="4F87385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4,51</w:t>
            </w:r>
          </w:p>
        </w:tc>
        <w:tc>
          <w:tcPr>
            <w:tcW w:w="1400" w:type="dxa"/>
            <w:shd w:val="clear" w:color="auto" w:fill="auto"/>
            <w:vAlign w:val="center"/>
          </w:tcPr>
          <w:p w14:paraId="0E294272" w14:textId="1188E3A2"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34707,1</w:t>
            </w:r>
          </w:p>
        </w:tc>
        <w:tc>
          <w:tcPr>
            <w:tcW w:w="1357" w:type="dxa"/>
            <w:shd w:val="clear" w:color="auto" w:fill="auto"/>
            <w:vAlign w:val="center"/>
          </w:tcPr>
          <w:p w14:paraId="5FE6D2FF" w14:textId="4B916DA8"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4,04</w:t>
            </w:r>
          </w:p>
        </w:tc>
      </w:tr>
      <w:tr w:rsidR="003E4615" w:rsidRPr="003E4615" w14:paraId="18B05AD8" w14:textId="77777777" w:rsidTr="00C95FCE">
        <w:trPr>
          <w:jc w:val="center"/>
        </w:trPr>
        <w:tc>
          <w:tcPr>
            <w:tcW w:w="943" w:type="dxa"/>
            <w:shd w:val="clear" w:color="auto" w:fill="auto"/>
            <w:vAlign w:val="center"/>
          </w:tcPr>
          <w:p w14:paraId="7E48F21A" w14:textId="23F94745"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256</w:t>
            </w:r>
          </w:p>
        </w:tc>
        <w:tc>
          <w:tcPr>
            <w:tcW w:w="1345" w:type="dxa"/>
            <w:shd w:val="clear" w:color="auto" w:fill="auto"/>
            <w:vAlign w:val="center"/>
          </w:tcPr>
          <w:p w14:paraId="4F7CDE2F" w14:textId="2D2FE2E1"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15638</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9</w:t>
            </w:r>
          </w:p>
        </w:tc>
        <w:tc>
          <w:tcPr>
            <w:tcW w:w="1596" w:type="dxa"/>
            <w:shd w:val="clear" w:color="auto" w:fill="auto"/>
            <w:vAlign w:val="center"/>
          </w:tcPr>
          <w:p w14:paraId="04648BF7" w14:textId="211FB02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4,78</w:t>
            </w:r>
          </w:p>
        </w:tc>
        <w:tc>
          <w:tcPr>
            <w:tcW w:w="1470" w:type="dxa"/>
            <w:shd w:val="clear" w:color="auto" w:fill="auto"/>
            <w:vAlign w:val="center"/>
          </w:tcPr>
          <w:p w14:paraId="205A42DF" w14:textId="57B5768C"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17407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427" w:type="dxa"/>
            <w:shd w:val="clear" w:color="auto" w:fill="auto"/>
            <w:vAlign w:val="center"/>
          </w:tcPr>
          <w:p w14:paraId="41C42B12" w14:textId="6791C36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5</w:t>
            </w:r>
          </w:p>
        </w:tc>
        <w:tc>
          <w:tcPr>
            <w:tcW w:w="1400" w:type="dxa"/>
            <w:shd w:val="clear" w:color="auto" w:fill="auto"/>
            <w:vAlign w:val="center"/>
          </w:tcPr>
          <w:p w14:paraId="1DB52503" w14:textId="5E0251DC"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rPr>
              <w:t>18410</w:t>
            </w:r>
            <w:r w:rsidRPr="003E4615">
              <w:rPr>
                <w:rFonts w:ascii="Times New Roman" w:hAnsi="Times New Roman" w:cs="Times New Roman"/>
                <w:sz w:val="24"/>
                <w:szCs w:val="24"/>
                <w:lang w:val="kk-KZ"/>
              </w:rPr>
              <w:t>,3</w:t>
            </w:r>
          </w:p>
        </w:tc>
        <w:tc>
          <w:tcPr>
            <w:tcW w:w="1357" w:type="dxa"/>
            <w:shd w:val="clear" w:color="auto" w:fill="auto"/>
            <w:vAlign w:val="center"/>
          </w:tcPr>
          <w:p w14:paraId="4959A4E7" w14:textId="1A0B400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4,57</w:t>
            </w:r>
          </w:p>
        </w:tc>
      </w:tr>
      <w:tr w:rsidR="003E4615" w:rsidRPr="003E4615" w14:paraId="3CC079D3" w14:textId="77777777" w:rsidTr="00C95FCE">
        <w:trPr>
          <w:jc w:val="center"/>
        </w:trPr>
        <w:tc>
          <w:tcPr>
            <w:tcW w:w="943" w:type="dxa"/>
            <w:shd w:val="clear" w:color="auto" w:fill="auto"/>
            <w:vAlign w:val="center"/>
          </w:tcPr>
          <w:p w14:paraId="419EF6B5" w14:textId="241955FA"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263</w:t>
            </w:r>
          </w:p>
        </w:tc>
        <w:tc>
          <w:tcPr>
            <w:tcW w:w="1345" w:type="dxa"/>
            <w:shd w:val="clear" w:color="auto" w:fill="auto"/>
            <w:vAlign w:val="center"/>
          </w:tcPr>
          <w:p w14:paraId="0A6B4D55" w14:textId="7B040AE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622</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5</w:t>
            </w:r>
          </w:p>
        </w:tc>
        <w:tc>
          <w:tcPr>
            <w:tcW w:w="1596" w:type="dxa"/>
            <w:shd w:val="clear" w:color="auto" w:fill="auto"/>
            <w:vAlign w:val="center"/>
          </w:tcPr>
          <w:p w14:paraId="5182659C" w14:textId="6523D4E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0,19</w:t>
            </w:r>
          </w:p>
        </w:tc>
        <w:tc>
          <w:tcPr>
            <w:tcW w:w="1470" w:type="dxa"/>
            <w:shd w:val="clear" w:color="auto" w:fill="auto"/>
            <w:vAlign w:val="center"/>
          </w:tcPr>
          <w:p w14:paraId="1280E033" w14:textId="2AAC762B"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rPr>
              <w:t>734</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3</w:t>
            </w:r>
          </w:p>
        </w:tc>
        <w:tc>
          <w:tcPr>
            <w:tcW w:w="1427" w:type="dxa"/>
            <w:shd w:val="clear" w:color="auto" w:fill="auto"/>
            <w:vAlign w:val="center"/>
          </w:tcPr>
          <w:p w14:paraId="7525C5C9" w14:textId="353E22F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0,21</w:t>
            </w:r>
          </w:p>
        </w:tc>
        <w:tc>
          <w:tcPr>
            <w:tcW w:w="1400" w:type="dxa"/>
            <w:shd w:val="clear" w:color="auto" w:fill="auto"/>
            <w:vAlign w:val="center"/>
          </w:tcPr>
          <w:p w14:paraId="4521B83D" w14:textId="2BCF50CB"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rPr>
              <w:t>223</w:t>
            </w:r>
            <w:r w:rsidRPr="003E4615">
              <w:rPr>
                <w:rFonts w:ascii="Times New Roman" w:hAnsi="Times New Roman" w:cs="Times New Roman"/>
                <w:color w:val="000000"/>
                <w:sz w:val="24"/>
                <w:szCs w:val="24"/>
                <w:lang w:val="kk-KZ"/>
              </w:rPr>
              <w:t>,1</w:t>
            </w:r>
          </w:p>
        </w:tc>
        <w:tc>
          <w:tcPr>
            <w:tcW w:w="1357" w:type="dxa"/>
            <w:shd w:val="clear" w:color="auto" w:fill="auto"/>
            <w:vAlign w:val="center"/>
          </w:tcPr>
          <w:p w14:paraId="39A5DEB1" w14:textId="4B5B3C0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0,06</w:t>
            </w:r>
          </w:p>
        </w:tc>
      </w:tr>
      <w:tr w:rsidR="003E4615" w:rsidRPr="003E4615" w14:paraId="419BC67C" w14:textId="77777777" w:rsidTr="00C95FCE">
        <w:trPr>
          <w:jc w:val="center"/>
        </w:trPr>
        <w:tc>
          <w:tcPr>
            <w:tcW w:w="943" w:type="dxa"/>
            <w:shd w:val="clear" w:color="auto" w:fill="auto"/>
            <w:vAlign w:val="center"/>
          </w:tcPr>
          <w:p w14:paraId="120C4C86" w14:textId="34B2D0C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101</w:t>
            </w:r>
          </w:p>
        </w:tc>
        <w:tc>
          <w:tcPr>
            <w:tcW w:w="1345" w:type="dxa"/>
            <w:shd w:val="clear" w:color="auto" w:fill="auto"/>
            <w:vAlign w:val="center"/>
          </w:tcPr>
          <w:p w14:paraId="7CE07469" w14:textId="4B013844"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166</w:t>
            </w:r>
            <w:r w:rsidRPr="003E4615">
              <w:rPr>
                <w:rFonts w:ascii="Times New Roman" w:hAnsi="Times New Roman" w:cs="Times New Roman"/>
                <w:sz w:val="24"/>
                <w:szCs w:val="24"/>
                <w:lang w:val="kk-KZ"/>
              </w:rPr>
              <w:t>,7</w:t>
            </w:r>
          </w:p>
        </w:tc>
        <w:tc>
          <w:tcPr>
            <w:tcW w:w="1596" w:type="dxa"/>
            <w:shd w:val="clear" w:color="auto" w:fill="auto"/>
            <w:vAlign w:val="center"/>
          </w:tcPr>
          <w:p w14:paraId="49DEE824" w14:textId="08D862D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0,05</w:t>
            </w:r>
          </w:p>
        </w:tc>
        <w:tc>
          <w:tcPr>
            <w:tcW w:w="1470" w:type="dxa"/>
            <w:shd w:val="clear" w:color="auto" w:fill="auto"/>
            <w:vAlign w:val="center"/>
          </w:tcPr>
          <w:p w14:paraId="077C7AA2" w14:textId="7054BFA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427" w:type="dxa"/>
            <w:shd w:val="clear" w:color="auto" w:fill="auto"/>
            <w:vAlign w:val="center"/>
          </w:tcPr>
          <w:p w14:paraId="4D794C40" w14:textId="7E49329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w:t>
            </w:r>
          </w:p>
        </w:tc>
        <w:tc>
          <w:tcPr>
            <w:tcW w:w="1400" w:type="dxa"/>
            <w:shd w:val="clear" w:color="auto" w:fill="auto"/>
            <w:vAlign w:val="center"/>
          </w:tcPr>
          <w:p w14:paraId="416F2451" w14:textId="5926013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124</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357" w:type="dxa"/>
            <w:shd w:val="clear" w:color="auto" w:fill="auto"/>
            <w:vAlign w:val="center"/>
          </w:tcPr>
          <w:p w14:paraId="5FD114EF" w14:textId="2208EC9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0,03</w:t>
            </w:r>
          </w:p>
        </w:tc>
      </w:tr>
      <w:tr w:rsidR="003E4615" w:rsidRPr="003E4615" w14:paraId="3199200C" w14:textId="77777777" w:rsidTr="00C95FCE">
        <w:trPr>
          <w:jc w:val="center"/>
        </w:trPr>
        <w:tc>
          <w:tcPr>
            <w:tcW w:w="943" w:type="dxa"/>
            <w:shd w:val="clear" w:color="auto" w:fill="auto"/>
            <w:vAlign w:val="center"/>
          </w:tcPr>
          <w:p w14:paraId="30F6BB7F" w14:textId="27B4F6E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109</w:t>
            </w:r>
          </w:p>
        </w:tc>
        <w:tc>
          <w:tcPr>
            <w:tcW w:w="1345" w:type="dxa"/>
            <w:shd w:val="clear" w:color="auto" w:fill="auto"/>
            <w:vAlign w:val="center"/>
          </w:tcPr>
          <w:p w14:paraId="0483D759" w14:textId="647175CD"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454</w:t>
            </w:r>
            <w:r w:rsidRPr="003E4615">
              <w:rPr>
                <w:rFonts w:ascii="Times New Roman" w:hAnsi="Times New Roman" w:cs="Times New Roman"/>
                <w:sz w:val="24"/>
                <w:szCs w:val="24"/>
                <w:lang w:val="kk-KZ"/>
              </w:rPr>
              <w:t>,9</w:t>
            </w:r>
          </w:p>
        </w:tc>
        <w:tc>
          <w:tcPr>
            <w:tcW w:w="1596" w:type="dxa"/>
            <w:shd w:val="clear" w:color="auto" w:fill="auto"/>
            <w:vAlign w:val="center"/>
          </w:tcPr>
          <w:p w14:paraId="50E92D80" w14:textId="6FC130E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0,14</w:t>
            </w:r>
          </w:p>
        </w:tc>
        <w:tc>
          <w:tcPr>
            <w:tcW w:w="1470" w:type="dxa"/>
            <w:shd w:val="clear" w:color="auto" w:fill="auto"/>
            <w:vAlign w:val="center"/>
          </w:tcPr>
          <w:p w14:paraId="1C835BDF" w14:textId="617E22A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8300,0</w:t>
            </w:r>
          </w:p>
        </w:tc>
        <w:tc>
          <w:tcPr>
            <w:tcW w:w="1427" w:type="dxa"/>
            <w:shd w:val="clear" w:color="auto" w:fill="auto"/>
            <w:vAlign w:val="center"/>
          </w:tcPr>
          <w:p w14:paraId="766841B7" w14:textId="3F04299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2,38</w:t>
            </w:r>
          </w:p>
        </w:tc>
        <w:tc>
          <w:tcPr>
            <w:tcW w:w="1400" w:type="dxa"/>
            <w:shd w:val="clear" w:color="auto" w:fill="auto"/>
            <w:vAlign w:val="center"/>
          </w:tcPr>
          <w:p w14:paraId="18AE032B" w14:textId="1DBBBC2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66223</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3</w:t>
            </w:r>
          </w:p>
        </w:tc>
        <w:tc>
          <w:tcPr>
            <w:tcW w:w="1357" w:type="dxa"/>
            <w:shd w:val="clear" w:color="auto" w:fill="auto"/>
            <w:vAlign w:val="center"/>
          </w:tcPr>
          <w:p w14:paraId="66BC3B7F" w14:textId="462CFBA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16,4</w:t>
            </w:r>
          </w:p>
        </w:tc>
      </w:tr>
      <w:tr w:rsidR="003E4615" w:rsidRPr="003E4615" w14:paraId="0AB968D6" w14:textId="77777777" w:rsidTr="00C95FCE">
        <w:trPr>
          <w:jc w:val="center"/>
        </w:trPr>
        <w:tc>
          <w:tcPr>
            <w:tcW w:w="943" w:type="dxa"/>
            <w:shd w:val="clear" w:color="auto" w:fill="auto"/>
            <w:vAlign w:val="center"/>
          </w:tcPr>
          <w:p w14:paraId="4143D797" w14:textId="26908470"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258</w:t>
            </w:r>
          </w:p>
        </w:tc>
        <w:tc>
          <w:tcPr>
            <w:tcW w:w="1345" w:type="dxa"/>
            <w:shd w:val="clear" w:color="auto" w:fill="auto"/>
            <w:vAlign w:val="center"/>
          </w:tcPr>
          <w:p w14:paraId="62B28176" w14:textId="1135927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74849,0</w:t>
            </w:r>
          </w:p>
        </w:tc>
        <w:tc>
          <w:tcPr>
            <w:tcW w:w="1596" w:type="dxa"/>
            <w:shd w:val="clear" w:color="auto" w:fill="auto"/>
            <w:vAlign w:val="center"/>
          </w:tcPr>
          <w:p w14:paraId="751D8240" w14:textId="4F4151B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22,9</w:t>
            </w:r>
          </w:p>
        </w:tc>
        <w:tc>
          <w:tcPr>
            <w:tcW w:w="1470" w:type="dxa"/>
            <w:shd w:val="clear" w:color="auto" w:fill="auto"/>
            <w:vAlign w:val="center"/>
          </w:tcPr>
          <w:p w14:paraId="081AD128" w14:textId="17E811C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14967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427" w:type="dxa"/>
            <w:shd w:val="clear" w:color="auto" w:fill="auto"/>
            <w:vAlign w:val="center"/>
          </w:tcPr>
          <w:p w14:paraId="07D6A169" w14:textId="3CFEB94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4,3</w:t>
            </w:r>
          </w:p>
        </w:tc>
        <w:tc>
          <w:tcPr>
            <w:tcW w:w="1400" w:type="dxa"/>
            <w:shd w:val="clear" w:color="auto" w:fill="auto"/>
            <w:vAlign w:val="center"/>
          </w:tcPr>
          <w:p w14:paraId="4FFADD42" w14:textId="131715FD"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color w:val="000000"/>
                <w:sz w:val="24"/>
                <w:szCs w:val="24"/>
              </w:rPr>
              <w:t>17880,0</w:t>
            </w:r>
          </w:p>
        </w:tc>
        <w:tc>
          <w:tcPr>
            <w:tcW w:w="1357" w:type="dxa"/>
            <w:shd w:val="clear" w:color="auto" w:fill="auto"/>
            <w:vAlign w:val="center"/>
          </w:tcPr>
          <w:p w14:paraId="66071BF2" w14:textId="77B3570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4,44</w:t>
            </w:r>
          </w:p>
        </w:tc>
      </w:tr>
      <w:tr w:rsidR="003E4615" w:rsidRPr="003E4615" w14:paraId="250CE182" w14:textId="77777777" w:rsidTr="00C95FCE">
        <w:trPr>
          <w:jc w:val="center"/>
        </w:trPr>
        <w:tc>
          <w:tcPr>
            <w:tcW w:w="943" w:type="dxa"/>
            <w:shd w:val="clear" w:color="auto" w:fill="auto"/>
            <w:vAlign w:val="center"/>
          </w:tcPr>
          <w:p w14:paraId="10C71370" w14:textId="663D420F"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131</w:t>
            </w:r>
          </w:p>
        </w:tc>
        <w:tc>
          <w:tcPr>
            <w:tcW w:w="1345" w:type="dxa"/>
            <w:shd w:val="clear" w:color="auto" w:fill="auto"/>
            <w:vAlign w:val="center"/>
          </w:tcPr>
          <w:p w14:paraId="40415E38" w14:textId="571C35C1"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960</w:t>
            </w:r>
            <w:r w:rsidRPr="003E4615">
              <w:rPr>
                <w:rFonts w:ascii="Times New Roman" w:hAnsi="Times New Roman" w:cs="Times New Roman"/>
                <w:sz w:val="24"/>
                <w:szCs w:val="24"/>
                <w:lang w:val="kk-KZ"/>
              </w:rPr>
              <w:t>,3</w:t>
            </w:r>
          </w:p>
        </w:tc>
        <w:tc>
          <w:tcPr>
            <w:tcW w:w="1596" w:type="dxa"/>
            <w:shd w:val="clear" w:color="auto" w:fill="auto"/>
            <w:vAlign w:val="center"/>
          </w:tcPr>
          <w:p w14:paraId="26C85C78" w14:textId="7047141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0,29</w:t>
            </w:r>
          </w:p>
        </w:tc>
        <w:tc>
          <w:tcPr>
            <w:tcW w:w="1470" w:type="dxa"/>
            <w:shd w:val="clear" w:color="auto" w:fill="auto"/>
            <w:vAlign w:val="center"/>
          </w:tcPr>
          <w:p w14:paraId="6F901E10" w14:textId="71D999A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1270</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1</w:t>
            </w:r>
          </w:p>
        </w:tc>
        <w:tc>
          <w:tcPr>
            <w:tcW w:w="1427" w:type="dxa"/>
            <w:shd w:val="clear" w:color="auto" w:fill="auto"/>
            <w:vAlign w:val="center"/>
          </w:tcPr>
          <w:p w14:paraId="06DE4E0B" w14:textId="43E9896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0,36</w:t>
            </w:r>
          </w:p>
        </w:tc>
        <w:tc>
          <w:tcPr>
            <w:tcW w:w="1400" w:type="dxa"/>
            <w:shd w:val="clear" w:color="auto" w:fill="auto"/>
            <w:vAlign w:val="center"/>
          </w:tcPr>
          <w:p w14:paraId="1964A3C9" w14:textId="7148B1C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color w:val="000000"/>
                <w:sz w:val="24"/>
                <w:szCs w:val="24"/>
              </w:rPr>
              <w:t>2663</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6</w:t>
            </w:r>
          </w:p>
        </w:tc>
        <w:tc>
          <w:tcPr>
            <w:tcW w:w="1357" w:type="dxa"/>
            <w:shd w:val="clear" w:color="auto" w:fill="auto"/>
            <w:vAlign w:val="center"/>
          </w:tcPr>
          <w:p w14:paraId="44EC1ACE" w14:textId="0CD9AB3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0,66</w:t>
            </w:r>
          </w:p>
        </w:tc>
      </w:tr>
      <w:tr w:rsidR="003E4615" w:rsidRPr="003E4615" w14:paraId="3DA651AF" w14:textId="77777777" w:rsidTr="00C95FCE">
        <w:trPr>
          <w:jc w:val="center"/>
        </w:trPr>
        <w:tc>
          <w:tcPr>
            <w:tcW w:w="943" w:type="dxa"/>
            <w:shd w:val="clear" w:color="auto" w:fill="auto"/>
            <w:vAlign w:val="center"/>
          </w:tcPr>
          <w:p w14:paraId="207AB525" w14:textId="5BCFC054"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249</w:t>
            </w:r>
          </w:p>
        </w:tc>
        <w:tc>
          <w:tcPr>
            <w:tcW w:w="1345" w:type="dxa"/>
            <w:shd w:val="clear" w:color="auto" w:fill="auto"/>
            <w:vAlign w:val="center"/>
          </w:tcPr>
          <w:p w14:paraId="1E84096F" w14:textId="4C122F61"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54823</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1</w:t>
            </w:r>
          </w:p>
        </w:tc>
        <w:tc>
          <w:tcPr>
            <w:tcW w:w="1596" w:type="dxa"/>
            <w:shd w:val="clear" w:color="auto" w:fill="auto"/>
            <w:vAlign w:val="center"/>
          </w:tcPr>
          <w:p w14:paraId="4A6ABB9E" w14:textId="70B0866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16,8</w:t>
            </w:r>
          </w:p>
        </w:tc>
        <w:tc>
          <w:tcPr>
            <w:tcW w:w="1470" w:type="dxa"/>
            <w:shd w:val="clear" w:color="auto" w:fill="auto"/>
            <w:vAlign w:val="center"/>
          </w:tcPr>
          <w:p w14:paraId="7BAC837F" w14:textId="3F2152B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32729</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427" w:type="dxa"/>
            <w:shd w:val="clear" w:color="auto" w:fill="auto"/>
            <w:vAlign w:val="center"/>
          </w:tcPr>
          <w:p w14:paraId="243D9CF1" w14:textId="7C7032B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9,4</w:t>
            </w:r>
          </w:p>
        </w:tc>
        <w:tc>
          <w:tcPr>
            <w:tcW w:w="1400" w:type="dxa"/>
            <w:shd w:val="clear" w:color="auto" w:fill="auto"/>
            <w:vAlign w:val="center"/>
          </w:tcPr>
          <w:p w14:paraId="6ABAA27D" w14:textId="77577631"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color w:val="000000"/>
                <w:sz w:val="24"/>
                <w:szCs w:val="24"/>
              </w:rPr>
              <w:t>21977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357" w:type="dxa"/>
            <w:shd w:val="clear" w:color="auto" w:fill="auto"/>
            <w:vAlign w:val="center"/>
          </w:tcPr>
          <w:p w14:paraId="14F8868E" w14:textId="715E279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5,45</w:t>
            </w:r>
          </w:p>
        </w:tc>
      </w:tr>
      <w:tr w:rsidR="003E4615" w:rsidRPr="003E4615" w14:paraId="5E0EA764" w14:textId="77777777" w:rsidTr="00C95FCE">
        <w:trPr>
          <w:jc w:val="center"/>
        </w:trPr>
        <w:tc>
          <w:tcPr>
            <w:tcW w:w="943" w:type="dxa"/>
            <w:shd w:val="clear" w:color="auto" w:fill="auto"/>
            <w:vAlign w:val="center"/>
          </w:tcPr>
          <w:p w14:paraId="39A3FD4F" w14:textId="3B587DA5"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250</w:t>
            </w:r>
          </w:p>
        </w:tc>
        <w:tc>
          <w:tcPr>
            <w:tcW w:w="1345" w:type="dxa"/>
            <w:shd w:val="clear" w:color="auto" w:fill="auto"/>
            <w:vAlign w:val="center"/>
          </w:tcPr>
          <w:p w14:paraId="63398741" w14:textId="4CD907C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57994</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0</w:t>
            </w:r>
          </w:p>
        </w:tc>
        <w:tc>
          <w:tcPr>
            <w:tcW w:w="1596" w:type="dxa"/>
            <w:shd w:val="clear" w:color="auto" w:fill="auto"/>
            <w:vAlign w:val="center"/>
          </w:tcPr>
          <w:p w14:paraId="3106B45D" w14:textId="3D0CE35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17,7</w:t>
            </w:r>
          </w:p>
        </w:tc>
        <w:tc>
          <w:tcPr>
            <w:tcW w:w="1470" w:type="dxa"/>
            <w:shd w:val="clear" w:color="auto" w:fill="auto"/>
            <w:vAlign w:val="center"/>
          </w:tcPr>
          <w:p w14:paraId="69420EE7" w14:textId="32797BD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106312</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427" w:type="dxa"/>
            <w:shd w:val="clear" w:color="auto" w:fill="auto"/>
            <w:vAlign w:val="center"/>
          </w:tcPr>
          <w:p w14:paraId="264299D3" w14:textId="7990794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30,5</w:t>
            </w:r>
          </w:p>
        </w:tc>
        <w:tc>
          <w:tcPr>
            <w:tcW w:w="1400" w:type="dxa"/>
            <w:shd w:val="clear" w:color="auto" w:fill="auto"/>
            <w:vAlign w:val="center"/>
          </w:tcPr>
          <w:p w14:paraId="6413E853" w14:textId="368AD13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76198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1</w:t>
            </w:r>
          </w:p>
        </w:tc>
        <w:tc>
          <w:tcPr>
            <w:tcW w:w="1357" w:type="dxa"/>
            <w:shd w:val="clear" w:color="auto" w:fill="auto"/>
            <w:vAlign w:val="center"/>
          </w:tcPr>
          <w:p w14:paraId="6AC4AC97" w14:textId="0689459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18,9</w:t>
            </w:r>
          </w:p>
        </w:tc>
      </w:tr>
      <w:tr w:rsidR="003E4615" w:rsidRPr="003E4615" w14:paraId="27F14CDE" w14:textId="77777777" w:rsidTr="00C95FCE">
        <w:trPr>
          <w:jc w:val="center"/>
        </w:trPr>
        <w:tc>
          <w:tcPr>
            <w:tcW w:w="943" w:type="dxa"/>
            <w:shd w:val="clear" w:color="auto" w:fill="auto"/>
            <w:vAlign w:val="center"/>
          </w:tcPr>
          <w:p w14:paraId="3B8D1645" w14:textId="3009ABF8"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255</w:t>
            </w:r>
          </w:p>
        </w:tc>
        <w:tc>
          <w:tcPr>
            <w:tcW w:w="1345" w:type="dxa"/>
            <w:shd w:val="clear" w:color="auto" w:fill="auto"/>
            <w:vAlign w:val="center"/>
          </w:tcPr>
          <w:p w14:paraId="2E9C3AD2" w14:textId="7E1711B2"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8507</w:t>
            </w:r>
            <w:r w:rsidRPr="003E4615">
              <w:rPr>
                <w:rFonts w:ascii="Times New Roman" w:hAnsi="Times New Roman" w:cs="Times New Roman"/>
                <w:sz w:val="24"/>
                <w:szCs w:val="24"/>
                <w:lang w:val="kk-KZ"/>
              </w:rPr>
              <w:t>,2</w:t>
            </w:r>
          </w:p>
        </w:tc>
        <w:tc>
          <w:tcPr>
            <w:tcW w:w="1596" w:type="dxa"/>
            <w:shd w:val="clear" w:color="auto" w:fill="auto"/>
            <w:vAlign w:val="center"/>
          </w:tcPr>
          <w:p w14:paraId="3A895764" w14:textId="560EDA3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2,6</w:t>
            </w:r>
          </w:p>
        </w:tc>
        <w:tc>
          <w:tcPr>
            <w:tcW w:w="1470" w:type="dxa"/>
            <w:shd w:val="clear" w:color="auto" w:fill="auto"/>
            <w:vAlign w:val="center"/>
          </w:tcPr>
          <w:p w14:paraId="41EA6DA5" w14:textId="12D74AA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10086</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427" w:type="dxa"/>
            <w:shd w:val="clear" w:color="auto" w:fill="auto"/>
            <w:vAlign w:val="center"/>
          </w:tcPr>
          <w:p w14:paraId="597D365F" w14:textId="685893A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2,9</w:t>
            </w:r>
          </w:p>
        </w:tc>
        <w:tc>
          <w:tcPr>
            <w:tcW w:w="1400" w:type="dxa"/>
            <w:shd w:val="clear" w:color="auto" w:fill="auto"/>
            <w:vAlign w:val="center"/>
          </w:tcPr>
          <w:p w14:paraId="339BB5C7" w14:textId="29247DF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rPr>
              <w:t>6537</w:t>
            </w:r>
            <w:r w:rsidRPr="003E4615">
              <w:rPr>
                <w:rFonts w:ascii="Times New Roman" w:hAnsi="Times New Roman" w:cs="Times New Roman"/>
                <w:sz w:val="24"/>
                <w:szCs w:val="24"/>
                <w:lang w:val="kk-KZ"/>
              </w:rPr>
              <w:t>,6</w:t>
            </w:r>
          </w:p>
        </w:tc>
        <w:tc>
          <w:tcPr>
            <w:tcW w:w="1357" w:type="dxa"/>
            <w:shd w:val="clear" w:color="auto" w:fill="auto"/>
            <w:vAlign w:val="center"/>
          </w:tcPr>
          <w:p w14:paraId="77994FE8" w14:textId="7800B3C8"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1,62</w:t>
            </w:r>
          </w:p>
        </w:tc>
      </w:tr>
      <w:tr w:rsidR="003E4615" w:rsidRPr="003E4615" w14:paraId="5E96FB93" w14:textId="77777777" w:rsidTr="00C95FCE">
        <w:trPr>
          <w:jc w:val="center"/>
        </w:trPr>
        <w:tc>
          <w:tcPr>
            <w:tcW w:w="943" w:type="dxa"/>
            <w:shd w:val="clear" w:color="auto" w:fill="auto"/>
            <w:vAlign w:val="center"/>
          </w:tcPr>
          <w:p w14:paraId="428799EC" w14:textId="6B2146ED"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259</w:t>
            </w:r>
          </w:p>
        </w:tc>
        <w:tc>
          <w:tcPr>
            <w:tcW w:w="1345" w:type="dxa"/>
            <w:shd w:val="clear" w:color="auto" w:fill="auto"/>
            <w:vAlign w:val="center"/>
          </w:tcPr>
          <w:p w14:paraId="6728C7A0" w14:textId="76AAE064"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5939</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9</w:t>
            </w:r>
          </w:p>
        </w:tc>
        <w:tc>
          <w:tcPr>
            <w:tcW w:w="1596" w:type="dxa"/>
            <w:shd w:val="clear" w:color="auto" w:fill="auto"/>
            <w:vAlign w:val="center"/>
          </w:tcPr>
          <w:p w14:paraId="227F3D9D" w14:textId="146F448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1,82</w:t>
            </w:r>
          </w:p>
        </w:tc>
        <w:tc>
          <w:tcPr>
            <w:tcW w:w="1470" w:type="dxa"/>
            <w:shd w:val="clear" w:color="auto" w:fill="auto"/>
            <w:vAlign w:val="center"/>
          </w:tcPr>
          <w:p w14:paraId="066B6683" w14:textId="0BA5C88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7567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427" w:type="dxa"/>
            <w:shd w:val="clear" w:color="auto" w:fill="auto"/>
            <w:vAlign w:val="center"/>
          </w:tcPr>
          <w:p w14:paraId="61486516" w14:textId="720B1E8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2,17</w:t>
            </w:r>
          </w:p>
        </w:tc>
        <w:tc>
          <w:tcPr>
            <w:tcW w:w="1400" w:type="dxa"/>
            <w:shd w:val="clear" w:color="auto" w:fill="auto"/>
            <w:vAlign w:val="center"/>
          </w:tcPr>
          <w:p w14:paraId="315AF15B" w14:textId="2F9E734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9295</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2</w:t>
            </w:r>
          </w:p>
        </w:tc>
        <w:tc>
          <w:tcPr>
            <w:tcW w:w="1357" w:type="dxa"/>
            <w:shd w:val="clear" w:color="auto" w:fill="auto"/>
            <w:vAlign w:val="center"/>
          </w:tcPr>
          <w:p w14:paraId="08EA0D46" w14:textId="6CB8ABE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2,31</w:t>
            </w:r>
          </w:p>
        </w:tc>
      </w:tr>
      <w:tr w:rsidR="003E4615" w:rsidRPr="003E4615" w14:paraId="28046C00" w14:textId="77777777" w:rsidTr="00C95FCE">
        <w:trPr>
          <w:jc w:val="center"/>
        </w:trPr>
        <w:tc>
          <w:tcPr>
            <w:tcW w:w="943" w:type="dxa"/>
            <w:shd w:val="clear" w:color="auto" w:fill="auto"/>
            <w:vAlign w:val="center"/>
          </w:tcPr>
          <w:p w14:paraId="44952FA1" w14:textId="7E813FD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138</w:t>
            </w:r>
          </w:p>
        </w:tc>
        <w:tc>
          <w:tcPr>
            <w:tcW w:w="1345" w:type="dxa"/>
            <w:shd w:val="clear" w:color="auto" w:fill="auto"/>
            <w:vAlign w:val="center"/>
          </w:tcPr>
          <w:p w14:paraId="2A511BB7" w14:textId="3F7BE3E4"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32</w:t>
            </w:r>
            <w:r w:rsidRPr="003E4615">
              <w:rPr>
                <w:rFonts w:ascii="Times New Roman" w:hAnsi="Times New Roman" w:cs="Times New Roman"/>
                <w:sz w:val="24"/>
                <w:szCs w:val="24"/>
                <w:lang w:val="kk-KZ"/>
              </w:rPr>
              <w:t>,1</w:t>
            </w:r>
          </w:p>
        </w:tc>
        <w:tc>
          <w:tcPr>
            <w:tcW w:w="1596" w:type="dxa"/>
            <w:shd w:val="clear" w:color="auto" w:fill="auto"/>
            <w:vAlign w:val="center"/>
          </w:tcPr>
          <w:p w14:paraId="04A1085C" w14:textId="0EE27D2B"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0,01</w:t>
            </w:r>
          </w:p>
        </w:tc>
        <w:tc>
          <w:tcPr>
            <w:tcW w:w="1470" w:type="dxa"/>
            <w:shd w:val="clear" w:color="auto" w:fill="auto"/>
            <w:vAlign w:val="center"/>
          </w:tcPr>
          <w:p w14:paraId="30CA72D6" w14:textId="21E89E3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58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5</w:t>
            </w:r>
          </w:p>
        </w:tc>
        <w:tc>
          <w:tcPr>
            <w:tcW w:w="1427" w:type="dxa"/>
            <w:shd w:val="clear" w:color="auto" w:fill="auto"/>
            <w:vAlign w:val="center"/>
          </w:tcPr>
          <w:p w14:paraId="61A4452C" w14:textId="740A2AF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0,02</w:t>
            </w:r>
          </w:p>
        </w:tc>
        <w:tc>
          <w:tcPr>
            <w:tcW w:w="1400" w:type="dxa"/>
            <w:shd w:val="clear" w:color="auto" w:fill="auto"/>
            <w:vAlign w:val="center"/>
          </w:tcPr>
          <w:p w14:paraId="75FE831F" w14:textId="451E81F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95</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357" w:type="dxa"/>
            <w:shd w:val="clear" w:color="auto" w:fill="auto"/>
            <w:vAlign w:val="center"/>
          </w:tcPr>
          <w:p w14:paraId="3FF929CF" w14:textId="3E6DE5A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0,02</w:t>
            </w:r>
          </w:p>
        </w:tc>
      </w:tr>
      <w:tr w:rsidR="003E4615" w:rsidRPr="003E4615" w14:paraId="135A021E" w14:textId="77777777" w:rsidTr="00C95FCE">
        <w:trPr>
          <w:jc w:val="center"/>
        </w:trPr>
        <w:tc>
          <w:tcPr>
            <w:tcW w:w="943" w:type="dxa"/>
            <w:shd w:val="clear" w:color="auto" w:fill="auto"/>
            <w:vAlign w:val="center"/>
          </w:tcPr>
          <w:p w14:paraId="1D3DCC33" w14:textId="2A831960"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150</w:t>
            </w:r>
          </w:p>
        </w:tc>
        <w:tc>
          <w:tcPr>
            <w:tcW w:w="1345" w:type="dxa"/>
            <w:shd w:val="clear" w:color="auto" w:fill="auto"/>
            <w:vAlign w:val="center"/>
          </w:tcPr>
          <w:p w14:paraId="66CF7EDE" w14:textId="5475C6A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4142E948" w14:textId="4553F34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3EFC58CE" w14:textId="02712FC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568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427" w:type="dxa"/>
            <w:shd w:val="clear" w:color="auto" w:fill="auto"/>
            <w:vAlign w:val="center"/>
          </w:tcPr>
          <w:p w14:paraId="71E7B505" w14:textId="4B4285B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0,16</w:t>
            </w:r>
          </w:p>
        </w:tc>
        <w:tc>
          <w:tcPr>
            <w:tcW w:w="1400" w:type="dxa"/>
            <w:shd w:val="clear" w:color="auto" w:fill="auto"/>
            <w:vAlign w:val="center"/>
          </w:tcPr>
          <w:p w14:paraId="61186704" w14:textId="5211701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0034FB5E" w14:textId="0205F75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20B1319F" w14:textId="77777777" w:rsidTr="00C95FCE">
        <w:trPr>
          <w:jc w:val="center"/>
        </w:trPr>
        <w:tc>
          <w:tcPr>
            <w:tcW w:w="943" w:type="dxa"/>
            <w:shd w:val="clear" w:color="auto" w:fill="auto"/>
            <w:vAlign w:val="center"/>
          </w:tcPr>
          <w:p w14:paraId="2A0BC3AE" w14:textId="6CEF0AC9"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159</w:t>
            </w:r>
          </w:p>
        </w:tc>
        <w:tc>
          <w:tcPr>
            <w:tcW w:w="1345" w:type="dxa"/>
            <w:shd w:val="clear" w:color="auto" w:fill="auto"/>
            <w:vAlign w:val="center"/>
          </w:tcPr>
          <w:p w14:paraId="6C7D5072" w14:textId="40A7C99F"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1E84246B" w14:textId="7FEEBDC3"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sz w:val="24"/>
                <w:szCs w:val="24"/>
                <w:lang w:val="kk-KZ"/>
              </w:rPr>
              <w:t>-</w:t>
            </w:r>
          </w:p>
        </w:tc>
        <w:tc>
          <w:tcPr>
            <w:tcW w:w="1470" w:type="dxa"/>
            <w:shd w:val="clear" w:color="auto" w:fill="auto"/>
            <w:vAlign w:val="center"/>
          </w:tcPr>
          <w:p w14:paraId="4E75F237" w14:textId="297DBA8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81</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6</w:t>
            </w:r>
          </w:p>
        </w:tc>
        <w:tc>
          <w:tcPr>
            <w:tcW w:w="1427" w:type="dxa"/>
            <w:shd w:val="clear" w:color="auto" w:fill="auto"/>
            <w:vAlign w:val="center"/>
          </w:tcPr>
          <w:p w14:paraId="1DD9FD8D" w14:textId="576AA50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0,02</w:t>
            </w:r>
          </w:p>
        </w:tc>
        <w:tc>
          <w:tcPr>
            <w:tcW w:w="1400" w:type="dxa"/>
            <w:shd w:val="clear" w:color="auto" w:fill="auto"/>
            <w:vAlign w:val="center"/>
          </w:tcPr>
          <w:p w14:paraId="4EE0CE55" w14:textId="314A471A"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84,0</w:t>
            </w:r>
          </w:p>
        </w:tc>
        <w:tc>
          <w:tcPr>
            <w:tcW w:w="1357" w:type="dxa"/>
            <w:shd w:val="clear" w:color="auto" w:fill="auto"/>
            <w:vAlign w:val="center"/>
          </w:tcPr>
          <w:p w14:paraId="215870FE" w14:textId="09967B74"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0,02</w:t>
            </w:r>
          </w:p>
        </w:tc>
      </w:tr>
      <w:tr w:rsidR="003E4615" w:rsidRPr="003E4615" w14:paraId="21518B96" w14:textId="77777777" w:rsidTr="00C95FCE">
        <w:trPr>
          <w:jc w:val="center"/>
        </w:trPr>
        <w:tc>
          <w:tcPr>
            <w:tcW w:w="943" w:type="dxa"/>
            <w:shd w:val="clear" w:color="auto" w:fill="auto"/>
            <w:vAlign w:val="center"/>
          </w:tcPr>
          <w:p w14:paraId="3C541C6E" w14:textId="6D0ABDC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261</w:t>
            </w:r>
          </w:p>
        </w:tc>
        <w:tc>
          <w:tcPr>
            <w:tcW w:w="1345" w:type="dxa"/>
            <w:shd w:val="clear" w:color="auto" w:fill="auto"/>
            <w:vAlign w:val="center"/>
          </w:tcPr>
          <w:p w14:paraId="00B947B3" w14:textId="04F2DC5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05527276" w14:textId="73FC1B9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4FA076DC" w14:textId="50201ED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134</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4</w:t>
            </w:r>
          </w:p>
        </w:tc>
        <w:tc>
          <w:tcPr>
            <w:tcW w:w="1427" w:type="dxa"/>
            <w:shd w:val="clear" w:color="auto" w:fill="auto"/>
            <w:vAlign w:val="center"/>
          </w:tcPr>
          <w:p w14:paraId="59FCB0E2" w14:textId="7B4BEEF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0,04</w:t>
            </w:r>
          </w:p>
        </w:tc>
        <w:tc>
          <w:tcPr>
            <w:tcW w:w="1400" w:type="dxa"/>
            <w:shd w:val="clear" w:color="auto" w:fill="auto"/>
            <w:vAlign w:val="center"/>
          </w:tcPr>
          <w:p w14:paraId="4E1ABB92" w14:textId="2B1AE01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color w:val="000000"/>
                <w:sz w:val="24"/>
                <w:szCs w:val="24"/>
              </w:rPr>
              <w:t>143</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357" w:type="dxa"/>
            <w:shd w:val="clear" w:color="auto" w:fill="auto"/>
            <w:vAlign w:val="center"/>
          </w:tcPr>
          <w:p w14:paraId="729AB856" w14:textId="4114412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0,04</w:t>
            </w:r>
          </w:p>
        </w:tc>
      </w:tr>
      <w:tr w:rsidR="003E4615" w:rsidRPr="003E4615" w14:paraId="665197C2" w14:textId="77777777" w:rsidTr="00C95FCE">
        <w:trPr>
          <w:jc w:val="center"/>
        </w:trPr>
        <w:tc>
          <w:tcPr>
            <w:tcW w:w="943" w:type="dxa"/>
            <w:tcBorders>
              <w:bottom w:val="nil"/>
            </w:tcBorders>
            <w:shd w:val="clear" w:color="auto" w:fill="auto"/>
            <w:vAlign w:val="center"/>
          </w:tcPr>
          <w:p w14:paraId="2AB720AE" w14:textId="5DC39009"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264</w:t>
            </w:r>
          </w:p>
        </w:tc>
        <w:tc>
          <w:tcPr>
            <w:tcW w:w="1345" w:type="dxa"/>
            <w:tcBorders>
              <w:bottom w:val="nil"/>
            </w:tcBorders>
            <w:shd w:val="clear" w:color="auto" w:fill="auto"/>
            <w:vAlign w:val="center"/>
          </w:tcPr>
          <w:p w14:paraId="27D98F58" w14:textId="29BA96B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tcBorders>
              <w:bottom w:val="nil"/>
            </w:tcBorders>
            <w:shd w:val="clear" w:color="auto" w:fill="auto"/>
            <w:vAlign w:val="center"/>
          </w:tcPr>
          <w:p w14:paraId="1130822C" w14:textId="7633D87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tcBorders>
              <w:bottom w:val="nil"/>
            </w:tcBorders>
            <w:shd w:val="clear" w:color="auto" w:fill="auto"/>
            <w:vAlign w:val="center"/>
          </w:tcPr>
          <w:p w14:paraId="327BEC8B" w14:textId="3279980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27113</w:t>
            </w:r>
            <w:r w:rsidRPr="003E4615">
              <w:rPr>
                <w:rFonts w:ascii="Times New Roman" w:hAnsi="Times New Roman" w:cs="Times New Roman"/>
                <w:color w:val="000000"/>
                <w:sz w:val="24"/>
                <w:szCs w:val="24"/>
                <w:lang w:val="kk-KZ"/>
              </w:rPr>
              <w:t>,9</w:t>
            </w:r>
          </w:p>
        </w:tc>
        <w:tc>
          <w:tcPr>
            <w:tcW w:w="1427" w:type="dxa"/>
            <w:tcBorders>
              <w:bottom w:val="nil"/>
            </w:tcBorders>
            <w:shd w:val="clear" w:color="auto" w:fill="auto"/>
            <w:vAlign w:val="center"/>
          </w:tcPr>
          <w:p w14:paraId="572E5428" w14:textId="7DC996C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7,79</w:t>
            </w:r>
          </w:p>
        </w:tc>
        <w:tc>
          <w:tcPr>
            <w:tcW w:w="1400" w:type="dxa"/>
            <w:tcBorders>
              <w:bottom w:val="nil"/>
            </w:tcBorders>
            <w:shd w:val="clear" w:color="auto" w:fill="auto"/>
            <w:vAlign w:val="center"/>
          </w:tcPr>
          <w:p w14:paraId="275F5D32" w14:textId="39A9915B"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44759</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357" w:type="dxa"/>
            <w:tcBorders>
              <w:bottom w:val="nil"/>
            </w:tcBorders>
            <w:shd w:val="clear" w:color="auto" w:fill="auto"/>
            <w:vAlign w:val="center"/>
          </w:tcPr>
          <w:p w14:paraId="108718C4" w14:textId="393A13B8"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11,1</w:t>
            </w:r>
          </w:p>
        </w:tc>
      </w:tr>
      <w:tr w:rsidR="003E4615" w:rsidRPr="003E4615" w14:paraId="2B009765" w14:textId="77777777" w:rsidTr="00C95FCE">
        <w:trPr>
          <w:jc w:val="center"/>
        </w:trPr>
        <w:tc>
          <w:tcPr>
            <w:tcW w:w="943" w:type="dxa"/>
            <w:shd w:val="clear" w:color="auto" w:fill="auto"/>
            <w:vAlign w:val="center"/>
          </w:tcPr>
          <w:p w14:paraId="5995ADBE" w14:textId="21A2ED56"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116</w:t>
            </w:r>
          </w:p>
        </w:tc>
        <w:tc>
          <w:tcPr>
            <w:tcW w:w="1345" w:type="dxa"/>
            <w:shd w:val="clear" w:color="auto" w:fill="auto"/>
            <w:vAlign w:val="center"/>
          </w:tcPr>
          <w:p w14:paraId="66CF0BBC" w14:textId="3E03669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19E0023A" w14:textId="23831B9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68B275FA" w14:textId="0277C23B"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2638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427" w:type="dxa"/>
            <w:shd w:val="clear" w:color="auto" w:fill="auto"/>
            <w:vAlign w:val="center"/>
          </w:tcPr>
          <w:p w14:paraId="2164F627" w14:textId="4762F79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0,76</w:t>
            </w:r>
          </w:p>
        </w:tc>
        <w:tc>
          <w:tcPr>
            <w:tcW w:w="1400" w:type="dxa"/>
            <w:shd w:val="clear" w:color="auto" w:fill="auto"/>
            <w:vAlign w:val="center"/>
          </w:tcPr>
          <w:p w14:paraId="3943F316" w14:textId="3AC0875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357" w:type="dxa"/>
            <w:shd w:val="clear" w:color="auto" w:fill="auto"/>
            <w:vAlign w:val="center"/>
          </w:tcPr>
          <w:p w14:paraId="7ED16051" w14:textId="0714E34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356E7711" w14:textId="77777777" w:rsidTr="00C95FCE">
        <w:trPr>
          <w:jc w:val="center"/>
        </w:trPr>
        <w:tc>
          <w:tcPr>
            <w:tcW w:w="943" w:type="dxa"/>
            <w:shd w:val="clear" w:color="auto" w:fill="auto"/>
            <w:vAlign w:val="center"/>
          </w:tcPr>
          <w:p w14:paraId="0A3DB98D" w14:textId="11E8B361"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262</w:t>
            </w:r>
          </w:p>
        </w:tc>
        <w:tc>
          <w:tcPr>
            <w:tcW w:w="1345" w:type="dxa"/>
            <w:shd w:val="clear" w:color="auto" w:fill="auto"/>
            <w:vAlign w:val="center"/>
          </w:tcPr>
          <w:p w14:paraId="5DE9E391" w14:textId="77C6A2A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4E379CBF" w14:textId="1A5A09D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1F13DA5A" w14:textId="27363C5F"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60000,0</w:t>
            </w:r>
          </w:p>
        </w:tc>
        <w:tc>
          <w:tcPr>
            <w:tcW w:w="1427" w:type="dxa"/>
            <w:shd w:val="clear" w:color="auto" w:fill="auto"/>
            <w:vAlign w:val="center"/>
          </w:tcPr>
          <w:p w14:paraId="57AC719B" w14:textId="66B6E1D3"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17,2</w:t>
            </w:r>
          </w:p>
        </w:tc>
        <w:tc>
          <w:tcPr>
            <w:tcW w:w="1400" w:type="dxa"/>
            <w:shd w:val="clear" w:color="auto" w:fill="auto"/>
            <w:vAlign w:val="center"/>
          </w:tcPr>
          <w:p w14:paraId="0D8F2905" w14:textId="1102494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60000,0</w:t>
            </w:r>
          </w:p>
        </w:tc>
        <w:tc>
          <w:tcPr>
            <w:tcW w:w="1357" w:type="dxa"/>
            <w:shd w:val="clear" w:color="auto" w:fill="auto"/>
            <w:vAlign w:val="center"/>
          </w:tcPr>
          <w:p w14:paraId="482552E6" w14:textId="1FC1D24E"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rPr>
              <w:t>14,9</w:t>
            </w:r>
          </w:p>
        </w:tc>
      </w:tr>
      <w:tr w:rsidR="003E4615" w:rsidRPr="003E4615" w14:paraId="69E339A8" w14:textId="77777777" w:rsidTr="00C95FCE">
        <w:trPr>
          <w:jc w:val="center"/>
        </w:trPr>
        <w:tc>
          <w:tcPr>
            <w:tcW w:w="943" w:type="dxa"/>
            <w:shd w:val="clear" w:color="auto" w:fill="auto"/>
            <w:vAlign w:val="center"/>
          </w:tcPr>
          <w:p w14:paraId="1CCA22A9" w14:textId="3E574DE0"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265</w:t>
            </w:r>
          </w:p>
        </w:tc>
        <w:tc>
          <w:tcPr>
            <w:tcW w:w="1345" w:type="dxa"/>
            <w:shd w:val="clear" w:color="auto" w:fill="auto"/>
            <w:vAlign w:val="center"/>
          </w:tcPr>
          <w:p w14:paraId="62916E34" w14:textId="0B37CFE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7FAC7450" w14:textId="77307CA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426D0A1D" w14:textId="36536A22"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27" w:type="dxa"/>
            <w:shd w:val="clear" w:color="auto" w:fill="auto"/>
            <w:vAlign w:val="center"/>
          </w:tcPr>
          <w:p w14:paraId="6C29DA11" w14:textId="391B7970"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00" w:type="dxa"/>
            <w:shd w:val="clear" w:color="auto" w:fill="auto"/>
            <w:vAlign w:val="center"/>
          </w:tcPr>
          <w:p w14:paraId="1C9FAEB8" w14:textId="6E0E846B"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670</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357" w:type="dxa"/>
            <w:shd w:val="clear" w:color="auto" w:fill="auto"/>
            <w:vAlign w:val="center"/>
          </w:tcPr>
          <w:p w14:paraId="34FE9C17" w14:textId="3DFAE8B2"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0,17</w:t>
            </w:r>
          </w:p>
        </w:tc>
      </w:tr>
      <w:tr w:rsidR="003E4615" w:rsidRPr="003E4615" w14:paraId="29050945" w14:textId="77777777" w:rsidTr="00C95FCE">
        <w:trPr>
          <w:jc w:val="center"/>
        </w:trPr>
        <w:tc>
          <w:tcPr>
            <w:tcW w:w="943" w:type="dxa"/>
            <w:shd w:val="clear" w:color="auto" w:fill="auto"/>
            <w:vAlign w:val="center"/>
          </w:tcPr>
          <w:p w14:paraId="54D8ACD5" w14:textId="618B9FA7"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268</w:t>
            </w:r>
          </w:p>
        </w:tc>
        <w:tc>
          <w:tcPr>
            <w:tcW w:w="1345" w:type="dxa"/>
            <w:shd w:val="clear" w:color="auto" w:fill="auto"/>
            <w:vAlign w:val="center"/>
          </w:tcPr>
          <w:p w14:paraId="5AC1176D" w14:textId="1A2A1BE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441A6701" w14:textId="5C7D7104"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39BA3FB0" w14:textId="4478A4B5"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27" w:type="dxa"/>
            <w:shd w:val="clear" w:color="auto" w:fill="auto"/>
            <w:vAlign w:val="center"/>
          </w:tcPr>
          <w:p w14:paraId="392A24DF" w14:textId="635381D4"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00" w:type="dxa"/>
            <w:shd w:val="clear" w:color="auto" w:fill="auto"/>
            <w:vAlign w:val="center"/>
          </w:tcPr>
          <w:p w14:paraId="20D54200" w14:textId="15A8863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5491</w:t>
            </w:r>
            <w:r w:rsidRPr="003E4615">
              <w:rPr>
                <w:rFonts w:ascii="Times New Roman" w:hAnsi="Times New Roman" w:cs="Times New Roman"/>
                <w:color w:val="000000"/>
                <w:sz w:val="24"/>
                <w:szCs w:val="24"/>
                <w:lang w:val="kk-KZ"/>
              </w:rPr>
              <w:t>,6</w:t>
            </w:r>
          </w:p>
        </w:tc>
        <w:tc>
          <w:tcPr>
            <w:tcW w:w="1357" w:type="dxa"/>
            <w:shd w:val="clear" w:color="auto" w:fill="auto"/>
            <w:vAlign w:val="center"/>
          </w:tcPr>
          <w:p w14:paraId="3051BC50" w14:textId="7D310061"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1,36</w:t>
            </w:r>
          </w:p>
        </w:tc>
      </w:tr>
      <w:tr w:rsidR="003E4615" w:rsidRPr="003E4615" w14:paraId="698F0947" w14:textId="77777777" w:rsidTr="001E64ED">
        <w:trPr>
          <w:jc w:val="center"/>
        </w:trPr>
        <w:tc>
          <w:tcPr>
            <w:tcW w:w="943" w:type="dxa"/>
            <w:tcBorders>
              <w:bottom w:val="single" w:sz="4" w:space="0" w:color="auto"/>
            </w:tcBorders>
            <w:shd w:val="clear" w:color="auto" w:fill="auto"/>
            <w:vAlign w:val="center"/>
          </w:tcPr>
          <w:p w14:paraId="0A1642FC" w14:textId="3014A06F"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266</w:t>
            </w:r>
          </w:p>
        </w:tc>
        <w:tc>
          <w:tcPr>
            <w:tcW w:w="1345" w:type="dxa"/>
            <w:tcBorders>
              <w:bottom w:val="single" w:sz="4" w:space="0" w:color="auto"/>
            </w:tcBorders>
            <w:shd w:val="clear" w:color="auto" w:fill="auto"/>
            <w:vAlign w:val="center"/>
          </w:tcPr>
          <w:p w14:paraId="440DF650" w14:textId="5365893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tcBorders>
              <w:bottom w:val="single" w:sz="4" w:space="0" w:color="auto"/>
            </w:tcBorders>
            <w:shd w:val="clear" w:color="auto" w:fill="auto"/>
            <w:vAlign w:val="center"/>
          </w:tcPr>
          <w:p w14:paraId="2E7385F7" w14:textId="794D9F8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tcBorders>
              <w:bottom w:val="single" w:sz="4" w:space="0" w:color="auto"/>
            </w:tcBorders>
            <w:shd w:val="clear" w:color="auto" w:fill="auto"/>
            <w:vAlign w:val="center"/>
          </w:tcPr>
          <w:p w14:paraId="723DF6F0" w14:textId="225B869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tcBorders>
              <w:bottom w:val="single" w:sz="4" w:space="0" w:color="auto"/>
            </w:tcBorders>
            <w:shd w:val="clear" w:color="auto" w:fill="auto"/>
            <w:vAlign w:val="center"/>
          </w:tcPr>
          <w:p w14:paraId="4E375012" w14:textId="2C46EE2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tcBorders>
              <w:bottom w:val="single" w:sz="4" w:space="0" w:color="auto"/>
            </w:tcBorders>
            <w:shd w:val="clear" w:color="auto" w:fill="auto"/>
            <w:vAlign w:val="center"/>
          </w:tcPr>
          <w:p w14:paraId="3B07982F" w14:textId="382C0B5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1200,0</w:t>
            </w:r>
          </w:p>
        </w:tc>
        <w:tc>
          <w:tcPr>
            <w:tcW w:w="1357" w:type="dxa"/>
            <w:tcBorders>
              <w:bottom w:val="single" w:sz="4" w:space="0" w:color="auto"/>
            </w:tcBorders>
            <w:shd w:val="clear" w:color="auto" w:fill="auto"/>
            <w:vAlign w:val="center"/>
          </w:tcPr>
          <w:p w14:paraId="2D660E27" w14:textId="0CBBDE07"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lang w:val="kk-KZ"/>
              </w:rPr>
              <w:t>0,3</w:t>
            </w:r>
          </w:p>
        </w:tc>
      </w:tr>
      <w:tr w:rsidR="003E4615" w:rsidRPr="003E4615" w14:paraId="68B28710" w14:textId="77777777" w:rsidTr="001E64ED">
        <w:trPr>
          <w:jc w:val="center"/>
        </w:trPr>
        <w:tc>
          <w:tcPr>
            <w:tcW w:w="943" w:type="dxa"/>
            <w:tcBorders>
              <w:bottom w:val="nil"/>
            </w:tcBorders>
            <w:shd w:val="clear" w:color="auto" w:fill="auto"/>
            <w:vAlign w:val="center"/>
          </w:tcPr>
          <w:p w14:paraId="10581AD7" w14:textId="230D764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269</w:t>
            </w:r>
          </w:p>
        </w:tc>
        <w:tc>
          <w:tcPr>
            <w:tcW w:w="1345" w:type="dxa"/>
            <w:tcBorders>
              <w:bottom w:val="nil"/>
            </w:tcBorders>
            <w:shd w:val="clear" w:color="auto" w:fill="auto"/>
            <w:vAlign w:val="center"/>
          </w:tcPr>
          <w:p w14:paraId="69EC5AD4" w14:textId="31EDDFC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tcBorders>
              <w:bottom w:val="nil"/>
            </w:tcBorders>
            <w:shd w:val="clear" w:color="auto" w:fill="auto"/>
            <w:vAlign w:val="center"/>
          </w:tcPr>
          <w:p w14:paraId="603A457A" w14:textId="0DAD9D3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tcBorders>
              <w:bottom w:val="nil"/>
            </w:tcBorders>
            <w:shd w:val="clear" w:color="auto" w:fill="auto"/>
            <w:vAlign w:val="center"/>
          </w:tcPr>
          <w:p w14:paraId="18173F79" w14:textId="567FDE3B"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tcBorders>
              <w:bottom w:val="nil"/>
            </w:tcBorders>
            <w:shd w:val="clear" w:color="auto" w:fill="auto"/>
            <w:vAlign w:val="center"/>
          </w:tcPr>
          <w:p w14:paraId="4EEAD2BB" w14:textId="027D661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tcBorders>
              <w:bottom w:val="nil"/>
            </w:tcBorders>
            <w:shd w:val="clear" w:color="auto" w:fill="auto"/>
            <w:vAlign w:val="center"/>
          </w:tcPr>
          <w:p w14:paraId="21A33E9B" w14:textId="1FC3107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4126</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8</w:t>
            </w:r>
          </w:p>
        </w:tc>
        <w:tc>
          <w:tcPr>
            <w:tcW w:w="1357" w:type="dxa"/>
            <w:tcBorders>
              <w:bottom w:val="nil"/>
            </w:tcBorders>
            <w:shd w:val="clear" w:color="auto" w:fill="auto"/>
            <w:vAlign w:val="center"/>
          </w:tcPr>
          <w:p w14:paraId="0EA57EA7" w14:textId="195CA73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lang w:val="kk-KZ"/>
              </w:rPr>
              <w:t>1,02</w:t>
            </w:r>
          </w:p>
        </w:tc>
      </w:tr>
      <w:tr w:rsidR="003E4615" w:rsidRPr="003E4615" w14:paraId="087411CB" w14:textId="77777777" w:rsidTr="00C95FCE">
        <w:trPr>
          <w:jc w:val="center"/>
        </w:trPr>
        <w:tc>
          <w:tcPr>
            <w:tcW w:w="943" w:type="dxa"/>
            <w:shd w:val="clear" w:color="auto" w:fill="auto"/>
            <w:vAlign w:val="center"/>
          </w:tcPr>
          <w:p w14:paraId="6D24DE3F" w14:textId="71103B5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267</w:t>
            </w:r>
          </w:p>
        </w:tc>
        <w:tc>
          <w:tcPr>
            <w:tcW w:w="1345" w:type="dxa"/>
            <w:shd w:val="clear" w:color="auto" w:fill="auto"/>
            <w:vAlign w:val="center"/>
          </w:tcPr>
          <w:p w14:paraId="6EA130C1" w14:textId="587455D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23DD0986" w14:textId="020DE84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6F825FAE" w14:textId="16C27D3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779D7E49" w14:textId="3E494D9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vAlign w:val="center"/>
          </w:tcPr>
          <w:p w14:paraId="70029BE5" w14:textId="1D335C3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8263</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6</w:t>
            </w:r>
          </w:p>
        </w:tc>
        <w:tc>
          <w:tcPr>
            <w:tcW w:w="1357" w:type="dxa"/>
            <w:shd w:val="clear" w:color="auto" w:fill="auto"/>
            <w:vAlign w:val="center"/>
          </w:tcPr>
          <w:p w14:paraId="2F239741" w14:textId="5664D40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lang w:val="kk-KZ"/>
              </w:rPr>
              <w:t>2,05</w:t>
            </w:r>
          </w:p>
        </w:tc>
      </w:tr>
      <w:tr w:rsidR="003E4615" w:rsidRPr="003E4615" w14:paraId="6DBD80D1" w14:textId="77777777" w:rsidTr="00C95FCE">
        <w:trPr>
          <w:jc w:val="center"/>
        </w:trPr>
        <w:tc>
          <w:tcPr>
            <w:tcW w:w="943" w:type="dxa"/>
            <w:shd w:val="clear" w:color="auto" w:fill="auto"/>
            <w:vAlign w:val="center"/>
          </w:tcPr>
          <w:p w14:paraId="4E74918A" w14:textId="241BB41D"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063</w:t>
            </w:r>
          </w:p>
        </w:tc>
        <w:tc>
          <w:tcPr>
            <w:tcW w:w="1345" w:type="dxa"/>
            <w:shd w:val="clear" w:color="auto" w:fill="auto"/>
            <w:vAlign w:val="center"/>
          </w:tcPr>
          <w:p w14:paraId="5E0CF02C" w14:textId="6A95D1F3"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596" w:type="dxa"/>
            <w:shd w:val="clear" w:color="auto" w:fill="auto"/>
            <w:vAlign w:val="center"/>
          </w:tcPr>
          <w:p w14:paraId="64CDD2D4" w14:textId="10A43A6A"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70" w:type="dxa"/>
            <w:shd w:val="clear" w:color="auto" w:fill="auto"/>
            <w:vAlign w:val="center"/>
          </w:tcPr>
          <w:p w14:paraId="17CD549E" w14:textId="55D989A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3B33FEE0" w14:textId="1582088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tcPr>
          <w:p w14:paraId="54C5AA2B" w14:textId="388E2CD6"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tcPr>
          <w:p w14:paraId="3E1E28CF" w14:textId="415AE90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65282CEA" w14:textId="77777777" w:rsidTr="00C95FCE">
        <w:trPr>
          <w:jc w:val="center"/>
        </w:trPr>
        <w:tc>
          <w:tcPr>
            <w:tcW w:w="943" w:type="dxa"/>
            <w:shd w:val="clear" w:color="auto" w:fill="auto"/>
            <w:vAlign w:val="center"/>
          </w:tcPr>
          <w:p w14:paraId="485BE1DC" w14:textId="0A790D9E"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rPr>
              <w:t>004</w:t>
            </w:r>
          </w:p>
        </w:tc>
        <w:tc>
          <w:tcPr>
            <w:tcW w:w="1345" w:type="dxa"/>
            <w:shd w:val="clear" w:color="auto" w:fill="auto"/>
            <w:vAlign w:val="center"/>
          </w:tcPr>
          <w:p w14:paraId="4CFB638D" w14:textId="0761A48A"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596" w:type="dxa"/>
            <w:shd w:val="clear" w:color="auto" w:fill="auto"/>
            <w:vAlign w:val="center"/>
          </w:tcPr>
          <w:p w14:paraId="63D0D054" w14:textId="47F2062B"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70" w:type="dxa"/>
            <w:shd w:val="clear" w:color="auto" w:fill="auto"/>
            <w:vAlign w:val="center"/>
          </w:tcPr>
          <w:p w14:paraId="2EC0764F" w14:textId="610C10C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28877C1C" w14:textId="26EDA7B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tcPr>
          <w:p w14:paraId="70B0F59E" w14:textId="064730FC"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357" w:type="dxa"/>
            <w:shd w:val="clear" w:color="auto" w:fill="auto"/>
          </w:tcPr>
          <w:p w14:paraId="4FCB981F" w14:textId="742ED470"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59967A5C" w14:textId="77777777" w:rsidTr="00C95FCE">
        <w:trPr>
          <w:jc w:val="center"/>
        </w:trPr>
        <w:tc>
          <w:tcPr>
            <w:tcW w:w="943" w:type="dxa"/>
            <w:shd w:val="clear" w:color="auto" w:fill="auto"/>
            <w:vAlign w:val="center"/>
          </w:tcPr>
          <w:p w14:paraId="4EA22327" w14:textId="2323F68D"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005</w:t>
            </w:r>
          </w:p>
        </w:tc>
        <w:tc>
          <w:tcPr>
            <w:tcW w:w="1345" w:type="dxa"/>
            <w:shd w:val="clear" w:color="auto" w:fill="auto"/>
            <w:vAlign w:val="center"/>
          </w:tcPr>
          <w:p w14:paraId="69CD6E36" w14:textId="2AE376C4"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596" w:type="dxa"/>
            <w:shd w:val="clear" w:color="auto" w:fill="auto"/>
            <w:vAlign w:val="center"/>
          </w:tcPr>
          <w:p w14:paraId="76300A0D" w14:textId="734FFA31"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70" w:type="dxa"/>
            <w:shd w:val="clear" w:color="auto" w:fill="auto"/>
            <w:vAlign w:val="center"/>
          </w:tcPr>
          <w:p w14:paraId="7E942B12" w14:textId="35B6505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15454BC0" w14:textId="2E361B7D"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tcPr>
          <w:p w14:paraId="1E77C21E" w14:textId="6CC94F1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357" w:type="dxa"/>
            <w:shd w:val="clear" w:color="auto" w:fill="auto"/>
          </w:tcPr>
          <w:p w14:paraId="735EC9AB" w14:textId="01ED2165"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461294CF" w14:textId="77777777" w:rsidTr="00C95FCE">
        <w:trPr>
          <w:jc w:val="center"/>
        </w:trPr>
        <w:tc>
          <w:tcPr>
            <w:tcW w:w="943" w:type="dxa"/>
            <w:shd w:val="clear" w:color="auto" w:fill="auto"/>
            <w:vAlign w:val="center"/>
          </w:tcPr>
          <w:p w14:paraId="48E07B70" w14:textId="6C561788"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006</w:t>
            </w:r>
          </w:p>
        </w:tc>
        <w:tc>
          <w:tcPr>
            <w:tcW w:w="1345" w:type="dxa"/>
            <w:shd w:val="clear" w:color="auto" w:fill="auto"/>
            <w:vAlign w:val="center"/>
          </w:tcPr>
          <w:p w14:paraId="61A72420" w14:textId="5E3E2475"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596" w:type="dxa"/>
            <w:shd w:val="clear" w:color="auto" w:fill="auto"/>
            <w:vAlign w:val="center"/>
          </w:tcPr>
          <w:p w14:paraId="5DFDB85D" w14:textId="110983AF"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70" w:type="dxa"/>
            <w:shd w:val="clear" w:color="auto" w:fill="auto"/>
            <w:vAlign w:val="center"/>
          </w:tcPr>
          <w:p w14:paraId="1395C533" w14:textId="3DD1A60E"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27" w:type="dxa"/>
            <w:shd w:val="clear" w:color="auto" w:fill="auto"/>
            <w:vAlign w:val="center"/>
          </w:tcPr>
          <w:p w14:paraId="73BAFF07" w14:textId="2EDC456C"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00" w:type="dxa"/>
            <w:shd w:val="clear" w:color="auto" w:fill="auto"/>
          </w:tcPr>
          <w:p w14:paraId="67D6B703" w14:textId="53600E02"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357" w:type="dxa"/>
            <w:shd w:val="clear" w:color="auto" w:fill="auto"/>
          </w:tcPr>
          <w:p w14:paraId="3337D784" w14:textId="27065166"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07F1542B" w14:textId="77777777" w:rsidTr="00C95FCE">
        <w:trPr>
          <w:jc w:val="center"/>
        </w:trPr>
        <w:tc>
          <w:tcPr>
            <w:tcW w:w="943" w:type="dxa"/>
            <w:shd w:val="clear" w:color="auto" w:fill="auto"/>
            <w:vAlign w:val="center"/>
          </w:tcPr>
          <w:p w14:paraId="11D2A74C" w14:textId="30CB0BB8"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013</w:t>
            </w:r>
          </w:p>
        </w:tc>
        <w:tc>
          <w:tcPr>
            <w:tcW w:w="1345" w:type="dxa"/>
            <w:shd w:val="clear" w:color="auto" w:fill="auto"/>
            <w:vAlign w:val="center"/>
          </w:tcPr>
          <w:p w14:paraId="7C92BEE0" w14:textId="350D889F"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55C2C644" w14:textId="633F1081"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61937534" w14:textId="788D4CE2"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27" w:type="dxa"/>
            <w:shd w:val="clear" w:color="auto" w:fill="auto"/>
            <w:vAlign w:val="center"/>
          </w:tcPr>
          <w:p w14:paraId="71043709" w14:textId="5FCB7F66"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00" w:type="dxa"/>
            <w:shd w:val="clear" w:color="auto" w:fill="auto"/>
          </w:tcPr>
          <w:p w14:paraId="49C04ABB" w14:textId="1CE34B4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357" w:type="dxa"/>
            <w:shd w:val="clear" w:color="auto" w:fill="auto"/>
          </w:tcPr>
          <w:p w14:paraId="70FFC883" w14:textId="56CC2A8D"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sz w:val="24"/>
                <w:szCs w:val="24"/>
                <w:lang w:val="kk-KZ"/>
              </w:rPr>
              <w:t>-</w:t>
            </w:r>
          </w:p>
        </w:tc>
      </w:tr>
      <w:tr w:rsidR="003E4615" w:rsidRPr="003E4615" w14:paraId="737B3E79" w14:textId="77777777" w:rsidTr="00C95FCE">
        <w:trPr>
          <w:jc w:val="center"/>
        </w:trPr>
        <w:tc>
          <w:tcPr>
            <w:tcW w:w="943" w:type="dxa"/>
            <w:shd w:val="clear" w:color="auto" w:fill="auto"/>
            <w:vAlign w:val="center"/>
          </w:tcPr>
          <w:p w14:paraId="247465F3" w14:textId="2A9C5D35"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100</w:t>
            </w:r>
          </w:p>
        </w:tc>
        <w:tc>
          <w:tcPr>
            <w:tcW w:w="1345" w:type="dxa"/>
            <w:shd w:val="clear" w:color="auto" w:fill="auto"/>
            <w:vAlign w:val="center"/>
          </w:tcPr>
          <w:p w14:paraId="48F49E69" w14:textId="05690F6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596" w:type="dxa"/>
            <w:shd w:val="clear" w:color="auto" w:fill="auto"/>
            <w:vAlign w:val="center"/>
          </w:tcPr>
          <w:p w14:paraId="3BDB09DD" w14:textId="2A811439"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470" w:type="dxa"/>
            <w:shd w:val="clear" w:color="auto" w:fill="auto"/>
            <w:vAlign w:val="center"/>
          </w:tcPr>
          <w:p w14:paraId="0AB5D08C" w14:textId="4BB07B4B"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27" w:type="dxa"/>
            <w:shd w:val="clear" w:color="auto" w:fill="auto"/>
            <w:vAlign w:val="center"/>
          </w:tcPr>
          <w:p w14:paraId="7C0E4E84" w14:textId="4C76B932"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400" w:type="dxa"/>
            <w:shd w:val="clear" w:color="auto" w:fill="auto"/>
          </w:tcPr>
          <w:p w14:paraId="4BE71EFB" w14:textId="01ABA1E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357" w:type="dxa"/>
            <w:shd w:val="clear" w:color="auto" w:fill="auto"/>
          </w:tcPr>
          <w:p w14:paraId="7C9C54ED" w14:textId="306F2CF4"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sz w:val="24"/>
                <w:szCs w:val="24"/>
                <w:lang w:val="kk-KZ"/>
              </w:rPr>
              <w:t>-</w:t>
            </w:r>
          </w:p>
        </w:tc>
      </w:tr>
      <w:tr w:rsidR="003E4615" w:rsidRPr="003E4615" w14:paraId="41E20E51" w14:textId="77777777" w:rsidTr="00C95FCE">
        <w:trPr>
          <w:jc w:val="center"/>
        </w:trPr>
        <w:tc>
          <w:tcPr>
            <w:tcW w:w="943" w:type="dxa"/>
            <w:shd w:val="clear" w:color="auto" w:fill="auto"/>
            <w:vAlign w:val="center"/>
          </w:tcPr>
          <w:p w14:paraId="30D321CF" w14:textId="0F32735B" w:rsidR="003E4615" w:rsidRPr="003E4615" w:rsidRDefault="003E4615" w:rsidP="00457CE9">
            <w:pPr>
              <w:jc w:val="center"/>
              <w:rPr>
                <w:rFonts w:ascii="Times New Roman" w:hAnsi="Times New Roman" w:cs="Times New Roman"/>
                <w:sz w:val="24"/>
                <w:szCs w:val="24"/>
              </w:rPr>
            </w:pPr>
            <w:r w:rsidRPr="003E4615">
              <w:rPr>
                <w:rFonts w:ascii="Times New Roman" w:hAnsi="Times New Roman" w:cs="Times New Roman"/>
                <w:sz w:val="24"/>
                <w:szCs w:val="24"/>
                <w:lang w:val="kk-KZ"/>
              </w:rPr>
              <w:t>212</w:t>
            </w:r>
          </w:p>
        </w:tc>
        <w:tc>
          <w:tcPr>
            <w:tcW w:w="1345" w:type="dxa"/>
            <w:shd w:val="clear" w:color="auto" w:fill="auto"/>
            <w:vAlign w:val="center"/>
          </w:tcPr>
          <w:p w14:paraId="7606DD1A" w14:textId="1D802AF3"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sz w:val="24"/>
                <w:szCs w:val="24"/>
              </w:rPr>
              <w:t>327100</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1</w:t>
            </w:r>
          </w:p>
        </w:tc>
        <w:tc>
          <w:tcPr>
            <w:tcW w:w="1596" w:type="dxa"/>
            <w:shd w:val="clear" w:color="auto" w:fill="auto"/>
            <w:vAlign w:val="center"/>
          </w:tcPr>
          <w:p w14:paraId="39E8DE26" w14:textId="58FC6B4A" w:rsidR="003E4615" w:rsidRPr="003E4615" w:rsidRDefault="003E4615" w:rsidP="00457CE9">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100</w:t>
            </w:r>
          </w:p>
        </w:tc>
        <w:tc>
          <w:tcPr>
            <w:tcW w:w="1470" w:type="dxa"/>
            <w:shd w:val="clear" w:color="auto" w:fill="auto"/>
            <w:vAlign w:val="center"/>
          </w:tcPr>
          <w:p w14:paraId="323E2611" w14:textId="66ACECDE"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348059</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4</w:t>
            </w:r>
          </w:p>
        </w:tc>
        <w:tc>
          <w:tcPr>
            <w:tcW w:w="1427" w:type="dxa"/>
            <w:shd w:val="clear" w:color="auto" w:fill="auto"/>
            <w:vAlign w:val="center"/>
          </w:tcPr>
          <w:p w14:paraId="15471D77" w14:textId="1307EB93"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100</w:t>
            </w:r>
          </w:p>
        </w:tc>
        <w:tc>
          <w:tcPr>
            <w:tcW w:w="1400" w:type="dxa"/>
            <w:shd w:val="clear" w:color="auto" w:fill="auto"/>
            <w:vAlign w:val="center"/>
          </w:tcPr>
          <w:p w14:paraId="6442160D" w14:textId="31E52199"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403106</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2</w:t>
            </w:r>
          </w:p>
        </w:tc>
        <w:tc>
          <w:tcPr>
            <w:tcW w:w="1357" w:type="dxa"/>
            <w:shd w:val="clear" w:color="auto" w:fill="auto"/>
            <w:vAlign w:val="center"/>
          </w:tcPr>
          <w:p w14:paraId="5654D6EC" w14:textId="3E46B117"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100</w:t>
            </w:r>
          </w:p>
        </w:tc>
      </w:tr>
      <w:tr w:rsidR="003E4615" w:rsidRPr="003E4615" w14:paraId="1407CF80" w14:textId="77777777" w:rsidTr="00C95FCE">
        <w:trPr>
          <w:jc w:val="center"/>
        </w:trPr>
        <w:tc>
          <w:tcPr>
            <w:tcW w:w="943" w:type="dxa"/>
            <w:shd w:val="clear" w:color="auto" w:fill="auto"/>
            <w:vAlign w:val="center"/>
          </w:tcPr>
          <w:p w14:paraId="08A4788E" w14:textId="6053F7CB"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 xml:space="preserve">Нақты </w:t>
            </w:r>
          </w:p>
        </w:tc>
        <w:tc>
          <w:tcPr>
            <w:tcW w:w="1345" w:type="dxa"/>
            <w:shd w:val="clear" w:color="auto" w:fill="auto"/>
            <w:vAlign w:val="center"/>
          </w:tcPr>
          <w:p w14:paraId="28B18B0C" w14:textId="564C74F3" w:rsidR="003E4615" w:rsidRPr="003E4615" w:rsidRDefault="003E4615" w:rsidP="00457CE9">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326201,1</w:t>
            </w:r>
          </w:p>
        </w:tc>
        <w:tc>
          <w:tcPr>
            <w:tcW w:w="1596" w:type="dxa"/>
            <w:shd w:val="clear" w:color="auto" w:fill="auto"/>
            <w:vAlign w:val="center"/>
          </w:tcPr>
          <w:p w14:paraId="3E300C53" w14:textId="6A66B0F1"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99,7</w:t>
            </w:r>
          </w:p>
        </w:tc>
        <w:tc>
          <w:tcPr>
            <w:tcW w:w="1470" w:type="dxa"/>
            <w:shd w:val="clear" w:color="auto" w:fill="auto"/>
            <w:vAlign w:val="center"/>
          </w:tcPr>
          <w:p w14:paraId="54559222" w14:textId="68F28ACD"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346276,9</w:t>
            </w:r>
          </w:p>
        </w:tc>
        <w:tc>
          <w:tcPr>
            <w:tcW w:w="1427" w:type="dxa"/>
            <w:shd w:val="clear" w:color="auto" w:fill="auto"/>
            <w:vAlign w:val="center"/>
          </w:tcPr>
          <w:p w14:paraId="71D41537" w14:textId="4BF117F7"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99,5</w:t>
            </w:r>
          </w:p>
        </w:tc>
        <w:tc>
          <w:tcPr>
            <w:tcW w:w="1400" w:type="dxa"/>
            <w:shd w:val="clear" w:color="auto" w:fill="auto"/>
            <w:vAlign w:val="center"/>
          </w:tcPr>
          <w:p w14:paraId="703ECA46" w14:textId="60B5E1AC"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402931,2</w:t>
            </w:r>
          </w:p>
        </w:tc>
        <w:tc>
          <w:tcPr>
            <w:tcW w:w="1357" w:type="dxa"/>
            <w:shd w:val="clear" w:color="auto" w:fill="auto"/>
            <w:vAlign w:val="center"/>
          </w:tcPr>
          <w:p w14:paraId="33E2E3D4" w14:textId="5C0051CE" w:rsidR="003E4615" w:rsidRPr="003E4615" w:rsidRDefault="003E4615" w:rsidP="00457CE9">
            <w:pPr>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100</w:t>
            </w:r>
          </w:p>
        </w:tc>
      </w:tr>
    </w:tbl>
    <w:p w14:paraId="5259FEF8" w14:textId="77777777" w:rsidR="00651588" w:rsidRDefault="00651588" w:rsidP="00457CE9">
      <w:pPr>
        <w:spacing w:after="0" w:line="240" w:lineRule="auto"/>
        <w:rPr>
          <w:rFonts w:ascii="Times New Roman" w:hAnsi="Times New Roman" w:cs="Times New Roman"/>
          <w:sz w:val="28"/>
          <w:szCs w:val="28"/>
          <w:lang w:val="kk-KZ"/>
        </w:rPr>
      </w:pPr>
    </w:p>
    <w:p w14:paraId="1F7F6604" w14:textId="6E807D76" w:rsidR="003E4615" w:rsidRDefault="003E4615" w:rsidP="00457CE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00023296">
        <w:rPr>
          <w:rFonts w:ascii="Times New Roman" w:hAnsi="Times New Roman" w:cs="Times New Roman"/>
          <w:sz w:val="28"/>
          <w:szCs w:val="28"/>
          <w:lang w:val="kk-KZ"/>
        </w:rPr>
        <w:t>2</w:t>
      </w:r>
      <w:r>
        <w:rPr>
          <w:rFonts w:ascii="Times New Roman" w:hAnsi="Times New Roman" w:cs="Times New Roman"/>
          <w:sz w:val="28"/>
          <w:szCs w:val="28"/>
          <w:lang w:val="kk-KZ"/>
        </w:rPr>
        <w:t>-кестенің жалғасы</w:t>
      </w:r>
    </w:p>
    <w:p w14:paraId="7CEB0306" w14:textId="77777777" w:rsidR="003E4615" w:rsidRPr="003E4615" w:rsidRDefault="003E4615" w:rsidP="00457CE9">
      <w:pPr>
        <w:spacing w:after="0" w:line="240" w:lineRule="auto"/>
        <w:rPr>
          <w:rFonts w:ascii="Times New Roman" w:hAnsi="Times New Roman" w:cs="Times New Roman"/>
          <w:sz w:val="16"/>
          <w:szCs w:val="16"/>
          <w:lang w:val="kk-KZ"/>
        </w:rPr>
      </w:pPr>
    </w:p>
    <w:tbl>
      <w:tblPr>
        <w:tblStyle w:val="a3"/>
        <w:tblW w:w="9575" w:type="dxa"/>
        <w:jc w:val="center"/>
        <w:tblLayout w:type="fixed"/>
        <w:tblLook w:val="04A0" w:firstRow="1" w:lastRow="0" w:firstColumn="1" w:lastColumn="0" w:noHBand="0" w:noVBand="1"/>
      </w:tblPr>
      <w:tblGrid>
        <w:gridCol w:w="795"/>
        <w:gridCol w:w="1190"/>
        <w:gridCol w:w="1092"/>
        <w:gridCol w:w="1246"/>
        <w:gridCol w:w="1148"/>
        <w:gridCol w:w="1091"/>
        <w:gridCol w:w="910"/>
        <w:gridCol w:w="1120"/>
        <w:gridCol w:w="983"/>
      </w:tblGrid>
      <w:tr w:rsidR="003E4615" w:rsidRPr="003E4615" w14:paraId="62C5E1E7" w14:textId="77777777" w:rsidTr="00C95FCE">
        <w:trPr>
          <w:jc w:val="center"/>
        </w:trPr>
        <w:tc>
          <w:tcPr>
            <w:tcW w:w="795" w:type="dxa"/>
            <w:shd w:val="clear" w:color="auto" w:fill="auto"/>
            <w:vAlign w:val="center"/>
          </w:tcPr>
          <w:p w14:paraId="69FCBAB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Коды</w:t>
            </w:r>
          </w:p>
        </w:tc>
        <w:tc>
          <w:tcPr>
            <w:tcW w:w="1190" w:type="dxa"/>
            <w:shd w:val="clear" w:color="auto" w:fill="auto"/>
            <w:vAlign w:val="center"/>
          </w:tcPr>
          <w:p w14:paraId="69691368" w14:textId="77777777" w:rsidR="003E4615" w:rsidRPr="003E4615" w:rsidRDefault="003E4615" w:rsidP="00C95FCE">
            <w:pPr>
              <w:ind w:right="-108"/>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2019 жыл</w:t>
            </w:r>
          </w:p>
        </w:tc>
        <w:tc>
          <w:tcPr>
            <w:tcW w:w="1092" w:type="dxa"/>
            <w:shd w:val="clear" w:color="auto" w:fill="auto"/>
            <w:vAlign w:val="center"/>
          </w:tcPr>
          <w:p w14:paraId="7F1A7543" w14:textId="77777777" w:rsidR="003E4615" w:rsidRPr="003E4615" w:rsidRDefault="003E4615" w:rsidP="00C95FCE">
            <w:pPr>
              <w:ind w:left="-66"/>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Үлесі, %</w:t>
            </w:r>
          </w:p>
        </w:tc>
        <w:tc>
          <w:tcPr>
            <w:tcW w:w="1246" w:type="dxa"/>
            <w:shd w:val="clear" w:color="auto" w:fill="auto"/>
            <w:vAlign w:val="center"/>
          </w:tcPr>
          <w:p w14:paraId="35118E8A" w14:textId="77777777" w:rsidR="003E4615" w:rsidRPr="003E4615" w:rsidRDefault="003E4615" w:rsidP="00C95FCE">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2020 жыл</w:t>
            </w:r>
          </w:p>
        </w:tc>
        <w:tc>
          <w:tcPr>
            <w:tcW w:w="1148" w:type="dxa"/>
            <w:shd w:val="clear" w:color="auto" w:fill="auto"/>
            <w:vAlign w:val="center"/>
          </w:tcPr>
          <w:p w14:paraId="7D962011" w14:textId="77777777" w:rsidR="003E4615" w:rsidRPr="003E4615" w:rsidRDefault="003E4615" w:rsidP="00C95FCE">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Үлесі, %</w:t>
            </w:r>
          </w:p>
        </w:tc>
        <w:tc>
          <w:tcPr>
            <w:tcW w:w="1091" w:type="dxa"/>
            <w:shd w:val="clear" w:color="auto" w:fill="auto"/>
            <w:vAlign w:val="center"/>
          </w:tcPr>
          <w:p w14:paraId="03592783" w14:textId="77777777" w:rsidR="003E4615" w:rsidRPr="003E4615" w:rsidRDefault="003E4615" w:rsidP="00C95FCE">
            <w:pPr>
              <w:ind w:left="-108" w:right="-136"/>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2021 жыл</w:t>
            </w:r>
          </w:p>
        </w:tc>
        <w:tc>
          <w:tcPr>
            <w:tcW w:w="910" w:type="dxa"/>
            <w:shd w:val="clear" w:color="auto" w:fill="auto"/>
            <w:vAlign w:val="center"/>
          </w:tcPr>
          <w:p w14:paraId="0E4D7F52" w14:textId="77777777" w:rsidR="003E4615" w:rsidRPr="003E4615" w:rsidRDefault="003E4615" w:rsidP="00C95FCE">
            <w:pPr>
              <w:ind w:left="-108" w:right="-136"/>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Үлесі, %</w:t>
            </w:r>
          </w:p>
        </w:tc>
        <w:tc>
          <w:tcPr>
            <w:tcW w:w="1120" w:type="dxa"/>
            <w:shd w:val="clear" w:color="auto" w:fill="auto"/>
            <w:vAlign w:val="center"/>
          </w:tcPr>
          <w:p w14:paraId="4E1A1F24" w14:textId="77777777" w:rsidR="003E4615" w:rsidRPr="003E4615" w:rsidRDefault="003E4615" w:rsidP="00C95FCE">
            <w:pPr>
              <w:ind w:left="-122" w:right="-122" w:firstLine="122"/>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2022 жыл</w:t>
            </w:r>
          </w:p>
        </w:tc>
        <w:tc>
          <w:tcPr>
            <w:tcW w:w="983" w:type="dxa"/>
            <w:shd w:val="clear" w:color="auto" w:fill="auto"/>
            <w:vAlign w:val="center"/>
          </w:tcPr>
          <w:p w14:paraId="5B298450" w14:textId="77777777" w:rsidR="003E4615" w:rsidRPr="003E4615" w:rsidRDefault="003E4615" w:rsidP="00C95FCE">
            <w:pPr>
              <w:ind w:left="-94" w:right="-77"/>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Үлесі, %</w:t>
            </w:r>
          </w:p>
        </w:tc>
      </w:tr>
      <w:tr w:rsidR="003E4615" w:rsidRPr="003E4615" w14:paraId="7FFE199F" w14:textId="77777777" w:rsidTr="00C95FCE">
        <w:trPr>
          <w:jc w:val="center"/>
        </w:trPr>
        <w:tc>
          <w:tcPr>
            <w:tcW w:w="795" w:type="dxa"/>
            <w:shd w:val="clear" w:color="auto" w:fill="auto"/>
            <w:vAlign w:val="center"/>
          </w:tcPr>
          <w:p w14:paraId="5C7849E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00</w:t>
            </w:r>
            <w:r w:rsidRPr="003E4615">
              <w:rPr>
                <w:rFonts w:ascii="Times New Roman" w:hAnsi="Times New Roman" w:cs="Times New Roman"/>
                <w:sz w:val="24"/>
                <w:szCs w:val="24"/>
              </w:rPr>
              <w:t>1</w:t>
            </w:r>
          </w:p>
        </w:tc>
        <w:tc>
          <w:tcPr>
            <w:tcW w:w="1190" w:type="dxa"/>
            <w:shd w:val="clear" w:color="auto" w:fill="auto"/>
            <w:vAlign w:val="center"/>
          </w:tcPr>
          <w:p w14:paraId="2A58DBA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rPr>
              <w:t>12795</w:t>
            </w:r>
            <w:r w:rsidRPr="003E4615">
              <w:rPr>
                <w:rFonts w:ascii="Times New Roman" w:hAnsi="Times New Roman" w:cs="Times New Roman"/>
                <w:sz w:val="24"/>
                <w:szCs w:val="24"/>
                <w:lang w:val="kk-KZ"/>
              </w:rPr>
              <w:t>,5</w:t>
            </w:r>
          </w:p>
        </w:tc>
        <w:tc>
          <w:tcPr>
            <w:tcW w:w="1092" w:type="dxa"/>
            <w:shd w:val="clear" w:color="auto" w:fill="auto"/>
            <w:vAlign w:val="center"/>
          </w:tcPr>
          <w:p w14:paraId="2DEEC56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2,73</w:t>
            </w:r>
          </w:p>
        </w:tc>
        <w:tc>
          <w:tcPr>
            <w:tcW w:w="1246" w:type="dxa"/>
            <w:shd w:val="clear" w:color="auto" w:fill="auto"/>
            <w:vAlign w:val="center"/>
          </w:tcPr>
          <w:p w14:paraId="3C188578"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rPr>
              <w:t>13001</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0</w:t>
            </w:r>
          </w:p>
        </w:tc>
        <w:tc>
          <w:tcPr>
            <w:tcW w:w="1148" w:type="dxa"/>
            <w:shd w:val="clear" w:color="auto" w:fill="auto"/>
            <w:vAlign w:val="center"/>
          </w:tcPr>
          <w:p w14:paraId="13C5202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3,07</w:t>
            </w:r>
          </w:p>
        </w:tc>
        <w:tc>
          <w:tcPr>
            <w:tcW w:w="1091" w:type="dxa"/>
            <w:shd w:val="clear" w:color="auto" w:fill="auto"/>
            <w:vAlign w:val="center"/>
          </w:tcPr>
          <w:p w14:paraId="0C6ECCD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17731</w:t>
            </w:r>
            <w:r w:rsidRPr="003E4615">
              <w:rPr>
                <w:rFonts w:ascii="Times New Roman" w:hAnsi="Times New Roman" w:cs="Times New Roman"/>
                <w:color w:val="000000"/>
                <w:sz w:val="24"/>
                <w:szCs w:val="24"/>
                <w:lang w:val="kk-KZ"/>
              </w:rPr>
              <w:t>,6</w:t>
            </w:r>
          </w:p>
        </w:tc>
        <w:tc>
          <w:tcPr>
            <w:tcW w:w="910" w:type="dxa"/>
            <w:shd w:val="clear" w:color="auto" w:fill="auto"/>
            <w:vAlign w:val="center"/>
          </w:tcPr>
          <w:p w14:paraId="11B5EE3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4,36</w:t>
            </w:r>
          </w:p>
        </w:tc>
        <w:tc>
          <w:tcPr>
            <w:tcW w:w="1120" w:type="dxa"/>
            <w:shd w:val="clear" w:color="auto" w:fill="auto"/>
            <w:vAlign w:val="center"/>
          </w:tcPr>
          <w:p w14:paraId="0B8062B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21014,4</w:t>
            </w:r>
          </w:p>
        </w:tc>
        <w:tc>
          <w:tcPr>
            <w:tcW w:w="983" w:type="dxa"/>
            <w:shd w:val="clear" w:color="auto" w:fill="auto"/>
            <w:vAlign w:val="center"/>
          </w:tcPr>
          <w:p w14:paraId="5758AD52"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3,71</w:t>
            </w:r>
          </w:p>
        </w:tc>
      </w:tr>
      <w:tr w:rsidR="003E4615" w:rsidRPr="003E4615" w14:paraId="3D66853B" w14:textId="77777777" w:rsidTr="00C95FCE">
        <w:trPr>
          <w:jc w:val="center"/>
        </w:trPr>
        <w:tc>
          <w:tcPr>
            <w:tcW w:w="795" w:type="dxa"/>
            <w:shd w:val="clear" w:color="auto" w:fill="auto"/>
            <w:vAlign w:val="center"/>
          </w:tcPr>
          <w:p w14:paraId="5229EC1C"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023</w:t>
            </w:r>
          </w:p>
        </w:tc>
        <w:tc>
          <w:tcPr>
            <w:tcW w:w="1190" w:type="dxa"/>
            <w:shd w:val="clear" w:color="auto" w:fill="auto"/>
            <w:vAlign w:val="center"/>
          </w:tcPr>
          <w:p w14:paraId="5C6E8176"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16697A1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677D7F3F"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54878B3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6EF5D749"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6850FED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064D203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57D910CE"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39514426" w14:textId="77777777" w:rsidTr="00C95FCE">
        <w:trPr>
          <w:jc w:val="center"/>
        </w:trPr>
        <w:tc>
          <w:tcPr>
            <w:tcW w:w="795" w:type="dxa"/>
            <w:shd w:val="clear" w:color="auto" w:fill="auto"/>
            <w:vAlign w:val="center"/>
          </w:tcPr>
          <w:p w14:paraId="2111EC78"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136</w:t>
            </w:r>
          </w:p>
        </w:tc>
        <w:tc>
          <w:tcPr>
            <w:tcW w:w="1190" w:type="dxa"/>
            <w:shd w:val="clear" w:color="auto" w:fill="auto"/>
            <w:vAlign w:val="center"/>
          </w:tcPr>
          <w:p w14:paraId="254C6687"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7F060B4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25EB9283"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59607ED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65EEAA03"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0FFD1FDE"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7CBC34E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5B467708"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6B356073" w14:textId="77777777" w:rsidTr="00C95FCE">
        <w:trPr>
          <w:jc w:val="center"/>
        </w:trPr>
        <w:tc>
          <w:tcPr>
            <w:tcW w:w="795" w:type="dxa"/>
            <w:shd w:val="clear" w:color="auto" w:fill="auto"/>
            <w:vAlign w:val="center"/>
          </w:tcPr>
          <w:p w14:paraId="7DB04243"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233</w:t>
            </w:r>
          </w:p>
        </w:tc>
        <w:tc>
          <w:tcPr>
            <w:tcW w:w="1190" w:type="dxa"/>
            <w:shd w:val="clear" w:color="auto" w:fill="auto"/>
            <w:vAlign w:val="center"/>
          </w:tcPr>
          <w:p w14:paraId="62015FBA"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69C2488C"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5D6604DD"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2DD5829B"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7300327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699E2932"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739F5521"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4291B76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5A670F23" w14:textId="77777777" w:rsidTr="00C95FCE">
        <w:trPr>
          <w:jc w:val="center"/>
        </w:trPr>
        <w:tc>
          <w:tcPr>
            <w:tcW w:w="795" w:type="dxa"/>
            <w:shd w:val="clear" w:color="auto" w:fill="auto"/>
            <w:vAlign w:val="center"/>
          </w:tcPr>
          <w:p w14:paraId="79C215E8"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248</w:t>
            </w:r>
          </w:p>
        </w:tc>
        <w:tc>
          <w:tcPr>
            <w:tcW w:w="1190" w:type="dxa"/>
            <w:shd w:val="clear" w:color="auto" w:fill="auto"/>
            <w:vAlign w:val="center"/>
          </w:tcPr>
          <w:p w14:paraId="766F7A34"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2DB00FA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56566A8A"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4C42124A"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1DC478C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155A203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3D93BBF9"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679F03F0"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37177DFB" w14:textId="77777777" w:rsidTr="00C95FCE">
        <w:trPr>
          <w:jc w:val="center"/>
        </w:trPr>
        <w:tc>
          <w:tcPr>
            <w:tcW w:w="795" w:type="dxa"/>
            <w:shd w:val="clear" w:color="auto" w:fill="auto"/>
            <w:vAlign w:val="center"/>
          </w:tcPr>
          <w:p w14:paraId="3EBCA2B5"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253</w:t>
            </w:r>
          </w:p>
        </w:tc>
        <w:tc>
          <w:tcPr>
            <w:tcW w:w="1190" w:type="dxa"/>
            <w:shd w:val="clear" w:color="auto" w:fill="auto"/>
            <w:vAlign w:val="center"/>
          </w:tcPr>
          <w:p w14:paraId="4D642B4B"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16DDB843"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52F297EA"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3FBAC0FA"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7A8A0FE8"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1D91365D"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66DF43A8"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1E3374E0"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26E9AF86" w14:textId="77777777" w:rsidTr="00C95FCE">
        <w:trPr>
          <w:jc w:val="center"/>
        </w:trPr>
        <w:tc>
          <w:tcPr>
            <w:tcW w:w="795" w:type="dxa"/>
            <w:shd w:val="clear" w:color="auto" w:fill="auto"/>
            <w:vAlign w:val="center"/>
          </w:tcPr>
          <w:p w14:paraId="1B48E066"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257</w:t>
            </w:r>
          </w:p>
        </w:tc>
        <w:tc>
          <w:tcPr>
            <w:tcW w:w="1190" w:type="dxa"/>
            <w:shd w:val="clear" w:color="auto" w:fill="auto"/>
            <w:vAlign w:val="center"/>
          </w:tcPr>
          <w:p w14:paraId="07A718B8"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306C0C8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3C2A88E4"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46D25C7C"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0F32C9BB"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2A71C5C1"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69BC472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77021B99"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4CB3857C" w14:textId="77777777" w:rsidTr="00C95FCE">
        <w:trPr>
          <w:jc w:val="center"/>
        </w:trPr>
        <w:tc>
          <w:tcPr>
            <w:tcW w:w="795" w:type="dxa"/>
            <w:shd w:val="clear" w:color="auto" w:fill="auto"/>
            <w:vAlign w:val="center"/>
          </w:tcPr>
          <w:p w14:paraId="6DFF7394"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152</w:t>
            </w:r>
          </w:p>
        </w:tc>
        <w:tc>
          <w:tcPr>
            <w:tcW w:w="1190" w:type="dxa"/>
            <w:shd w:val="clear" w:color="auto" w:fill="auto"/>
            <w:vAlign w:val="center"/>
          </w:tcPr>
          <w:p w14:paraId="48E75C44"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6ECB74D1"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0E4D6725"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4A7ABB9A"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617BCF8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65D5139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3A5D150B"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1FFD1FA3"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6691DF9B" w14:textId="77777777" w:rsidTr="00C95FCE">
        <w:trPr>
          <w:jc w:val="center"/>
        </w:trPr>
        <w:tc>
          <w:tcPr>
            <w:tcW w:w="795" w:type="dxa"/>
            <w:shd w:val="clear" w:color="auto" w:fill="auto"/>
            <w:vAlign w:val="center"/>
          </w:tcPr>
          <w:p w14:paraId="1E14B4A6"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105</w:t>
            </w:r>
          </w:p>
        </w:tc>
        <w:tc>
          <w:tcPr>
            <w:tcW w:w="1190" w:type="dxa"/>
            <w:shd w:val="clear" w:color="auto" w:fill="auto"/>
            <w:vAlign w:val="center"/>
          </w:tcPr>
          <w:p w14:paraId="78720F73"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4AC7A4CA"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6809B684"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57ABDDB0"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77648CD0"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677B0CA2"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76A0937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09463CA9"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7932436E" w14:textId="77777777" w:rsidTr="00C95FCE">
        <w:trPr>
          <w:jc w:val="center"/>
        </w:trPr>
        <w:tc>
          <w:tcPr>
            <w:tcW w:w="795" w:type="dxa"/>
            <w:shd w:val="clear" w:color="auto" w:fill="auto"/>
            <w:vAlign w:val="center"/>
          </w:tcPr>
          <w:p w14:paraId="053C30B4"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241</w:t>
            </w:r>
          </w:p>
        </w:tc>
        <w:tc>
          <w:tcPr>
            <w:tcW w:w="1190" w:type="dxa"/>
            <w:shd w:val="clear" w:color="auto" w:fill="auto"/>
            <w:vAlign w:val="center"/>
          </w:tcPr>
          <w:p w14:paraId="77E7042B"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7497E64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0269E0A1"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32DB21D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1BADBBB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7306B24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62F1DEA6"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73F7818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05341C75" w14:textId="77777777" w:rsidTr="00C95FCE">
        <w:trPr>
          <w:jc w:val="center"/>
        </w:trPr>
        <w:tc>
          <w:tcPr>
            <w:tcW w:w="795" w:type="dxa"/>
            <w:shd w:val="clear" w:color="auto" w:fill="auto"/>
            <w:vAlign w:val="center"/>
          </w:tcPr>
          <w:p w14:paraId="1851D62A"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254</w:t>
            </w:r>
          </w:p>
        </w:tc>
        <w:tc>
          <w:tcPr>
            <w:tcW w:w="1190" w:type="dxa"/>
            <w:shd w:val="clear" w:color="auto" w:fill="auto"/>
            <w:vAlign w:val="center"/>
          </w:tcPr>
          <w:p w14:paraId="20A48B36"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637D4DE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vAlign w:val="center"/>
          </w:tcPr>
          <w:p w14:paraId="5922E5C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2AD68A25"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vAlign w:val="center"/>
          </w:tcPr>
          <w:p w14:paraId="037E686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23785C1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5B72817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52DD0C7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7286BC20" w14:textId="77777777" w:rsidTr="00C95FCE">
        <w:trPr>
          <w:jc w:val="center"/>
        </w:trPr>
        <w:tc>
          <w:tcPr>
            <w:tcW w:w="795" w:type="dxa"/>
            <w:shd w:val="clear" w:color="auto" w:fill="auto"/>
            <w:vAlign w:val="center"/>
          </w:tcPr>
          <w:p w14:paraId="3B346535"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256</w:t>
            </w:r>
          </w:p>
        </w:tc>
        <w:tc>
          <w:tcPr>
            <w:tcW w:w="1190" w:type="dxa"/>
            <w:shd w:val="clear" w:color="auto" w:fill="auto"/>
            <w:vAlign w:val="center"/>
          </w:tcPr>
          <w:p w14:paraId="388F2BD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6791BAC2"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vAlign w:val="center"/>
          </w:tcPr>
          <w:p w14:paraId="5CB694A5"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6371548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vAlign w:val="center"/>
          </w:tcPr>
          <w:p w14:paraId="0DC5CAE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7805579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7FFEB9C9"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6A2A442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6D15FD0D" w14:textId="77777777" w:rsidTr="00C95FCE">
        <w:trPr>
          <w:jc w:val="center"/>
        </w:trPr>
        <w:tc>
          <w:tcPr>
            <w:tcW w:w="795" w:type="dxa"/>
            <w:shd w:val="clear" w:color="auto" w:fill="auto"/>
            <w:vAlign w:val="center"/>
          </w:tcPr>
          <w:p w14:paraId="35EC1DE6"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263</w:t>
            </w:r>
          </w:p>
        </w:tc>
        <w:tc>
          <w:tcPr>
            <w:tcW w:w="1190" w:type="dxa"/>
            <w:shd w:val="clear" w:color="auto" w:fill="auto"/>
            <w:vAlign w:val="center"/>
          </w:tcPr>
          <w:p w14:paraId="3F9E5012"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3772928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vAlign w:val="center"/>
          </w:tcPr>
          <w:p w14:paraId="416C07F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6879FD58"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vAlign w:val="center"/>
          </w:tcPr>
          <w:p w14:paraId="2AF913C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307887F8"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1B05044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2A828AD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2068334F" w14:textId="77777777" w:rsidTr="00C95FCE">
        <w:trPr>
          <w:jc w:val="center"/>
        </w:trPr>
        <w:tc>
          <w:tcPr>
            <w:tcW w:w="795" w:type="dxa"/>
            <w:shd w:val="clear" w:color="auto" w:fill="auto"/>
            <w:vAlign w:val="center"/>
          </w:tcPr>
          <w:p w14:paraId="7F99C179"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101</w:t>
            </w:r>
          </w:p>
        </w:tc>
        <w:tc>
          <w:tcPr>
            <w:tcW w:w="1190" w:type="dxa"/>
            <w:shd w:val="clear" w:color="auto" w:fill="auto"/>
            <w:vAlign w:val="center"/>
          </w:tcPr>
          <w:p w14:paraId="7FB62BE5"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5</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092" w:type="dxa"/>
            <w:shd w:val="clear" w:color="auto" w:fill="auto"/>
            <w:vAlign w:val="center"/>
          </w:tcPr>
          <w:p w14:paraId="0ABEEE00"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w:t>
            </w:r>
          </w:p>
        </w:tc>
        <w:tc>
          <w:tcPr>
            <w:tcW w:w="1246" w:type="dxa"/>
            <w:shd w:val="clear" w:color="auto" w:fill="auto"/>
            <w:vAlign w:val="center"/>
          </w:tcPr>
          <w:p w14:paraId="59BD289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0,</w:t>
            </w:r>
            <w:r w:rsidRPr="003E4615">
              <w:rPr>
                <w:rFonts w:ascii="Times New Roman" w:hAnsi="Times New Roman" w:cs="Times New Roman"/>
                <w:color w:val="000000"/>
                <w:sz w:val="24"/>
                <w:szCs w:val="24"/>
              </w:rPr>
              <w:t>4</w:t>
            </w:r>
          </w:p>
        </w:tc>
        <w:tc>
          <w:tcPr>
            <w:tcW w:w="1148" w:type="dxa"/>
            <w:shd w:val="clear" w:color="auto" w:fill="auto"/>
            <w:vAlign w:val="center"/>
          </w:tcPr>
          <w:p w14:paraId="48CA808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w:t>
            </w:r>
          </w:p>
        </w:tc>
        <w:tc>
          <w:tcPr>
            <w:tcW w:w="1091" w:type="dxa"/>
            <w:shd w:val="clear" w:color="auto" w:fill="auto"/>
            <w:vAlign w:val="center"/>
          </w:tcPr>
          <w:p w14:paraId="1BB238F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1F40988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0C2928E0"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2211D01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0773B6EC" w14:textId="77777777" w:rsidTr="00C95FCE">
        <w:trPr>
          <w:jc w:val="center"/>
        </w:trPr>
        <w:tc>
          <w:tcPr>
            <w:tcW w:w="795" w:type="dxa"/>
            <w:shd w:val="clear" w:color="auto" w:fill="auto"/>
            <w:vAlign w:val="center"/>
          </w:tcPr>
          <w:p w14:paraId="58851F56"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109</w:t>
            </w:r>
          </w:p>
        </w:tc>
        <w:tc>
          <w:tcPr>
            <w:tcW w:w="1190" w:type="dxa"/>
            <w:shd w:val="clear" w:color="auto" w:fill="auto"/>
            <w:vAlign w:val="center"/>
          </w:tcPr>
          <w:p w14:paraId="633A2390"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20000,0</w:t>
            </w:r>
          </w:p>
        </w:tc>
        <w:tc>
          <w:tcPr>
            <w:tcW w:w="1092" w:type="dxa"/>
            <w:shd w:val="clear" w:color="auto" w:fill="auto"/>
            <w:vAlign w:val="center"/>
          </w:tcPr>
          <w:p w14:paraId="4873318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4,26</w:t>
            </w:r>
          </w:p>
        </w:tc>
        <w:tc>
          <w:tcPr>
            <w:tcW w:w="1246" w:type="dxa"/>
            <w:shd w:val="clear" w:color="auto" w:fill="auto"/>
            <w:vAlign w:val="center"/>
          </w:tcPr>
          <w:p w14:paraId="063F658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2812,0</w:t>
            </w:r>
          </w:p>
        </w:tc>
        <w:tc>
          <w:tcPr>
            <w:tcW w:w="1148" w:type="dxa"/>
            <w:shd w:val="clear" w:color="auto" w:fill="auto"/>
            <w:vAlign w:val="center"/>
          </w:tcPr>
          <w:p w14:paraId="4925C37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0,66</w:t>
            </w:r>
          </w:p>
        </w:tc>
        <w:tc>
          <w:tcPr>
            <w:tcW w:w="1091" w:type="dxa"/>
            <w:shd w:val="clear" w:color="auto" w:fill="auto"/>
            <w:vAlign w:val="center"/>
          </w:tcPr>
          <w:p w14:paraId="48C81ED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4053246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50A91DA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02E4328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6FB98995" w14:textId="77777777" w:rsidTr="00C95FCE">
        <w:trPr>
          <w:jc w:val="center"/>
        </w:trPr>
        <w:tc>
          <w:tcPr>
            <w:tcW w:w="795" w:type="dxa"/>
            <w:shd w:val="clear" w:color="auto" w:fill="auto"/>
            <w:vAlign w:val="center"/>
          </w:tcPr>
          <w:p w14:paraId="7D3D2698"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258</w:t>
            </w:r>
          </w:p>
        </w:tc>
        <w:tc>
          <w:tcPr>
            <w:tcW w:w="1190" w:type="dxa"/>
            <w:shd w:val="clear" w:color="auto" w:fill="auto"/>
            <w:vAlign w:val="center"/>
          </w:tcPr>
          <w:p w14:paraId="59D586F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30000,0</w:t>
            </w:r>
          </w:p>
        </w:tc>
        <w:tc>
          <w:tcPr>
            <w:tcW w:w="1092" w:type="dxa"/>
            <w:shd w:val="clear" w:color="auto" w:fill="auto"/>
            <w:vAlign w:val="center"/>
          </w:tcPr>
          <w:p w14:paraId="6FA86C5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6,39</w:t>
            </w:r>
          </w:p>
        </w:tc>
        <w:tc>
          <w:tcPr>
            <w:tcW w:w="1246" w:type="dxa"/>
            <w:shd w:val="clear" w:color="auto" w:fill="auto"/>
            <w:vAlign w:val="center"/>
          </w:tcPr>
          <w:p w14:paraId="2B51ADB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34550,0</w:t>
            </w:r>
          </w:p>
        </w:tc>
        <w:tc>
          <w:tcPr>
            <w:tcW w:w="1148" w:type="dxa"/>
            <w:shd w:val="clear" w:color="auto" w:fill="auto"/>
            <w:vAlign w:val="center"/>
          </w:tcPr>
          <w:p w14:paraId="7782D47E"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8,16</w:t>
            </w:r>
          </w:p>
        </w:tc>
        <w:tc>
          <w:tcPr>
            <w:tcW w:w="1091" w:type="dxa"/>
            <w:shd w:val="clear" w:color="auto" w:fill="auto"/>
            <w:vAlign w:val="center"/>
          </w:tcPr>
          <w:p w14:paraId="711EE5C0"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4960D9E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2393729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6A9EF8BE"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6B29379E" w14:textId="77777777" w:rsidTr="00C95FCE">
        <w:trPr>
          <w:jc w:val="center"/>
        </w:trPr>
        <w:tc>
          <w:tcPr>
            <w:tcW w:w="795" w:type="dxa"/>
            <w:shd w:val="clear" w:color="auto" w:fill="auto"/>
            <w:vAlign w:val="center"/>
          </w:tcPr>
          <w:p w14:paraId="3BDFFCEF"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131</w:t>
            </w:r>
          </w:p>
        </w:tc>
        <w:tc>
          <w:tcPr>
            <w:tcW w:w="1190" w:type="dxa"/>
            <w:shd w:val="clear" w:color="auto" w:fill="auto"/>
            <w:vAlign w:val="center"/>
          </w:tcPr>
          <w:p w14:paraId="126E7A8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996</w:t>
            </w:r>
            <w:r w:rsidRPr="003E4615">
              <w:rPr>
                <w:rFonts w:ascii="Times New Roman" w:hAnsi="Times New Roman" w:cs="Times New Roman"/>
                <w:color w:val="000000"/>
                <w:sz w:val="24"/>
                <w:szCs w:val="24"/>
                <w:lang w:val="kk-KZ"/>
              </w:rPr>
              <w:t>,7</w:t>
            </w:r>
          </w:p>
        </w:tc>
        <w:tc>
          <w:tcPr>
            <w:tcW w:w="1092" w:type="dxa"/>
            <w:shd w:val="clear" w:color="auto" w:fill="auto"/>
            <w:vAlign w:val="center"/>
          </w:tcPr>
          <w:p w14:paraId="335F358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0,21</w:t>
            </w:r>
          </w:p>
        </w:tc>
        <w:tc>
          <w:tcPr>
            <w:tcW w:w="1246" w:type="dxa"/>
            <w:shd w:val="clear" w:color="auto" w:fill="auto"/>
            <w:vAlign w:val="center"/>
          </w:tcPr>
          <w:p w14:paraId="669472F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1061</w:t>
            </w:r>
            <w:r w:rsidRPr="003E4615">
              <w:rPr>
                <w:rFonts w:ascii="Times New Roman" w:hAnsi="Times New Roman" w:cs="Times New Roman"/>
                <w:color w:val="000000"/>
                <w:sz w:val="24"/>
                <w:szCs w:val="24"/>
                <w:lang w:val="kk-KZ"/>
              </w:rPr>
              <w:t>,2</w:t>
            </w:r>
          </w:p>
        </w:tc>
        <w:tc>
          <w:tcPr>
            <w:tcW w:w="1148" w:type="dxa"/>
            <w:shd w:val="clear" w:color="auto" w:fill="auto"/>
            <w:vAlign w:val="center"/>
          </w:tcPr>
          <w:p w14:paraId="680C985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0,25</w:t>
            </w:r>
          </w:p>
        </w:tc>
        <w:tc>
          <w:tcPr>
            <w:tcW w:w="1091" w:type="dxa"/>
            <w:shd w:val="clear" w:color="auto" w:fill="auto"/>
            <w:vAlign w:val="center"/>
          </w:tcPr>
          <w:p w14:paraId="463E586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984</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1</w:t>
            </w:r>
          </w:p>
        </w:tc>
        <w:tc>
          <w:tcPr>
            <w:tcW w:w="910" w:type="dxa"/>
            <w:shd w:val="clear" w:color="auto" w:fill="auto"/>
            <w:vAlign w:val="center"/>
          </w:tcPr>
          <w:p w14:paraId="60D1D309"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0,24</w:t>
            </w:r>
          </w:p>
        </w:tc>
        <w:tc>
          <w:tcPr>
            <w:tcW w:w="1120" w:type="dxa"/>
            <w:shd w:val="clear" w:color="auto" w:fill="auto"/>
            <w:vAlign w:val="center"/>
          </w:tcPr>
          <w:p w14:paraId="6C99F0E2"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1290,7</w:t>
            </w:r>
          </w:p>
        </w:tc>
        <w:tc>
          <w:tcPr>
            <w:tcW w:w="983" w:type="dxa"/>
            <w:shd w:val="clear" w:color="auto" w:fill="auto"/>
            <w:vAlign w:val="center"/>
          </w:tcPr>
          <w:p w14:paraId="68BB0E87"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0,23</w:t>
            </w:r>
          </w:p>
        </w:tc>
      </w:tr>
      <w:tr w:rsidR="003E4615" w:rsidRPr="003E4615" w14:paraId="5D40973C" w14:textId="77777777" w:rsidTr="00C95FCE">
        <w:trPr>
          <w:jc w:val="center"/>
        </w:trPr>
        <w:tc>
          <w:tcPr>
            <w:tcW w:w="795" w:type="dxa"/>
            <w:shd w:val="clear" w:color="auto" w:fill="auto"/>
            <w:vAlign w:val="center"/>
          </w:tcPr>
          <w:p w14:paraId="27479BCA"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249</w:t>
            </w:r>
          </w:p>
        </w:tc>
        <w:tc>
          <w:tcPr>
            <w:tcW w:w="1190" w:type="dxa"/>
            <w:shd w:val="clear" w:color="auto" w:fill="auto"/>
            <w:vAlign w:val="center"/>
          </w:tcPr>
          <w:p w14:paraId="7BFBF535"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21401</w:t>
            </w:r>
            <w:r w:rsidRPr="003E4615">
              <w:rPr>
                <w:rFonts w:ascii="Times New Roman" w:hAnsi="Times New Roman" w:cs="Times New Roman"/>
                <w:color w:val="000000"/>
                <w:sz w:val="24"/>
                <w:szCs w:val="24"/>
                <w:lang w:val="kk-KZ"/>
              </w:rPr>
              <w:t>,4</w:t>
            </w:r>
          </w:p>
        </w:tc>
        <w:tc>
          <w:tcPr>
            <w:tcW w:w="1092" w:type="dxa"/>
            <w:shd w:val="clear" w:color="auto" w:fill="auto"/>
            <w:vAlign w:val="center"/>
          </w:tcPr>
          <w:p w14:paraId="0BFAF54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4,56</w:t>
            </w:r>
          </w:p>
        </w:tc>
        <w:tc>
          <w:tcPr>
            <w:tcW w:w="1246" w:type="dxa"/>
            <w:shd w:val="clear" w:color="auto" w:fill="auto"/>
            <w:vAlign w:val="center"/>
          </w:tcPr>
          <w:p w14:paraId="35A17F56"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35821</w:t>
            </w:r>
            <w:r w:rsidRPr="003E4615">
              <w:rPr>
                <w:rFonts w:ascii="Times New Roman" w:hAnsi="Times New Roman" w:cs="Times New Roman"/>
                <w:color w:val="000000"/>
                <w:sz w:val="24"/>
                <w:szCs w:val="24"/>
                <w:lang w:val="kk-KZ"/>
              </w:rPr>
              <w:t>,4</w:t>
            </w:r>
          </w:p>
        </w:tc>
        <w:tc>
          <w:tcPr>
            <w:tcW w:w="1148" w:type="dxa"/>
            <w:shd w:val="clear" w:color="auto" w:fill="auto"/>
            <w:vAlign w:val="center"/>
          </w:tcPr>
          <w:p w14:paraId="0F9EE375"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8,46</w:t>
            </w:r>
          </w:p>
        </w:tc>
        <w:tc>
          <w:tcPr>
            <w:tcW w:w="1091" w:type="dxa"/>
            <w:shd w:val="clear" w:color="auto" w:fill="auto"/>
            <w:vAlign w:val="center"/>
          </w:tcPr>
          <w:p w14:paraId="5D88B17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23355</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5</w:t>
            </w:r>
          </w:p>
        </w:tc>
        <w:tc>
          <w:tcPr>
            <w:tcW w:w="910" w:type="dxa"/>
            <w:shd w:val="clear" w:color="auto" w:fill="auto"/>
            <w:vAlign w:val="center"/>
          </w:tcPr>
          <w:p w14:paraId="600D9B7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5,74</w:t>
            </w:r>
          </w:p>
        </w:tc>
        <w:tc>
          <w:tcPr>
            <w:tcW w:w="1120" w:type="dxa"/>
            <w:shd w:val="clear" w:color="auto" w:fill="auto"/>
            <w:vAlign w:val="center"/>
          </w:tcPr>
          <w:p w14:paraId="05111D24"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49051,3</w:t>
            </w:r>
          </w:p>
        </w:tc>
        <w:tc>
          <w:tcPr>
            <w:tcW w:w="983" w:type="dxa"/>
            <w:shd w:val="clear" w:color="auto" w:fill="auto"/>
            <w:vAlign w:val="center"/>
          </w:tcPr>
          <w:p w14:paraId="7C978E72"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8,66</w:t>
            </w:r>
          </w:p>
        </w:tc>
      </w:tr>
      <w:tr w:rsidR="003E4615" w:rsidRPr="003E4615" w14:paraId="5B9E03A3" w14:textId="77777777" w:rsidTr="00C95FCE">
        <w:trPr>
          <w:jc w:val="center"/>
        </w:trPr>
        <w:tc>
          <w:tcPr>
            <w:tcW w:w="795" w:type="dxa"/>
            <w:shd w:val="clear" w:color="auto" w:fill="auto"/>
            <w:vAlign w:val="center"/>
          </w:tcPr>
          <w:p w14:paraId="11F6C153"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250</w:t>
            </w:r>
          </w:p>
        </w:tc>
        <w:tc>
          <w:tcPr>
            <w:tcW w:w="1190" w:type="dxa"/>
            <w:shd w:val="clear" w:color="auto" w:fill="auto"/>
            <w:vAlign w:val="center"/>
          </w:tcPr>
          <w:p w14:paraId="58CD86B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132427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092" w:type="dxa"/>
            <w:shd w:val="clear" w:color="auto" w:fill="auto"/>
            <w:vAlign w:val="center"/>
          </w:tcPr>
          <w:p w14:paraId="5FB5954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28,2</w:t>
            </w:r>
          </w:p>
        </w:tc>
        <w:tc>
          <w:tcPr>
            <w:tcW w:w="1246" w:type="dxa"/>
            <w:shd w:val="clear" w:color="auto" w:fill="auto"/>
            <w:vAlign w:val="center"/>
          </w:tcPr>
          <w:p w14:paraId="542DE372"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176340</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148" w:type="dxa"/>
            <w:shd w:val="clear" w:color="auto" w:fill="auto"/>
            <w:vAlign w:val="center"/>
          </w:tcPr>
          <w:p w14:paraId="7F7B6DE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41,6</w:t>
            </w:r>
          </w:p>
        </w:tc>
        <w:tc>
          <w:tcPr>
            <w:tcW w:w="1091" w:type="dxa"/>
            <w:shd w:val="clear" w:color="auto" w:fill="auto"/>
            <w:vAlign w:val="center"/>
          </w:tcPr>
          <w:p w14:paraId="3D33D018"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192116</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6</w:t>
            </w:r>
          </w:p>
        </w:tc>
        <w:tc>
          <w:tcPr>
            <w:tcW w:w="910" w:type="dxa"/>
            <w:shd w:val="clear" w:color="auto" w:fill="auto"/>
            <w:vAlign w:val="center"/>
          </w:tcPr>
          <w:p w14:paraId="07C303C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47,2</w:t>
            </w:r>
          </w:p>
        </w:tc>
        <w:tc>
          <w:tcPr>
            <w:tcW w:w="1120" w:type="dxa"/>
            <w:shd w:val="clear" w:color="auto" w:fill="auto"/>
            <w:vAlign w:val="center"/>
          </w:tcPr>
          <w:p w14:paraId="5F73F78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199430,4</w:t>
            </w:r>
          </w:p>
        </w:tc>
        <w:tc>
          <w:tcPr>
            <w:tcW w:w="983" w:type="dxa"/>
            <w:shd w:val="clear" w:color="auto" w:fill="auto"/>
            <w:vAlign w:val="center"/>
          </w:tcPr>
          <w:p w14:paraId="7EECC066"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35,2</w:t>
            </w:r>
          </w:p>
        </w:tc>
      </w:tr>
      <w:tr w:rsidR="003E4615" w:rsidRPr="003E4615" w14:paraId="4137484C" w14:textId="77777777" w:rsidTr="00C95FCE">
        <w:trPr>
          <w:jc w:val="center"/>
        </w:trPr>
        <w:tc>
          <w:tcPr>
            <w:tcW w:w="795" w:type="dxa"/>
            <w:shd w:val="clear" w:color="auto" w:fill="auto"/>
            <w:vAlign w:val="center"/>
          </w:tcPr>
          <w:p w14:paraId="57FE6459"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255</w:t>
            </w:r>
          </w:p>
        </w:tc>
        <w:tc>
          <w:tcPr>
            <w:tcW w:w="1190" w:type="dxa"/>
            <w:shd w:val="clear" w:color="auto" w:fill="auto"/>
            <w:vAlign w:val="center"/>
          </w:tcPr>
          <w:p w14:paraId="76F8F418"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rPr>
              <w:t>9287</w:t>
            </w:r>
            <w:r w:rsidRPr="003E4615">
              <w:rPr>
                <w:rFonts w:ascii="Times New Roman" w:hAnsi="Times New Roman" w:cs="Times New Roman"/>
                <w:sz w:val="24"/>
                <w:szCs w:val="24"/>
                <w:lang w:val="kk-KZ"/>
              </w:rPr>
              <w:t>,3</w:t>
            </w:r>
          </w:p>
        </w:tc>
        <w:tc>
          <w:tcPr>
            <w:tcW w:w="1092" w:type="dxa"/>
            <w:shd w:val="clear" w:color="auto" w:fill="auto"/>
            <w:vAlign w:val="center"/>
          </w:tcPr>
          <w:p w14:paraId="47B9223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1,98</w:t>
            </w:r>
          </w:p>
        </w:tc>
        <w:tc>
          <w:tcPr>
            <w:tcW w:w="1246" w:type="dxa"/>
            <w:shd w:val="clear" w:color="auto" w:fill="auto"/>
            <w:vAlign w:val="center"/>
          </w:tcPr>
          <w:p w14:paraId="2463A986"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rPr>
              <w:t>18479</w:t>
            </w:r>
            <w:r w:rsidRPr="003E4615">
              <w:rPr>
                <w:rFonts w:ascii="Times New Roman" w:hAnsi="Times New Roman" w:cs="Times New Roman"/>
                <w:sz w:val="24"/>
                <w:szCs w:val="24"/>
                <w:lang w:val="kk-KZ"/>
              </w:rPr>
              <w:t>,</w:t>
            </w:r>
            <w:r w:rsidRPr="003E4615">
              <w:rPr>
                <w:rFonts w:ascii="Times New Roman" w:hAnsi="Times New Roman" w:cs="Times New Roman"/>
                <w:sz w:val="24"/>
                <w:szCs w:val="24"/>
              </w:rPr>
              <w:t>1</w:t>
            </w:r>
          </w:p>
        </w:tc>
        <w:tc>
          <w:tcPr>
            <w:tcW w:w="1148" w:type="dxa"/>
            <w:shd w:val="clear" w:color="auto" w:fill="auto"/>
            <w:vAlign w:val="center"/>
          </w:tcPr>
          <w:p w14:paraId="1E6B3CF8"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4,36</w:t>
            </w:r>
          </w:p>
        </w:tc>
        <w:tc>
          <w:tcPr>
            <w:tcW w:w="1091" w:type="dxa"/>
            <w:shd w:val="clear" w:color="auto" w:fill="auto"/>
            <w:vAlign w:val="center"/>
          </w:tcPr>
          <w:p w14:paraId="130EADEB"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18361</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8</w:t>
            </w:r>
          </w:p>
        </w:tc>
        <w:tc>
          <w:tcPr>
            <w:tcW w:w="910" w:type="dxa"/>
            <w:shd w:val="clear" w:color="auto" w:fill="auto"/>
            <w:vAlign w:val="center"/>
          </w:tcPr>
          <w:p w14:paraId="3532D036"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4,51</w:t>
            </w:r>
          </w:p>
        </w:tc>
        <w:tc>
          <w:tcPr>
            <w:tcW w:w="1120" w:type="dxa"/>
            <w:shd w:val="clear" w:color="auto" w:fill="auto"/>
            <w:vAlign w:val="center"/>
          </w:tcPr>
          <w:p w14:paraId="796A7829"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44214,2</w:t>
            </w:r>
          </w:p>
        </w:tc>
        <w:tc>
          <w:tcPr>
            <w:tcW w:w="983" w:type="dxa"/>
            <w:shd w:val="clear" w:color="auto" w:fill="auto"/>
            <w:vAlign w:val="center"/>
          </w:tcPr>
          <w:p w14:paraId="0490C73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7,80</w:t>
            </w:r>
          </w:p>
        </w:tc>
      </w:tr>
      <w:tr w:rsidR="003E4615" w:rsidRPr="003E4615" w14:paraId="2FCD5D8B" w14:textId="77777777" w:rsidTr="00C95FCE">
        <w:trPr>
          <w:jc w:val="center"/>
        </w:trPr>
        <w:tc>
          <w:tcPr>
            <w:tcW w:w="795" w:type="dxa"/>
            <w:shd w:val="clear" w:color="auto" w:fill="auto"/>
            <w:vAlign w:val="center"/>
          </w:tcPr>
          <w:p w14:paraId="00DD51BF"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259</w:t>
            </w:r>
          </w:p>
        </w:tc>
        <w:tc>
          <w:tcPr>
            <w:tcW w:w="1190" w:type="dxa"/>
            <w:shd w:val="clear" w:color="auto" w:fill="auto"/>
            <w:vAlign w:val="center"/>
          </w:tcPr>
          <w:p w14:paraId="2A347769"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7430</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092" w:type="dxa"/>
            <w:shd w:val="clear" w:color="auto" w:fill="auto"/>
            <w:vAlign w:val="center"/>
          </w:tcPr>
          <w:p w14:paraId="39D5D1D0"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1,58</w:t>
            </w:r>
          </w:p>
        </w:tc>
        <w:tc>
          <w:tcPr>
            <w:tcW w:w="1246" w:type="dxa"/>
            <w:shd w:val="clear" w:color="auto" w:fill="auto"/>
            <w:vAlign w:val="center"/>
          </w:tcPr>
          <w:p w14:paraId="5ADEDACC"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8524</w:t>
            </w:r>
            <w:r w:rsidRPr="003E4615">
              <w:rPr>
                <w:rFonts w:ascii="Times New Roman" w:hAnsi="Times New Roman" w:cs="Times New Roman"/>
                <w:color w:val="000000"/>
                <w:sz w:val="24"/>
                <w:szCs w:val="24"/>
                <w:lang w:val="kk-KZ"/>
              </w:rPr>
              <w:t>,4</w:t>
            </w:r>
          </w:p>
        </w:tc>
        <w:tc>
          <w:tcPr>
            <w:tcW w:w="1148" w:type="dxa"/>
            <w:shd w:val="clear" w:color="auto" w:fill="auto"/>
            <w:vAlign w:val="center"/>
          </w:tcPr>
          <w:p w14:paraId="327CB3D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2,01</w:t>
            </w:r>
          </w:p>
        </w:tc>
        <w:tc>
          <w:tcPr>
            <w:tcW w:w="1091" w:type="dxa"/>
            <w:shd w:val="clear" w:color="auto" w:fill="auto"/>
            <w:vAlign w:val="center"/>
          </w:tcPr>
          <w:p w14:paraId="750B9F2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9186</w:t>
            </w:r>
            <w:r w:rsidRPr="003E4615">
              <w:rPr>
                <w:rFonts w:ascii="Times New Roman" w:hAnsi="Times New Roman" w:cs="Times New Roman"/>
                <w:color w:val="000000"/>
                <w:sz w:val="24"/>
                <w:szCs w:val="24"/>
                <w:lang w:val="kk-KZ"/>
              </w:rPr>
              <w:t>,1</w:t>
            </w:r>
          </w:p>
        </w:tc>
        <w:tc>
          <w:tcPr>
            <w:tcW w:w="910" w:type="dxa"/>
            <w:shd w:val="clear" w:color="auto" w:fill="auto"/>
            <w:vAlign w:val="center"/>
          </w:tcPr>
          <w:p w14:paraId="59E6BFBD"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2,26</w:t>
            </w:r>
          </w:p>
        </w:tc>
        <w:tc>
          <w:tcPr>
            <w:tcW w:w="1120" w:type="dxa"/>
            <w:shd w:val="clear" w:color="auto" w:fill="auto"/>
            <w:vAlign w:val="center"/>
          </w:tcPr>
          <w:p w14:paraId="0456A4A2"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7671,4</w:t>
            </w:r>
          </w:p>
        </w:tc>
        <w:tc>
          <w:tcPr>
            <w:tcW w:w="983" w:type="dxa"/>
            <w:shd w:val="clear" w:color="auto" w:fill="auto"/>
            <w:vAlign w:val="center"/>
          </w:tcPr>
          <w:p w14:paraId="0AF68EB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1,35</w:t>
            </w:r>
          </w:p>
        </w:tc>
      </w:tr>
      <w:tr w:rsidR="003E4615" w:rsidRPr="003E4615" w14:paraId="0C8DEA59" w14:textId="77777777" w:rsidTr="00C95FCE">
        <w:trPr>
          <w:jc w:val="center"/>
        </w:trPr>
        <w:tc>
          <w:tcPr>
            <w:tcW w:w="795" w:type="dxa"/>
            <w:shd w:val="clear" w:color="auto" w:fill="auto"/>
            <w:vAlign w:val="center"/>
          </w:tcPr>
          <w:p w14:paraId="748A6247"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138</w:t>
            </w:r>
          </w:p>
        </w:tc>
        <w:tc>
          <w:tcPr>
            <w:tcW w:w="1190" w:type="dxa"/>
            <w:shd w:val="clear" w:color="auto" w:fill="auto"/>
            <w:vAlign w:val="center"/>
          </w:tcPr>
          <w:p w14:paraId="7FF1CC5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41</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6</w:t>
            </w:r>
          </w:p>
        </w:tc>
        <w:tc>
          <w:tcPr>
            <w:tcW w:w="1092" w:type="dxa"/>
            <w:shd w:val="clear" w:color="auto" w:fill="auto"/>
            <w:vAlign w:val="center"/>
          </w:tcPr>
          <w:p w14:paraId="7A392761"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0,01</w:t>
            </w:r>
          </w:p>
        </w:tc>
        <w:tc>
          <w:tcPr>
            <w:tcW w:w="1246" w:type="dxa"/>
            <w:shd w:val="clear" w:color="auto" w:fill="auto"/>
            <w:vAlign w:val="center"/>
          </w:tcPr>
          <w:p w14:paraId="7DA8A52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47</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148" w:type="dxa"/>
            <w:shd w:val="clear" w:color="auto" w:fill="auto"/>
            <w:vAlign w:val="center"/>
          </w:tcPr>
          <w:p w14:paraId="49D4BF2E"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0,01</w:t>
            </w:r>
          </w:p>
        </w:tc>
        <w:tc>
          <w:tcPr>
            <w:tcW w:w="1091" w:type="dxa"/>
            <w:shd w:val="clear" w:color="auto" w:fill="auto"/>
            <w:vAlign w:val="center"/>
          </w:tcPr>
          <w:p w14:paraId="01B724DA"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43</w:t>
            </w:r>
            <w:r w:rsidRPr="003E4615">
              <w:rPr>
                <w:rFonts w:ascii="Times New Roman" w:hAnsi="Times New Roman" w:cs="Times New Roman"/>
                <w:color w:val="000000"/>
                <w:sz w:val="24"/>
                <w:szCs w:val="24"/>
                <w:lang w:val="kk-KZ"/>
              </w:rPr>
              <w:t>,1</w:t>
            </w:r>
          </w:p>
        </w:tc>
        <w:tc>
          <w:tcPr>
            <w:tcW w:w="910" w:type="dxa"/>
            <w:shd w:val="clear" w:color="auto" w:fill="auto"/>
            <w:vAlign w:val="center"/>
          </w:tcPr>
          <w:p w14:paraId="6A0D6A34"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0,01</w:t>
            </w:r>
          </w:p>
        </w:tc>
        <w:tc>
          <w:tcPr>
            <w:tcW w:w="1120" w:type="dxa"/>
            <w:shd w:val="clear" w:color="auto" w:fill="auto"/>
            <w:vAlign w:val="center"/>
          </w:tcPr>
          <w:p w14:paraId="1FB030C6"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52,5</w:t>
            </w:r>
          </w:p>
        </w:tc>
        <w:tc>
          <w:tcPr>
            <w:tcW w:w="983" w:type="dxa"/>
            <w:shd w:val="clear" w:color="auto" w:fill="auto"/>
            <w:vAlign w:val="center"/>
          </w:tcPr>
          <w:p w14:paraId="454BEB4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color w:val="000000"/>
                <w:sz w:val="24"/>
                <w:szCs w:val="24"/>
              </w:rPr>
              <w:t>0,01</w:t>
            </w:r>
          </w:p>
        </w:tc>
      </w:tr>
      <w:tr w:rsidR="003E4615" w:rsidRPr="003E4615" w14:paraId="0E9BC390" w14:textId="77777777" w:rsidTr="00C95FCE">
        <w:trPr>
          <w:jc w:val="center"/>
        </w:trPr>
        <w:tc>
          <w:tcPr>
            <w:tcW w:w="795" w:type="dxa"/>
            <w:shd w:val="clear" w:color="auto" w:fill="auto"/>
            <w:vAlign w:val="center"/>
          </w:tcPr>
          <w:p w14:paraId="3B640CDB"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150</w:t>
            </w:r>
          </w:p>
        </w:tc>
        <w:tc>
          <w:tcPr>
            <w:tcW w:w="1190" w:type="dxa"/>
            <w:shd w:val="clear" w:color="auto" w:fill="auto"/>
            <w:vAlign w:val="center"/>
          </w:tcPr>
          <w:p w14:paraId="42257B4F"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32F86AC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7F252F67"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50987DD3"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051FE7CA"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340BE59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47735D9E"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2FDB6418"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53CC6A75" w14:textId="77777777" w:rsidTr="00C95FCE">
        <w:trPr>
          <w:jc w:val="center"/>
        </w:trPr>
        <w:tc>
          <w:tcPr>
            <w:tcW w:w="795" w:type="dxa"/>
            <w:shd w:val="clear" w:color="auto" w:fill="auto"/>
            <w:vAlign w:val="center"/>
          </w:tcPr>
          <w:p w14:paraId="08AA32CC"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159</w:t>
            </w:r>
          </w:p>
        </w:tc>
        <w:tc>
          <w:tcPr>
            <w:tcW w:w="1190" w:type="dxa"/>
            <w:shd w:val="clear" w:color="auto" w:fill="auto"/>
            <w:vAlign w:val="center"/>
          </w:tcPr>
          <w:p w14:paraId="17BE6473"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7E203D7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vAlign w:val="center"/>
          </w:tcPr>
          <w:p w14:paraId="35E3903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76217E66"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vAlign w:val="center"/>
          </w:tcPr>
          <w:p w14:paraId="7DFB1420"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2440003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465624A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71C954F0"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5CD437FA" w14:textId="77777777" w:rsidTr="00C95FCE">
        <w:trPr>
          <w:jc w:val="center"/>
        </w:trPr>
        <w:tc>
          <w:tcPr>
            <w:tcW w:w="795" w:type="dxa"/>
            <w:shd w:val="clear" w:color="auto" w:fill="auto"/>
            <w:vAlign w:val="center"/>
          </w:tcPr>
          <w:p w14:paraId="641CDA4D"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261</w:t>
            </w:r>
          </w:p>
        </w:tc>
        <w:tc>
          <w:tcPr>
            <w:tcW w:w="1190" w:type="dxa"/>
            <w:shd w:val="clear" w:color="auto" w:fill="auto"/>
            <w:vAlign w:val="center"/>
          </w:tcPr>
          <w:p w14:paraId="62DAD6B0"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006B10F5"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246" w:type="dxa"/>
            <w:shd w:val="clear" w:color="auto" w:fill="auto"/>
            <w:vAlign w:val="center"/>
          </w:tcPr>
          <w:p w14:paraId="26763383"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lang w:val="kk-KZ"/>
              </w:rPr>
              <w:t>-</w:t>
            </w:r>
          </w:p>
        </w:tc>
        <w:tc>
          <w:tcPr>
            <w:tcW w:w="1148" w:type="dxa"/>
            <w:shd w:val="clear" w:color="auto" w:fill="auto"/>
            <w:vAlign w:val="center"/>
          </w:tcPr>
          <w:p w14:paraId="1FA2FE63"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1" w:type="dxa"/>
            <w:shd w:val="clear" w:color="auto" w:fill="auto"/>
            <w:vAlign w:val="center"/>
          </w:tcPr>
          <w:p w14:paraId="4B05DA1E"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10" w:type="dxa"/>
            <w:shd w:val="clear" w:color="auto" w:fill="auto"/>
            <w:vAlign w:val="center"/>
          </w:tcPr>
          <w:p w14:paraId="3A8D914B"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120" w:type="dxa"/>
            <w:shd w:val="clear" w:color="auto" w:fill="auto"/>
            <w:vAlign w:val="center"/>
          </w:tcPr>
          <w:p w14:paraId="640BCB0D"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983" w:type="dxa"/>
            <w:shd w:val="clear" w:color="auto" w:fill="auto"/>
            <w:vAlign w:val="center"/>
          </w:tcPr>
          <w:p w14:paraId="3379A5A3" w14:textId="77777777" w:rsidR="003E4615" w:rsidRPr="003E4615" w:rsidRDefault="003E4615" w:rsidP="003E4615">
            <w:pPr>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r>
      <w:tr w:rsidR="003E4615" w:rsidRPr="003E4615" w14:paraId="36C98DC3" w14:textId="77777777" w:rsidTr="00C95FCE">
        <w:trPr>
          <w:jc w:val="center"/>
        </w:trPr>
        <w:tc>
          <w:tcPr>
            <w:tcW w:w="795" w:type="dxa"/>
            <w:shd w:val="clear" w:color="auto" w:fill="auto"/>
            <w:vAlign w:val="center"/>
          </w:tcPr>
          <w:p w14:paraId="547462E3"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264</w:t>
            </w:r>
          </w:p>
        </w:tc>
        <w:tc>
          <w:tcPr>
            <w:tcW w:w="1190" w:type="dxa"/>
            <w:shd w:val="clear" w:color="auto" w:fill="auto"/>
            <w:vAlign w:val="center"/>
          </w:tcPr>
          <w:p w14:paraId="754EEF8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71959</w:t>
            </w:r>
            <w:r w:rsidRPr="003E4615">
              <w:rPr>
                <w:rFonts w:ascii="Times New Roman" w:hAnsi="Times New Roman" w:cs="Times New Roman"/>
                <w:color w:val="000000"/>
                <w:sz w:val="24"/>
                <w:szCs w:val="24"/>
                <w:lang w:val="kk-KZ"/>
              </w:rPr>
              <w:t>,0</w:t>
            </w:r>
          </w:p>
        </w:tc>
        <w:tc>
          <w:tcPr>
            <w:tcW w:w="1092" w:type="dxa"/>
            <w:shd w:val="clear" w:color="auto" w:fill="auto"/>
            <w:vAlign w:val="center"/>
          </w:tcPr>
          <w:p w14:paraId="704716FB"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15,3</w:t>
            </w:r>
          </w:p>
        </w:tc>
        <w:tc>
          <w:tcPr>
            <w:tcW w:w="1246" w:type="dxa"/>
            <w:shd w:val="clear" w:color="auto" w:fill="auto"/>
            <w:vAlign w:val="center"/>
          </w:tcPr>
          <w:p w14:paraId="72498368"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43259</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0</w:t>
            </w:r>
          </w:p>
        </w:tc>
        <w:tc>
          <w:tcPr>
            <w:tcW w:w="1148" w:type="dxa"/>
            <w:shd w:val="clear" w:color="auto" w:fill="auto"/>
            <w:vAlign w:val="center"/>
          </w:tcPr>
          <w:p w14:paraId="09432019"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10,2</w:t>
            </w:r>
          </w:p>
        </w:tc>
        <w:tc>
          <w:tcPr>
            <w:tcW w:w="1091" w:type="dxa"/>
            <w:shd w:val="clear" w:color="auto" w:fill="auto"/>
            <w:vAlign w:val="center"/>
          </w:tcPr>
          <w:p w14:paraId="6F332789"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35334</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910" w:type="dxa"/>
            <w:shd w:val="clear" w:color="auto" w:fill="auto"/>
            <w:vAlign w:val="center"/>
          </w:tcPr>
          <w:p w14:paraId="1880A56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8,68</w:t>
            </w:r>
          </w:p>
        </w:tc>
        <w:tc>
          <w:tcPr>
            <w:tcW w:w="1120" w:type="dxa"/>
            <w:shd w:val="clear" w:color="auto" w:fill="auto"/>
            <w:vAlign w:val="center"/>
          </w:tcPr>
          <w:p w14:paraId="1A56838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0401092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55C991F7" w14:textId="77777777" w:rsidTr="00C95FCE">
        <w:trPr>
          <w:jc w:val="center"/>
        </w:trPr>
        <w:tc>
          <w:tcPr>
            <w:tcW w:w="795" w:type="dxa"/>
            <w:tcBorders>
              <w:bottom w:val="nil"/>
            </w:tcBorders>
            <w:shd w:val="clear" w:color="auto" w:fill="auto"/>
            <w:vAlign w:val="center"/>
          </w:tcPr>
          <w:p w14:paraId="6D505531" w14:textId="77777777" w:rsidR="003E4615" w:rsidRPr="003E4615" w:rsidRDefault="003E4615" w:rsidP="003E4615">
            <w:pPr>
              <w:jc w:val="center"/>
              <w:rPr>
                <w:rFonts w:ascii="Times New Roman" w:hAnsi="Times New Roman" w:cs="Times New Roman"/>
                <w:sz w:val="24"/>
                <w:szCs w:val="24"/>
              </w:rPr>
            </w:pPr>
            <w:r w:rsidRPr="003E4615">
              <w:rPr>
                <w:rFonts w:ascii="Times New Roman" w:hAnsi="Times New Roman" w:cs="Times New Roman"/>
                <w:sz w:val="24"/>
                <w:szCs w:val="24"/>
              </w:rPr>
              <w:t>116</w:t>
            </w:r>
          </w:p>
        </w:tc>
        <w:tc>
          <w:tcPr>
            <w:tcW w:w="1190" w:type="dxa"/>
            <w:tcBorders>
              <w:bottom w:val="nil"/>
            </w:tcBorders>
            <w:shd w:val="clear" w:color="auto" w:fill="auto"/>
            <w:vAlign w:val="center"/>
          </w:tcPr>
          <w:p w14:paraId="530E37D2"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80223</w:t>
            </w:r>
            <w:r w:rsidRPr="003E4615">
              <w:rPr>
                <w:rFonts w:ascii="Times New Roman" w:hAnsi="Times New Roman" w:cs="Times New Roman"/>
                <w:color w:val="000000"/>
                <w:sz w:val="24"/>
                <w:szCs w:val="24"/>
                <w:lang w:val="kk-KZ"/>
              </w:rPr>
              <w:t>,6</w:t>
            </w:r>
          </w:p>
        </w:tc>
        <w:tc>
          <w:tcPr>
            <w:tcW w:w="1092" w:type="dxa"/>
            <w:tcBorders>
              <w:bottom w:val="nil"/>
            </w:tcBorders>
            <w:shd w:val="clear" w:color="auto" w:fill="auto"/>
            <w:vAlign w:val="center"/>
          </w:tcPr>
          <w:p w14:paraId="638065A1"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17,1</w:t>
            </w:r>
          </w:p>
        </w:tc>
        <w:tc>
          <w:tcPr>
            <w:tcW w:w="1246" w:type="dxa"/>
            <w:tcBorders>
              <w:bottom w:val="nil"/>
            </w:tcBorders>
            <w:shd w:val="clear" w:color="auto" w:fill="auto"/>
            <w:vAlign w:val="center"/>
          </w:tcPr>
          <w:p w14:paraId="4FC7B25F"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12271,0</w:t>
            </w:r>
          </w:p>
        </w:tc>
        <w:tc>
          <w:tcPr>
            <w:tcW w:w="1148" w:type="dxa"/>
            <w:tcBorders>
              <w:bottom w:val="nil"/>
            </w:tcBorders>
            <w:shd w:val="clear" w:color="auto" w:fill="auto"/>
            <w:vAlign w:val="center"/>
          </w:tcPr>
          <w:p w14:paraId="3B12BB08"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2,9</w:t>
            </w:r>
          </w:p>
        </w:tc>
        <w:tc>
          <w:tcPr>
            <w:tcW w:w="1091" w:type="dxa"/>
            <w:tcBorders>
              <w:bottom w:val="nil"/>
            </w:tcBorders>
            <w:shd w:val="clear" w:color="auto" w:fill="auto"/>
            <w:vAlign w:val="center"/>
          </w:tcPr>
          <w:p w14:paraId="589DF78C"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16602</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5</w:t>
            </w:r>
          </w:p>
        </w:tc>
        <w:tc>
          <w:tcPr>
            <w:tcW w:w="910" w:type="dxa"/>
            <w:tcBorders>
              <w:bottom w:val="nil"/>
            </w:tcBorders>
            <w:shd w:val="clear" w:color="auto" w:fill="auto"/>
            <w:vAlign w:val="center"/>
          </w:tcPr>
          <w:p w14:paraId="3F2EA74D"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4,08</w:t>
            </w:r>
          </w:p>
        </w:tc>
        <w:tc>
          <w:tcPr>
            <w:tcW w:w="1120" w:type="dxa"/>
            <w:tcBorders>
              <w:bottom w:val="nil"/>
            </w:tcBorders>
            <w:shd w:val="clear" w:color="auto" w:fill="auto"/>
            <w:vAlign w:val="center"/>
          </w:tcPr>
          <w:p w14:paraId="7BD50EF5"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10476,4</w:t>
            </w:r>
          </w:p>
        </w:tc>
        <w:tc>
          <w:tcPr>
            <w:tcW w:w="983" w:type="dxa"/>
            <w:tcBorders>
              <w:bottom w:val="nil"/>
            </w:tcBorders>
            <w:shd w:val="clear" w:color="auto" w:fill="auto"/>
            <w:vAlign w:val="center"/>
          </w:tcPr>
          <w:p w14:paraId="37ABD2FA" w14:textId="77777777" w:rsidR="003E4615" w:rsidRPr="003E4615" w:rsidRDefault="003E4615" w:rsidP="003E4615">
            <w:pPr>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1,85</w:t>
            </w:r>
          </w:p>
        </w:tc>
      </w:tr>
      <w:tr w:rsidR="003E4615" w:rsidRPr="003E4615" w14:paraId="72364323" w14:textId="77777777" w:rsidTr="00C95FCE">
        <w:trPr>
          <w:jc w:val="center"/>
        </w:trPr>
        <w:tc>
          <w:tcPr>
            <w:tcW w:w="795" w:type="dxa"/>
            <w:shd w:val="clear" w:color="auto" w:fill="auto"/>
            <w:vAlign w:val="center"/>
          </w:tcPr>
          <w:p w14:paraId="30F1A612"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262</w:t>
            </w:r>
          </w:p>
        </w:tc>
        <w:tc>
          <w:tcPr>
            <w:tcW w:w="1190" w:type="dxa"/>
            <w:shd w:val="clear" w:color="auto" w:fill="auto"/>
            <w:vAlign w:val="center"/>
          </w:tcPr>
          <w:p w14:paraId="2DFC802A"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60000,0</w:t>
            </w:r>
          </w:p>
        </w:tc>
        <w:tc>
          <w:tcPr>
            <w:tcW w:w="1092" w:type="dxa"/>
            <w:shd w:val="clear" w:color="auto" w:fill="auto"/>
            <w:vAlign w:val="center"/>
          </w:tcPr>
          <w:p w14:paraId="4ACD8A1F"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12,8</w:t>
            </w:r>
          </w:p>
        </w:tc>
        <w:tc>
          <w:tcPr>
            <w:tcW w:w="1246" w:type="dxa"/>
            <w:shd w:val="clear" w:color="auto" w:fill="auto"/>
            <w:vAlign w:val="center"/>
          </w:tcPr>
          <w:p w14:paraId="4A38B050"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70000,0</w:t>
            </w:r>
          </w:p>
        </w:tc>
        <w:tc>
          <w:tcPr>
            <w:tcW w:w="1148" w:type="dxa"/>
            <w:shd w:val="clear" w:color="auto" w:fill="auto"/>
            <w:vAlign w:val="center"/>
          </w:tcPr>
          <w:p w14:paraId="7BD0B9DC"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16,5</w:t>
            </w:r>
          </w:p>
        </w:tc>
        <w:tc>
          <w:tcPr>
            <w:tcW w:w="1091" w:type="dxa"/>
            <w:shd w:val="clear" w:color="auto" w:fill="auto"/>
            <w:vAlign w:val="center"/>
          </w:tcPr>
          <w:p w14:paraId="1177341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70000,0</w:t>
            </w:r>
          </w:p>
        </w:tc>
        <w:tc>
          <w:tcPr>
            <w:tcW w:w="910" w:type="dxa"/>
            <w:shd w:val="clear" w:color="auto" w:fill="auto"/>
            <w:vAlign w:val="center"/>
          </w:tcPr>
          <w:p w14:paraId="25164A4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17,2</w:t>
            </w:r>
          </w:p>
        </w:tc>
        <w:tc>
          <w:tcPr>
            <w:tcW w:w="1120" w:type="dxa"/>
            <w:shd w:val="clear" w:color="auto" w:fill="auto"/>
            <w:vAlign w:val="center"/>
          </w:tcPr>
          <w:p w14:paraId="632C12D4"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140000,0</w:t>
            </w:r>
          </w:p>
        </w:tc>
        <w:tc>
          <w:tcPr>
            <w:tcW w:w="983" w:type="dxa"/>
            <w:shd w:val="clear" w:color="auto" w:fill="auto"/>
            <w:vAlign w:val="center"/>
          </w:tcPr>
          <w:p w14:paraId="2CDB401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24,7</w:t>
            </w:r>
          </w:p>
        </w:tc>
      </w:tr>
      <w:tr w:rsidR="003E4615" w:rsidRPr="003E4615" w14:paraId="399FEB32" w14:textId="77777777" w:rsidTr="00C95FCE">
        <w:trPr>
          <w:jc w:val="center"/>
        </w:trPr>
        <w:tc>
          <w:tcPr>
            <w:tcW w:w="795" w:type="dxa"/>
            <w:shd w:val="clear" w:color="auto" w:fill="auto"/>
            <w:vAlign w:val="center"/>
          </w:tcPr>
          <w:p w14:paraId="26BA89EE"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265</w:t>
            </w:r>
          </w:p>
        </w:tc>
        <w:tc>
          <w:tcPr>
            <w:tcW w:w="1190" w:type="dxa"/>
            <w:shd w:val="clear" w:color="auto" w:fill="auto"/>
          </w:tcPr>
          <w:p w14:paraId="454AAB24"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tcPr>
          <w:p w14:paraId="5C94627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vAlign w:val="center"/>
          </w:tcPr>
          <w:p w14:paraId="43932A27"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7FC504B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4452C58F"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3671DA2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48CA4CBA"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13EE578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2D07458E" w14:textId="77777777" w:rsidTr="00C95FCE">
        <w:trPr>
          <w:jc w:val="center"/>
        </w:trPr>
        <w:tc>
          <w:tcPr>
            <w:tcW w:w="795" w:type="dxa"/>
            <w:shd w:val="clear" w:color="auto" w:fill="auto"/>
            <w:vAlign w:val="center"/>
          </w:tcPr>
          <w:p w14:paraId="470EB641"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268</w:t>
            </w:r>
          </w:p>
        </w:tc>
        <w:tc>
          <w:tcPr>
            <w:tcW w:w="1190" w:type="dxa"/>
            <w:shd w:val="clear" w:color="auto" w:fill="auto"/>
          </w:tcPr>
          <w:p w14:paraId="61C8282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tcPr>
          <w:p w14:paraId="56B90A47"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vAlign w:val="center"/>
          </w:tcPr>
          <w:p w14:paraId="13CC22C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195F161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6FDF5C79"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66EB9247"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7657A57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1B73300E"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36E5B67C" w14:textId="77777777" w:rsidTr="00C95FCE">
        <w:trPr>
          <w:jc w:val="center"/>
        </w:trPr>
        <w:tc>
          <w:tcPr>
            <w:tcW w:w="795" w:type="dxa"/>
            <w:shd w:val="clear" w:color="auto" w:fill="auto"/>
            <w:vAlign w:val="center"/>
          </w:tcPr>
          <w:p w14:paraId="0B042278"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266</w:t>
            </w:r>
          </w:p>
        </w:tc>
        <w:tc>
          <w:tcPr>
            <w:tcW w:w="1190" w:type="dxa"/>
            <w:shd w:val="clear" w:color="auto" w:fill="auto"/>
            <w:vAlign w:val="center"/>
          </w:tcPr>
          <w:p w14:paraId="444D12BA"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5900,0</w:t>
            </w:r>
          </w:p>
        </w:tc>
        <w:tc>
          <w:tcPr>
            <w:tcW w:w="1092" w:type="dxa"/>
            <w:shd w:val="clear" w:color="auto" w:fill="auto"/>
            <w:vAlign w:val="center"/>
          </w:tcPr>
          <w:p w14:paraId="5BD44009"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1,26</w:t>
            </w:r>
          </w:p>
        </w:tc>
        <w:tc>
          <w:tcPr>
            <w:tcW w:w="1246" w:type="dxa"/>
            <w:shd w:val="clear" w:color="auto" w:fill="auto"/>
            <w:vAlign w:val="center"/>
          </w:tcPr>
          <w:p w14:paraId="78A98AA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vAlign w:val="center"/>
          </w:tcPr>
          <w:p w14:paraId="1B38623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vAlign w:val="center"/>
          </w:tcPr>
          <w:p w14:paraId="5D1D7B8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4F18BAD1"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02C3B66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vAlign w:val="center"/>
          </w:tcPr>
          <w:p w14:paraId="293A268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34F5B09D" w14:textId="77777777" w:rsidTr="00C95FCE">
        <w:trPr>
          <w:jc w:val="center"/>
        </w:trPr>
        <w:tc>
          <w:tcPr>
            <w:tcW w:w="795" w:type="dxa"/>
            <w:shd w:val="clear" w:color="auto" w:fill="auto"/>
            <w:vAlign w:val="center"/>
          </w:tcPr>
          <w:p w14:paraId="25967390"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269</w:t>
            </w:r>
          </w:p>
        </w:tc>
        <w:tc>
          <w:tcPr>
            <w:tcW w:w="1190" w:type="dxa"/>
            <w:shd w:val="clear" w:color="auto" w:fill="auto"/>
            <w:vAlign w:val="center"/>
          </w:tcPr>
          <w:p w14:paraId="1691790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8508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2</w:t>
            </w:r>
          </w:p>
        </w:tc>
        <w:tc>
          <w:tcPr>
            <w:tcW w:w="1092" w:type="dxa"/>
            <w:shd w:val="clear" w:color="auto" w:fill="auto"/>
            <w:vAlign w:val="center"/>
          </w:tcPr>
          <w:p w14:paraId="65DC7F8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1,81</w:t>
            </w:r>
          </w:p>
        </w:tc>
        <w:tc>
          <w:tcPr>
            <w:tcW w:w="1246" w:type="dxa"/>
            <w:shd w:val="clear" w:color="auto" w:fill="auto"/>
          </w:tcPr>
          <w:p w14:paraId="5714EED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tcPr>
          <w:p w14:paraId="591B08D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vAlign w:val="center"/>
          </w:tcPr>
          <w:p w14:paraId="7D2FFBEB"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vAlign w:val="center"/>
          </w:tcPr>
          <w:p w14:paraId="34E06D51"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tcPr>
          <w:p w14:paraId="20CE9B8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shd w:val="clear" w:color="auto" w:fill="auto"/>
          </w:tcPr>
          <w:p w14:paraId="3130B75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0FA4D385" w14:textId="77777777" w:rsidTr="001E64ED">
        <w:trPr>
          <w:jc w:val="center"/>
        </w:trPr>
        <w:tc>
          <w:tcPr>
            <w:tcW w:w="795" w:type="dxa"/>
            <w:tcBorders>
              <w:bottom w:val="single" w:sz="4" w:space="0" w:color="auto"/>
            </w:tcBorders>
            <w:shd w:val="clear" w:color="auto" w:fill="auto"/>
            <w:vAlign w:val="center"/>
          </w:tcPr>
          <w:p w14:paraId="5085391F"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267</w:t>
            </w:r>
          </w:p>
        </w:tc>
        <w:tc>
          <w:tcPr>
            <w:tcW w:w="1190" w:type="dxa"/>
            <w:tcBorders>
              <w:bottom w:val="single" w:sz="4" w:space="0" w:color="auto"/>
            </w:tcBorders>
            <w:shd w:val="clear" w:color="auto" w:fill="auto"/>
            <w:vAlign w:val="center"/>
          </w:tcPr>
          <w:p w14:paraId="766BCF2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8386</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1</w:t>
            </w:r>
          </w:p>
        </w:tc>
        <w:tc>
          <w:tcPr>
            <w:tcW w:w="1092" w:type="dxa"/>
            <w:tcBorders>
              <w:bottom w:val="single" w:sz="4" w:space="0" w:color="auto"/>
            </w:tcBorders>
            <w:shd w:val="clear" w:color="auto" w:fill="auto"/>
            <w:vAlign w:val="center"/>
          </w:tcPr>
          <w:p w14:paraId="20F72A6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1,79</w:t>
            </w:r>
          </w:p>
        </w:tc>
        <w:tc>
          <w:tcPr>
            <w:tcW w:w="1246" w:type="dxa"/>
            <w:tcBorders>
              <w:bottom w:val="single" w:sz="4" w:space="0" w:color="auto"/>
            </w:tcBorders>
            <w:shd w:val="clear" w:color="auto" w:fill="auto"/>
            <w:vAlign w:val="center"/>
          </w:tcPr>
          <w:p w14:paraId="452217B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7248</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7</w:t>
            </w:r>
          </w:p>
        </w:tc>
        <w:tc>
          <w:tcPr>
            <w:tcW w:w="1148" w:type="dxa"/>
            <w:tcBorders>
              <w:bottom w:val="single" w:sz="4" w:space="0" w:color="auto"/>
            </w:tcBorders>
            <w:shd w:val="clear" w:color="auto" w:fill="auto"/>
            <w:vAlign w:val="center"/>
          </w:tcPr>
          <w:p w14:paraId="47F4BC1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1,71</w:t>
            </w:r>
          </w:p>
        </w:tc>
        <w:tc>
          <w:tcPr>
            <w:tcW w:w="1091" w:type="dxa"/>
            <w:tcBorders>
              <w:bottom w:val="single" w:sz="4" w:space="0" w:color="auto"/>
            </w:tcBorders>
            <w:shd w:val="clear" w:color="auto" w:fill="auto"/>
            <w:vAlign w:val="center"/>
          </w:tcPr>
          <w:p w14:paraId="12DFCA4B"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8415</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1</w:t>
            </w:r>
          </w:p>
        </w:tc>
        <w:tc>
          <w:tcPr>
            <w:tcW w:w="910" w:type="dxa"/>
            <w:tcBorders>
              <w:bottom w:val="single" w:sz="4" w:space="0" w:color="auto"/>
            </w:tcBorders>
            <w:shd w:val="clear" w:color="auto" w:fill="auto"/>
            <w:vAlign w:val="center"/>
          </w:tcPr>
          <w:p w14:paraId="2E606B3A"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2,07</w:t>
            </w:r>
          </w:p>
        </w:tc>
        <w:tc>
          <w:tcPr>
            <w:tcW w:w="1120" w:type="dxa"/>
            <w:tcBorders>
              <w:bottom w:val="single" w:sz="4" w:space="0" w:color="auto"/>
            </w:tcBorders>
            <w:shd w:val="clear" w:color="auto" w:fill="auto"/>
            <w:vAlign w:val="center"/>
          </w:tcPr>
          <w:p w14:paraId="43FE4A97"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8622,2</w:t>
            </w:r>
          </w:p>
        </w:tc>
        <w:tc>
          <w:tcPr>
            <w:tcW w:w="983" w:type="dxa"/>
            <w:tcBorders>
              <w:bottom w:val="single" w:sz="4" w:space="0" w:color="auto"/>
            </w:tcBorders>
            <w:shd w:val="clear" w:color="auto" w:fill="auto"/>
            <w:vAlign w:val="center"/>
          </w:tcPr>
          <w:p w14:paraId="0D805761"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1,52</w:t>
            </w:r>
          </w:p>
        </w:tc>
      </w:tr>
      <w:tr w:rsidR="003E4615" w:rsidRPr="003E4615" w14:paraId="24E415DC" w14:textId="77777777" w:rsidTr="001E64ED">
        <w:trPr>
          <w:jc w:val="center"/>
        </w:trPr>
        <w:tc>
          <w:tcPr>
            <w:tcW w:w="795" w:type="dxa"/>
            <w:tcBorders>
              <w:bottom w:val="nil"/>
            </w:tcBorders>
            <w:shd w:val="clear" w:color="auto" w:fill="auto"/>
            <w:vAlign w:val="center"/>
          </w:tcPr>
          <w:p w14:paraId="41536065"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063</w:t>
            </w:r>
          </w:p>
        </w:tc>
        <w:tc>
          <w:tcPr>
            <w:tcW w:w="1190" w:type="dxa"/>
            <w:tcBorders>
              <w:bottom w:val="nil"/>
            </w:tcBorders>
            <w:shd w:val="clear" w:color="auto" w:fill="auto"/>
            <w:vAlign w:val="center"/>
          </w:tcPr>
          <w:p w14:paraId="2E0591D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tcBorders>
              <w:bottom w:val="nil"/>
            </w:tcBorders>
            <w:shd w:val="clear" w:color="auto" w:fill="auto"/>
            <w:vAlign w:val="center"/>
          </w:tcPr>
          <w:p w14:paraId="26B89669"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tcBorders>
              <w:bottom w:val="nil"/>
            </w:tcBorders>
            <w:shd w:val="clear" w:color="auto" w:fill="auto"/>
          </w:tcPr>
          <w:p w14:paraId="126F018E"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tcBorders>
              <w:bottom w:val="nil"/>
            </w:tcBorders>
            <w:shd w:val="clear" w:color="auto" w:fill="auto"/>
          </w:tcPr>
          <w:p w14:paraId="479B5C0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tcBorders>
              <w:bottom w:val="nil"/>
            </w:tcBorders>
            <w:shd w:val="clear" w:color="auto" w:fill="auto"/>
            <w:vAlign w:val="center"/>
          </w:tcPr>
          <w:p w14:paraId="2E2688A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15000,0</w:t>
            </w:r>
          </w:p>
        </w:tc>
        <w:tc>
          <w:tcPr>
            <w:tcW w:w="910" w:type="dxa"/>
            <w:tcBorders>
              <w:bottom w:val="nil"/>
            </w:tcBorders>
            <w:shd w:val="clear" w:color="auto" w:fill="auto"/>
            <w:vAlign w:val="center"/>
          </w:tcPr>
          <w:p w14:paraId="17546DA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3,68</w:t>
            </w:r>
          </w:p>
        </w:tc>
        <w:tc>
          <w:tcPr>
            <w:tcW w:w="1120" w:type="dxa"/>
            <w:tcBorders>
              <w:bottom w:val="nil"/>
            </w:tcBorders>
            <w:shd w:val="clear" w:color="auto" w:fill="auto"/>
          </w:tcPr>
          <w:p w14:paraId="1CFF0EA9"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83" w:type="dxa"/>
            <w:tcBorders>
              <w:bottom w:val="nil"/>
            </w:tcBorders>
            <w:shd w:val="clear" w:color="auto" w:fill="auto"/>
          </w:tcPr>
          <w:p w14:paraId="7FE23A50"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r>
      <w:tr w:rsidR="003E4615" w:rsidRPr="003E4615" w14:paraId="52D0054F" w14:textId="77777777" w:rsidTr="00C95FCE">
        <w:trPr>
          <w:jc w:val="center"/>
        </w:trPr>
        <w:tc>
          <w:tcPr>
            <w:tcW w:w="795" w:type="dxa"/>
            <w:shd w:val="clear" w:color="auto" w:fill="auto"/>
            <w:vAlign w:val="center"/>
          </w:tcPr>
          <w:p w14:paraId="5D276A11"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rPr>
              <w:t>004</w:t>
            </w:r>
          </w:p>
        </w:tc>
        <w:tc>
          <w:tcPr>
            <w:tcW w:w="1190" w:type="dxa"/>
            <w:shd w:val="clear" w:color="auto" w:fill="auto"/>
            <w:vAlign w:val="center"/>
          </w:tcPr>
          <w:p w14:paraId="43FC695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45615883"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tcPr>
          <w:p w14:paraId="428D7EBE"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tcPr>
          <w:p w14:paraId="4944211B"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55B6D9BB"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62CBBB5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3CDFD639"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20000,0</w:t>
            </w:r>
          </w:p>
        </w:tc>
        <w:tc>
          <w:tcPr>
            <w:tcW w:w="983" w:type="dxa"/>
            <w:shd w:val="clear" w:color="auto" w:fill="auto"/>
            <w:vAlign w:val="center"/>
          </w:tcPr>
          <w:p w14:paraId="722A10B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3,53</w:t>
            </w:r>
          </w:p>
        </w:tc>
      </w:tr>
      <w:tr w:rsidR="003E4615" w:rsidRPr="003E4615" w14:paraId="3BADBA02" w14:textId="77777777" w:rsidTr="00C95FCE">
        <w:trPr>
          <w:jc w:val="center"/>
        </w:trPr>
        <w:tc>
          <w:tcPr>
            <w:tcW w:w="795" w:type="dxa"/>
            <w:shd w:val="clear" w:color="auto" w:fill="auto"/>
            <w:vAlign w:val="center"/>
          </w:tcPr>
          <w:p w14:paraId="116896D2"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lang w:val="kk-KZ"/>
              </w:rPr>
              <w:t>005</w:t>
            </w:r>
          </w:p>
        </w:tc>
        <w:tc>
          <w:tcPr>
            <w:tcW w:w="1190" w:type="dxa"/>
            <w:shd w:val="clear" w:color="auto" w:fill="auto"/>
            <w:vAlign w:val="center"/>
          </w:tcPr>
          <w:p w14:paraId="3281114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1C7FDDB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tcPr>
          <w:p w14:paraId="70691C3A"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tcPr>
          <w:p w14:paraId="0B6CD51C"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6938463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2EE9E0C1"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5D6017D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20000,0</w:t>
            </w:r>
          </w:p>
        </w:tc>
        <w:tc>
          <w:tcPr>
            <w:tcW w:w="983" w:type="dxa"/>
            <w:shd w:val="clear" w:color="auto" w:fill="auto"/>
            <w:vAlign w:val="center"/>
          </w:tcPr>
          <w:p w14:paraId="4A806BA0"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3,53</w:t>
            </w:r>
          </w:p>
        </w:tc>
      </w:tr>
      <w:tr w:rsidR="003E4615" w:rsidRPr="003E4615" w14:paraId="0221B126" w14:textId="77777777" w:rsidTr="00C95FCE">
        <w:trPr>
          <w:jc w:val="center"/>
        </w:trPr>
        <w:tc>
          <w:tcPr>
            <w:tcW w:w="795" w:type="dxa"/>
            <w:shd w:val="clear" w:color="auto" w:fill="auto"/>
            <w:vAlign w:val="center"/>
          </w:tcPr>
          <w:p w14:paraId="12C5B340"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lang w:val="kk-KZ"/>
              </w:rPr>
              <w:t>006</w:t>
            </w:r>
          </w:p>
        </w:tc>
        <w:tc>
          <w:tcPr>
            <w:tcW w:w="1190" w:type="dxa"/>
            <w:shd w:val="clear" w:color="auto" w:fill="auto"/>
            <w:vAlign w:val="center"/>
          </w:tcPr>
          <w:p w14:paraId="1B906AF7"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0E644B5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tcPr>
          <w:p w14:paraId="38AB18A1"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tcPr>
          <w:p w14:paraId="16DCB20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2BA692B5"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3056ED44"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11D9166F"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40000,0</w:t>
            </w:r>
          </w:p>
        </w:tc>
        <w:tc>
          <w:tcPr>
            <w:tcW w:w="983" w:type="dxa"/>
            <w:shd w:val="clear" w:color="auto" w:fill="auto"/>
            <w:vAlign w:val="center"/>
          </w:tcPr>
          <w:p w14:paraId="503E53C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7,06</w:t>
            </w:r>
          </w:p>
        </w:tc>
      </w:tr>
      <w:tr w:rsidR="003E4615" w:rsidRPr="003E4615" w14:paraId="139BF253" w14:textId="77777777" w:rsidTr="00C95FCE">
        <w:trPr>
          <w:jc w:val="center"/>
        </w:trPr>
        <w:tc>
          <w:tcPr>
            <w:tcW w:w="795" w:type="dxa"/>
            <w:shd w:val="clear" w:color="auto" w:fill="auto"/>
            <w:vAlign w:val="center"/>
          </w:tcPr>
          <w:p w14:paraId="6195B1D4"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lang w:val="kk-KZ"/>
              </w:rPr>
              <w:t>013</w:t>
            </w:r>
          </w:p>
        </w:tc>
        <w:tc>
          <w:tcPr>
            <w:tcW w:w="1190" w:type="dxa"/>
            <w:shd w:val="clear" w:color="auto" w:fill="auto"/>
            <w:vAlign w:val="center"/>
          </w:tcPr>
          <w:p w14:paraId="4980340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2" w:type="dxa"/>
            <w:shd w:val="clear" w:color="auto" w:fill="auto"/>
            <w:vAlign w:val="center"/>
          </w:tcPr>
          <w:p w14:paraId="5659B05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246" w:type="dxa"/>
            <w:shd w:val="clear" w:color="auto" w:fill="auto"/>
          </w:tcPr>
          <w:p w14:paraId="49CEB65F"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tcPr>
          <w:p w14:paraId="1A374044"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54A93DCE"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7BB4DE26"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64BB6199"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4507,4</w:t>
            </w:r>
          </w:p>
        </w:tc>
        <w:tc>
          <w:tcPr>
            <w:tcW w:w="983" w:type="dxa"/>
            <w:shd w:val="clear" w:color="auto" w:fill="auto"/>
            <w:vAlign w:val="center"/>
          </w:tcPr>
          <w:p w14:paraId="039C05EC"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0,79</w:t>
            </w:r>
          </w:p>
        </w:tc>
      </w:tr>
      <w:tr w:rsidR="003E4615" w:rsidRPr="003E4615" w14:paraId="680B210A" w14:textId="77777777" w:rsidTr="00C95FCE">
        <w:trPr>
          <w:jc w:val="center"/>
        </w:trPr>
        <w:tc>
          <w:tcPr>
            <w:tcW w:w="795" w:type="dxa"/>
            <w:shd w:val="clear" w:color="auto" w:fill="auto"/>
            <w:vAlign w:val="center"/>
          </w:tcPr>
          <w:p w14:paraId="60AC077B"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lang w:val="kk-KZ"/>
              </w:rPr>
              <w:t>100</w:t>
            </w:r>
          </w:p>
        </w:tc>
        <w:tc>
          <w:tcPr>
            <w:tcW w:w="1190" w:type="dxa"/>
            <w:shd w:val="clear" w:color="auto" w:fill="auto"/>
            <w:vAlign w:val="center"/>
          </w:tcPr>
          <w:p w14:paraId="6EBC96EA" w14:textId="77777777" w:rsidR="003E4615" w:rsidRPr="003E4615" w:rsidRDefault="003E4615" w:rsidP="00C95FCE">
            <w:pPr>
              <w:spacing w:line="228" w:lineRule="auto"/>
              <w:jc w:val="center"/>
              <w:rPr>
                <w:rFonts w:ascii="Times New Roman" w:hAnsi="Times New Roman" w:cs="Times New Roman"/>
                <w:color w:val="000000"/>
                <w:sz w:val="24"/>
                <w:szCs w:val="24"/>
              </w:rPr>
            </w:pPr>
            <w:r w:rsidRPr="003E4615">
              <w:rPr>
                <w:rFonts w:ascii="Times New Roman" w:hAnsi="Times New Roman" w:cs="Times New Roman"/>
                <w:sz w:val="24"/>
                <w:szCs w:val="24"/>
                <w:lang w:val="kk-KZ"/>
              </w:rPr>
              <w:t>-</w:t>
            </w:r>
          </w:p>
        </w:tc>
        <w:tc>
          <w:tcPr>
            <w:tcW w:w="1092" w:type="dxa"/>
            <w:shd w:val="clear" w:color="auto" w:fill="auto"/>
            <w:vAlign w:val="center"/>
          </w:tcPr>
          <w:p w14:paraId="53F69341"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sz w:val="24"/>
                <w:szCs w:val="24"/>
                <w:lang w:val="kk-KZ"/>
              </w:rPr>
              <w:t>-</w:t>
            </w:r>
          </w:p>
        </w:tc>
        <w:tc>
          <w:tcPr>
            <w:tcW w:w="1246" w:type="dxa"/>
            <w:shd w:val="clear" w:color="auto" w:fill="auto"/>
          </w:tcPr>
          <w:p w14:paraId="357C1562"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48" w:type="dxa"/>
            <w:shd w:val="clear" w:color="auto" w:fill="auto"/>
          </w:tcPr>
          <w:p w14:paraId="744D123C"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091" w:type="dxa"/>
            <w:shd w:val="clear" w:color="auto" w:fill="auto"/>
          </w:tcPr>
          <w:p w14:paraId="4BC18C7F"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910" w:type="dxa"/>
            <w:shd w:val="clear" w:color="auto" w:fill="auto"/>
          </w:tcPr>
          <w:p w14:paraId="5B37B1FC"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w:t>
            </w:r>
          </w:p>
        </w:tc>
        <w:tc>
          <w:tcPr>
            <w:tcW w:w="1120" w:type="dxa"/>
            <w:shd w:val="clear" w:color="auto" w:fill="auto"/>
            <w:vAlign w:val="center"/>
          </w:tcPr>
          <w:p w14:paraId="02B40630"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lang w:val="kk-KZ"/>
              </w:rPr>
              <w:t>175,0</w:t>
            </w:r>
          </w:p>
        </w:tc>
        <w:tc>
          <w:tcPr>
            <w:tcW w:w="983" w:type="dxa"/>
            <w:shd w:val="clear" w:color="auto" w:fill="auto"/>
            <w:vAlign w:val="center"/>
          </w:tcPr>
          <w:p w14:paraId="4F5E19A8"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0,03</w:t>
            </w:r>
          </w:p>
        </w:tc>
      </w:tr>
      <w:tr w:rsidR="003E4615" w:rsidRPr="003E4615" w14:paraId="7C6238A0" w14:textId="77777777" w:rsidTr="00C95FCE">
        <w:trPr>
          <w:jc w:val="center"/>
        </w:trPr>
        <w:tc>
          <w:tcPr>
            <w:tcW w:w="795" w:type="dxa"/>
            <w:shd w:val="clear" w:color="auto" w:fill="auto"/>
            <w:vAlign w:val="center"/>
          </w:tcPr>
          <w:p w14:paraId="0DFF79C4" w14:textId="77777777" w:rsidR="003E4615" w:rsidRPr="003E4615" w:rsidRDefault="003E4615" w:rsidP="00C95FCE">
            <w:pPr>
              <w:spacing w:line="228" w:lineRule="auto"/>
              <w:jc w:val="center"/>
              <w:rPr>
                <w:rFonts w:ascii="Times New Roman" w:hAnsi="Times New Roman" w:cs="Times New Roman"/>
                <w:sz w:val="24"/>
                <w:szCs w:val="24"/>
              </w:rPr>
            </w:pPr>
            <w:r w:rsidRPr="003E4615">
              <w:rPr>
                <w:rFonts w:ascii="Times New Roman" w:hAnsi="Times New Roman" w:cs="Times New Roman"/>
                <w:sz w:val="24"/>
                <w:szCs w:val="24"/>
                <w:lang w:val="kk-KZ"/>
              </w:rPr>
              <w:t>212</w:t>
            </w:r>
          </w:p>
        </w:tc>
        <w:tc>
          <w:tcPr>
            <w:tcW w:w="1190" w:type="dxa"/>
            <w:shd w:val="clear" w:color="auto" w:fill="auto"/>
            <w:vAlign w:val="center"/>
          </w:tcPr>
          <w:p w14:paraId="02E8C31E"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469362</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9</w:t>
            </w:r>
          </w:p>
        </w:tc>
        <w:tc>
          <w:tcPr>
            <w:tcW w:w="1092" w:type="dxa"/>
            <w:shd w:val="clear" w:color="auto" w:fill="auto"/>
            <w:vAlign w:val="center"/>
          </w:tcPr>
          <w:p w14:paraId="3692094D"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100</w:t>
            </w:r>
          </w:p>
        </w:tc>
        <w:tc>
          <w:tcPr>
            <w:tcW w:w="1246" w:type="dxa"/>
            <w:shd w:val="clear" w:color="auto" w:fill="auto"/>
            <w:vAlign w:val="center"/>
          </w:tcPr>
          <w:p w14:paraId="1B7B99AE"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423416</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2</w:t>
            </w:r>
          </w:p>
        </w:tc>
        <w:tc>
          <w:tcPr>
            <w:tcW w:w="1148" w:type="dxa"/>
            <w:shd w:val="clear" w:color="auto" w:fill="auto"/>
            <w:vAlign w:val="center"/>
          </w:tcPr>
          <w:p w14:paraId="6FC3765C"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100</w:t>
            </w:r>
          </w:p>
        </w:tc>
        <w:tc>
          <w:tcPr>
            <w:tcW w:w="1091" w:type="dxa"/>
            <w:shd w:val="clear" w:color="auto" w:fill="auto"/>
            <w:vAlign w:val="center"/>
          </w:tcPr>
          <w:p w14:paraId="38A09292" w14:textId="77777777" w:rsidR="003E4615" w:rsidRPr="003E4615" w:rsidRDefault="003E4615" w:rsidP="00C95FCE">
            <w:pPr>
              <w:spacing w:line="228" w:lineRule="auto"/>
              <w:ind w:left="-94"/>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407131</w:t>
            </w:r>
            <w:r w:rsidRPr="003E4615">
              <w:rPr>
                <w:rFonts w:ascii="Times New Roman" w:hAnsi="Times New Roman" w:cs="Times New Roman"/>
                <w:color w:val="000000"/>
                <w:sz w:val="24"/>
                <w:szCs w:val="24"/>
                <w:lang w:val="kk-KZ"/>
              </w:rPr>
              <w:t>,</w:t>
            </w:r>
            <w:r w:rsidRPr="003E4615">
              <w:rPr>
                <w:rFonts w:ascii="Times New Roman" w:hAnsi="Times New Roman" w:cs="Times New Roman"/>
                <w:color w:val="000000"/>
                <w:sz w:val="24"/>
                <w:szCs w:val="24"/>
              </w:rPr>
              <w:t>3</w:t>
            </w:r>
          </w:p>
        </w:tc>
        <w:tc>
          <w:tcPr>
            <w:tcW w:w="910" w:type="dxa"/>
            <w:shd w:val="clear" w:color="auto" w:fill="auto"/>
            <w:vAlign w:val="center"/>
          </w:tcPr>
          <w:p w14:paraId="0323BB24"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100</w:t>
            </w:r>
          </w:p>
        </w:tc>
        <w:tc>
          <w:tcPr>
            <w:tcW w:w="1120" w:type="dxa"/>
            <w:shd w:val="clear" w:color="auto" w:fill="auto"/>
            <w:vAlign w:val="center"/>
          </w:tcPr>
          <w:p w14:paraId="0CCF0E3A"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566505,8</w:t>
            </w:r>
          </w:p>
        </w:tc>
        <w:tc>
          <w:tcPr>
            <w:tcW w:w="983" w:type="dxa"/>
            <w:shd w:val="clear" w:color="auto" w:fill="auto"/>
            <w:vAlign w:val="center"/>
          </w:tcPr>
          <w:p w14:paraId="7E6178BF" w14:textId="77777777" w:rsidR="003E4615" w:rsidRPr="003E4615" w:rsidRDefault="003E4615" w:rsidP="00C95FCE">
            <w:pPr>
              <w:spacing w:line="228" w:lineRule="auto"/>
              <w:jc w:val="center"/>
              <w:rPr>
                <w:rFonts w:ascii="Times New Roman" w:hAnsi="Times New Roman" w:cs="Times New Roman"/>
                <w:sz w:val="24"/>
                <w:szCs w:val="24"/>
                <w:lang w:val="kk-KZ"/>
              </w:rPr>
            </w:pPr>
            <w:r w:rsidRPr="003E4615">
              <w:rPr>
                <w:rFonts w:ascii="Times New Roman" w:hAnsi="Times New Roman" w:cs="Times New Roman"/>
                <w:color w:val="000000"/>
                <w:sz w:val="24"/>
                <w:szCs w:val="24"/>
              </w:rPr>
              <w:t>100</w:t>
            </w:r>
          </w:p>
        </w:tc>
      </w:tr>
      <w:tr w:rsidR="003E4615" w:rsidRPr="003E4615" w14:paraId="065217CF" w14:textId="77777777" w:rsidTr="00C95FCE">
        <w:trPr>
          <w:jc w:val="center"/>
        </w:trPr>
        <w:tc>
          <w:tcPr>
            <w:tcW w:w="795" w:type="dxa"/>
            <w:shd w:val="clear" w:color="auto" w:fill="auto"/>
            <w:vAlign w:val="center"/>
          </w:tcPr>
          <w:p w14:paraId="5F234FC7" w14:textId="77777777" w:rsidR="003E4615" w:rsidRPr="003E4615" w:rsidRDefault="003E4615" w:rsidP="00C95FCE">
            <w:pPr>
              <w:spacing w:line="228" w:lineRule="auto"/>
              <w:ind w:left="-55" w:right="-80"/>
              <w:jc w:val="center"/>
              <w:rPr>
                <w:rFonts w:ascii="Times New Roman" w:hAnsi="Times New Roman" w:cs="Times New Roman"/>
                <w:sz w:val="24"/>
                <w:szCs w:val="24"/>
                <w:lang w:val="kk-KZ"/>
              </w:rPr>
            </w:pPr>
            <w:r w:rsidRPr="003E4615">
              <w:rPr>
                <w:rFonts w:ascii="Times New Roman" w:hAnsi="Times New Roman" w:cs="Times New Roman"/>
                <w:sz w:val="24"/>
                <w:szCs w:val="24"/>
                <w:lang w:val="kk-KZ"/>
              </w:rPr>
              <w:t xml:space="preserve">Нақты </w:t>
            </w:r>
          </w:p>
        </w:tc>
        <w:tc>
          <w:tcPr>
            <w:tcW w:w="1190" w:type="dxa"/>
            <w:shd w:val="clear" w:color="auto" w:fill="auto"/>
            <w:vAlign w:val="center"/>
          </w:tcPr>
          <w:p w14:paraId="2F4082F0"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469353,9</w:t>
            </w:r>
          </w:p>
        </w:tc>
        <w:tc>
          <w:tcPr>
            <w:tcW w:w="1092" w:type="dxa"/>
            <w:shd w:val="clear" w:color="auto" w:fill="auto"/>
            <w:vAlign w:val="center"/>
          </w:tcPr>
          <w:p w14:paraId="58EBFCF0"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100</w:t>
            </w:r>
          </w:p>
        </w:tc>
        <w:tc>
          <w:tcPr>
            <w:tcW w:w="1246" w:type="dxa"/>
            <w:shd w:val="clear" w:color="auto" w:fill="auto"/>
            <w:vAlign w:val="center"/>
          </w:tcPr>
          <w:p w14:paraId="70537587"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423308,4</w:t>
            </w:r>
          </w:p>
        </w:tc>
        <w:tc>
          <w:tcPr>
            <w:tcW w:w="1148" w:type="dxa"/>
            <w:shd w:val="clear" w:color="auto" w:fill="auto"/>
            <w:vAlign w:val="center"/>
          </w:tcPr>
          <w:p w14:paraId="4CD09CED"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100</w:t>
            </w:r>
          </w:p>
        </w:tc>
        <w:tc>
          <w:tcPr>
            <w:tcW w:w="1091" w:type="dxa"/>
            <w:shd w:val="clear" w:color="auto" w:fill="auto"/>
            <w:vAlign w:val="center"/>
          </w:tcPr>
          <w:p w14:paraId="7A2104B0" w14:textId="77777777" w:rsidR="003E4615" w:rsidRPr="003E4615" w:rsidRDefault="003E4615" w:rsidP="00C95FCE">
            <w:pPr>
              <w:spacing w:line="228" w:lineRule="auto"/>
              <w:ind w:left="-94"/>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407042,7</w:t>
            </w:r>
          </w:p>
        </w:tc>
        <w:tc>
          <w:tcPr>
            <w:tcW w:w="910" w:type="dxa"/>
            <w:shd w:val="clear" w:color="auto" w:fill="auto"/>
            <w:vAlign w:val="center"/>
          </w:tcPr>
          <w:p w14:paraId="5FBDD6E9"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100</w:t>
            </w:r>
          </w:p>
        </w:tc>
        <w:tc>
          <w:tcPr>
            <w:tcW w:w="1120" w:type="dxa"/>
            <w:shd w:val="clear" w:color="auto" w:fill="auto"/>
            <w:vAlign w:val="center"/>
          </w:tcPr>
          <w:p w14:paraId="10EA95F8"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561896,1</w:t>
            </w:r>
          </w:p>
        </w:tc>
        <w:tc>
          <w:tcPr>
            <w:tcW w:w="983" w:type="dxa"/>
            <w:shd w:val="clear" w:color="auto" w:fill="auto"/>
            <w:vAlign w:val="center"/>
          </w:tcPr>
          <w:p w14:paraId="1287FF19" w14:textId="77777777" w:rsidR="003E4615" w:rsidRPr="003E4615" w:rsidRDefault="003E4615" w:rsidP="00C95FCE">
            <w:pPr>
              <w:spacing w:line="228" w:lineRule="auto"/>
              <w:jc w:val="center"/>
              <w:rPr>
                <w:rFonts w:ascii="Times New Roman" w:hAnsi="Times New Roman" w:cs="Times New Roman"/>
                <w:color w:val="000000"/>
                <w:sz w:val="24"/>
                <w:szCs w:val="24"/>
                <w:lang w:val="kk-KZ"/>
              </w:rPr>
            </w:pPr>
            <w:r w:rsidRPr="003E4615">
              <w:rPr>
                <w:rFonts w:ascii="Times New Roman" w:hAnsi="Times New Roman" w:cs="Times New Roman"/>
                <w:color w:val="000000"/>
                <w:sz w:val="24"/>
                <w:szCs w:val="24"/>
                <w:lang w:val="kk-KZ"/>
              </w:rPr>
              <w:t>99,2</w:t>
            </w:r>
          </w:p>
        </w:tc>
      </w:tr>
      <w:tr w:rsidR="00C95FCE" w:rsidRPr="003E4615" w14:paraId="31695BAF" w14:textId="77777777" w:rsidTr="00463D68">
        <w:trPr>
          <w:jc w:val="center"/>
        </w:trPr>
        <w:tc>
          <w:tcPr>
            <w:tcW w:w="9575" w:type="dxa"/>
            <w:gridSpan w:val="9"/>
            <w:shd w:val="clear" w:color="auto" w:fill="auto"/>
            <w:vAlign w:val="center"/>
          </w:tcPr>
          <w:p w14:paraId="016C4395" w14:textId="5AB7CE63" w:rsidR="00C95FCE" w:rsidRPr="003E4615" w:rsidRDefault="00C95FCE" w:rsidP="001E64ED">
            <w:pPr>
              <w:spacing w:line="228" w:lineRule="auto"/>
              <w:ind w:firstLine="570"/>
              <w:rPr>
                <w:rFonts w:ascii="Times New Roman" w:hAnsi="Times New Roman" w:cs="Times New Roman"/>
                <w:color w:val="000000"/>
                <w:sz w:val="24"/>
                <w:szCs w:val="24"/>
                <w:lang w:val="kk-KZ"/>
              </w:rPr>
            </w:pPr>
            <w:r w:rsidRPr="00C95FC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Pr="00C95FCE">
              <w:rPr>
                <w:rFonts w:ascii="Times New Roman" w:hAnsi="Times New Roman" w:cs="Times New Roman"/>
                <w:sz w:val="24"/>
                <w:szCs w:val="24"/>
                <w:lang w:val="kk-KZ"/>
              </w:rPr>
              <w:t>[</w:t>
            </w:r>
            <w:r w:rsidR="00D0056B">
              <w:rPr>
                <w:rFonts w:ascii="Times New Roman" w:hAnsi="Times New Roman" w:cs="Times New Roman"/>
                <w:sz w:val="24"/>
                <w:szCs w:val="24"/>
                <w:lang w:val="kk-KZ"/>
              </w:rPr>
              <w:t>8</w:t>
            </w:r>
            <w:r w:rsidR="00943D2A">
              <w:rPr>
                <w:rFonts w:ascii="Times New Roman" w:hAnsi="Times New Roman" w:cs="Times New Roman"/>
                <w:sz w:val="24"/>
                <w:szCs w:val="24"/>
                <w:lang w:val="en-US"/>
              </w:rPr>
              <w:t>3</w:t>
            </w:r>
            <w:r w:rsidR="00D0056B">
              <w:rPr>
                <w:rFonts w:ascii="Times New Roman" w:hAnsi="Times New Roman" w:cs="Times New Roman"/>
                <w:sz w:val="24"/>
                <w:szCs w:val="24"/>
                <w:lang w:val="kk-KZ"/>
              </w:rPr>
              <w:t>-</w:t>
            </w:r>
            <w:r w:rsidR="00943D2A">
              <w:rPr>
                <w:rFonts w:ascii="Times New Roman" w:hAnsi="Times New Roman" w:cs="Times New Roman"/>
                <w:sz w:val="24"/>
                <w:szCs w:val="24"/>
                <w:lang w:val="en-US"/>
              </w:rPr>
              <w:t>97</w:t>
            </w:r>
            <w:r w:rsidRPr="00C95FCE">
              <w:rPr>
                <w:rFonts w:ascii="Times New Roman" w:hAnsi="Times New Roman" w:cs="Times New Roman"/>
                <w:sz w:val="24"/>
                <w:szCs w:val="24"/>
                <w:lang w:val="kk-KZ"/>
              </w:rPr>
              <w:t>]</w:t>
            </w:r>
          </w:p>
        </w:tc>
      </w:tr>
    </w:tbl>
    <w:p w14:paraId="120B8C97" w14:textId="77777777" w:rsidR="003E4615" w:rsidRDefault="003E4615" w:rsidP="00457CE9">
      <w:pPr>
        <w:spacing w:after="0" w:line="240" w:lineRule="auto"/>
        <w:rPr>
          <w:rFonts w:ascii="Times New Roman" w:hAnsi="Times New Roman" w:cs="Times New Roman"/>
          <w:sz w:val="28"/>
          <w:szCs w:val="28"/>
          <w:lang w:val="kk-KZ"/>
        </w:rPr>
      </w:pPr>
    </w:p>
    <w:p w14:paraId="1D6AB08E" w14:textId="7202B404" w:rsidR="00651588" w:rsidRDefault="00651588" w:rsidP="0065158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12-кесте мәліметтерінен 2016 жылы ҚР Ауыл шаруашылығы министрлігі жиынтық қаржыландыру жоспары 327100,1 млн. теңгені құраған, ҚР Бюджет кодексіне сәйкес ҚР Ауыл шаруашылығы министрлігі бюджет бағдарламасының әкімшілігі ретінде 212 кодпен бекітілген. 2016 жылы жалпы 22 бюджеттік бағдарлама бойынша бюджет қаражаты таратылып жұмсалынған, қаржыны игеру 99,7 пайызды құрап, нақты 326201 млн.теңгені құраған.</w:t>
      </w:r>
    </w:p>
    <w:p w14:paraId="4F567921" w14:textId="720F8E3A" w:rsidR="00617FA0" w:rsidRPr="00457CE9" w:rsidRDefault="00617FA0"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Соның ішінде ең қомақты қаржы «258 бюджет бағдарламасына» 74849 млн. теңге немесе 22,9 пайызы және Агроөнеркәсіптік кешен субъектілерін қолдау жөніндегі іс-шараларды жүргізу үшін «ҚазАгро» ұлттық басқарушы холдингі» АҚ-на несие беруге 60000 млн. теңге немесе 18 пайызы қарастырылған. Сонымен қатар «Қаржылық көрсетілетін қызметтердің қолжетімділігін арттыру» бюджет бағдарламасына 17,7 пайызы бағытталған. </w:t>
      </w:r>
    </w:p>
    <w:p w14:paraId="5E496675" w14:textId="489E2DAD" w:rsidR="00CB5403" w:rsidRDefault="00CB5403"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2016-2022 жылдарға Ауыл шаруашылығы министрлігінің 212 бюджеттік бағдарлам</w:t>
      </w:r>
      <w:r w:rsidR="00651588">
        <w:rPr>
          <w:rFonts w:ascii="Times New Roman" w:hAnsi="Times New Roman" w:cs="Times New Roman"/>
          <w:sz w:val="28"/>
          <w:szCs w:val="28"/>
          <w:lang w:val="kk-KZ"/>
        </w:rPr>
        <w:t>ас</w:t>
      </w:r>
      <w:r w:rsidRPr="00457CE9">
        <w:rPr>
          <w:rFonts w:ascii="Times New Roman" w:hAnsi="Times New Roman" w:cs="Times New Roman"/>
          <w:sz w:val="28"/>
          <w:szCs w:val="28"/>
          <w:lang w:val="kk-KZ"/>
        </w:rPr>
        <w:t>ы бойынша жоспарлы және нақты жұмсалған бюджет қаражатының құрамы</w:t>
      </w:r>
      <w:r w:rsidR="00651588">
        <w:rPr>
          <w:rFonts w:ascii="Times New Roman" w:hAnsi="Times New Roman" w:cs="Times New Roman"/>
          <w:sz w:val="28"/>
          <w:szCs w:val="28"/>
          <w:lang w:val="kk-KZ"/>
        </w:rPr>
        <w:t>ның динамикасы</w:t>
      </w:r>
      <w:r w:rsidRPr="00457CE9">
        <w:rPr>
          <w:rFonts w:ascii="Times New Roman" w:hAnsi="Times New Roman" w:cs="Times New Roman"/>
          <w:sz w:val="28"/>
          <w:szCs w:val="28"/>
          <w:lang w:val="kk-KZ"/>
        </w:rPr>
        <w:t xml:space="preserve"> </w:t>
      </w:r>
      <w:r w:rsidR="00132979">
        <w:rPr>
          <w:rFonts w:ascii="Times New Roman" w:hAnsi="Times New Roman" w:cs="Times New Roman"/>
          <w:sz w:val="28"/>
          <w:szCs w:val="28"/>
          <w:lang w:val="kk-KZ"/>
        </w:rPr>
        <w:t>7</w:t>
      </w:r>
      <w:r w:rsidRPr="00457CE9">
        <w:rPr>
          <w:rFonts w:ascii="Times New Roman" w:hAnsi="Times New Roman" w:cs="Times New Roman"/>
          <w:sz w:val="28"/>
          <w:szCs w:val="28"/>
          <w:lang w:val="kk-KZ"/>
        </w:rPr>
        <w:t>-суретте келтірілген.</w:t>
      </w:r>
    </w:p>
    <w:p w14:paraId="74B7D01E" w14:textId="77777777" w:rsidR="00C95FCE" w:rsidRPr="00457CE9" w:rsidRDefault="00C95FCE" w:rsidP="00457CE9">
      <w:pPr>
        <w:spacing w:after="0" w:line="240" w:lineRule="auto"/>
        <w:ind w:firstLine="709"/>
        <w:jc w:val="both"/>
        <w:rPr>
          <w:rFonts w:ascii="Times New Roman" w:hAnsi="Times New Roman" w:cs="Times New Roman"/>
          <w:sz w:val="28"/>
          <w:szCs w:val="28"/>
          <w:lang w:val="kk-KZ"/>
        </w:rPr>
      </w:pPr>
    </w:p>
    <w:p w14:paraId="4A41FFF9" w14:textId="2BC7045E" w:rsidR="002802A8" w:rsidRPr="00457CE9" w:rsidRDefault="00CB5403" w:rsidP="00457CE9">
      <w:pPr>
        <w:spacing w:after="0" w:line="240" w:lineRule="auto"/>
        <w:jc w:val="center"/>
        <w:rPr>
          <w:rFonts w:ascii="Times New Roman" w:hAnsi="Times New Roman" w:cs="Times New Roman"/>
          <w:sz w:val="28"/>
          <w:szCs w:val="28"/>
          <w:lang w:val="kk-KZ"/>
        </w:rPr>
      </w:pPr>
      <w:r w:rsidRPr="00457CE9">
        <w:rPr>
          <w:noProof/>
          <w:lang w:eastAsia="ru-RU"/>
        </w:rPr>
        <w:drawing>
          <wp:inline distT="0" distB="0" distL="0" distR="0" wp14:anchorId="0CFF5F1F" wp14:editId="0F11ADAF">
            <wp:extent cx="5844540" cy="2743200"/>
            <wp:effectExtent l="0" t="0" r="3810" b="0"/>
            <wp:docPr id="67" name="Диаграмма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5F441F-4490-0260-BA25-C8DE80B40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B7FA7F" w14:textId="77777777" w:rsidR="00C95FCE" w:rsidRPr="00C95FCE" w:rsidRDefault="00C95FCE" w:rsidP="00457CE9">
      <w:pPr>
        <w:spacing w:after="0" w:line="240" w:lineRule="auto"/>
        <w:ind w:firstLine="567"/>
        <w:jc w:val="center"/>
        <w:rPr>
          <w:rFonts w:ascii="Times New Roman" w:hAnsi="Times New Roman" w:cs="Times New Roman"/>
          <w:color w:val="000000"/>
          <w:sz w:val="16"/>
          <w:szCs w:val="16"/>
          <w:shd w:val="clear" w:color="auto" w:fill="FFFFFF"/>
          <w:lang w:val="kk-KZ"/>
        </w:rPr>
      </w:pPr>
    </w:p>
    <w:p w14:paraId="70B85B4C" w14:textId="5FAA9FA8" w:rsidR="00180170" w:rsidRDefault="00CB5403" w:rsidP="00C95FCE">
      <w:pPr>
        <w:spacing w:after="0" w:line="240" w:lineRule="auto"/>
        <w:jc w:val="center"/>
        <w:rPr>
          <w:rFonts w:ascii="Times New Roman" w:hAnsi="Times New Roman" w:cs="Times New Roman"/>
          <w:sz w:val="28"/>
          <w:szCs w:val="28"/>
          <w:lang w:val="kk-KZ"/>
        </w:rPr>
      </w:pPr>
      <w:r w:rsidRPr="00457CE9">
        <w:rPr>
          <w:rFonts w:ascii="Times New Roman" w:hAnsi="Times New Roman" w:cs="Times New Roman"/>
          <w:color w:val="000000"/>
          <w:sz w:val="28"/>
          <w:szCs w:val="28"/>
          <w:shd w:val="clear" w:color="auto" w:fill="FFFFFF"/>
          <w:lang w:val="kk-KZ"/>
        </w:rPr>
        <w:t xml:space="preserve">Сурет </w:t>
      </w:r>
      <w:r w:rsidR="00132979">
        <w:rPr>
          <w:rFonts w:ascii="Times New Roman" w:hAnsi="Times New Roman" w:cs="Times New Roman"/>
          <w:color w:val="000000"/>
          <w:sz w:val="28"/>
          <w:szCs w:val="28"/>
          <w:shd w:val="clear" w:color="auto" w:fill="FFFFFF"/>
          <w:lang w:val="kk-KZ"/>
        </w:rPr>
        <w:t>7</w:t>
      </w:r>
      <w:r w:rsidRPr="00457CE9">
        <w:rPr>
          <w:rFonts w:ascii="Times New Roman" w:hAnsi="Times New Roman" w:cs="Times New Roman"/>
          <w:color w:val="000000"/>
          <w:sz w:val="28"/>
          <w:szCs w:val="28"/>
          <w:shd w:val="clear" w:color="auto" w:fill="FFFFFF"/>
          <w:lang w:val="kk-KZ"/>
        </w:rPr>
        <w:t xml:space="preserve"> </w:t>
      </w:r>
      <w:r w:rsidR="00C95FCE">
        <w:rPr>
          <w:rFonts w:ascii="Times New Roman" w:hAnsi="Times New Roman" w:cs="Times New Roman"/>
          <w:color w:val="000000"/>
          <w:sz w:val="28"/>
          <w:szCs w:val="28"/>
          <w:shd w:val="clear" w:color="auto" w:fill="FFFFFF"/>
          <w:lang w:val="kk-KZ"/>
        </w:rPr>
        <w:t xml:space="preserve">– </w:t>
      </w:r>
      <w:r w:rsidRPr="00457CE9">
        <w:rPr>
          <w:rFonts w:ascii="Times New Roman" w:hAnsi="Times New Roman" w:cs="Times New Roman"/>
          <w:sz w:val="28"/>
          <w:szCs w:val="28"/>
          <w:lang w:val="kk-KZ"/>
        </w:rPr>
        <w:t>2016-2022 жылдарға Ауыл шаруашылығы министрлігінің 212 бюджеттік бағдарламалары бойынша жоспарлы және нақты жұмсалған бюджет қаражатының құрамы, млн. теңге</w:t>
      </w:r>
    </w:p>
    <w:p w14:paraId="5CDE8E8E" w14:textId="77777777" w:rsidR="00C95FCE" w:rsidRPr="00C95FCE" w:rsidRDefault="00C95FCE" w:rsidP="00C95FCE">
      <w:pPr>
        <w:spacing w:after="0" w:line="240" w:lineRule="auto"/>
        <w:jc w:val="center"/>
        <w:rPr>
          <w:rFonts w:ascii="Times New Roman" w:hAnsi="Times New Roman" w:cs="Times New Roman"/>
          <w:sz w:val="16"/>
          <w:szCs w:val="16"/>
          <w:lang w:val="kk-KZ"/>
        </w:rPr>
      </w:pPr>
    </w:p>
    <w:p w14:paraId="2A410ECF" w14:textId="02A95038" w:rsidR="00CB5403" w:rsidRPr="00457CE9" w:rsidRDefault="00C95FCE" w:rsidP="00457CE9">
      <w:pPr>
        <w:spacing w:after="0" w:line="240" w:lineRule="auto"/>
        <w:ind w:firstLine="567"/>
        <w:jc w:val="both"/>
        <w:rPr>
          <w:rFonts w:ascii="Times New Roman" w:hAnsi="Times New Roman" w:cs="Times New Roman"/>
          <w:sz w:val="24"/>
          <w:szCs w:val="24"/>
          <w:lang w:val="kk-KZ"/>
        </w:rPr>
      </w:pPr>
      <w:r w:rsidRPr="00C95FCE">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CB5403" w:rsidRPr="00457CE9">
        <w:rPr>
          <w:rFonts w:ascii="Times New Roman" w:hAnsi="Times New Roman" w:cs="Times New Roman"/>
          <w:sz w:val="24"/>
          <w:szCs w:val="24"/>
          <w:lang w:val="kk-KZ"/>
        </w:rPr>
        <w:t xml:space="preserve"> </w:t>
      </w:r>
      <w:r w:rsidR="0039678E" w:rsidRPr="00457CE9">
        <w:rPr>
          <w:rFonts w:ascii="Times New Roman" w:hAnsi="Times New Roman" w:cs="Times New Roman"/>
          <w:sz w:val="24"/>
          <w:szCs w:val="24"/>
          <w:lang w:val="kk-KZ"/>
        </w:rPr>
        <w:t>[</w:t>
      </w:r>
      <w:r w:rsidR="00D0056B">
        <w:rPr>
          <w:rFonts w:ascii="Times New Roman" w:hAnsi="Times New Roman" w:cs="Times New Roman"/>
          <w:sz w:val="24"/>
          <w:szCs w:val="24"/>
          <w:lang w:val="kk-KZ"/>
        </w:rPr>
        <w:t>8</w:t>
      </w:r>
      <w:r w:rsidR="00943D2A" w:rsidRPr="00716F95">
        <w:rPr>
          <w:rFonts w:ascii="Times New Roman" w:hAnsi="Times New Roman" w:cs="Times New Roman"/>
          <w:sz w:val="24"/>
          <w:szCs w:val="24"/>
          <w:lang w:val="kk-KZ"/>
        </w:rPr>
        <w:t>3</w:t>
      </w:r>
      <w:r w:rsidR="00D0056B">
        <w:rPr>
          <w:rFonts w:ascii="Times New Roman" w:hAnsi="Times New Roman" w:cs="Times New Roman"/>
          <w:sz w:val="24"/>
          <w:szCs w:val="24"/>
          <w:lang w:val="kk-KZ"/>
        </w:rPr>
        <w:t>-</w:t>
      </w:r>
      <w:r w:rsidR="00943D2A" w:rsidRPr="00716F95">
        <w:rPr>
          <w:rFonts w:ascii="Times New Roman" w:hAnsi="Times New Roman" w:cs="Times New Roman"/>
          <w:sz w:val="24"/>
          <w:szCs w:val="24"/>
          <w:lang w:val="kk-KZ"/>
        </w:rPr>
        <w:t>97</w:t>
      </w:r>
      <w:r w:rsidR="0039678E" w:rsidRPr="00457CE9">
        <w:rPr>
          <w:rFonts w:ascii="Times New Roman" w:hAnsi="Times New Roman" w:cs="Times New Roman"/>
          <w:sz w:val="24"/>
          <w:szCs w:val="24"/>
          <w:lang w:val="kk-KZ"/>
        </w:rPr>
        <w:t xml:space="preserve">] </w:t>
      </w:r>
    </w:p>
    <w:p w14:paraId="4C1E7A67" w14:textId="77777777" w:rsidR="001E64ED" w:rsidRDefault="001E64ED" w:rsidP="00C95FCE">
      <w:pPr>
        <w:spacing w:after="0" w:line="240" w:lineRule="auto"/>
        <w:ind w:firstLine="709"/>
        <w:jc w:val="both"/>
        <w:rPr>
          <w:rFonts w:ascii="Times New Roman" w:hAnsi="Times New Roman" w:cs="Times New Roman"/>
          <w:sz w:val="28"/>
          <w:szCs w:val="28"/>
          <w:lang w:val="kk-KZ"/>
        </w:rPr>
      </w:pPr>
    </w:p>
    <w:p w14:paraId="12024F2D" w14:textId="00BF6917" w:rsidR="00617FA0" w:rsidRPr="00457CE9" w:rsidRDefault="00617FA0"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Жалпы шығындардың ішінде «001-Ауыл шаруашылығы және табиғатты пайдалану саласындағы  жоспарлау, реттеу, басқару»  бюджет бағдарламасына 4 пайызы бөлінген. Бұл жерде Ауыл шаруашылығы министрлігінің қызметін ұйымдастыру, яғни, еңбек ақы, еңбек ақыдан аударымдар, қажетті материалдық-техникалық базамен қамтамасыз ету, «Мал шаруашылығын дамыту үшін  және мал шаруашылығы өнiмiн өндіруге, қайта өңдеуге, өткізуге  жағдай жасау» деп аталатын 249-шы бюджет бағдарламасына жалпы бюджет қаражатының 16,8 пайызы жоспарланған. 2016 жылы 152-ші бюджет бағдарламасы бойынша бюджет қаражатын игеруі 60 пайызды құраған, яғни, 751 млн. теңге игерілмей қалған</w:t>
      </w:r>
      <w:r w:rsidR="001807D4" w:rsidRPr="00457CE9">
        <w:rPr>
          <w:rFonts w:ascii="Times New Roman" w:hAnsi="Times New Roman" w:cs="Times New Roman"/>
          <w:sz w:val="28"/>
          <w:szCs w:val="28"/>
          <w:lang w:val="kk-KZ"/>
        </w:rPr>
        <w:t xml:space="preserve"> [</w:t>
      </w:r>
      <w:r w:rsidR="00943D2A" w:rsidRPr="00943D2A">
        <w:rPr>
          <w:rFonts w:ascii="Times New Roman" w:hAnsi="Times New Roman" w:cs="Times New Roman"/>
          <w:sz w:val="28"/>
          <w:szCs w:val="28"/>
          <w:lang w:val="kk-KZ"/>
        </w:rPr>
        <w:t>83</w:t>
      </w:r>
      <w:r w:rsidR="001807D4"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3DFF1DC1" w14:textId="0768A4B6" w:rsidR="00AD6DD1" w:rsidRPr="00457CE9" w:rsidRDefault="00F61641"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2016-2022 жылдар аралығында тұрақты түрде іске асырылып келе жатқан 001</w:t>
      </w:r>
      <w:r w:rsidR="000E36CB" w:rsidRPr="00457CE9">
        <w:rPr>
          <w:rFonts w:ascii="Times New Roman" w:hAnsi="Times New Roman" w:cs="Times New Roman"/>
          <w:sz w:val="28"/>
          <w:szCs w:val="28"/>
          <w:lang w:val="kk-KZ"/>
        </w:rPr>
        <w:t xml:space="preserve"> «Ауыл шаруашылығы және табиғатты пайдалану саласындағы  жоспарлау, реттеу, басқару»</w:t>
      </w:r>
      <w:r w:rsidR="002173D1" w:rsidRPr="00457CE9">
        <w:rPr>
          <w:rFonts w:ascii="Times New Roman" w:hAnsi="Times New Roman" w:cs="Times New Roman"/>
          <w:sz w:val="28"/>
          <w:szCs w:val="28"/>
          <w:lang w:val="kk-KZ"/>
        </w:rPr>
        <w:t xml:space="preserve"> бюджеттік бағдарламасы бюджеттік бағдарлама әкімшілігін ұстауға, еңбек ақы, еңбек ақыдан аударымдар, коммуналдық, көліктік, байланыс, басқа да жұмыстар мен қызметтер сатып алуға, </w:t>
      </w:r>
      <w:r w:rsidR="009E3D09" w:rsidRPr="00457CE9">
        <w:rPr>
          <w:rFonts w:ascii="Times New Roman" w:hAnsi="Times New Roman" w:cs="Times New Roman"/>
          <w:sz w:val="28"/>
          <w:szCs w:val="28"/>
          <w:lang w:val="kk-KZ"/>
        </w:rPr>
        <w:t xml:space="preserve">іс-сапар шығындары, ФАО-ның байланыс және әріптестік бюросын орналастыруға және жалға алуға арналған үй-жайларды тегін беру жөніндегі ҚР Үкіметінің міндеттемелерін орындауға </w:t>
      </w:r>
      <w:r w:rsidR="00CC3357" w:rsidRPr="00457CE9">
        <w:rPr>
          <w:rFonts w:ascii="Times New Roman" w:hAnsi="Times New Roman" w:cs="Times New Roman"/>
          <w:sz w:val="28"/>
          <w:szCs w:val="28"/>
          <w:lang w:val="kk-KZ"/>
        </w:rPr>
        <w:t xml:space="preserve">арналған шығыстарын көздейді. </w:t>
      </w:r>
      <w:r w:rsidRPr="00457CE9">
        <w:rPr>
          <w:rFonts w:ascii="Times New Roman" w:hAnsi="Times New Roman" w:cs="Times New Roman"/>
          <w:sz w:val="28"/>
          <w:szCs w:val="28"/>
          <w:lang w:val="kk-KZ"/>
        </w:rPr>
        <w:t>131</w:t>
      </w:r>
      <w:r w:rsidR="000E36CB" w:rsidRPr="00457CE9">
        <w:rPr>
          <w:rFonts w:ascii="Times New Roman" w:hAnsi="Times New Roman" w:cs="Times New Roman"/>
          <w:sz w:val="28"/>
          <w:szCs w:val="28"/>
          <w:lang w:val="kk-KZ"/>
        </w:rPr>
        <w:t xml:space="preserve"> «Ғылыми және (немесе) ғылыми-техникалық қызмет субъектілерін базалық қаржыландыруды қамтамасыз ету»</w:t>
      </w:r>
      <w:r w:rsidR="00CC3357" w:rsidRPr="00457CE9">
        <w:rPr>
          <w:rFonts w:ascii="Times New Roman" w:hAnsi="Times New Roman" w:cs="Times New Roman"/>
          <w:sz w:val="28"/>
          <w:szCs w:val="28"/>
          <w:lang w:val="kk-KZ"/>
        </w:rPr>
        <w:t xml:space="preserve"> бюджет бағдарламасы 2016-2022 жылдар аралығында 0,22-0,66 пайызды ғана құраған</w:t>
      </w:r>
      <w:r w:rsidR="0039678E" w:rsidRPr="00457CE9">
        <w:rPr>
          <w:rFonts w:ascii="Times New Roman" w:hAnsi="Times New Roman" w:cs="Times New Roman"/>
          <w:sz w:val="28"/>
          <w:szCs w:val="28"/>
          <w:lang w:val="kk-KZ"/>
        </w:rPr>
        <w:t xml:space="preserve"> [</w:t>
      </w:r>
      <w:r w:rsidR="00D0056B">
        <w:rPr>
          <w:rFonts w:ascii="Times New Roman" w:hAnsi="Times New Roman" w:cs="Times New Roman"/>
          <w:sz w:val="28"/>
          <w:szCs w:val="28"/>
          <w:lang w:val="kk-KZ"/>
        </w:rPr>
        <w:t>8</w:t>
      </w:r>
      <w:r w:rsidR="00943D2A" w:rsidRPr="00943D2A">
        <w:rPr>
          <w:rFonts w:ascii="Times New Roman" w:hAnsi="Times New Roman" w:cs="Times New Roman"/>
          <w:sz w:val="28"/>
          <w:szCs w:val="28"/>
          <w:lang w:val="kk-KZ"/>
        </w:rPr>
        <w:t>3</w:t>
      </w:r>
      <w:r w:rsidR="00D0056B">
        <w:rPr>
          <w:rFonts w:ascii="Times New Roman" w:hAnsi="Times New Roman" w:cs="Times New Roman"/>
          <w:sz w:val="28"/>
          <w:szCs w:val="28"/>
          <w:lang w:val="kk-KZ"/>
        </w:rPr>
        <w:t>-</w:t>
      </w:r>
      <w:r w:rsidR="00943D2A" w:rsidRPr="00943D2A">
        <w:rPr>
          <w:rFonts w:ascii="Times New Roman" w:hAnsi="Times New Roman" w:cs="Times New Roman"/>
          <w:sz w:val="28"/>
          <w:szCs w:val="28"/>
          <w:lang w:val="kk-KZ"/>
        </w:rPr>
        <w:t>94</w:t>
      </w:r>
      <w:r w:rsidR="00D87119" w:rsidRPr="00457CE9">
        <w:rPr>
          <w:rFonts w:ascii="Times New Roman" w:hAnsi="Times New Roman" w:cs="Times New Roman"/>
          <w:sz w:val="28"/>
          <w:szCs w:val="28"/>
          <w:lang w:val="kk-KZ"/>
        </w:rPr>
        <w:t>]</w:t>
      </w:r>
      <w:r w:rsidR="00CC3357" w:rsidRPr="00457CE9">
        <w:rPr>
          <w:rFonts w:ascii="Times New Roman" w:hAnsi="Times New Roman" w:cs="Times New Roman"/>
          <w:sz w:val="28"/>
          <w:szCs w:val="28"/>
          <w:lang w:val="kk-KZ"/>
        </w:rPr>
        <w:t xml:space="preserve">. </w:t>
      </w:r>
    </w:p>
    <w:p w14:paraId="58D46A7C" w14:textId="55043B97" w:rsidR="005E4503" w:rsidRPr="00457CE9" w:rsidRDefault="00F61641"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249</w:t>
      </w:r>
      <w:r w:rsidR="000E36CB" w:rsidRPr="00457CE9">
        <w:rPr>
          <w:rFonts w:ascii="Times New Roman" w:hAnsi="Times New Roman" w:cs="Times New Roman"/>
          <w:sz w:val="28"/>
          <w:szCs w:val="28"/>
          <w:lang w:val="kk-KZ"/>
        </w:rPr>
        <w:t xml:space="preserve"> «Мал шаруашылығын дамыту үшін және мал шаруашылығы өнiмiн өндіруге, қайта өңдеуге, өткізуге жағдай жасау»</w:t>
      </w:r>
      <w:r w:rsidR="00CC3357" w:rsidRPr="00457CE9">
        <w:rPr>
          <w:rFonts w:ascii="Times New Roman" w:hAnsi="Times New Roman" w:cs="Times New Roman"/>
          <w:sz w:val="28"/>
          <w:szCs w:val="28"/>
          <w:lang w:val="kk-KZ"/>
        </w:rPr>
        <w:t xml:space="preserve"> бюджет бағдарламасы</w:t>
      </w:r>
      <w:r w:rsidR="00AD6DD1" w:rsidRPr="00457CE9">
        <w:rPr>
          <w:rFonts w:ascii="Times New Roman" w:hAnsi="Times New Roman" w:cs="Times New Roman"/>
          <w:sz w:val="28"/>
          <w:szCs w:val="28"/>
          <w:lang w:val="kk-KZ"/>
        </w:rPr>
        <w:t xml:space="preserve"> бойынша негізгі шығыстар жануарлар ауруларын диагностикалауға</w:t>
      </w:r>
      <w:r w:rsidR="00922A5A" w:rsidRPr="00457CE9">
        <w:rPr>
          <w:rFonts w:ascii="Times New Roman" w:hAnsi="Times New Roman" w:cs="Times New Roman"/>
          <w:sz w:val="28"/>
          <w:szCs w:val="28"/>
          <w:lang w:val="kk-KZ"/>
        </w:rPr>
        <w:t>, эпизоотияға қарсы іс-шараларға, мониторингке, рефер</w:t>
      </w:r>
      <w:r w:rsidR="00ED0687">
        <w:rPr>
          <w:rFonts w:ascii="Times New Roman" w:hAnsi="Times New Roman" w:cs="Times New Roman"/>
          <w:sz w:val="28"/>
          <w:szCs w:val="28"/>
          <w:lang w:val="kk-KZ"/>
        </w:rPr>
        <w:t>е</w:t>
      </w:r>
      <w:r w:rsidR="00922A5A" w:rsidRPr="00457CE9">
        <w:rPr>
          <w:rFonts w:ascii="Times New Roman" w:hAnsi="Times New Roman" w:cs="Times New Roman"/>
          <w:sz w:val="28"/>
          <w:szCs w:val="28"/>
          <w:lang w:val="kk-KZ"/>
        </w:rPr>
        <w:t>нцияға, ветеринариядағы зертханалық диагностикаға, мемлекеттік мониторинг жүргізуге, тамақ қауіпсіздігі саласындағы референттерге, сондай-ақ мал шаруашылығын субсидиялауға бағытталған. 249 бюджет бағдарламасы бойынша</w:t>
      </w:r>
      <w:r w:rsidR="00CC3357" w:rsidRPr="00457CE9">
        <w:rPr>
          <w:rFonts w:ascii="Times New Roman" w:hAnsi="Times New Roman" w:cs="Times New Roman"/>
          <w:sz w:val="28"/>
          <w:szCs w:val="28"/>
          <w:lang w:val="kk-KZ"/>
        </w:rPr>
        <w:t xml:space="preserve"> 2016 жылдан 16,8%-дан</w:t>
      </w:r>
      <w:r w:rsidR="00D87119" w:rsidRPr="00457CE9">
        <w:rPr>
          <w:rFonts w:ascii="Times New Roman" w:hAnsi="Times New Roman" w:cs="Times New Roman"/>
          <w:sz w:val="28"/>
          <w:szCs w:val="28"/>
          <w:lang w:val="kk-KZ"/>
        </w:rPr>
        <w:t xml:space="preserve"> [</w:t>
      </w:r>
      <w:r w:rsidR="00D0056B">
        <w:rPr>
          <w:rFonts w:ascii="Times New Roman" w:hAnsi="Times New Roman" w:cs="Times New Roman"/>
          <w:sz w:val="28"/>
          <w:szCs w:val="28"/>
          <w:lang w:val="kk-KZ"/>
        </w:rPr>
        <w:t>78</w:t>
      </w:r>
      <w:r w:rsidR="00D87119" w:rsidRPr="00457CE9">
        <w:rPr>
          <w:rFonts w:ascii="Times New Roman" w:hAnsi="Times New Roman" w:cs="Times New Roman"/>
          <w:sz w:val="28"/>
          <w:szCs w:val="28"/>
          <w:lang w:val="kk-KZ"/>
        </w:rPr>
        <w:t>]</w:t>
      </w:r>
      <w:r w:rsidR="00CC3357" w:rsidRPr="00457CE9">
        <w:rPr>
          <w:rFonts w:ascii="Times New Roman" w:hAnsi="Times New Roman" w:cs="Times New Roman"/>
          <w:sz w:val="28"/>
          <w:szCs w:val="28"/>
          <w:lang w:val="kk-KZ"/>
        </w:rPr>
        <w:t xml:space="preserve"> 2019 жылы 4,56%-ға</w:t>
      </w:r>
      <w:r w:rsidR="00D87119" w:rsidRPr="00457CE9">
        <w:rPr>
          <w:rFonts w:ascii="Times New Roman" w:hAnsi="Times New Roman" w:cs="Times New Roman"/>
          <w:sz w:val="28"/>
          <w:szCs w:val="28"/>
          <w:lang w:val="kk-KZ"/>
        </w:rPr>
        <w:t xml:space="preserve"> </w:t>
      </w:r>
      <w:r w:rsidR="00CC3357" w:rsidRPr="00457CE9">
        <w:rPr>
          <w:rFonts w:ascii="Times New Roman" w:hAnsi="Times New Roman" w:cs="Times New Roman"/>
          <w:sz w:val="28"/>
          <w:szCs w:val="28"/>
          <w:lang w:val="kk-KZ"/>
        </w:rPr>
        <w:t>дейін төмендесе</w:t>
      </w:r>
      <w:r w:rsidRPr="00457CE9">
        <w:rPr>
          <w:rFonts w:ascii="Times New Roman" w:hAnsi="Times New Roman" w:cs="Times New Roman"/>
          <w:sz w:val="28"/>
          <w:szCs w:val="28"/>
          <w:lang w:val="kk-KZ"/>
        </w:rPr>
        <w:t>,</w:t>
      </w:r>
      <w:r w:rsidR="00CC3357" w:rsidRPr="00457CE9">
        <w:rPr>
          <w:rFonts w:ascii="Times New Roman" w:hAnsi="Times New Roman" w:cs="Times New Roman"/>
          <w:sz w:val="28"/>
          <w:szCs w:val="28"/>
          <w:lang w:val="kk-KZ"/>
        </w:rPr>
        <w:t xml:space="preserve"> 2020 жылы 8,46%-дан, 2021 жылы 5,74%-ға дейін төмендеп, 2022 жылы 8,66%-ға дейін өскен.</w:t>
      </w:r>
      <w:r w:rsidRPr="00457CE9">
        <w:rPr>
          <w:rFonts w:ascii="Times New Roman" w:hAnsi="Times New Roman" w:cs="Times New Roman"/>
          <w:sz w:val="28"/>
          <w:szCs w:val="28"/>
          <w:lang w:val="kk-KZ"/>
        </w:rPr>
        <w:t xml:space="preserve"> </w:t>
      </w:r>
      <w:r w:rsidR="00922A5A" w:rsidRPr="00457CE9">
        <w:rPr>
          <w:rFonts w:ascii="Times New Roman" w:hAnsi="Times New Roman" w:cs="Times New Roman"/>
          <w:sz w:val="28"/>
          <w:szCs w:val="28"/>
          <w:lang w:val="kk-KZ"/>
        </w:rPr>
        <w:t xml:space="preserve">Бағдарламаның тиімділігінің көрсеткіштері жануарлардың аса қауіпті жұқпалы ауруларының туындауынан экономикалық залалға жол бермеу және республикадағы эпизоотиялық жағдайдың нашарлауына жол бермеу болып табылады. Нысаналы индикаторға жету үшін ҚР АШМ бұйрығымен бекітілген 69 түрден аса қауіпті аурулардың 28 түрі бойынша 69 млн. диагностикалық зерттеулер жүргізілген. </w:t>
      </w:r>
      <w:r w:rsidR="005E4503" w:rsidRPr="00457CE9">
        <w:rPr>
          <w:rFonts w:ascii="Times New Roman" w:hAnsi="Times New Roman" w:cs="Times New Roman"/>
          <w:sz w:val="28"/>
          <w:szCs w:val="28"/>
          <w:lang w:val="kk-KZ"/>
        </w:rPr>
        <w:t>Бағдарламаның экономикалық тиімділігін анықтайтын көрсеткіші «жануарлардың ластану пайызы» (зерттеуге ұшыраған жануарларға қатысты оң жауап беретін жануарлардың үлесі) болып табылады, оның максималды шегі 0,2%-дан аспайды</w:t>
      </w:r>
      <w:r w:rsidR="00D87119" w:rsidRPr="00457CE9">
        <w:rPr>
          <w:rFonts w:ascii="Times New Roman" w:hAnsi="Times New Roman" w:cs="Times New Roman"/>
          <w:sz w:val="28"/>
          <w:szCs w:val="28"/>
          <w:lang w:val="kk-KZ"/>
        </w:rPr>
        <w:t xml:space="preserve"> [</w:t>
      </w:r>
      <w:r w:rsidR="00943D2A" w:rsidRPr="00943D2A">
        <w:rPr>
          <w:rFonts w:ascii="Times New Roman" w:hAnsi="Times New Roman" w:cs="Times New Roman"/>
          <w:sz w:val="28"/>
          <w:szCs w:val="28"/>
          <w:lang w:val="kk-KZ"/>
        </w:rPr>
        <w:t>83</w:t>
      </w:r>
      <w:r w:rsidR="00D0056B">
        <w:rPr>
          <w:rFonts w:ascii="Times New Roman" w:hAnsi="Times New Roman" w:cs="Times New Roman"/>
          <w:sz w:val="28"/>
          <w:szCs w:val="28"/>
          <w:lang w:val="kk-KZ"/>
        </w:rPr>
        <w:t>-</w:t>
      </w:r>
      <w:r w:rsidR="00943D2A" w:rsidRPr="00943D2A">
        <w:rPr>
          <w:rFonts w:ascii="Times New Roman" w:hAnsi="Times New Roman" w:cs="Times New Roman"/>
          <w:sz w:val="28"/>
          <w:szCs w:val="28"/>
          <w:lang w:val="kk-KZ"/>
        </w:rPr>
        <w:t>94</w:t>
      </w:r>
      <w:r w:rsidR="00D87119" w:rsidRPr="00457CE9">
        <w:rPr>
          <w:rFonts w:ascii="Times New Roman" w:hAnsi="Times New Roman" w:cs="Times New Roman"/>
          <w:sz w:val="28"/>
          <w:szCs w:val="28"/>
          <w:lang w:val="kk-KZ"/>
        </w:rPr>
        <w:t>]</w:t>
      </w:r>
      <w:r w:rsidR="005E4503" w:rsidRPr="00457CE9">
        <w:rPr>
          <w:rFonts w:ascii="Times New Roman" w:hAnsi="Times New Roman" w:cs="Times New Roman"/>
          <w:sz w:val="28"/>
          <w:szCs w:val="28"/>
          <w:lang w:val="kk-KZ"/>
        </w:rPr>
        <w:t xml:space="preserve">. </w:t>
      </w:r>
    </w:p>
    <w:p w14:paraId="3C1EFA5C" w14:textId="2C92B01C" w:rsidR="005E4503" w:rsidRPr="00457CE9" w:rsidRDefault="005E4503"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2021 жылдың қорытындысы бойынша 32919,3 бас</w:t>
      </w:r>
      <w:r w:rsidR="00C84BAE" w:rsidRPr="00457CE9">
        <w:rPr>
          <w:rFonts w:ascii="Times New Roman" w:hAnsi="Times New Roman" w:cs="Times New Roman"/>
          <w:sz w:val="28"/>
          <w:szCs w:val="28"/>
          <w:lang w:val="kk-KZ"/>
        </w:rPr>
        <w:t xml:space="preserve"> малға</w:t>
      </w:r>
      <w:r w:rsidRPr="00457CE9">
        <w:rPr>
          <w:rFonts w:ascii="Times New Roman" w:hAnsi="Times New Roman" w:cs="Times New Roman"/>
          <w:sz w:val="28"/>
          <w:szCs w:val="28"/>
          <w:lang w:val="kk-KZ"/>
        </w:rPr>
        <w:t xml:space="preserve"> зерттеу жүргізіл</w:t>
      </w:r>
      <w:r w:rsidR="00EF03CE" w:rsidRPr="00457CE9">
        <w:rPr>
          <w:rFonts w:ascii="Times New Roman" w:hAnsi="Times New Roman" w:cs="Times New Roman"/>
          <w:sz w:val="28"/>
          <w:szCs w:val="28"/>
          <w:lang w:val="kk-KZ"/>
        </w:rPr>
        <w:t>ген</w:t>
      </w:r>
      <w:r w:rsidRPr="00457CE9">
        <w:rPr>
          <w:rFonts w:ascii="Times New Roman" w:hAnsi="Times New Roman" w:cs="Times New Roman"/>
          <w:sz w:val="28"/>
          <w:szCs w:val="28"/>
          <w:lang w:val="kk-KZ"/>
        </w:rPr>
        <w:t>, оның ішінде оң жауап беретін 37,7 мың бас. Осылайша, инфекцияның таралуы 0,11%-ды құрады, бұл өз кезегінде елдегі тұрақты эпизоотиялық жағдайды көрсетеді</w:t>
      </w:r>
      <w:r w:rsidR="00D87119" w:rsidRPr="00457CE9">
        <w:rPr>
          <w:rFonts w:ascii="Times New Roman" w:hAnsi="Times New Roman" w:cs="Times New Roman"/>
          <w:sz w:val="28"/>
          <w:szCs w:val="28"/>
          <w:lang w:val="kk-KZ"/>
        </w:rPr>
        <w:t xml:space="preserve"> [</w:t>
      </w:r>
      <w:r w:rsidR="00943D2A" w:rsidRPr="00943D2A">
        <w:rPr>
          <w:rFonts w:ascii="Times New Roman" w:hAnsi="Times New Roman" w:cs="Times New Roman"/>
          <w:sz w:val="28"/>
          <w:szCs w:val="28"/>
          <w:lang w:val="kk-KZ"/>
        </w:rPr>
        <w:t>94</w:t>
      </w:r>
      <w:r w:rsidR="00D87119"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09B6D246" w14:textId="61FD0DC1" w:rsidR="00922A5A" w:rsidRPr="00457CE9" w:rsidRDefault="005E4503"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Эпизоотияға қарсы іс-шараларды өткізу елдегі эпизоотиялық жағдайдың тұрақтылығын сақтаудың негізі болып табылады. Бұл тұрақтылық жануарлардың аса қауіпті ауруларының, оның ішінде адамдарға ортақ аурулардың таралуын азайтуға мүмкіндік береді, сондай-ақ елдің тірі жануарлар мен мал шаруашылығы өнімдерінің экспортын дамытудағы бәсекеге қабілеттілігіне әсер етеді. Аталған іс-шараларды іске асырудан экономикалық, әлеуметтік және экологиялық әсер күтілетіні белгіленген.</w:t>
      </w:r>
      <w:r w:rsidR="00922A5A" w:rsidRPr="00457CE9">
        <w:rPr>
          <w:rFonts w:ascii="Times New Roman" w:hAnsi="Times New Roman" w:cs="Times New Roman"/>
          <w:sz w:val="28"/>
          <w:szCs w:val="28"/>
          <w:lang w:val="kk-KZ"/>
        </w:rPr>
        <w:t xml:space="preserve">  </w:t>
      </w:r>
    </w:p>
    <w:p w14:paraId="1D192BA4" w14:textId="2B741945" w:rsidR="00F77BA6" w:rsidRPr="00457CE9" w:rsidRDefault="00F77BA6"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262 «Агроөнеркәсіптік кешен субъектілерін қолдау жөніндегі іс - шараларды жүргізу үшін «Аграрлық </w:t>
      </w:r>
      <w:r w:rsidR="000D577B">
        <w:rPr>
          <w:rFonts w:ascii="Times New Roman" w:hAnsi="Times New Roman" w:cs="Times New Roman"/>
          <w:sz w:val="28"/>
          <w:szCs w:val="28"/>
          <w:lang w:val="kk-KZ"/>
        </w:rPr>
        <w:t>несиел</w:t>
      </w:r>
      <w:r w:rsidRPr="00457CE9">
        <w:rPr>
          <w:rFonts w:ascii="Times New Roman" w:hAnsi="Times New Roman" w:cs="Times New Roman"/>
          <w:sz w:val="28"/>
          <w:szCs w:val="28"/>
          <w:lang w:val="kk-KZ"/>
        </w:rPr>
        <w:t xml:space="preserve">ік корпорация» АҚ-на несие беру» бюджет бағдарламасы </w:t>
      </w:r>
      <w:r w:rsidR="008660F4" w:rsidRPr="00457CE9">
        <w:rPr>
          <w:rFonts w:ascii="Times New Roman" w:hAnsi="Times New Roman" w:cs="Times New Roman"/>
          <w:sz w:val="28"/>
          <w:szCs w:val="28"/>
          <w:lang w:val="kk-KZ"/>
        </w:rPr>
        <w:t xml:space="preserve">2016 жылы 023 «Агроөнеркәсіптік кешен субъектілерін қолдау жөніндегі іс-шараларды жүргізу үшін «ҚазАгро» ұлттық басқарушы холдингі» АҚ-на несие беру» бюджет бағдарламасының жалғасы деуге болады. Бюджет бағдарламасы </w:t>
      </w:r>
      <w:r w:rsidRPr="00457CE9">
        <w:rPr>
          <w:rFonts w:ascii="Times New Roman" w:hAnsi="Times New Roman" w:cs="Times New Roman"/>
          <w:sz w:val="28"/>
          <w:szCs w:val="28"/>
          <w:lang w:val="kk-KZ"/>
        </w:rPr>
        <w:t xml:space="preserve">кейіннен қаржы ұйымдарын қорландыру және корпорацияның АӨК субъектілеріне тікелей несие беру үшін «Аграрлық </w:t>
      </w:r>
      <w:r w:rsidR="000D577B">
        <w:rPr>
          <w:rFonts w:ascii="Times New Roman" w:hAnsi="Times New Roman" w:cs="Times New Roman"/>
          <w:sz w:val="28"/>
          <w:szCs w:val="28"/>
          <w:lang w:val="kk-KZ"/>
        </w:rPr>
        <w:t>несиел</w:t>
      </w:r>
      <w:r w:rsidRPr="00457CE9">
        <w:rPr>
          <w:rFonts w:ascii="Times New Roman" w:hAnsi="Times New Roman" w:cs="Times New Roman"/>
          <w:sz w:val="28"/>
          <w:szCs w:val="28"/>
          <w:lang w:val="kk-KZ"/>
        </w:rPr>
        <w:t>ік корпорация» АҚ</w:t>
      </w:r>
      <w:r w:rsidR="008660F4" w:rsidRPr="00457CE9">
        <w:rPr>
          <w:rFonts w:ascii="Times New Roman" w:hAnsi="Times New Roman" w:cs="Times New Roman"/>
          <w:sz w:val="28"/>
          <w:szCs w:val="28"/>
          <w:lang w:val="kk-KZ"/>
        </w:rPr>
        <w:t>-на</w:t>
      </w:r>
      <w:r w:rsidRPr="00457CE9">
        <w:rPr>
          <w:rFonts w:ascii="Times New Roman" w:hAnsi="Times New Roman" w:cs="Times New Roman"/>
          <w:sz w:val="28"/>
          <w:szCs w:val="28"/>
          <w:lang w:val="kk-KZ"/>
        </w:rPr>
        <w:t xml:space="preserve"> бюджеттік несие беруге бағытталған. Несиелік қаражаттың нысаналы мақсаты</w:t>
      </w:r>
      <w:r w:rsidR="00D87119" w:rsidRPr="000D577B">
        <w:rPr>
          <w:rFonts w:ascii="Times New Roman" w:hAnsi="Times New Roman" w:cs="Times New Roman"/>
          <w:sz w:val="28"/>
          <w:szCs w:val="28"/>
          <w:lang w:val="kk-KZ"/>
        </w:rPr>
        <w:t xml:space="preserve"> [</w:t>
      </w:r>
      <w:r w:rsidR="00943D2A" w:rsidRPr="000D577B">
        <w:rPr>
          <w:rFonts w:ascii="Times New Roman" w:hAnsi="Times New Roman" w:cs="Times New Roman"/>
          <w:sz w:val="28"/>
          <w:szCs w:val="28"/>
          <w:lang w:val="kk-KZ"/>
        </w:rPr>
        <w:t>83</w:t>
      </w:r>
      <w:r w:rsidR="00D87119" w:rsidRPr="000D577B">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69ABFE07" w14:textId="52B697BB" w:rsidR="00F77BA6" w:rsidRPr="00457CE9" w:rsidRDefault="00F77BA6" w:rsidP="0097172E">
      <w:pPr>
        <w:pStyle w:val="a5"/>
        <w:numPr>
          <w:ilvl w:val="0"/>
          <w:numId w:val="26"/>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АӨК субъектілеріне айналым қаражатын толықтыруға, оның ішінде көктемгі егіс және егін жинау жұмыстарын жүргізуге, сондай-ақ өсімдік шаруашылығы өнімдерін сатып алуды жүзеге асыру жолымен АШТӨ-рін кейіннен қаржыландыру үшін несие беру;</w:t>
      </w:r>
    </w:p>
    <w:p w14:paraId="063D4F61" w14:textId="26C92E0A" w:rsidR="00F77BA6" w:rsidRPr="00457CE9" w:rsidRDefault="00F77BA6" w:rsidP="0097172E">
      <w:pPr>
        <w:pStyle w:val="a5"/>
        <w:widowControl w:val="0"/>
        <w:numPr>
          <w:ilvl w:val="0"/>
          <w:numId w:val="26"/>
        </w:numPr>
        <w:tabs>
          <w:tab w:val="left" w:pos="851"/>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айналым қаражатын толықтыруға, оның ішінде көктемгі егіс және егін жинау жұмыстарын жүргізуге АӨК субъектілерін кейіннен қаржыландыру үшін, сондай-ақ өсімдік шаруашылығы өнімдерін сатып алуды жүзеге асыру жолымен АШТӨ-рін кейіннен қаржыландыру үшін екінші деңгейлі банктер, несиелік серіктестіктер, Халықаралық қаржы ұйымдарын несиелеу</w:t>
      </w:r>
      <w:r w:rsidR="0039678E" w:rsidRPr="00457CE9">
        <w:rPr>
          <w:rFonts w:ascii="Times New Roman" w:hAnsi="Times New Roman"/>
          <w:sz w:val="28"/>
          <w:szCs w:val="28"/>
          <w:lang w:val="kk-KZ"/>
        </w:rPr>
        <w:t xml:space="preserve"> [</w:t>
      </w:r>
      <w:r w:rsidR="00D0056B">
        <w:rPr>
          <w:rFonts w:ascii="Times New Roman" w:hAnsi="Times New Roman"/>
          <w:sz w:val="28"/>
          <w:szCs w:val="28"/>
          <w:lang w:val="kk-KZ"/>
        </w:rPr>
        <w:t>8</w:t>
      </w:r>
      <w:r w:rsidR="00943D2A" w:rsidRPr="00943D2A">
        <w:rPr>
          <w:rFonts w:ascii="Times New Roman" w:hAnsi="Times New Roman"/>
          <w:sz w:val="28"/>
          <w:szCs w:val="28"/>
          <w:lang w:val="kk-KZ"/>
        </w:rPr>
        <w:t>3</w:t>
      </w:r>
      <w:r w:rsidR="00D0056B">
        <w:rPr>
          <w:rFonts w:ascii="Times New Roman" w:hAnsi="Times New Roman"/>
          <w:sz w:val="28"/>
          <w:szCs w:val="28"/>
          <w:lang w:val="kk-KZ"/>
        </w:rPr>
        <w:t>-</w:t>
      </w:r>
      <w:r w:rsidR="00943D2A" w:rsidRPr="00943D2A">
        <w:rPr>
          <w:rFonts w:ascii="Times New Roman" w:hAnsi="Times New Roman"/>
          <w:sz w:val="28"/>
          <w:szCs w:val="28"/>
          <w:lang w:val="kk-KZ"/>
        </w:rPr>
        <w:t>9</w:t>
      </w:r>
      <w:r w:rsidR="00D0056B">
        <w:rPr>
          <w:rFonts w:ascii="Times New Roman" w:hAnsi="Times New Roman"/>
          <w:sz w:val="28"/>
          <w:szCs w:val="28"/>
          <w:lang w:val="kk-KZ"/>
        </w:rPr>
        <w:t>5</w:t>
      </w:r>
      <w:r w:rsidR="0039678E" w:rsidRPr="00457CE9">
        <w:rPr>
          <w:rFonts w:ascii="Times New Roman" w:hAnsi="Times New Roman"/>
          <w:sz w:val="28"/>
          <w:szCs w:val="28"/>
          <w:lang w:val="kk-KZ"/>
        </w:rPr>
        <w:t>]</w:t>
      </w:r>
      <w:r w:rsidRPr="00457CE9">
        <w:rPr>
          <w:rFonts w:ascii="Times New Roman" w:hAnsi="Times New Roman"/>
          <w:sz w:val="28"/>
          <w:szCs w:val="28"/>
          <w:lang w:val="kk-KZ"/>
        </w:rPr>
        <w:t>.</w:t>
      </w:r>
    </w:p>
    <w:p w14:paraId="40E6D87F" w14:textId="0A683B67" w:rsidR="00F61641" w:rsidRDefault="00840F94" w:rsidP="00C95FC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Бағдарламаны іске асырудың экономикалық, әлеуметтік және экологиялық әсері ретінде жаңа жұмыс орындарын құру және әрекет етуші жұмыс орындарын сақтау </w:t>
      </w:r>
      <w:r>
        <w:rPr>
          <w:rFonts w:ascii="Times New Roman" w:hAnsi="Times New Roman" w:cs="Times New Roman"/>
          <w:sz w:val="28"/>
          <w:szCs w:val="28"/>
          <w:lang w:val="kk-KZ"/>
        </w:rPr>
        <w:t xml:space="preserve">деп </w:t>
      </w:r>
      <w:r w:rsidRPr="00457CE9">
        <w:rPr>
          <w:rFonts w:ascii="Times New Roman" w:hAnsi="Times New Roman" w:cs="Times New Roman"/>
          <w:sz w:val="28"/>
          <w:szCs w:val="28"/>
          <w:lang w:val="kk-KZ"/>
        </w:rPr>
        <w:t>белгіленген.</w:t>
      </w:r>
      <w:r>
        <w:rPr>
          <w:rFonts w:ascii="Times New Roman" w:hAnsi="Times New Roman" w:cs="Times New Roman"/>
          <w:sz w:val="28"/>
          <w:szCs w:val="28"/>
          <w:lang w:val="kk-KZ"/>
        </w:rPr>
        <w:t xml:space="preserve"> </w:t>
      </w:r>
      <w:r w:rsidR="00F77BA6" w:rsidRPr="00457CE9">
        <w:rPr>
          <w:rFonts w:ascii="Times New Roman" w:hAnsi="Times New Roman" w:cs="Times New Roman"/>
          <w:sz w:val="28"/>
          <w:szCs w:val="28"/>
          <w:lang w:val="kk-KZ"/>
        </w:rPr>
        <w:t xml:space="preserve">Бағдарламаны іске асыру АӨК субъектілерінің өндіріс көлемін қамтамасыз ету және кеңейту үшін қаржы ресурстарына қолжетімділігін қамтамасыз етеді. </w:t>
      </w:r>
      <w:r w:rsidR="00CC3357" w:rsidRPr="00457CE9">
        <w:rPr>
          <w:rFonts w:ascii="Times New Roman" w:hAnsi="Times New Roman" w:cs="Times New Roman"/>
          <w:sz w:val="28"/>
          <w:szCs w:val="28"/>
          <w:lang w:val="kk-KZ"/>
        </w:rPr>
        <w:t xml:space="preserve">Бюджет бағдарламасы әкімшілігімен 2016-2022 жылдар аралығында үздіксіз жүзеге асырған бюджет бағдарламалары </w:t>
      </w:r>
      <w:r w:rsidR="00F61641" w:rsidRPr="00457CE9">
        <w:rPr>
          <w:rFonts w:ascii="Times New Roman" w:hAnsi="Times New Roman" w:cs="Times New Roman"/>
          <w:sz w:val="28"/>
          <w:szCs w:val="28"/>
          <w:lang w:val="kk-KZ"/>
        </w:rPr>
        <w:t xml:space="preserve">бойынша бюджет қаражатының динамикасы </w:t>
      </w:r>
      <w:r w:rsidR="00132979">
        <w:rPr>
          <w:rFonts w:ascii="Times New Roman" w:hAnsi="Times New Roman" w:cs="Times New Roman"/>
          <w:sz w:val="28"/>
          <w:szCs w:val="28"/>
          <w:lang w:val="kk-KZ"/>
        </w:rPr>
        <w:t>8</w:t>
      </w:r>
      <w:r w:rsidR="00F61641" w:rsidRPr="00457CE9">
        <w:rPr>
          <w:rFonts w:ascii="Times New Roman" w:hAnsi="Times New Roman" w:cs="Times New Roman"/>
          <w:sz w:val="28"/>
          <w:szCs w:val="28"/>
          <w:lang w:val="kk-KZ"/>
        </w:rPr>
        <w:t>-суретте келтірілген.</w:t>
      </w:r>
      <w:r w:rsidR="000E36CB" w:rsidRPr="00457CE9">
        <w:rPr>
          <w:rFonts w:ascii="Times New Roman" w:hAnsi="Times New Roman" w:cs="Times New Roman"/>
          <w:sz w:val="28"/>
          <w:szCs w:val="28"/>
          <w:lang w:val="kk-KZ"/>
        </w:rPr>
        <w:t xml:space="preserve"> </w:t>
      </w:r>
    </w:p>
    <w:p w14:paraId="4770FD80" w14:textId="77777777" w:rsidR="00840F94" w:rsidRDefault="00840F94" w:rsidP="00C95FCE">
      <w:pPr>
        <w:widowControl w:val="0"/>
        <w:spacing w:after="0" w:line="240" w:lineRule="auto"/>
        <w:ind w:firstLine="709"/>
        <w:jc w:val="both"/>
        <w:rPr>
          <w:rFonts w:ascii="Times New Roman" w:hAnsi="Times New Roman" w:cs="Times New Roman"/>
          <w:sz w:val="28"/>
          <w:szCs w:val="28"/>
          <w:lang w:val="kk-KZ"/>
        </w:rPr>
      </w:pPr>
    </w:p>
    <w:p w14:paraId="1AE426E6" w14:textId="25770B21" w:rsidR="00F61641" w:rsidRPr="00457CE9" w:rsidRDefault="009C30EE" w:rsidP="00C95FCE">
      <w:pPr>
        <w:widowControl w:val="0"/>
        <w:spacing w:after="0" w:line="240" w:lineRule="auto"/>
        <w:jc w:val="center"/>
        <w:rPr>
          <w:noProof/>
          <w:lang w:eastAsia="ru-RU"/>
        </w:rPr>
      </w:pPr>
      <w:r w:rsidRPr="00457CE9">
        <w:rPr>
          <w:noProof/>
          <w:lang w:eastAsia="ru-RU"/>
        </w:rPr>
        <w:drawing>
          <wp:inline distT="0" distB="0" distL="0" distR="0" wp14:anchorId="5E9186F7" wp14:editId="0E40F1CB">
            <wp:extent cx="5979381" cy="2608028"/>
            <wp:effectExtent l="0" t="0" r="2540" b="1905"/>
            <wp:docPr id="68" name="Диаграмма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403F87-97EA-9C7F-B87F-DA5B193EA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C5AB80" w14:textId="77777777" w:rsidR="00C95FCE" w:rsidRPr="003D4F30" w:rsidRDefault="00C95FCE" w:rsidP="00457CE9">
      <w:pPr>
        <w:widowControl w:val="0"/>
        <w:spacing w:after="0" w:line="240" w:lineRule="auto"/>
        <w:ind w:firstLine="567"/>
        <w:jc w:val="both"/>
        <w:rPr>
          <w:rFonts w:ascii="Times New Roman" w:hAnsi="Times New Roman" w:cs="Times New Roman"/>
          <w:sz w:val="16"/>
          <w:szCs w:val="16"/>
          <w:shd w:val="clear" w:color="auto" w:fill="FFFFFF"/>
          <w:lang w:val="kk-KZ"/>
        </w:rPr>
      </w:pPr>
    </w:p>
    <w:p w14:paraId="276B3627" w14:textId="4B37C3CB" w:rsidR="00CB5403" w:rsidRPr="003D4F30" w:rsidRDefault="007D775A" w:rsidP="00C95FCE">
      <w:pPr>
        <w:widowControl w:val="0"/>
        <w:spacing w:after="0" w:line="240" w:lineRule="auto"/>
        <w:jc w:val="center"/>
        <w:rPr>
          <w:rFonts w:ascii="Times New Roman" w:hAnsi="Times New Roman" w:cs="Times New Roman"/>
          <w:sz w:val="28"/>
          <w:szCs w:val="28"/>
          <w:lang w:val="kk-KZ"/>
        </w:rPr>
      </w:pPr>
      <w:r w:rsidRPr="003D4F30">
        <w:rPr>
          <w:rFonts w:ascii="Times New Roman" w:hAnsi="Times New Roman" w:cs="Times New Roman"/>
          <w:sz w:val="28"/>
          <w:szCs w:val="28"/>
          <w:shd w:val="clear" w:color="auto" w:fill="FFFFFF"/>
          <w:lang w:val="kk-KZ"/>
        </w:rPr>
        <w:t xml:space="preserve">Сурет </w:t>
      </w:r>
      <w:r w:rsidR="00132979">
        <w:rPr>
          <w:rFonts w:ascii="Times New Roman" w:hAnsi="Times New Roman" w:cs="Times New Roman"/>
          <w:sz w:val="28"/>
          <w:szCs w:val="28"/>
          <w:shd w:val="clear" w:color="auto" w:fill="FFFFFF"/>
          <w:lang w:val="kk-KZ"/>
        </w:rPr>
        <w:t>8</w:t>
      </w:r>
      <w:r w:rsidRPr="003D4F30">
        <w:rPr>
          <w:rFonts w:ascii="Times New Roman" w:hAnsi="Times New Roman" w:cs="Times New Roman"/>
          <w:sz w:val="28"/>
          <w:szCs w:val="28"/>
          <w:shd w:val="clear" w:color="auto" w:fill="FFFFFF"/>
          <w:lang w:val="kk-KZ"/>
        </w:rPr>
        <w:t xml:space="preserve"> </w:t>
      </w:r>
      <w:r w:rsidR="00C95FCE" w:rsidRPr="003D4F30">
        <w:rPr>
          <w:rFonts w:ascii="Times New Roman" w:hAnsi="Times New Roman" w:cs="Times New Roman"/>
          <w:sz w:val="28"/>
          <w:szCs w:val="28"/>
          <w:shd w:val="clear" w:color="auto" w:fill="FFFFFF"/>
          <w:lang w:val="kk-KZ"/>
        </w:rPr>
        <w:t xml:space="preserve">– </w:t>
      </w:r>
      <w:r w:rsidR="00CC3357" w:rsidRPr="003D4F30">
        <w:rPr>
          <w:rFonts w:ascii="Times New Roman" w:hAnsi="Times New Roman" w:cs="Times New Roman"/>
          <w:sz w:val="28"/>
          <w:szCs w:val="28"/>
          <w:lang w:val="kk-KZ"/>
        </w:rPr>
        <w:t>Бюджет бағдарламасы әкімшілігімен 2016-2022 жылдар аралығында үздіксіз жүзеге асырған бюджет бағдарламалары бойынша бюджет қаражатының динамикасы, млн. теңге</w:t>
      </w:r>
    </w:p>
    <w:p w14:paraId="3AF816E8" w14:textId="77777777" w:rsidR="00C95FCE" w:rsidRPr="003D4F30" w:rsidRDefault="00C95FCE" w:rsidP="00457CE9">
      <w:pPr>
        <w:widowControl w:val="0"/>
        <w:spacing w:after="0" w:line="240" w:lineRule="auto"/>
        <w:ind w:firstLine="567"/>
        <w:jc w:val="both"/>
        <w:rPr>
          <w:rFonts w:ascii="Times New Roman" w:hAnsi="Times New Roman" w:cs="Times New Roman"/>
          <w:sz w:val="16"/>
          <w:szCs w:val="16"/>
          <w:lang w:val="kk-KZ"/>
        </w:rPr>
      </w:pPr>
    </w:p>
    <w:p w14:paraId="2E199EE9" w14:textId="282DB08B" w:rsidR="00CC3357" w:rsidRPr="003D4F30" w:rsidRDefault="00C95FCE" w:rsidP="00C95FCE">
      <w:pPr>
        <w:widowControl w:val="0"/>
        <w:spacing w:after="0" w:line="240" w:lineRule="auto"/>
        <w:ind w:firstLine="709"/>
        <w:jc w:val="both"/>
        <w:rPr>
          <w:rFonts w:ascii="Times New Roman" w:hAnsi="Times New Roman" w:cs="Times New Roman"/>
          <w:sz w:val="24"/>
          <w:szCs w:val="24"/>
          <w:shd w:val="clear" w:color="auto" w:fill="FFFFFF"/>
          <w:lang w:val="kk-KZ"/>
        </w:rPr>
      </w:pPr>
      <w:r w:rsidRPr="003D4F30">
        <w:rPr>
          <w:rFonts w:ascii="Times New Roman" w:eastAsia="Calibri" w:hAnsi="Times New Roman" w:cs="Times New Roman"/>
          <w:sz w:val="24"/>
          <w:szCs w:val="24"/>
          <w:lang w:val="kk-KZ"/>
        </w:rPr>
        <w:t>Ескерту –</w:t>
      </w:r>
      <w:r w:rsidRPr="003D4F30">
        <w:rPr>
          <w:rFonts w:ascii="Times New Roman" w:eastAsia="Calibri" w:hAnsi="Times New Roman" w:cs="Times New Roman"/>
          <w:bCs/>
          <w:sz w:val="24"/>
          <w:szCs w:val="24"/>
          <w:lang w:val="kk-KZ"/>
        </w:rPr>
        <w:t xml:space="preserve"> Әдебиет негізінде құралған</w:t>
      </w:r>
      <w:r w:rsidR="00CC3357" w:rsidRPr="003D4F30">
        <w:rPr>
          <w:rFonts w:ascii="Times New Roman" w:hAnsi="Times New Roman" w:cs="Times New Roman"/>
          <w:sz w:val="24"/>
          <w:szCs w:val="24"/>
          <w:lang w:val="kk-KZ"/>
        </w:rPr>
        <w:t xml:space="preserve"> </w:t>
      </w:r>
      <w:r w:rsidR="0039678E" w:rsidRPr="003D4F30">
        <w:rPr>
          <w:rFonts w:ascii="Times New Roman" w:hAnsi="Times New Roman" w:cs="Times New Roman"/>
          <w:sz w:val="24"/>
          <w:szCs w:val="24"/>
          <w:lang w:val="kk-KZ"/>
        </w:rPr>
        <w:t>[</w:t>
      </w:r>
      <w:r w:rsidR="00D0056B" w:rsidRPr="003D4F30">
        <w:rPr>
          <w:rFonts w:ascii="Times New Roman" w:hAnsi="Times New Roman" w:cs="Times New Roman"/>
          <w:sz w:val="24"/>
          <w:szCs w:val="24"/>
          <w:lang w:val="kk-KZ"/>
        </w:rPr>
        <w:t>8</w:t>
      </w:r>
      <w:r w:rsidR="00943D2A" w:rsidRPr="00716F95">
        <w:rPr>
          <w:rFonts w:ascii="Times New Roman" w:hAnsi="Times New Roman" w:cs="Times New Roman"/>
          <w:sz w:val="24"/>
          <w:szCs w:val="24"/>
          <w:lang w:val="kk-KZ"/>
        </w:rPr>
        <w:t>3</w:t>
      </w:r>
      <w:r w:rsidR="0039678E" w:rsidRPr="003D4F30">
        <w:rPr>
          <w:rFonts w:ascii="Times New Roman" w:hAnsi="Times New Roman" w:cs="Times New Roman"/>
          <w:sz w:val="24"/>
          <w:szCs w:val="24"/>
          <w:lang w:val="kk-KZ"/>
        </w:rPr>
        <w:t>-</w:t>
      </w:r>
      <w:r w:rsidR="00943D2A" w:rsidRPr="00716F95">
        <w:rPr>
          <w:rFonts w:ascii="Times New Roman" w:hAnsi="Times New Roman" w:cs="Times New Roman"/>
          <w:sz w:val="24"/>
          <w:szCs w:val="24"/>
          <w:lang w:val="kk-KZ"/>
        </w:rPr>
        <w:t>97</w:t>
      </w:r>
      <w:r w:rsidR="0039678E" w:rsidRPr="003D4F30">
        <w:rPr>
          <w:rFonts w:ascii="Times New Roman" w:hAnsi="Times New Roman" w:cs="Times New Roman"/>
          <w:sz w:val="24"/>
          <w:szCs w:val="24"/>
          <w:lang w:val="kk-KZ"/>
        </w:rPr>
        <w:t xml:space="preserve">] </w:t>
      </w:r>
    </w:p>
    <w:p w14:paraId="459ED6E7" w14:textId="77777777" w:rsidR="00D0056B" w:rsidRDefault="00D0056B" w:rsidP="001E64ED">
      <w:pPr>
        <w:widowControl w:val="0"/>
        <w:spacing w:after="0" w:line="240" w:lineRule="auto"/>
        <w:ind w:firstLine="709"/>
        <w:jc w:val="both"/>
        <w:rPr>
          <w:rFonts w:ascii="Times New Roman" w:hAnsi="Times New Roman" w:cs="Times New Roman"/>
          <w:sz w:val="28"/>
          <w:szCs w:val="28"/>
          <w:lang w:val="kk-KZ"/>
        </w:rPr>
      </w:pPr>
    </w:p>
    <w:p w14:paraId="48121970" w14:textId="2CE6160F" w:rsidR="001E64ED" w:rsidRPr="00457CE9" w:rsidRDefault="00132979" w:rsidP="001E64ED">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1E64ED" w:rsidRPr="00457CE9">
        <w:rPr>
          <w:rFonts w:ascii="Times New Roman" w:hAnsi="Times New Roman" w:cs="Times New Roman"/>
          <w:sz w:val="28"/>
          <w:szCs w:val="28"/>
          <w:lang w:val="kk-KZ"/>
        </w:rPr>
        <w:t>-суреттен 250 «Қаржылық көрсетілетін қызметтердің қолжетімділігін арттыру» бюджет бағдарламасы шығындардың ең үлкен үлес салмағына ие</w:t>
      </w:r>
      <w:r w:rsidR="00054523">
        <w:rPr>
          <w:rFonts w:ascii="Times New Roman" w:hAnsi="Times New Roman" w:cs="Times New Roman"/>
          <w:sz w:val="28"/>
          <w:szCs w:val="28"/>
          <w:lang w:val="kk-KZ"/>
        </w:rPr>
        <w:t xml:space="preserve"> екендігін көруге болады</w:t>
      </w:r>
      <w:r w:rsidR="001E64ED" w:rsidRPr="00457CE9">
        <w:rPr>
          <w:rFonts w:ascii="Times New Roman" w:hAnsi="Times New Roman" w:cs="Times New Roman"/>
          <w:sz w:val="28"/>
          <w:szCs w:val="28"/>
          <w:lang w:val="kk-KZ"/>
        </w:rPr>
        <w:t>, 2016 жылы 17,7 пайызды құраса, 2017 жылы 30,5 пайызға дейін өскен [</w:t>
      </w:r>
      <w:r w:rsidR="00D0056B">
        <w:rPr>
          <w:rFonts w:ascii="Times New Roman" w:hAnsi="Times New Roman" w:cs="Times New Roman"/>
          <w:sz w:val="28"/>
          <w:szCs w:val="28"/>
          <w:lang w:val="kk-KZ"/>
        </w:rPr>
        <w:t>79</w:t>
      </w:r>
      <w:r w:rsidR="001E64ED" w:rsidRPr="00457CE9">
        <w:rPr>
          <w:rFonts w:ascii="Times New Roman" w:hAnsi="Times New Roman" w:cs="Times New Roman"/>
          <w:sz w:val="28"/>
          <w:szCs w:val="28"/>
          <w:lang w:val="kk-KZ"/>
        </w:rPr>
        <w:t xml:space="preserve">]. 2018 жылы 18,9 пайызға дейін төмендеп 2021 жылы 47,2 пайызға дейін артқан, яғни бюджет қаражатын АӨК дамытуға жұмсау қаржылық қызмет қолжетімділігін арттыруға, соның ішінде АӨК субъектілерін қаржылық сауықтыру жөніндегі бағыт шеңберінде </w:t>
      </w:r>
      <w:r w:rsidR="000D577B">
        <w:rPr>
          <w:rFonts w:ascii="Times New Roman" w:hAnsi="Times New Roman" w:cs="Times New Roman"/>
          <w:sz w:val="28"/>
          <w:szCs w:val="28"/>
          <w:lang w:val="kk-KZ"/>
        </w:rPr>
        <w:t>несиел</w:t>
      </w:r>
      <w:r w:rsidR="001E64ED" w:rsidRPr="00457CE9">
        <w:rPr>
          <w:rFonts w:ascii="Times New Roman" w:hAnsi="Times New Roman" w:cs="Times New Roman"/>
          <w:sz w:val="28"/>
          <w:szCs w:val="28"/>
          <w:lang w:val="kk-KZ"/>
        </w:rPr>
        <w:t>ік және лизингтік міндеттемелер бойынша пайыздық мөлшерлемені субсидиялау,</w:t>
      </w:r>
      <w:r w:rsidR="001E64ED" w:rsidRPr="00457CE9">
        <w:rPr>
          <w:lang w:val="kk-KZ"/>
        </w:rPr>
        <w:t xml:space="preserve"> </w:t>
      </w:r>
      <w:r w:rsidR="001E64ED" w:rsidRPr="00457CE9">
        <w:rPr>
          <w:rFonts w:ascii="Times New Roman" w:hAnsi="Times New Roman" w:cs="Times New Roman"/>
          <w:sz w:val="28"/>
          <w:szCs w:val="28"/>
          <w:lang w:val="kk-KZ"/>
        </w:rPr>
        <w:t>инвестициялық салымдар кезінде АӨК субъектісі шеккен шығыстардың бір бөлігін өтеуге берілетін ағымдағы нысаналы трансферттер, АӨК субъектілерінің қарыздарын кепілдендіру және сақтандыру шеңберінде субсидиялауға берілетін ағымдағы нысаналы трансферттер, АӨК саласындағы дайындаушы ұйымдарға есептелген ҚҚС шегінде бюджетке төленген ҚҚС сомасын субсидиялауға берілетін ағымдағы нысаналы трансферттері деп аталатын кіші бағдарламалары бойынша бағытталған. 2016-2022 жылдар аралығында бюджет қаражатын 250 бағдарламасы бойынша игеру 100 пайызды құраған [</w:t>
      </w:r>
      <w:r w:rsidR="00D0056B">
        <w:rPr>
          <w:rFonts w:ascii="Times New Roman" w:hAnsi="Times New Roman" w:cs="Times New Roman"/>
          <w:sz w:val="28"/>
          <w:szCs w:val="28"/>
          <w:lang w:val="kk-KZ"/>
        </w:rPr>
        <w:t>8</w:t>
      </w:r>
      <w:r w:rsidR="00F53193" w:rsidRPr="00F53193">
        <w:rPr>
          <w:rFonts w:ascii="Times New Roman" w:hAnsi="Times New Roman" w:cs="Times New Roman"/>
          <w:sz w:val="28"/>
          <w:szCs w:val="28"/>
          <w:lang w:val="kk-KZ"/>
        </w:rPr>
        <w:t>3</w:t>
      </w:r>
      <w:r w:rsidR="001E64ED" w:rsidRPr="00457CE9">
        <w:rPr>
          <w:rFonts w:ascii="Times New Roman" w:hAnsi="Times New Roman" w:cs="Times New Roman"/>
          <w:sz w:val="28"/>
          <w:szCs w:val="28"/>
          <w:lang w:val="kk-KZ"/>
        </w:rPr>
        <w:t>-</w:t>
      </w:r>
      <w:r w:rsidR="00F53193" w:rsidRPr="00F53193">
        <w:rPr>
          <w:rFonts w:ascii="Times New Roman" w:hAnsi="Times New Roman" w:cs="Times New Roman"/>
          <w:sz w:val="28"/>
          <w:szCs w:val="28"/>
          <w:lang w:val="kk-KZ"/>
        </w:rPr>
        <w:t>97</w:t>
      </w:r>
      <w:r w:rsidR="001E64ED" w:rsidRPr="00457CE9">
        <w:rPr>
          <w:rFonts w:ascii="Times New Roman" w:hAnsi="Times New Roman" w:cs="Times New Roman"/>
          <w:sz w:val="28"/>
          <w:szCs w:val="28"/>
          <w:lang w:val="kk-KZ"/>
        </w:rPr>
        <w:t xml:space="preserve">]. </w:t>
      </w:r>
    </w:p>
    <w:p w14:paraId="1EC6E040" w14:textId="60D6E644" w:rsidR="007D47F6" w:rsidRPr="00457CE9" w:rsidRDefault="00CC3357"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255 «Өсімдік шаруашылығы өнiмiн өндіруді, қайта өңдеуді, өткізуді дамыту үшін жағдай жасау»</w:t>
      </w:r>
      <w:r w:rsidR="006B4139" w:rsidRPr="00457CE9">
        <w:rPr>
          <w:rFonts w:ascii="Times New Roman" w:hAnsi="Times New Roman" w:cs="Times New Roman"/>
          <w:sz w:val="28"/>
          <w:szCs w:val="28"/>
          <w:lang w:val="kk-KZ"/>
        </w:rPr>
        <w:t xml:space="preserve"> бюджет бағдарламасы </w:t>
      </w:r>
      <w:r w:rsidR="00656B24" w:rsidRPr="00457CE9">
        <w:rPr>
          <w:rFonts w:ascii="Times New Roman" w:hAnsi="Times New Roman" w:cs="Times New Roman"/>
          <w:sz w:val="28"/>
          <w:szCs w:val="28"/>
          <w:lang w:val="kk-KZ"/>
        </w:rPr>
        <w:t>ауыл шаруашылығы дақылдарын сорттық сынау, топырақты агрохимиялық зерттеу жөніндегі іс-шараларды жүргізуге, қолайлы фитосанитарлық жағдайды қамтамасыз ету жөніндегі іс</w:t>
      </w:r>
      <w:r w:rsidR="00054523">
        <w:rPr>
          <w:rFonts w:ascii="Times New Roman" w:hAnsi="Times New Roman" w:cs="Times New Roman"/>
          <w:sz w:val="28"/>
          <w:szCs w:val="28"/>
          <w:lang w:val="kk-KZ"/>
        </w:rPr>
        <w:t>-</w:t>
      </w:r>
      <w:r w:rsidR="00656B24" w:rsidRPr="00457CE9">
        <w:rPr>
          <w:rFonts w:ascii="Times New Roman" w:hAnsi="Times New Roman" w:cs="Times New Roman"/>
          <w:sz w:val="28"/>
          <w:szCs w:val="28"/>
          <w:lang w:val="kk-KZ"/>
        </w:rPr>
        <w:t>шараларды жүргізуге, ҚР АШМ АӨК мемлекеттік инспекция комитетінің ведомстволық байланысты мемлекеттік мекемелерін материалдық-техникалық жарақтандыруға және жергілікті атқарушы органдарға ағымдағы нысаналы трансферттер беруге бағытталған. Яғни,</w:t>
      </w:r>
      <w:r w:rsidR="006B4139" w:rsidRPr="00457CE9">
        <w:rPr>
          <w:rFonts w:ascii="Times New Roman" w:hAnsi="Times New Roman" w:cs="Times New Roman"/>
          <w:sz w:val="28"/>
          <w:szCs w:val="28"/>
          <w:lang w:val="kk-KZ"/>
        </w:rPr>
        <w:t xml:space="preserve"> </w:t>
      </w:r>
      <w:r w:rsidR="007D752E" w:rsidRPr="00457CE9">
        <w:rPr>
          <w:rFonts w:ascii="Times New Roman" w:hAnsi="Times New Roman" w:cs="Times New Roman"/>
          <w:sz w:val="28"/>
          <w:szCs w:val="28"/>
          <w:lang w:val="kk-KZ"/>
        </w:rPr>
        <w:t>бюджет қаражаты а</w:t>
      </w:r>
      <w:r w:rsidR="006B4139" w:rsidRPr="00457CE9">
        <w:rPr>
          <w:rFonts w:ascii="Times New Roman" w:hAnsi="Times New Roman" w:cs="Times New Roman"/>
          <w:sz w:val="28"/>
          <w:szCs w:val="28"/>
          <w:lang w:val="kk-KZ"/>
        </w:rPr>
        <w:t>уыл шаруашылы</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да</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ылдарыны</w:t>
      </w:r>
      <w:r w:rsidR="002D3CCD" w:rsidRPr="00457CE9">
        <w:rPr>
          <w:rFonts w:ascii="Times New Roman" w:hAnsi="Times New Roman" w:cs="Times New Roman"/>
          <w:sz w:val="28"/>
          <w:szCs w:val="28"/>
          <w:lang w:val="kk-KZ"/>
        </w:rPr>
        <w:t>ң</w:t>
      </w:r>
      <w:r w:rsidR="006B4139" w:rsidRPr="00457CE9">
        <w:rPr>
          <w:rFonts w:ascii="Times New Roman" w:hAnsi="Times New Roman" w:cs="Times New Roman"/>
          <w:sz w:val="28"/>
          <w:szCs w:val="28"/>
          <w:lang w:val="kk-KZ"/>
        </w:rPr>
        <w:t xml:space="preserve"> сорттарын сына</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тан </w:t>
      </w:r>
      <w:r w:rsidR="002D3CCD"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ткізу ж</w:t>
      </w:r>
      <w:r w:rsidR="002D3CCD"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ніндегі </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ызметтер,</w:t>
      </w:r>
      <w:r w:rsidR="006B4139" w:rsidRPr="00457CE9">
        <w:rPr>
          <w:lang w:val="kk-KZ"/>
        </w:rPr>
        <w:t xml:space="preserve"> </w:t>
      </w:r>
      <w:r w:rsidR="002D3CCD"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сімдік шаруашылы</w:t>
      </w:r>
      <w:r w:rsidR="002D3CCD"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ында</w:t>
      </w:r>
      <w:r w:rsidR="002D3CCD"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 са</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тандыруды </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олдау, </w:t>
      </w:r>
      <w:r w:rsidR="007D752E" w:rsidRPr="00457CE9">
        <w:rPr>
          <w:rFonts w:ascii="Times New Roman" w:hAnsi="Times New Roman" w:cs="Times New Roman"/>
          <w:sz w:val="28"/>
          <w:szCs w:val="28"/>
          <w:lang w:val="kk-KZ"/>
        </w:rPr>
        <w:t>т</w:t>
      </w:r>
      <w:r w:rsidR="006B4139" w:rsidRPr="00457CE9">
        <w:rPr>
          <w:rFonts w:ascii="Times New Roman" w:hAnsi="Times New Roman" w:cs="Times New Roman"/>
          <w:sz w:val="28"/>
          <w:szCs w:val="28"/>
          <w:lang w:val="kk-KZ"/>
        </w:rPr>
        <w:t>опыра</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ты</w:t>
      </w:r>
      <w:r w:rsidR="002D3CCD" w:rsidRPr="00457CE9">
        <w:rPr>
          <w:rFonts w:ascii="Times New Roman" w:hAnsi="Times New Roman" w:cs="Times New Roman"/>
          <w:sz w:val="28"/>
          <w:szCs w:val="28"/>
          <w:lang w:val="kk-KZ"/>
        </w:rPr>
        <w:t>ң</w:t>
      </w:r>
      <w:r w:rsidR="006B4139" w:rsidRPr="00457CE9">
        <w:rPr>
          <w:rFonts w:ascii="Times New Roman" w:hAnsi="Times New Roman" w:cs="Times New Roman"/>
          <w:sz w:val="28"/>
          <w:szCs w:val="28"/>
          <w:lang w:val="kk-KZ"/>
        </w:rPr>
        <w:t xml:space="preserve"> агрохимиялы</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w:t>
      </w:r>
      <w:r w:rsidR="002D3CCD" w:rsidRPr="00457CE9">
        <w:rPr>
          <w:rFonts w:ascii="Times New Roman" w:hAnsi="Times New Roman" w:cs="Times New Roman"/>
          <w:sz w:val="28"/>
          <w:szCs w:val="28"/>
          <w:lang w:val="kk-KZ"/>
        </w:rPr>
        <w:t>құ</w:t>
      </w:r>
      <w:r w:rsidR="006B4139" w:rsidRPr="00457CE9">
        <w:rPr>
          <w:rFonts w:ascii="Times New Roman" w:hAnsi="Times New Roman" w:cs="Times New Roman"/>
          <w:sz w:val="28"/>
          <w:szCs w:val="28"/>
          <w:lang w:val="kk-KZ"/>
        </w:rPr>
        <w:t>рамын ай</w:t>
      </w:r>
      <w:r w:rsidR="002D3CCD"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ындау ж</w:t>
      </w:r>
      <w:r w:rsidR="002D3CCD"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ніндегі </w:t>
      </w:r>
      <w:r w:rsidR="002D3CCD"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ылыми-</w:t>
      </w:r>
      <w:r w:rsidR="00A50EEB" w:rsidRPr="00457CE9">
        <w:rPr>
          <w:rFonts w:ascii="Times New Roman" w:hAnsi="Times New Roman" w:cs="Times New Roman"/>
          <w:sz w:val="28"/>
          <w:szCs w:val="28"/>
          <w:lang w:val="kk-KZ"/>
        </w:rPr>
        <w:t>ә</w:t>
      </w:r>
      <w:r w:rsidR="006B4139" w:rsidRPr="00457CE9">
        <w:rPr>
          <w:rFonts w:ascii="Times New Roman" w:hAnsi="Times New Roman" w:cs="Times New Roman"/>
          <w:sz w:val="28"/>
          <w:szCs w:val="28"/>
          <w:lang w:val="kk-KZ"/>
        </w:rPr>
        <w:t xml:space="preserve">дістемелік </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ызметтер, </w:t>
      </w:r>
      <w:r w:rsidR="007D752E" w:rsidRPr="00457CE9">
        <w:rPr>
          <w:rFonts w:ascii="Times New Roman" w:hAnsi="Times New Roman" w:cs="Times New Roman"/>
          <w:sz w:val="28"/>
          <w:szCs w:val="28"/>
          <w:lang w:val="kk-KZ"/>
        </w:rPr>
        <w:t>а</w:t>
      </w:r>
      <w:r w:rsidR="006B4139" w:rsidRPr="00457CE9">
        <w:rPr>
          <w:rFonts w:ascii="Times New Roman" w:hAnsi="Times New Roman" w:cs="Times New Roman"/>
          <w:sz w:val="28"/>
          <w:szCs w:val="28"/>
          <w:lang w:val="kk-KZ"/>
        </w:rPr>
        <w:t>уыл шаруашылы</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 xml:space="preserve">ы </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ндірісін агрометеорологиялы</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ж</w:t>
      </w:r>
      <w:r w:rsidR="00A50EEB" w:rsidRPr="00457CE9">
        <w:rPr>
          <w:rFonts w:ascii="Times New Roman" w:hAnsi="Times New Roman" w:cs="Times New Roman"/>
          <w:sz w:val="28"/>
          <w:szCs w:val="28"/>
          <w:lang w:val="kk-KZ"/>
        </w:rPr>
        <w:t>ә</w:t>
      </w:r>
      <w:r w:rsidR="006B4139" w:rsidRPr="00457CE9">
        <w:rPr>
          <w:rFonts w:ascii="Times New Roman" w:hAnsi="Times New Roman" w:cs="Times New Roman"/>
          <w:sz w:val="28"/>
          <w:szCs w:val="28"/>
          <w:lang w:val="kk-KZ"/>
        </w:rPr>
        <w:t xml:space="preserve">не </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арышты</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мониторингтеу ж</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нінде </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ызметтер к</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рсету, </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сімдік шаруашылы</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ында</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 xml:space="preserve">ы </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ылыми зерттеулерді ж</w:t>
      </w:r>
      <w:r w:rsidR="00A50EEB" w:rsidRPr="00457CE9">
        <w:rPr>
          <w:rFonts w:ascii="Times New Roman" w:hAnsi="Times New Roman" w:cs="Times New Roman"/>
          <w:sz w:val="28"/>
          <w:szCs w:val="28"/>
          <w:lang w:val="kk-KZ"/>
        </w:rPr>
        <w:t>ә</w:t>
      </w:r>
      <w:r w:rsidR="006B4139" w:rsidRPr="00457CE9">
        <w:rPr>
          <w:rFonts w:ascii="Times New Roman" w:hAnsi="Times New Roman" w:cs="Times New Roman"/>
          <w:sz w:val="28"/>
          <w:szCs w:val="28"/>
          <w:lang w:val="kk-KZ"/>
        </w:rPr>
        <w:t>не іс-шараларды ба</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дарламалы</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нысаналы </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аржыландыру, </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сімдіктерді </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ор</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ау ж</w:t>
      </w:r>
      <w:r w:rsidR="00A50EEB" w:rsidRPr="00457CE9">
        <w:rPr>
          <w:rFonts w:ascii="Times New Roman" w:hAnsi="Times New Roman" w:cs="Times New Roman"/>
          <w:sz w:val="28"/>
          <w:szCs w:val="28"/>
          <w:lang w:val="kk-KZ"/>
        </w:rPr>
        <w:t>ә</w:t>
      </w:r>
      <w:r w:rsidR="006B4139" w:rsidRPr="00457CE9">
        <w:rPr>
          <w:rFonts w:ascii="Times New Roman" w:hAnsi="Times New Roman" w:cs="Times New Roman"/>
          <w:sz w:val="28"/>
          <w:szCs w:val="28"/>
          <w:lang w:val="kk-KZ"/>
        </w:rPr>
        <w:t xml:space="preserve">не </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сімдіктер карантині, </w:t>
      </w:r>
      <w:r w:rsidR="00A50EEB"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сімдік шаруашылы</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 саласында</w:t>
      </w:r>
      <w:r w:rsidR="00A50EEB"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 ведомстволы</w:t>
      </w:r>
      <w:r w:rsidR="00A50EEB"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ба</w:t>
      </w:r>
      <w:r w:rsidR="007D752E"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ынысты мемлекеттік мекемелерді</w:t>
      </w:r>
      <w:r w:rsidR="007D752E" w:rsidRPr="00457CE9">
        <w:rPr>
          <w:rFonts w:ascii="Times New Roman" w:hAnsi="Times New Roman" w:cs="Times New Roman"/>
          <w:sz w:val="28"/>
          <w:szCs w:val="28"/>
          <w:lang w:val="kk-KZ"/>
        </w:rPr>
        <w:t>ң</w:t>
      </w:r>
      <w:r w:rsidR="006B4139" w:rsidRPr="00457CE9">
        <w:rPr>
          <w:rFonts w:ascii="Times New Roman" w:hAnsi="Times New Roman" w:cs="Times New Roman"/>
          <w:sz w:val="28"/>
          <w:szCs w:val="28"/>
          <w:lang w:val="kk-KZ"/>
        </w:rPr>
        <w:t xml:space="preserve"> к</w:t>
      </w:r>
      <w:r w:rsidR="007D752E" w:rsidRPr="00457CE9">
        <w:rPr>
          <w:rFonts w:ascii="Times New Roman" w:hAnsi="Times New Roman" w:cs="Times New Roman"/>
          <w:sz w:val="28"/>
          <w:szCs w:val="28"/>
          <w:lang w:val="kk-KZ"/>
        </w:rPr>
        <w:t>ү</w:t>
      </w:r>
      <w:r w:rsidR="006B4139" w:rsidRPr="00457CE9">
        <w:rPr>
          <w:rFonts w:ascii="Times New Roman" w:hAnsi="Times New Roman" w:cs="Times New Roman"/>
          <w:sz w:val="28"/>
          <w:szCs w:val="28"/>
          <w:lang w:val="kk-KZ"/>
        </w:rPr>
        <w:t>рделі шы</w:t>
      </w:r>
      <w:r w:rsidR="007D752E"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 xml:space="preserve">ыстары, </w:t>
      </w:r>
      <w:r w:rsidR="007D752E" w:rsidRPr="00457CE9">
        <w:rPr>
          <w:rFonts w:ascii="Times New Roman" w:hAnsi="Times New Roman" w:cs="Times New Roman"/>
          <w:sz w:val="28"/>
          <w:szCs w:val="28"/>
          <w:lang w:val="kk-KZ"/>
        </w:rPr>
        <w:t>о</w:t>
      </w:r>
      <w:r w:rsidR="006B4139" w:rsidRPr="00457CE9">
        <w:rPr>
          <w:rFonts w:ascii="Times New Roman" w:hAnsi="Times New Roman" w:cs="Times New Roman"/>
          <w:sz w:val="28"/>
          <w:szCs w:val="28"/>
          <w:lang w:val="kk-KZ"/>
        </w:rPr>
        <w:t>блысты</w:t>
      </w:r>
      <w:r w:rsidR="007D752E"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бюджеттерге, Астана ж</w:t>
      </w:r>
      <w:r w:rsidR="007D752E" w:rsidRPr="00457CE9">
        <w:rPr>
          <w:rFonts w:ascii="Times New Roman" w:hAnsi="Times New Roman" w:cs="Times New Roman"/>
          <w:sz w:val="28"/>
          <w:szCs w:val="28"/>
          <w:lang w:val="kk-KZ"/>
        </w:rPr>
        <w:t>ә</w:t>
      </w:r>
      <w:r w:rsidR="006B4139" w:rsidRPr="00457CE9">
        <w:rPr>
          <w:rFonts w:ascii="Times New Roman" w:hAnsi="Times New Roman" w:cs="Times New Roman"/>
          <w:sz w:val="28"/>
          <w:szCs w:val="28"/>
          <w:lang w:val="kk-KZ"/>
        </w:rPr>
        <w:t xml:space="preserve">не Алматы </w:t>
      </w:r>
      <w:r w:rsidR="007D752E"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алаларыны</w:t>
      </w:r>
      <w:r w:rsidR="007D752E" w:rsidRPr="00457CE9">
        <w:rPr>
          <w:rFonts w:ascii="Times New Roman" w:hAnsi="Times New Roman" w:cs="Times New Roman"/>
          <w:sz w:val="28"/>
          <w:szCs w:val="28"/>
          <w:lang w:val="kk-KZ"/>
        </w:rPr>
        <w:t>ң</w:t>
      </w:r>
      <w:r w:rsidR="006B4139" w:rsidRPr="00457CE9">
        <w:rPr>
          <w:rFonts w:ascii="Times New Roman" w:hAnsi="Times New Roman" w:cs="Times New Roman"/>
          <w:sz w:val="28"/>
          <w:szCs w:val="28"/>
          <w:lang w:val="kk-KZ"/>
        </w:rPr>
        <w:t xml:space="preserve"> бюджеттеріне </w:t>
      </w:r>
      <w:r w:rsidR="007D752E"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айта </w:t>
      </w:r>
      <w:r w:rsidR="007D752E" w:rsidRPr="00457CE9">
        <w:rPr>
          <w:rFonts w:ascii="Times New Roman" w:hAnsi="Times New Roman" w:cs="Times New Roman"/>
          <w:sz w:val="28"/>
          <w:szCs w:val="28"/>
          <w:lang w:val="kk-KZ"/>
        </w:rPr>
        <w:t>өң</w:t>
      </w:r>
      <w:r w:rsidR="006B4139" w:rsidRPr="00457CE9">
        <w:rPr>
          <w:rFonts w:ascii="Times New Roman" w:hAnsi="Times New Roman" w:cs="Times New Roman"/>
          <w:sz w:val="28"/>
          <w:szCs w:val="28"/>
          <w:lang w:val="kk-KZ"/>
        </w:rPr>
        <w:t>деуші к</w:t>
      </w:r>
      <w:r w:rsidR="007D752E" w:rsidRPr="00457CE9">
        <w:rPr>
          <w:rFonts w:ascii="Times New Roman" w:hAnsi="Times New Roman" w:cs="Times New Roman"/>
          <w:sz w:val="28"/>
          <w:szCs w:val="28"/>
          <w:lang w:val="kk-KZ"/>
        </w:rPr>
        <w:t>ә</w:t>
      </w:r>
      <w:r w:rsidR="006B4139" w:rsidRPr="00457CE9">
        <w:rPr>
          <w:rFonts w:ascii="Times New Roman" w:hAnsi="Times New Roman" w:cs="Times New Roman"/>
          <w:sz w:val="28"/>
          <w:szCs w:val="28"/>
          <w:lang w:val="kk-KZ"/>
        </w:rPr>
        <w:t>сіпорындарды</w:t>
      </w:r>
      <w:r w:rsidR="007D752E" w:rsidRPr="00457CE9">
        <w:rPr>
          <w:rFonts w:ascii="Times New Roman" w:hAnsi="Times New Roman" w:cs="Times New Roman"/>
          <w:sz w:val="28"/>
          <w:szCs w:val="28"/>
          <w:lang w:val="kk-KZ"/>
        </w:rPr>
        <w:t>ң</w:t>
      </w:r>
      <w:r w:rsidR="006B4139" w:rsidRPr="00457CE9">
        <w:rPr>
          <w:rFonts w:ascii="Times New Roman" w:hAnsi="Times New Roman" w:cs="Times New Roman"/>
          <w:sz w:val="28"/>
          <w:szCs w:val="28"/>
          <w:lang w:val="kk-KZ"/>
        </w:rPr>
        <w:t xml:space="preserve"> ауылшаруашылы</w:t>
      </w:r>
      <w:r w:rsidR="007D752E"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 </w:t>
      </w:r>
      <w:r w:rsidR="007D752E"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німін тере</w:t>
      </w:r>
      <w:r w:rsidR="007D752E" w:rsidRPr="00457CE9">
        <w:rPr>
          <w:rFonts w:ascii="Times New Roman" w:hAnsi="Times New Roman" w:cs="Times New Roman"/>
          <w:sz w:val="28"/>
          <w:szCs w:val="28"/>
          <w:lang w:val="kk-KZ"/>
        </w:rPr>
        <w:t>ң</w:t>
      </w:r>
      <w:r w:rsidR="006B4139" w:rsidRPr="00457CE9">
        <w:rPr>
          <w:rFonts w:ascii="Times New Roman" w:hAnsi="Times New Roman" w:cs="Times New Roman"/>
          <w:sz w:val="28"/>
          <w:szCs w:val="28"/>
          <w:lang w:val="kk-KZ"/>
        </w:rPr>
        <w:t xml:space="preserve">дете </w:t>
      </w:r>
      <w:r w:rsidR="007D752E" w:rsidRPr="00457CE9">
        <w:rPr>
          <w:rFonts w:ascii="Times New Roman" w:hAnsi="Times New Roman" w:cs="Times New Roman"/>
          <w:sz w:val="28"/>
          <w:szCs w:val="28"/>
          <w:lang w:val="kk-KZ"/>
        </w:rPr>
        <w:t>қ</w:t>
      </w:r>
      <w:r w:rsidR="006B4139" w:rsidRPr="00457CE9">
        <w:rPr>
          <w:rFonts w:ascii="Times New Roman" w:hAnsi="Times New Roman" w:cs="Times New Roman"/>
          <w:sz w:val="28"/>
          <w:szCs w:val="28"/>
          <w:lang w:val="kk-KZ"/>
        </w:rPr>
        <w:t xml:space="preserve">айта </w:t>
      </w:r>
      <w:r w:rsidR="007D752E" w:rsidRPr="00457CE9">
        <w:rPr>
          <w:rFonts w:ascii="Times New Roman" w:hAnsi="Times New Roman" w:cs="Times New Roman"/>
          <w:sz w:val="28"/>
          <w:szCs w:val="28"/>
          <w:lang w:val="kk-KZ"/>
        </w:rPr>
        <w:t>өң</w:t>
      </w:r>
      <w:r w:rsidR="006B4139" w:rsidRPr="00457CE9">
        <w:rPr>
          <w:rFonts w:ascii="Times New Roman" w:hAnsi="Times New Roman" w:cs="Times New Roman"/>
          <w:sz w:val="28"/>
          <w:szCs w:val="28"/>
          <w:lang w:val="kk-KZ"/>
        </w:rPr>
        <w:t xml:space="preserve">деп </w:t>
      </w:r>
      <w:r w:rsidR="007D752E"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німдер </w:t>
      </w:r>
      <w:r w:rsidR="007D752E" w:rsidRPr="00457CE9">
        <w:rPr>
          <w:rFonts w:ascii="Times New Roman" w:hAnsi="Times New Roman" w:cs="Times New Roman"/>
          <w:sz w:val="28"/>
          <w:szCs w:val="28"/>
          <w:lang w:val="kk-KZ"/>
        </w:rPr>
        <w:t>ө</w:t>
      </w:r>
      <w:r w:rsidR="006B4139" w:rsidRPr="00457CE9">
        <w:rPr>
          <w:rFonts w:ascii="Times New Roman" w:hAnsi="Times New Roman" w:cs="Times New Roman"/>
          <w:sz w:val="28"/>
          <w:szCs w:val="28"/>
          <w:lang w:val="kk-KZ"/>
        </w:rPr>
        <w:t xml:space="preserve">ндіруі </w:t>
      </w:r>
      <w:r w:rsidR="007D752E" w:rsidRPr="00457CE9">
        <w:rPr>
          <w:rFonts w:ascii="Times New Roman" w:hAnsi="Times New Roman" w:cs="Times New Roman"/>
          <w:sz w:val="28"/>
          <w:szCs w:val="28"/>
          <w:lang w:val="kk-KZ"/>
        </w:rPr>
        <w:t>ү</w:t>
      </w:r>
      <w:r w:rsidR="006B4139" w:rsidRPr="00457CE9">
        <w:rPr>
          <w:rFonts w:ascii="Times New Roman" w:hAnsi="Times New Roman" w:cs="Times New Roman"/>
          <w:sz w:val="28"/>
          <w:szCs w:val="28"/>
          <w:lang w:val="kk-KZ"/>
        </w:rPr>
        <w:t>шін оны сатып алу шы</w:t>
      </w:r>
      <w:r w:rsidR="007D752E"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ындарын субсидиялау</w:t>
      </w:r>
      <w:r w:rsidR="007D752E"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а берілетін а</w:t>
      </w:r>
      <w:r w:rsidR="007D752E"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ымда</w:t>
      </w:r>
      <w:r w:rsidR="007D752E" w:rsidRPr="00457CE9">
        <w:rPr>
          <w:rFonts w:ascii="Times New Roman" w:hAnsi="Times New Roman" w:cs="Times New Roman"/>
          <w:sz w:val="28"/>
          <w:szCs w:val="28"/>
          <w:lang w:val="kk-KZ"/>
        </w:rPr>
        <w:t>ғ</w:t>
      </w:r>
      <w:r w:rsidR="006B4139" w:rsidRPr="00457CE9">
        <w:rPr>
          <w:rFonts w:ascii="Times New Roman" w:hAnsi="Times New Roman" w:cs="Times New Roman"/>
          <w:sz w:val="28"/>
          <w:szCs w:val="28"/>
          <w:lang w:val="kk-KZ"/>
        </w:rPr>
        <w:t>ы нысаналы трансферттер</w:t>
      </w:r>
      <w:r w:rsidR="007D47F6" w:rsidRPr="00457CE9">
        <w:rPr>
          <w:rFonts w:ascii="Times New Roman" w:hAnsi="Times New Roman" w:cs="Times New Roman"/>
          <w:sz w:val="28"/>
          <w:szCs w:val="28"/>
          <w:lang w:val="kk-KZ"/>
        </w:rPr>
        <w:t xml:space="preserve"> деп аталатын кіші бағдарламалары бойынша жұмсалған</w:t>
      </w:r>
      <w:r w:rsidR="00AC33D4" w:rsidRPr="00457CE9">
        <w:rPr>
          <w:rFonts w:ascii="Times New Roman" w:hAnsi="Times New Roman" w:cs="Times New Roman"/>
          <w:sz w:val="28"/>
          <w:szCs w:val="28"/>
          <w:lang w:val="kk-KZ"/>
        </w:rPr>
        <w:t xml:space="preserve">, </w:t>
      </w:r>
      <w:r w:rsidR="007D47F6" w:rsidRPr="00457CE9">
        <w:rPr>
          <w:rFonts w:ascii="Times New Roman" w:hAnsi="Times New Roman" w:cs="Times New Roman"/>
          <w:sz w:val="28"/>
          <w:szCs w:val="28"/>
          <w:lang w:val="kk-KZ"/>
        </w:rPr>
        <w:t xml:space="preserve">2016 жылы 2,6 пайыздан 2018 жылы 1,62 пайызға дейін азайса, 2022 жылға 7,8 пайызға дейін өскен, және келесі бағыттар бойынша бюджет кіші бағдарламалары іске асырылған, </w:t>
      </w:r>
      <w:r w:rsidR="00AC33D4" w:rsidRPr="00457CE9">
        <w:rPr>
          <w:rFonts w:ascii="Times New Roman" w:hAnsi="Times New Roman" w:cs="Times New Roman"/>
          <w:sz w:val="28"/>
          <w:szCs w:val="28"/>
          <w:lang w:val="kk-KZ"/>
        </w:rPr>
        <w:t>басым дақылдар өндірісін дамытуды субсидиялауға берілетін ағымдағы нысаналы трансферттер, тыңайтқыштардың (органикалық тыңайтқыштарды қоспағанда) құнын субсидиялауға берілетін ағымдағы нысаналы трансферттер,</w:t>
      </w:r>
      <w:r w:rsidR="00AC33D4" w:rsidRPr="00457CE9">
        <w:rPr>
          <w:lang w:val="kk-KZ"/>
        </w:rPr>
        <w:t xml:space="preserve"> </w:t>
      </w:r>
      <w:r w:rsidR="00AC33D4" w:rsidRPr="00457CE9">
        <w:rPr>
          <w:rFonts w:ascii="Times New Roman" w:hAnsi="Times New Roman" w:cs="Times New Roman"/>
          <w:sz w:val="28"/>
          <w:szCs w:val="28"/>
          <w:lang w:val="kk-KZ"/>
        </w:rPr>
        <w:t>өсімдік шаруашылығы саласындағы ведомстволық ба</w:t>
      </w:r>
      <w:r w:rsidR="007D47F6" w:rsidRPr="00457CE9">
        <w:rPr>
          <w:rFonts w:ascii="Times New Roman" w:hAnsi="Times New Roman" w:cs="Times New Roman"/>
          <w:sz w:val="28"/>
          <w:szCs w:val="28"/>
          <w:lang w:val="kk-KZ"/>
        </w:rPr>
        <w:t>ғ</w:t>
      </w:r>
      <w:r w:rsidR="00AC33D4" w:rsidRPr="00457CE9">
        <w:rPr>
          <w:rFonts w:ascii="Times New Roman" w:hAnsi="Times New Roman" w:cs="Times New Roman"/>
          <w:sz w:val="28"/>
          <w:szCs w:val="28"/>
          <w:lang w:val="kk-KZ"/>
        </w:rPr>
        <w:t>ынысты мемлекеттік мекемелерді</w:t>
      </w:r>
      <w:r w:rsidR="007D47F6" w:rsidRPr="00457CE9">
        <w:rPr>
          <w:rFonts w:ascii="Times New Roman" w:hAnsi="Times New Roman" w:cs="Times New Roman"/>
          <w:sz w:val="28"/>
          <w:szCs w:val="28"/>
          <w:lang w:val="kk-KZ"/>
        </w:rPr>
        <w:t>ң</w:t>
      </w:r>
      <w:r w:rsidR="00AC33D4" w:rsidRPr="00457CE9">
        <w:rPr>
          <w:rFonts w:ascii="Times New Roman" w:hAnsi="Times New Roman" w:cs="Times New Roman"/>
          <w:sz w:val="28"/>
          <w:szCs w:val="28"/>
          <w:lang w:val="kk-KZ"/>
        </w:rPr>
        <w:t xml:space="preserve"> к</w:t>
      </w:r>
      <w:r w:rsidR="007D47F6" w:rsidRPr="00457CE9">
        <w:rPr>
          <w:rFonts w:ascii="Times New Roman" w:hAnsi="Times New Roman" w:cs="Times New Roman"/>
          <w:sz w:val="28"/>
          <w:szCs w:val="28"/>
          <w:lang w:val="kk-KZ"/>
        </w:rPr>
        <w:t>ү</w:t>
      </w:r>
      <w:r w:rsidR="00AC33D4" w:rsidRPr="00457CE9">
        <w:rPr>
          <w:rFonts w:ascii="Times New Roman" w:hAnsi="Times New Roman" w:cs="Times New Roman"/>
          <w:sz w:val="28"/>
          <w:szCs w:val="28"/>
          <w:lang w:val="kk-KZ"/>
        </w:rPr>
        <w:t>рделі шы</w:t>
      </w:r>
      <w:r w:rsidR="007D47F6" w:rsidRPr="00457CE9">
        <w:rPr>
          <w:rFonts w:ascii="Times New Roman" w:hAnsi="Times New Roman" w:cs="Times New Roman"/>
          <w:sz w:val="28"/>
          <w:szCs w:val="28"/>
          <w:lang w:val="kk-KZ"/>
        </w:rPr>
        <w:t>ғ</w:t>
      </w:r>
      <w:r w:rsidR="00AC33D4" w:rsidRPr="00457CE9">
        <w:rPr>
          <w:rFonts w:ascii="Times New Roman" w:hAnsi="Times New Roman" w:cs="Times New Roman"/>
          <w:sz w:val="28"/>
          <w:szCs w:val="28"/>
          <w:lang w:val="kk-KZ"/>
        </w:rPr>
        <w:t>ыстары</w:t>
      </w:r>
      <w:r w:rsidR="007D47F6" w:rsidRPr="00457CE9">
        <w:rPr>
          <w:rFonts w:ascii="Times New Roman" w:hAnsi="Times New Roman" w:cs="Times New Roman"/>
          <w:sz w:val="28"/>
          <w:szCs w:val="28"/>
          <w:lang w:val="kk-KZ"/>
        </w:rPr>
        <w:t>, аталған жылдары бюджет қаражаты 99,6-100 пайыз игерілген.</w:t>
      </w:r>
      <w:r w:rsidR="00C65480" w:rsidRPr="00457CE9">
        <w:rPr>
          <w:rFonts w:ascii="Times New Roman" w:hAnsi="Times New Roman" w:cs="Times New Roman"/>
          <w:sz w:val="28"/>
          <w:szCs w:val="28"/>
          <w:lang w:val="kk-KZ"/>
        </w:rPr>
        <w:t xml:space="preserve"> 255 бюджет бағ</w:t>
      </w:r>
      <w:r w:rsidR="00C95FCE">
        <w:rPr>
          <w:rFonts w:ascii="Times New Roman" w:hAnsi="Times New Roman" w:cs="Times New Roman"/>
          <w:sz w:val="28"/>
          <w:szCs w:val="28"/>
          <w:lang w:val="kk-KZ"/>
        </w:rPr>
        <w:t>дарламасын іске асырудан әсерді</w:t>
      </w:r>
      <w:r w:rsidR="00C65480" w:rsidRPr="00457CE9">
        <w:rPr>
          <w:rFonts w:ascii="Times New Roman" w:hAnsi="Times New Roman" w:cs="Times New Roman"/>
          <w:sz w:val="28"/>
          <w:szCs w:val="28"/>
          <w:lang w:val="kk-KZ"/>
        </w:rPr>
        <w:t xml:space="preserve"> экономикалық, әлеуметтік және экологиялық деп белгілеген</w:t>
      </w:r>
      <w:r w:rsidR="00AD6DD1" w:rsidRPr="00457CE9">
        <w:rPr>
          <w:rFonts w:ascii="Times New Roman" w:hAnsi="Times New Roman" w:cs="Times New Roman"/>
          <w:sz w:val="28"/>
          <w:szCs w:val="28"/>
          <w:lang w:val="kk-KZ"/>
        </w:rPr>
        <w:t>. Бюджет бағдарламасын іске асыру қорытындысы ретінде ауыл шаруашылық дақылдары мен карантиндік объектілердің аса қауіпті зиянкестеріне қарсы химиялық өңдеу бойынша қызметтер биологиялық тиімділігі жоғары оңтайлы деңгейде жүргізілген деген жазылған. Алайда дәнді және дәнді бұршақтық дақылдар, майлы дақылдар бойынша өнімділігі «Қазгидромет» мәліметтері бойынша атмосфералық және топырақтың құрғақшылығы, қолайсыз агрометеорологиялық жағдайларға байланысты төмендегенін атап өткен</w:t>
      </w:r>
      <w:r w:rsidR="00D87119" w:rsidRPr="00457CE9">
        <w:rPr>
          <w:rFonts w:ascii="Times New Roman" w:hAnsi="Times New Roman" w:cs="Times New Roman"/>
          <w:sz w:val="28"/>
          <w:szCs w:val="28"/>
          <w:lang w:val="kk-KZ"/>
        </w:rPr>
        <w:t xml:space="preserve"> [</w:t>
      </w:r>
      <w:r w:rsidR="00F53193" w:rsidRPr="00F53193">
        <w:rPr>
          <w:rFonts w:ascii="Times New Roman" w:hAnsi="Times New Roman" w:cs="Times New Roman"/>
          <w:sz w:val="28"/>
          <w:szCs w:val="28"/>
          <w:lang w:val="kk-KZ"/>
        </w:rPr>
        <w:t>83</w:t>
      </w:r>
      <w:r w:rsidR="00D0056B">
        <w:rPr>
          <w:rFonts w:ascii="Times New Roman" w:hAnsi="Times New Roman" w:cs="Times New Roman"/>
          <w:sz w:val="28"/>
          <w:szCs w:val="28"/>
          <w:lang w:val="kk-KZ"/>
        </w:rPr>
        <w:t>-</w:t>
      </w:r>
      <w:r w:rsidR="00F53193" w:rsidRPr="00F53193">
        <w:rPr>
          <w:rFonts w:ascii="Times New Roman" w:hAnsi="Times New Roman" w:cs="Times New Roman"/>
          <w:sz w:val="28"/>
          <w:szCs w:val="28"/>
          <w:lang w:val="kk-KZ"/>
        </w:rPr>
        <w:t>97</w:t>
      </w:r>
      <w:r w:rsidR="00D87119" w:rsidRPr="00457CE9">
        <w:rPr>
          <w:rFonts w:ascii="Times New Roman" w:hAnsi="Times New Roman" w:cs="Times New Roman"/>
          <w:sz w:val="28"/>
          <w:szCs w:val="28"/>
          <w:lang w:val="kk-KZ"/>
        </w:rPr>
        <w:t>]</w:t>
      </w:r>
      <w:r w:rsidR="00AD6DD1" w:rsidRPr="00457CE9">
        <w:rPr>
          <w:rFonts w:ascii="Times New Roman" w:hAnsi="Times New Roman" w:cs="Times New Roman"/>
          <w:sz w:val="28"/>
          <w:szCs w:val="28"/>
          <w:lang w:val="kk-KZ"/>
        </w:rPr>
        <w:t xml:space="preserve">. </w:t>
      </w:r>
    </w:p>
    <w:p w14:paraId="33D1F644" w14:textId="7AD2A580" w:rsidR="00B8341C" w:rsidRPr="00457CE9" w:rsidRDefault="00CC3357"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259 «Жер ресурстарына ақпараттың қол жетімділігін жоғарылату»</w:t>
      </w:r>
      <w:r w:rsidR="00694CA1" w:rsidRPr="00457CE9">
        <w:rPr>
          <w:rFonts w:ascii="Times New Roman" w:hAnsi="Times New Roman" w:cs="Times New Roman"/>
          <w:sz w:val="28"/>
          <w:szCs w:val="28"/>
          <w:lang w:val="kk-KZ"/>
        </w:rPr>
        <w:t xml:space="preserve"> бюджет бағдарламасы бойынша мемлекеттік жерлердің кадастрлық мәліметтерін ұйымдастыру, топограф-геодезия және картографиялық өнімдері мен қамтамасыз ету</w:t>
      </w:r>
      <w:r w:rsidR="002F032B" w:rsidRPr="00457CE9">
        <w:rPr>
          <w:rFonts w:ascii="Times New Roman" w:hAnsi="Times New Roman" w:cs="Times New Roman"/>
          <w:sz w:val="28"/>
          <w:szCs w:val="28"/>
          <w:lang w:val="kk-KZ"/>
        </w:rPr>
        <w:t xml:space="preserve"> және </w:t>
      </w:r>
      <w:r w:rsidR="00694CA1" w:rsidRPr="00457CE9">
        <w:rPr>
          <w:rFonts w:ascii="Times New Roman" w:hAnsi="Times New Roman" w:cs="Times New Roman"/>
          <w:sz w:val="28"/>
          <w:szCs w:val="28"/>
          <w:lang w:val="kk-KZ"/>
        </w:rPr>
        <w:t>сақтау, жерүсті жер ресурстарын пайдалану және қорғауға берілетін нысаналы даму трансферттері</w:t>
      </w:r>
      <w:r w:rsidR="008C4850" w:rsidRPr="00457CE9">
        <w:rPr>
          <w:rFonts w:ascii="Times New Roman" w:hAnsi="Times New Roman" w:cs="Times New Roman"/>
          <w:sz w:val="28"/>
          <w:szCs w:val="28"/>
          <w:lang w:val="kk-KZ"/>
        </w:rPr>
        <w:t xml:space="preserve"> деп аталатын бюджет кіші бағдарламалары бойынша бюджет қаражаты 2016-2022 жылдар аралығында 100 пайыз игерілген</w:t>
      </w:r>
      <w:r w:rsidR="002471C2" w:rsidRPr="00457CE9">
        <w:rPr>
          <w:rFonts w:ascii="Times New Roman" w:hAnsi="Times New Roman" w:cs="Times New Roman"/>
          <w:sz w:val="28"/>
          <w:szCs w:val="28"/>
          <w:lang w:val="kk-KZ"/>
        </w:rPr>
        <w:t>, жалпы бюджет қаражаты құрамындағы үлес салмағы әр жылы 1,35-2,31 аралықтағы пайызды құраған</w:t>
      </w:r>
      <w:r w:rsidR="008C4850" w:rsidRPr="00457CE9">
        <w:rPr>
          <w:rFonts w:ascii="Times New Roman" w:hAnsi="Times New Roman" w:cs="Times New Roman"/>
          <w:sz w:val="28"/>
          <w:szCs w:val="28"/>
          <w:lang w:val="kk-KZ"/>
        </w:rPr>
        <w:t>.</w:t>
      </w:r>
      <w:r w:rsidR="002F032B" w:rsidRPr="00457CE9">
        <w:rPr>
          <w:rFonts w:ascii="Times New Roman" w:hAnsi="Times New Roman" w:cs="Times New Roman"/>
          <w:sz w:val="28"/>
          <w:szCs w:val="28"/>
          <w:lang w:val="kk-KZ"/>
        </w:rPr>
        <w:t xml:space="preserve"> </w:t>
      </w:r>
      <w:r w:rsidR="000E1BAD" w:rsidRPr="00457CE9">
        <w:rPr>
          <w:rFonts w:ascii="Times New Roman" w:hAnsi="Times New Roman" w:cs="Times New Roman"/>
          <w:sz w:val="28"/>
          <w:szCs w:val="28"/>
          <w:lang w:val="kk-KZ"/>
        </w:rPr>
        <w:t>Бюджет шығыстары мемлекеттік жер кадастрының мәліметтерін өзектендіру мақсатында ауыл шаруашылығы алқаптарының сандық және сапалық сипаттамаларын айқындауға бағытталған.</w:t>
      </w:r>
      <w:r w:rsidR="00B8341C" w:rsidRPr="00457CE9">
        <w:rPr>
          <w:lang w:val="kk-KZ"/>
        </w:rPr>
        <w:t xml:space="preserve"> </w:t>
      </w:r>
      <w:r w:rsidR="00B8341C" w:rsidRPr="00457CE9">
        <w:rPr>
          <w:rFonts w:ascii="Times New Roman" w:hAnsi="Times New Roman" w:cs="Times New Roman"/>
          <w:sz w:val="28"/>
          <w:szCs w:val="28"/>
          <w:lang w:val="kk-KZ"/>
        </w:rPr>
        <w:t>Бағдарлама бойынша индикаторды орындаудың ынталандырушы мақсаты жер ресурстарының өнімділігін сақтау, экожүйенің функциялары мен қызметтерін қолдау</w:t>
      </w:r>
      <w:r w:rsidR="00EF03CE" w:rsidRPr="00457CE9">
        <w:rPr>
          <w:rFonts w:ascii="Times New Roman" w:hAnsi="Times New Roman" w:cs="Times New Roman"/>
          <w:sz w:val="28"/>
          <w:szCs w:val="28"/>
          <w:lang w:val="kk-KZ"/>
        </w:rPr>
        <w:t xml:space="preserve">, </w:t>
      </w:r>
      <w:r w:rsidR="00B8341C" w:rsidRPr="00457CE9">
        <w:rPr>
          <w:rFonts w:ascii="Times New Roman" w:hAnsi="Times New Roman" w:cs="Times New Roman"/>
          <w:sz w:val="28"/>
          <w:szCs w:val="28"/>
          <w:lang w:val="kk-KZ"/>
        </w:rPr>
        <w:t>қазіргі және болашақ ұрпақтың қажеттіліктерін қанағаттандыру болып табылады. Яғни, зерттеу жүргізу жер ресурстарымен, топырақ пен өсімдіктермен қамтамасыз етілетін экожүйенің функциялары мен қызметтеріне қатысты (күтілетін) шығындар мен жақсартуларды теңестіруге бағытталған. Бұл қызметтер мен функциялар өнімділікті сақтау және жақсарту</w:t>
      </w:r>
      <w:r w:rsidR="00EF03CE" w:rsidRPr="00457CE9">
        <w:rPr>
          <w:rFonts w:ascii="Times New Roman" w:hAnsi="Times New Roman" w:cs="Times New Roman"/>
          <w:sz w:val="28"/>
          <w:szCs w:val="28"/>
          <w:lang w:val="kk-KZ"/>
        </w:rPr>
        <w:t xml:space="preserve">, </w:t>
      </w:r>
      <w:r w:rsidR="00B8341C" w:rsidRPr="00457CE9">
        <w:rPr>
          <w:rFonts w:ascii="Times New Roman" w:hAnsi="Times New Roman" w:cs="Times New Roman"/>
          <w:sz w:val="28"/>
          <w:szCs w:val="28"/>
          <w:lang w:val="kk-KZ"/>
        </w:rPr>
        <w:t>жер ресурстары мен оларға тәуелді халықтың тұрақтылығын арттыру үшін де қолданылады (экологиялық әсер). Зерттеу материалдары ауыл шаруашылығы мақсатындағы жерлерді ұтымды пайдалану бойынша қажетті ұсынымдарды қалыптастыруға мүмкіндік береді, атап айтқанда, ауыл шаруашылығы тауарын өндірушілерге ұтымды өсімдік шаруашылығы мен мал шаруашылығын жүргізу үшін зерттеу материалдары негізінде мынадай материалдар, көрсеткіштер ұсынымдар беріледі</w:t>
      </w:r>
      <w:r w:rsidR="001807D4" w:rsidRPr="00457CE9">
        <w:rPr>
          <w:rFonts w:ascii="Times New Roman" w:hAnsi="Times New Roman" w:cs="Times New Roman"/>
          <w:sz w:val="28"/>
          <w:szCs w:val="28"/>
          <w:lang w:val="kk-KZ"/>
        </w:rPr>
        <w:t xml:space="preserve"> [</w:t>
      </w:r>
      <w:r w:rsidR="00D0056B">
        <w:rPr>
          <w:rFonts w:ascii="Times New Roman" w:hAnsi="Times New Roman" w:cs="Times New Roman"/>
          <w:sz w:val="28"/>
          <w:szCs w:val="28"/>
          <w:lang w:val="kk-KZ"/>
        </w:rPr>
        <w:t>8</w:t>
      </w:r>
      <w:r w:rsidR="00F53193" w:rsidRPr="00F53193">
        <w:rPr>
          <w:rFonts w:ascii="Times New Roman" w:hAnsi="Times New Roman" w:cs="Times New Roman"/>
          <w:sz w:val="28"/>
          <w:szCs w:val="28"/>
          <w:lang w:val="kk-KZ"/>
        </w:rPr>
        <w:t>3</w:t>
      </w:r>
      <w:r w:rsidR="00D0056B">
        <w:rPr>
          <w:rFonts w:ascii="Times New Roman" w:hAnsi="Times New Roman" w:cs="Times New Roman"/>
          <w:sz w:val="28"/>
          <w:szCs w:val="28"/>
          <w:lang w:val="kk-KZ"/>
        </w:rPr>
        <w:t>-</w:t>
      </w:r>
      <w:r w:rsidR="00F53193" w:rsidRPr="00F53193">
        <w:rPr>
          <w:rFonts w:ascii="Times New Roman" w:hAnsi="Times New Roman" w:cs="Times New Roman"/>
          <w:sz w:val="28"/>
          <w:szCs w:val="28"/>
          <w:lang w:val="kk-KZ"/>
        </w:rPr>
        <w:t>97</w:t>
      </w:r>
      <w:r w:rsidR="001807D4" w:rsidRPr="00457CE9">
        <w:rPr>
          <w:rFonts w:ascii="Times New Roman" w:hAnsi="Times New Roman" w:cs="Times New Roman"/>
          <w:sz w:val="28"/>
          <w:szCs w:val="28"/>
          <w:lang w:val="kk-KZ"/>
        </w:rPr>
        <w:t>]</w:t>
      </w:r>
      <w:r w:rsidR="00B8341C" w:rsidRPr="00457CE9">
        <w:rPr>
          <w:rFonts w:ascii="Times New Roman" w:hAnsi="Times New Roman" w:cs="Times New Roman"/>
          <w:sz w:val="28"/>
          <w:szCs w:val="28"/>
          <w:lang w:val="kk-KZ"/>
        </w:rPr>
        <w:t>:</w:t>
      </w:r>
    </w:p>
    <w:p w14:paraId="18E167F2" w14:textId="1E764BCB" w:rsidR="00B8341C"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топырақтың құнарлылығы мен өнімділігі, яғни ауылшаруашылық дақылдарының белгілі бір өнімін алу мүмкіндігі;</w:t>
      </w:r>
    </w:p>
    <w:p w14:paraId="1A5D6F35" w14:textId="11E90A7F" w:rsidR="00B8341C"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жердің сапалы және мелиоративтік жай-күйі (тұздану, сортаңдану, эрозиялану, қаттылық, батпақтану)</w:t>
      </w:r>
      <w:r w:rsidR="00EF03CE" w:rsidRPr="00457CE9">
        <w:rPr>
          <w:rFonts w:ascii="Times New Roman" w:hAnsi="Times New Roman"/>
          <w:sz w:val="28"/>
          <w:szCs w:val="28"/>
          <w:lang w:val="kk-KZ"/>
        </w:rPr>
        <w:t xml:space="preserve">, </w:t>
      </w:r>
      <w:r w:rsidRPr="00457CE9">
        <w:rPr>
          <w:rFonts w:ascii="Times New Roman" w:hAnsi="Times New Roman"/>
          <w:sz w:val="28"/>
          <w:szCs w:val="28"/>
          <w:lang w:val="kk-KZ"/>
        </w:rPr>
        <w:t>оларды жою және алдын алу жөніндегі іс-шаралар;</w:t>
      </w:r>
    </w:p>
    <w:p w14:paraId="0D7FF1E3" w14:textId="6FA1C7F7" w:rsidR="00B8341C"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жерді агроөндірістік топтастыру (жердің санаттары мен сыныптары), жерді пайдаланудың неғұрлым тиімді тәсілдерін (агротехникалық, мелиорациялық) анықтау және әзірлеу;</w:t>
      </w:r>
    </w:p>
    <w:p w14:paraId="006F5CB2" w14:textId="24D82FC8" w:rsidR="00B8341C"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топырақтың нақты айырмашылықтары үшін белгілі бір ауыл шаруашылығы дақылын таңдау және осыған байланысты жерді пайдалану аумағын ұйымдастырудың негіздемесі (ауыспалы егіс, ауыспалы ауыл шаруашылығы дақылдары);</w:t>
      </w:r>
    </w:p>
    <w:p w14:paraId="4B43DA3A" w14:textId="5EC061BF" w:rsidR="00B8341C"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егіншілік м</w:t>
      </w:r>
      <w:r w:rsidR="00400C9D" w:rsidRPr="00457CE9">
        <w:rPr>
          <w:rFonts w:ascii="Times New Roman" w:hAnsi="Times New Roman"/>
          <w:sz w:val="28"/>
          <w:szCs w:val="28"/>
          <w:lang w:val="kk-KZ"/>
        </w:rPr>
        <w:t>ә</w:t>
      </w:r>
      <w:r w:rsidRPr="00457CE9">
        <w:rPr>
          <w:rFonts w:ascii="Times New Roman" w:hAnsi="Times New Roman"/>
          <w:sz w:val="28"/>
          <w:szCs w:val="28"/>
          <w:lang w:val="kk-KZ"/>
        </w:rPr>
        <w:t>дениетін к</w:t>
      </w:r>
      <w:r w:rsidR="00400C9D" w:rsidRPr="00457CE9">
        <w:rPr>
          <w:rFonts w:ascii="Times New Roman" w:hAnsi="Times New Roman"/>
          <w:sz w:val="28"/>
          <w:szCs w:val="28"/>
          <w:lang w:val="kk-KZ"/>
        </w:rPr>
        <w:t>ө</w:t>
      </w:r>
      <w:r w:rsidRPr="00457CE9">
        <w:rPr>
          <w:rFonts w:ascii="Times New Roman" w:hAnsi="Times New Roman"/>
          <w:sz w:val="28"/>
          <w:szCs w:val="28"/>
          <w:lang w:val="kk-KZ"/>
        </w:rPr>
        <w:t>теру бойынша агротехникалы</w:t>
      </w:r>
      <w:r w:rsidR="00400C9D" w:rsidRPr="00457CE9">
        <w:rPr>
          <w:rFonts w:ascii="Times New Roman" w:hAnsi="Times New Roman"/>
          <w:sz w:val="28"/>
          <w:szCs w:val="28"/>
          <w:lang w:val="kk-KZ"/>
        </w:rPr>
        <w:t>қ</w:t>
      </w:r>
      <w:r w:rsidRPr="00457CE9">
        <w:rPr>
          <w:rFonts w:ascii="Times New Roman" w:hAnsi="Times New Roman"/>
          <w:sz w:val="28"/>
          <w:szCs w:val="28"/>
          <w:lang w:val="kk-KZ"/>
        </w:rPr>
        <w:t xml:space="preserve"> іс-шараларды</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саралан</w:t>
      </w:r>
      <w:r w:rsidR="00400C9D" w:rsidRPr="00457CE9">
        <w:rPr>
          <w:rFonts w:ascii="Times New Roman" w:hAnsi="Times New Roman"/>
          <w:sz w:val="28"/>
          <w:szCs w:val="28"/>
          <w:lang w:val="kk-KZ"/>
        </w:rPr>
        <w:t>ғ</w:t>
      </w:r>
      <w:r w:rsidRPr="00457CE9">
        <w:rPr>
          <w:rFonts w:ascii="Times New Roman" w:hAnsi="Times New Roman"/>
          <w:sz w:val="28"/>
          <w:szCs w:val="28"/>
          <w:lang w:val="kk-KZ"/>
        </w:rPr>
        <w:t>ан ж</w:t>
      </w:r>
      <w:r w:rsidR="00400C9D" w:rsidRPr="00457CE9">
        <w:rPr>
          <w:rFonts w:ascii="Times New Roman" w:hAnsi="Times New Roman"/>
          <w:sz w:val="28"/>
          <w:szCs w:val="28"/>
          <w:lang w:val="kk-KZ"/>
        </w:rPr>
        <w:t>ү</w:t>
      </w:r>
      <w:r w:rsidRPr="00457CE9">
        <w:rPr>
          <w:rFonts w:ascii="Times New Roman" w:hAnsi="Times New Roman"/>
          <w:sz w:val="28"/>
          <w:szCs w:val="28"/>
          <w:lang w:val="kk-KZ"/>
        </w:rPr>
        <w:t xml:space="preserve">йесін </w:t>
      </w:r>
      <w:r w:rsidR="00400C9D" w:rsidRPr="00457CE9">
        <w:rPr>
          <w:rFonts w:ascii="Times New Roman" w:hAnsi="Times New Roman"/>
          <w:sz w:val="28"/>
          <w:szCs w:val="28"/>
          <w:lang w:val="kk-KZ"/>
        </w:rPr>
        <w:t>ә</w:t>
      </w:r>
      <w:r w:rsidRPr="00457CE9">
        <w:rPr>
          <w:rFonts w:ascii="Times New Roman" w:hAnsi="Times New Roman"/>
          <w:sz w:val="28"/>
          <w:szCs w:val="28"/>
          <w:lang w:val="kk-KZ"/>
        </w:rPr>
        <w:t>зірлеу (топыра</w:t>
      </w:r>
      <w:r w:rsidR="00400C9D" w:rsidRPr="00457CE9">
        <w:rPr>
          <w:rFonts w:ascii="Times New Roman" w:hAnsi="Times New Roman"/>
          <w:sz w:val="28"/>
          <w:szCs w:val="28"/>
          <w:lang w:val="kk-KZ"/>
        </w:rPr>
        <w:t>қ</w:t>
      </w:r>
      <w:r w:rsidRPr="00457CE9">
        <w:rPr>
          <w:rFonts w:ascii="Times New Roman" w:hAnsi="Times New Roman"/>
          <w:sz w:val="28"/>
          <w:szCs w:val="28"/>
          <w:lang w:val="kk-KZ"/>
        </w:rPr>
        <w:t>ты</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ты</w:t>
      </w:r>
      <w:r w:rsidR="00400C9D" w:rsidRPr="00457CE9">
        <w:rPr>
          <w:rFonts w:ascii="Times New Roman" w:hAnsi="Times New Roman"/>
          <w:sz w:val="28"/>
          <w:szCs w:val="28"/>
          <w:lang w:val="kk-KZ"/>
        </w:rPr>
        <w:t>ғ</w:t>
      </w:r>
      <w:r w:rsidRPr="00457CE9">
        <w:rPr>
          <w:rFonts w:ascii="Times New Roman" w:hAnsi="Times New Roman"/>
          <w:sz w:val="28"/>
          <w:szCs w:val="28"/>
          <w:lang w:val="kk-KZ"/>
        </w:rPr>
        <w:t>ыздалуын, су ж</w:t>
      </w:r>
      <w:r w:rsidR="00400C9D" w:rsidRPr="00457CE9">
        <w:rPr>
          <w:rFonts w:ascii="Times New Roman" w:hAnsi="Times New Roman"/>
          <w:sz w:val="28"/>
          <w:szCs w:val="28"/>
          <w:lang w:val="kk-KZ"/>
        </w:rPr>
        <w:t>ә</w:t>
      </w:r>
      <w:r w:rsidRPr="00457CE9">
        <w:rPr>
          <w:rFonts w:ascii="Times New Roman" w:hAnsi="Times New Roman"/>
          <w:sz w:val="28"/>
          <w:szCs w:val="28"/>
          <w:lang w:val="kk-KZ"/>
        </w:rPr>
        <w:t xml:space="preserve">не жел эрозиясын болдырмау </w:t>
      </w:r>
      <w:r w:rsidR="00400C9D" w:rsidRPr="00457CE9">
        <w:rPr>
          <w:rFonts w:ascii="Times New Roman" w:hAnsi="Times New Roman"/>
          <w:sz w:val="28"/>
          <w:szCs w:val="28"/>
          <w:lang w:val="kk-KZ"/>
        </w:rPr>
        <w:t>ү</w:t>
      </w:r>
      <w:r w:rsidRPr="00457CE9">
        <w:rPr>
          <w:rFonts w:ascii="Times New Roman" w:hAnsi="Times New Roman"/>
          <w:sz w:val="28"/>
          <w:szCs w:val="28"/>
          <w:lang w:val="kk-KZ"/>
        </w:rPr>
        <w:t>шін учаскені</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механикалы</w:t>
      </w:r>
      <w:r w:rsidR="00400C9D" w:rsidRPr="00457CE9">
        <w:rPr>
          <w:rFonts w:ascii="Times New Roman" w:hAnsi="Times New Roman"/>
          <w:sz w:val="28"/>
          <w:szCs w:val="28"/>
          <w:lang w:val="kk-KZ"/>
        </w:rPr>
        <w:t>қ</w:t>
      </w:r>
      <w:r w:rsidRPr="00457CE9">
        <w:rPr>
          <w:rFonts w:ascii="Times New Roman" w:hAnsi="Times New Roman"/>
          <w:sz w:val="28"/>
          <w:szCs w:val="28"/>
          <w:lang w:val="kk-KZ"/>
        </w:rPr>
        <w:t xml:space="preserve"> </w:t>
      </w:r>
      <w:r w:rsidR="00400C9D" w:rsidRPr="00457CE9">
        <w:rPr>
          <w:rFonts w:ascii="Times New Roman" w:hAnsi="Times New Roman"/>
          <w:sz w:val="28"/>
          <w:szCs w:val="28"/>
          <w:lang w:val="kk-KZ"/>
        </w:rPr>
        <w:t>құ</w:t>
      </w:r>
      <w:r w:rsidRPr="00457CE9">
        <w:rPr>
          <w:rFonts w:ascii="Times New Roman" w:hAnsi="Times New Roman"/>
          <w:sz w:val="28"/>
          <w:szCs w:val="28"/>
          <w:lang w:val="kk-KZ"/>
        </w:rPr>
        <w:t>рамы мен е</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ісіне </w:t>
      </w:r>
      <w:r w:rsidR="00400C9D" w:rsidRPr="00457CE9">
        <w:rPr>
          <w:rFonts w:ascii="Times New Roman" w:hAnsi="Times New Roman"/>
          <w:sz w:val="28"/>
          <w:szCs w:val="28"/>
          <w:lang w:val="kk-KZ"/>
        </w:rPr>
        <w:t>қ</w:t>
      </w:r>
      <w:r w:rsidRPr="00457CE9">
        <w:rPr>
          <w:rFonts w:ascii="Times New Roman" w:hAnsi="Times New Roman"/>
          <w:sz w:val="28"/>
          <w:szCs w:val="28"/>
          <w:lang w:val="kk-KZ"/>
        </w:rPr>
        <w:t>арай топыра</w:t>
      </w:r>
      <w:r w:rsidR="00400C9D" w:rsidRPr="00457CE9">
        <w:rPr>
          <w:rFonts w:ascii="Times New Roman" w:hAnsi="Times New Roman"/>
          <w:sz w:val="28"/>
          <w:szCs w:val="28"/>
          <w:lang w:val="kk-KZ"/>
        </w:rPr>
        <w:t>қ</w:t>
      </w:r>
      <w:r w:rsidRPr="00457CE9">
        <w:rPr>
          <w:rFonts w:ascii="Times New Roman" w:hAnsi="Times New Roman"/>
          <w:sz w:val="28"/>
          <w:szCs w:val="28"/>
          <w:lang w:val="kk-KZ"/>
        </w:rPr>
        <w:t xml:space="preserve">ты </w:t>
      </w:r>
      <w:r w:rsidR="00400C9D" w:rsidRPr="00457CE9">
        <w:rPr>
          <w:rFonts w:ascii="Times New Roman" w:hAnsi="Times New Roman"/>
          <w:sz w:val="28"/>
          <w:szCs w:val="28"/>
          <w:lang w:val="kk-KZ"/>
        </w:rPr>
        <w:t>өң</w:t>
      </w:r>
      <w:r w:rsidRPr="00457CE9">
        <w:rPr>
          <w:rFonts w:ascii="Times New Roman" w:hAnsi="Times New Roman"/>
          <w:sz w:val="28"/>
          <w:szCs w:val="28"/>
          <w:lang w:val="kk-KZ"/>
        </w:rPr>
        <w:t>деу);</w:t>
      </w:r>
    </w:p>
    <w:p w14:paraId="0517BA71" w14:textId="7A569D24" w:rsidR="00B8341C"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минералды ж</w:t>
      </w:r>
      <w:r w:rsidR="00400C9D" w:rsidRPr="00457CE9">
        <w:rPr>
          <w:rFonts w:ascii="Times New Roman" w:hAnsi="Times New Roman"/>
          <w:sz w:val="28"/>
          <w:szCs w:val="28"/>
          <w:lang w:val="kk-KZ"/>
        </w:rPr>
        <w:t>ә</w:t>
      </w:r>
      <w:r w:rsidRPr="00457CE9">
        <w:rPr>
          <w:rFonts w:ascii="Times New Roman" w:hAnsi="Times New Roman"/>
          <w:sz w:val="28"/>
          <w:szCs w:val="28"/>
          <w:lang w:val="kk-KZ"/>
        </w:rPr>
        <w:t>не органикалы</w:t>
      </w:r>
      <w:r w:rsidR="00400C9D" w:rsidRPr="00457CE9">
        <w:rPr>
          <w:rFonts w:ascii="Times New Roman" w:hAnsi="Times New Roman"/>
          <w:sz w:val="28"/>
          <w:szCs w:val="28"/>
          <w:lang w:val="kk-KZ"/>
        </w:rPr>
        <w:t>қ</w:t>
      </w:r>
      <w:r w:rsidRPr="00457CE9">
        <w:rPr>
          <w:rFonts w:ascii="Times New Roman" w:hAnsi="Times New Roman"/>
          <w:sz w:val="28"/>
          <w:szCs w:val="28"/>
          <w:lang w:val="kk-KZ"/>
        </w:rPr>
        <w:t xml:space="preserve"> ты</w:t>
      </w:r>
      <w:r w:rsidR="00400C9D" w:rsidRPr="00457CE9">
        <w:rPr>
          <w:rFonts w:ascii="Times New Roman" w:hAnsi="Times New Roman"/>
          <w:sz w:val="28"/>
          <w:szCs w:val="28"/>
          <w:lang w:val="kk-KZ"/>
        </w:rPr>
        <w:t>ң</w:t>
      </w:r>
      <w:r w:rsidRPr="00457CE9">
        <w:rPr>
          <w:rFonts w:ascii="Times New Roman" w:hAnsi="Times New Roman"/>
          <w:sz w:val="28"/>
          <w:szCs w:val="28"/>
          <w:lang w:val="kk-KZ"/>
        </w:rPr>
        <w:t>айт</w:t>
      </w:r>
      <w:r w:rsidR="00400C9D" w:rsidRPr="00457CE9">
        <w:rPr>
          <w:rFonts w:ascii="Times New Roman" w:hAnsi="Times New Roman"/>
          <w:sz w:val="28"/>
          <w:szCs w:val="28"/>
          <w:lang w:val="kk-KZ"/>
        </w:rPr>
        <w:t>қ</w:t>
      </w:r>
      <w:r w:rsidRPr="00457CE9">
        <w:rPr>
          <w:rFonts w:ascii="Times New Roman" w:hAnsi="Times New Roman"/>
          <w:sz w:val="28"/>
          <w:szCs w:val="28"/>
          <w:lang w:val="kk-KZ"/>
        </w:rPr>
        <w:t>ыштарды енгізуді</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w:t>
      </w:r>
      <w:r w:rsidR="00400C9D" w:rsidRPr="00457CE9">
        <w:rPr>
          <w:rFonts w:ascii="Times New Roman" w:hAnsi="Times New Roman"/>
          <w:sz w:val="28"/>
          <w:szCs w:val="28"/>
          <w:lang w:val="kk-KZ"/>
        </w:rPr>
        <w:t>қ</w:t>
      </w:r>
      <w:r w:rsidRPr="00457CE9">
        <w:rPr>
          <w:rFonts w:ascii="Times New Roman" w:hAnsi="Times New Roman"/>
          <w:sz w:val="28"/>
          <w:szCs w:val="28"/>
          <w:lang w:val="kk-KZ"/>
        </w:rPr>
        <w:t>ажетті дозаларын негіздеу;</w:t>
      </w:r>
    </w:p>
    <w:p w14:paraId="75E145A6" w14:textId="03E2D444" w:rsidR="002471C2" w:rsidRPr="00457CE9" w:rsidRDefault="00B8341C"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сорта</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ж</w:t>
      </w:r>
      <w:r w:rsidR="00400C9D" w:rsidRPr="00457CE9">
        <w:rPr>
          <w:rFonts w:ascii="Times New Roman" w:hAnsi="Times New Roman"/>
          <w:sz w:val="28"/>
          <w:szCs w:val="28"/>
          <w:lang w:val="kk-KZ"/>
        </w:rPr>
        <w:t>ә</w:t>
      </w:r>
      <w:r w:rsidRPr="00457CE9">
        <w:rPr>
          <w:rFonts w:ascii="Times New Roman" w:hAnsi="Times New Roman"/>
          <w:sz w:val="28"/>
          <w:szCs w:val="28"/>
          <w:lang w:val="kk-KZ"/>
        </w:rPr>
        <w:t>не сорта</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w:t>
      </w:r>
      <w:r w:rsidR="00400C9D" w:rsidRPr="00457CE9">
        <w:rPr>
          <w:rFonts w:ascii="Times New Roman" w:hAnsi="Times New Roman"/>
          <w:sz w:val="28"/>
          <w:szCs w:val="28"/>
          <w:lang w:val="kk-KZ"/>
        </w:rPr>
        <w:t>т</w:t>
      </w:r>
      <w:r w:rsidRPr="00457CE9">
        <w:rPr>
          <w:rFonts w:ascii="Times New Roman" w:hAnsi="Times New Roman"/>
          <w:sz w:val="28"/>
          <w:szCs w:val="28"/>
          <w:lang w:val="kk-KZ"/>
        </w:rPr>
        <w:t>опыра</w:t>
      </w:r>
      <w:r w:rsidR="00400C9D" w:rsidRPr="00457CE9">
        <w:rPr>
          <w:rFonts w:ascii="Times New Roman" w:hAnsi="Times New Roman"/>
          <w:sz w:val="28"/>
          <w:szCs w:val="28"/>
          <w:lang w:val="kk-KZ"/>
        </w:rPr>
        <w:t>қ</w:t>
      </w:r>
      <w:r w:rsidRPr="00457CE9">
        <w:rPr>
          <w:rFonts w:ascii="Times New Roman" w:hAnsi="Times New Roman"/>
          <w:sz w:val="28"/>
          <w:szCs w:val="28"/>
          <w:lang w:val="kk-KZ"/>
        </w:rPr>
        <w:t>тарды</w:t>
      </w:r>
      <w:r w:rsidR="00400C9D" w:rsidRPr="00457CE9">
        <w:rPr>
          <w:rFonts w:ascii="Times New Roman" w:hAnsi="Times New Roman"/>
          <w:sz w:val="28"/>
          <w:szCs w:val="28"/>
          <w:lang w:val="kk-KZ"/>
        </w:rPr>
        <w:t>ң</w:t>
      </w:r>
      <w:r w:rsidRPr="00457CE9">
        <w:rPr>
          <w:rFonts w:ascii="Times New Roman" w:hAnsi="Times New Roman"/>
          <w:sz w:val="28"/>
          <w:szCs w:val="28"/>
          <w:lang w:val="kk-KZ"/>
        </w:rPr>
        <w:t xml:space="preserve"> жа</w:t>
      </w:r>
      <w:r w:rsidR="00400C9D" w:rsidRPr="00457CE9">
        <w:rPr>
          <w:rFonts w:ascii="Times New Roman" w:hAnsi="Times New Roman"/>
          <w:sz w:val="28"/>
          <w:szCs w:val="28"/>
          <w:lang w:val="kk-KZ"/>
        </w:rPr>
        <w:t>ғ</w:t>
      </w:r>
      <w:r w:rsidRPr="00457CE9">
        <w:rPr>
          <w:rFonts w:ascii="Times New Roman" w:hAnsi="Times New Roman"/>
          <w:sz w:val="28"/>
          <w:szCs w:val="28"/>
          <w:lang w:val="kk-KZ"/>
        </w:rPr>
        <w:t xml:space="preserve">ымсыз </w:t>
      </w:r>
      <w:r w:rsidR="00400C9D" w:rsidRPr="00457CE9">
        <w:rPr>
          <w:rFonts w:ascii="Times New Roman" w:hAnsi="Times New Roman"/>
          <w:sz w:val="28"/>
          <w:szCs w:val="28"/>
          <w:lang w:val="kk-KZ"/>
        </w:rPr>
        <w:t>қ</w:t>
      </w:r>
      <w:r w:rsidRPr="00457CE9">
        <w:rPr>
          <w:rFonts w:ascii="Times New Roman" w:hAnsi="Times New Roman"/>
          <w:sz w:val="28"/>
          <w:szCs w:val="28"/>
          <w:lang w:val="kk-KZ"/>
        </w:rPr>
        <w:t xml:space="preserve">асиеттерін болдырмау бойынша </w:t>
      </w:r>
      <w:r w:rsidR="00400C9D" w:rsidRPr="00457CE9">
        <w:rPr>
          <w:rFonts w:ascii="Times New Roman" w:hAnsi="Times New Roman"/>
          <w:sz w:val="28"/>
          <w:szCs w:val="28"/>
          <w:lang w:val="kk-KZ"/>
        </w:rPr>
        <w:t>ұ</w:t>
      </w:r>
      <w:r w:rsidRPr="00457CE9">
        <w:rPr>
          <w:rFonts w:ascii="Times New Roman" w:hAnsi="Times New Roman"/>
          <w:sz w:val="28"/>
          <w:szCs w:val="28"/>
          <w:lang w:val="kk-KZ"/>
        </w:rPr>
        <w:t>сыныстар (фосфогипс енгізу, т</w:t>
      </w:r>
      <w:r w:rsidR="00FE2FDB" w:rsidRPr="00457CE9">
        <w:rPr>
          <w:rFonts w:ascii="Times New Roman" w:hAnsi="Times New Roman"/>
          <w:sz w:val="28"/>
          <w:szCs w:val="28"/>
          <w:lang w:val="kk-KZ"/>
        </w:rPr>
        <w:t>ә</w:t>
      </w:r>
      <w:r w:rsidRPr="00457CE9">
        <w:rPr>
          <w:rFonts w:ascii="Times New Roman" w:hAnsi="Times New Roman"/>
          <w:sz w:val="28"/>
          <w:szCs w:val="28"/>
          <w:lang w:val="kk-KZ"/>
        </w:rPr>
        <w:t xml:space="preserve">тті беде себу, </w:t>
      </w:r>
      <w:r w:rsidR="00FE2FDB" w:rsidRPr="00457CE9">
        <w:rPr>
          <w:rFonts w:ascii="Times New Roman" w:hAnsi="Times New Roman"/>
          <w:sz w:val="28"/>
          <w:szCs w:val="28"/>
          <w:lang w:val="kk-KZ"/>
        </w:rPr>
        <w:t>өң</w:t>
      </w:r>
      <w:r w:rsidRPr="00457CE9">
        <w:rPr>
          <w:rFonts w:ascii="Times New Roman" w:hAnsi="Times New Roman"/>
          <w:sz w:val="28"/>
          <w:szCs w:val="28"/>
          <w:lang w:val="kk-KZ"/>
        </w:rPr>
        <w:t>деуді негіздеу).</w:t>
      </w:r>
      <w:r w:rsidR="000E1BAD" w:rsidRPr="00457CE9">
        <w:rPr>
          <w:rFonts w:ascii="Times New Roman" w:hAnsi="Times New Roman"/>
          <w:sz w:val="28"/>
          <w:szCs w:val="28"/>
          <w:lang w:val="kk-KZ"/>
        </w:rPr>
        <w:t xml:space="preserve"> </w:t>
      </w:r>
      <w:r w:rsidR="00CC3357" w:rsidRPr="00457CE9">
        <w:rPr>
          <w:rFonts w:ascii="Times New Roman" w:hAnsi="Times New Roman"/>
          <w:sz w:val="28"/>
          <w:szCs w:val="28"/>
          <w:lang w:val="kk-KZ"/>
        </w:rPr>
        <w:t xml:space="preserve"> </w:t>
      </w:r>
    </w:p>
    <w:p w14:paraId="618C9DB5" w14:textId="53FFC754" w:rsidR="00EC75C1" w:rsidRPr="00457CE9" w:rsidRDefault="00EC75C1"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116 «Қазақстан Республикасы Үкіметінің шұғыл шығындарға арналған резерві есебінен іс-шараларды өткізуге мемлекеттік басқарудың басқа деңгейлеріне берілетін трансферттер» деп аталатын бюджет бағдарламасының мақсаты Қызылорда облысының Ауыл шаруашылығы құрылымдарына және Маңғыстау облысының Ауыл шаруашылығы құрылымдары мен халық шаруашылықтарына ауыл шаруашылығы жануарларының аналық басын ұстауға арналған жемшөп құнын қора кезеңіне ішінара өтеу, асыл тұқымды мал шаруашылығын дамытуды, мал шаруашылығы өнімінің өнімділігі мен сапасын арттыруды субсидиялау деп анықталған. Бағдарлама трансферттер түрінде аудару үшін шұғыл шығындарға Қазақстан Республикасы Үкіметінің резерві есебінен іс-шаралар өткізуге бағытталған:</w:t>
      </w:r>
    </w:p>
    <w:p w14:paraId="6A8B0763" w14:textId="253EC167" w:rsidR="00EC75C1" w:rsidRPr="00457CE9" w:rsidRDefault="00EC75C1"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Маңғыстау облысының бюджетіне ауыл шаруашылығы жануарларының аналық басын күтіп-бағуға арналған жемшөп құнын ауыл шаруашылығы құрылымдары мен халық шаруашылықтарына қора салу кезеңіне ішінара өтеуге;</w:t>
      </w:r>
    </w:p>
    <w:p w14:paraId="72A74A9C" w14:textId="6CA90ABF" w:rsidR="00EC75C1" w:rsidRPr="00457CE9" w:rsidRDefault="00EC75C1"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шаруашылығы құрылымдарына ауыл шаруашылығы жануарларының аналық басын ұстауға арналған азықтардың құнын Қызылорда облысының бюджетіне ішінара өтеуге;</w:t>
      </w:r>
    </w:p>
    <w:p w14:paraId="4B81D45A" w14:textId="7BFB8588" w:rsidR="00EC75C1" w:rsidRPr="00457CE9" w:rsidRDefault="00EC75C1"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облыс әкімдіктерінің бюджетіне асыл тұқымды мал шаруашылығын дамытуды, мал шаруашылығы өнімінің өнімділігі мен сапасын арттыруды субсидиялауға</w:t>
      </w:r>
      <w:r w:rsidR="00D87119" w:rsidRPr="00457CE9">
        <w:rPr>
          <w:rFonts w:ascii="Times New Roman" w:hAnsi="Times New Roman"/>
          <w:sz w:val="28"/>
          <w:szCs w:val="28"/>
          <w:lang w:val="kk-KZ"/>
        </w:rPr>
        <w:t xml:space="preserve"> [</w:t>
      </w:r>
      <w:r w:rsidR="00D0056B">
        <w:rPr>
          <w:rFonts w:ascii="Times New Roman" w:hAnsi="Times New Roman"/>
          <w:sz w:val="28"/>
          <w:szCs w:val="28"/>
          <w:lang w:val="kk-KZ"/>
        </w:rPr>
        <w:t>8</w:t>
      </w:r>
      <w:r w:rsidR="00F53193" w:rsidRPr="00F53193">
        <w:rPr>
          <w:rFonts w:ascii="Times New Roman" w:hAnsi="Times New Roman"/>
          <w:sz w:val="28"/>
          <w:szCs w:val="28"/>
          <w:lang w:val="kk-KZ"/>
        </w:rPr>
        <w:t>5</w:t>
      </w:r>
      <w:r w:rsidR="00D87119" w:rsidRPr="00457CE9">
        <w:rPr>
          <w:rFonts w:ascii="Times New Roman" w:hAnsi="Times New Roman"/>
          <w:sz w:val="28"/>
          <w:szCs w:val="28"/>
          <w:lang w:val="kk-KZ"/>
        </w:rPr>
        <w:t>]</w:t>
      </w:r>
      <w:r w:rsidRPr="00457CE9">
        <w:rPr>
          <w:rFonts w:ascii="Times New Roman" w:hAnsi="Times New Roman"/>
          <w:sz w:val="28"/>
          <w:szCs w:val="28"/>
          <w:lang w:val="kk-KZ"/>
        </w:rPr>
        <w:t>.</w:t>
      </w:r>
    </w:p>
    <w:p w14:paraId="286F24B7" w14:textId="5BECCDDC" w:rsidR="00557A56" w:rsidRPr="00457CE9" w:rsidRDefault="00557A56"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116 бюджет бағдарламасы бойынша іске асыру 2017 жылы 2638,9 млн. теңге немесе 0,76 пайыз бюджет қаражаты 99 пайызға игерілсе, 2019 жылы жалпы бюджет шығындарындағы үлес салмағы 17,1 пайызға дейін өскен. Және 2022 жылға дейін 1,85 пайызға дейін төмендеген. Бағдарламаны іске асырудан </w:t>
      </w:r>
      <w:r w:rsidRPr="00F15126">
        <w:rPr>
          <w:rFonts w:ascii="Times New Roman" w:hAnsi="Times New Roman" w:cs="Times New Roman"/>
          <w:sz w:val="28"/>
          <w:szCs w:val="28"/>
          <w:lang w:val="kk-KZ"/>
        </w:rPr>
        <w:t xml:space="preserve">ҚР </w:t>
      </w:r>
      <w:r w:rsidR="00F15126" w:rsidRPr="00F15126">
        <w:rPr>
          <w:rFonts w:ascii="Times New Roman" w:hAnsi="Times New Roman" w:cs="Times New Roman"/>
          <w:sz w:val="28"/>
          <w:szCs w:val="28"/>
          <w:lang w:val="kk-KZ"/>
        </w:rPr>
        <w:t>Стр</w:t>
      </w:r>
      <w:r w:rsidR="00F15126">
        <w:rPr>
          <w:rFonts w:ascii="Times New Roman" w:hAnsi="Times New Roman" w:cs="Times New Roman"/>
          <w:color w:val="000000"/>
          <w:sz w:val="28"/>
          <w:szCs w:val="28"/>
          <w:lang w:val="kk-KZ"/>
        </w:rPr>
        <w:t xml:space="preserve">атегиялық жоспарлау және реформалар агенттігі Ұлттық статистика бюросының </w:t>
      </w:r>
      <w:r w:rsidRPr="00457CE9">
        <w:rPr>
          <w:rFonts w:ascii="Times New Roman" w:hAnsi="Times New Roman" w:cs="Times New Roman"/>
          <w:sz w:val="28"/>
          <w:szCs w:val="28"/>
          <w:lang w:val="kk-KZ"/>
        </w:rPr>
        <w:t>алдын</w:t>
      </w:r>
      <w:r w:rsidR="00F15126">
        <w:rPr>
          <w:rFonts w:ascii="Times New Roman" w:hAnsi="Times New Roman" w:cs="Times New Roman"/>
          <w:sz w:val="28"/>
          <w:szCs w:val="28"/>
          <w:lang w:val="kk-KZ"/>
        </w:rPr>
        <w:t>-</w:t>
      </w:r>
      <w:r w:rsidRPr="00457CE9">
        <w:rPr>
          <w:rFonts w:ascii="Times New Roman" w:hAnsi="Times New Roman" w:cs="Times New Roman"/>
          <w:sz w:val="28"/>
          <w:szCs w:val="28"/>
          <w:lang w:val="kk-KZ"/>
        </w:rPr>
        <w:t>ала деректері бойынша 2022 жылғы 1 қаңтардағы жағдай</w:t>
      </w:r>
      <w:r w:rsidR="00F15126">
        <w:rPr>
          <w:rFonts w:ascii="Times New Roman" w:hAnsi="Times New Roman" w:cs="Times New Roman"/>
          <w:sz w:val="28"/>
          <w:szCs w:val="28"/>
          <w:lang w:val="kk-KZ"/>
        </w:rPr>
        <w:t>ы</w:t>
      </w:r>
      <w:r w:rsidRPr="00457CE9">
        <w:rPr>
          <w:rFonts w:ascii="Times New Roman" w:hAnsi="Times New Roman" w:cs="Times New Roman"/>
          <w:sz w:val="28"/>
          <w:szCs w:val="28"/>
          <w:lang w:val="kk-KZ"/>
        </w:rPr>
        <w:t xml:space="preserve"> бойынша агроқұрылымдардағы ірі қара малдың саны 7,9%-ға артып, 3900,5 мың басты, қойлар 8,3%-ға ұлғайып, 9179,9 мың басты, құстар 13,9%-ға өсіп, 35,7 млн.басты құрады деп жазған. Сою салмағындағы ет өндіру көлемі 11,2%-ға өсіп, 628,8 мың тоннаны, сүт 6,4%-ға</w:t>
      </w:r>
      <w:r w:rsidR="00F15126">
        <w:rPr>
          <w:rFonts w:ascii="Times New Roman" w:hAnsi="Times New Roman" w:cs="Times New Roman"/>
          <w:sz w:val="28"/>
          <w:szCs w:val="28"/>
          <w:lang w:val="kk-KZ"/>
        </w:rPr>
        <w:t xml:space="preserve"> өсіп</w:t>
      </w:r>
      <w:r w:rsidRPr="00457CE9">
        <w:rPr>
          <w:rFonts w:ascii="Times New Roman" w:hAnsi="Times New Roman" w:cs="Times New Roman"/>
          <w:sz w:val="28"/>
          <w:szCs w:val="28"/>
          <w:lang w:val="kk-KZ"/>
        </w:rPr>
        <w:t xml:space="preserve"> тиісінше 1801,1 мың тоннаны құрады деп атап өткен</w:t>
      </w:r>
      <w:r w:rsidR="001807D4" w:rsidRPr="00457CE9">
        <w:rPr>
          <w:rFonts w:ascii="Times New Roman" w:hAnsi="Times New Roman" w:cs="Times New Roman"/>
          <w:sz w:val="28"/>
          <w:szCs w:val="28"/>
          <w:lang w:val="kk-KZ"/>
        </w:rPr>
        <w:t xml:space="preserve"> [</w:t>
      </w:r>
      <w:r w:rsidR="00F53193" w:rsidRPr="00F53193">
        <w:rPr>
          <w:rFonts w:ascii="Times New Roman" w:hAnsi="Times New Roman" w:cs="Times New Roman"/>
          <w:sz w:val="28"/>
          <w:szCs w:val="28"/>
          <w:lang w:val="kk-KZ"/>
        </w:rPr>
        <w:t>83-97</w:t>
      </w:r>
      <w:r w:rsidR="001807D4"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p>
    <w:p w14:paraId="00C6BA82" w14:textId="27E9FA8D" w:rsidR="00EC75C1" w:rsidRPr="00457CE9" w:rsidRDefault="00557A56"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Агроқұрылымдардағы көрсеткіштер бойынша қорытынды деректер 2022 жылғы наурызда ҚР </w:t>
      </w:r>
      <w:r w:rsidR="00F15126">
        <w:rPr>
          <w:rFonts w:ascii="Times New Roman" w:hAnsi="Times New Roman" w:cs="Times New Roman"/>
          <w:color w:val="000000"/>
          <w:sz w:val="28"/>
          <w:szCs w:val="28"/>
          <w:lang w:val="kk-KZ"/>
        </w:rPr>
        <w:t xml:space="preserve">Стратегиялық жоспарлау және реформалар агенттігі Ұлттық статистика бюросы </w:t>
      </w:r>
      <w:r w:rsidRPr="00457CE9">
        <w:rPr>
          <w:rFonts w:ascii="Times New Roman" w:hAnsi="Times New Roman" w:cs="Times New Roman"/>
          <w:sz w:val="28"/>
          <w:szCs w:val="28"/>
          <w:lang w:val="kk-KZ"/>
        </w:rPr>
        <w:t xml:space="preserve">есептілігінің қорытындылары бойынша қалыптастырылатын болады. Осы мемлекеттік қолдау шарасы есебінен шаруашылық жүргізуші субъектілердің қаржылық жағдайы нығайып, жұмыс орындары сақталды деп жазған. Бұл бюджет бағдарламасын іске асырудан экономикалық, әлеуметтік және экологиялық күтілген әсері деп белгіленген. </w:t>
      </w:r>
    </w:p>
    <w:p w14:paraId="30F8BD24" w14:textId="77777777" w:rsidR="009F1583" w:rsidRPr="00457CE9" w:rsidRDefault="009F1583"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Ақмола облысына 2021 жылы </w:t>
      </w:r>
      <w:r w:rsidR="006316A4" w:rsidRPr="00457CE9">
        <w:rPr>
          <w:rFonts w:ascii="Times New Roman" w:hAnsi="Times New Roman" w:cs="Times New Roman"/>
          <w:sz w:val="28"/>
          <w:szCs w:val="28"/>
          <w:lang w:val="kk-KZ"/>
        </w:rPr>
        <w:t>5,0 млрд. теңге көлемінде бөлінген бюджет қаражаты жұмыс орындарын сақтауға, кәсіпорын қызметкерлеріне жалақыны уақытында және толық көлемде төлеуге мүмкіндік бер</w:t>
      </w:r>
      <w:r w:rsidRPr="00457CE9">
        <w:rPr>
          <w:rFonts w:ascii="Times New Roman" w:hAnsi="Times New Roman" w:cs="Times New Roman"/>
          <w:sz w:val="28"/>
          <w:szCs w:val="28"/>
          <w:lang w:val="kk-KZ"/>
        </w:rPr>
        <w:t>ген</w:t>
      </w:r>
      <w:r w:rsidR="006316A4" w:rsidRPr="00457CE9">
        <w:rPr>
          <w:rFonts w:ascii="Times New Roman" w:hAnsi="Times New Roman" w:cs="Times New Roman"/>
          <w:sz w:val="28"/>
          <w:szCs w:val="28"/>
          <w:lang w:val="kk-KZ"/>
        </w:rPr>
        <w:t xml:space="preserve">. Жалпы, 2021 жылдың қорытындысы бойынша негізгі капиталға инвестиция тарту 101,4 млрд.теңгені құрады, бұл 2020 жылдың көрсеткіштерінен 1,5 есе артық. Алынған субсидиялар есебінен кәсіпорындар кредиторлармен (жемшөп, ветеринариялық препараттарды жеткізушілермен) </w:t>
      </w:r>
      <w:r w:rsidRPr="00457CE9">
        <w:rPr>
          <w:rFonts w:ascii="Times New Roman" w:hAnsi="Times New Roman" w:cs="Times New Roman"/>
          <w:sz w:val="28"/>
          <w:szCs w:val="28"/>
          <w:lang w:val="kk-KZ"/>
        </w:rPr>
        <w:t>есеп айырысуға</w:t>
      </w:r>
      <w:r w:rsidR="006316A4" w:rsidRPr="00457CE9">
        <w:rPr>
          <w:rFonts w:ascii="Times New Roman" w:hAnsi="Times New Roman" w:cs="Times New Roman"/>
          <w:sz w:val="28"/>
          <w:szCs w:val="28"/>
          <w:lang w:val="kk-KZ"/>
        </w:rPr>
        <w:t>, тамақ жұмыртқасын өндіру үшін өндірістік қуаттарды жаңғырту</w:t>
      </w:r>
      <w:r w:rsidRPr="00457CE9">
        <w:rPr>
          <w:rFonts w:ascii="Times New Roman" w:hAnsi="Times New Roman" w:cs="Times New Roman"/>
          <w:sz w:val="28"/>
          <w:szCs w:val="28"/>
          <w:lang w:val="kk-KZ"/>
        </w:rPr>
        <w:t xml:space="preserve">ға септігін тигізген. </w:t>
      </w:r>
    </w:p>
    <w:p w14:paraId="6277D69B" w14:textId="4B50B8D6" w:rsidR="009F1583" w:rsidRPr="00457CE9" w:rsidRDefault="009F1583"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Алматы облысында ұйымдастырылған шаруашылықтардағы ІҚМ басының үлесі 50,1%–ды, тұқымдық түрлендіруге қатысатын ІҚМ аналық басының үлесі 42%-ды, ІҚМ аналық басының үлесі 53%-ды құраған. Облыс шаруашылықтарымен 9667 бас ІҚМ аналық басын, 228 шаруашылық 42610 бас қой сатып алды делінген. Облыста қуаттылығы 80 мың бас болатын 123 бордақылау алаңы жұмыс істейді. 2021 жылы қуаттылығы 8 мың басқа арналған 15 борда</w:t>
      </w:r>
      <w:r w:rsidR="00534E42"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ылау ала</w:t>
      </w:r>
      <w:r w:rsidR="00534E4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ы пайдалануға беріл</w:t>
      </w:r>
      <w:r w:rsidR="008C68C1" w:rsidRPr="00457CE9">
        <w:rPr>
          <w:rFonts w:ascii="Times New Roman" w:hAnsi="Times New Roman" w:cs="Times New Roman"/>
          <w:sz w:val="28"/>
          <w:szCs w:val="28"/>
          <w:lang w:val="kk-KZ"/>
        </w:rPr>
        <w:t>ген</w:t>
      </w:r>
      <w:r w:rsidRPr="00457CE9">
        <w:rPr>
          <w:rFonts w:ascii="Times New Roman" w:hAnsi="Times New Roman" w:cs="Times New Roman"/>
          <w:sz w:val="28"/>
          <w:szCs w:val="28"/>
          <w:lang w:val="kk-KZ"/>
        </w:rPr>
        <w:t xml:space="preserve">. 2022 жылы </w:t>
      </w:r>
      <w:r w:rsidR="00534E42"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уаттылығы 4,3 мы</w:t>
      </w:r>
      <w:r w:rsidR="00534E4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бас болатын 7 борда</w:t>
      </w:r>
      <w:r w:rsidR="00534E42"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ылау ала</w:t>
      </w:r>
      <w:r w:rsidR="00534E4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ын </w:t>
      </w:r>
      <w:r w:rsidR="00534E42"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ру жоспарлануда. Жыл сайын облыста 800 мы</w:t>
      </w:r>
      <w:r w:rsidR="00534E4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 с</w:t>
      </w:r>
      <w:r w:rsidR="00534E42"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 оны</w:t>
      </w:r>
      <w:r w:rsidR="00534E4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ішінде с</w:t>
      </w:r>
      <w:r w:rsidR="00534E42"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т-тауар фермалары – 116 мы</w:t>
      </w:r>
      <w:r w:rsidR="00534E4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 с</w:t>
      </w:r>
      <w:r w:rsidR="00534E42"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w:t>
      </w:r>
      <w:r w:rsidR="00534E42"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(14,5%) </w:t>
      </w:r>
      <w:r w:rsidR="008C68C1" w:rsidRPr="00457CE9">
        <w:rPr>
          <w:rFonts w:ascii="Times New Roman" w:hAnsi="Times New Roman" w:cs="Times New Roman"/>
          <w:sz w:val="28"/>
          <w:szCs w:val="28"/>
          <w:lang w:val="kk-KZ"/>
        </w:rPr>
        <w:t xml:space="preserve">өндіріледі. </w:t>
      </w:r>
      <w:r w:rsidRPr="00457CE9">
        <w:rPr>
          <w:rFonts w:ascii="Times New Roman" w:hAnsi="Times New Roman" w:cs="Times New Roman"/>
          <w:sz w:val="28"/>
          <w:szCs w:val="28"/>
          <w:lang w:val="kk-KZ"/>
        </w:rPr>
        <w:t>С</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 зауыттарын ж</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 xml:space="preserve">ктеу </w:t>
      </w:r>
      <w:r w:rsidR="00662D15"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шін 28 мы</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бас</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 арналған 87 с</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т-тауар фермасы ж</w:t>
      </w:r>
      <w:r w:rsidR="008C68C1"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мыс істейді. Ағымдағы жылы 2000 бас</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 арналған 5 с</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 xml:space="preserve">т-тауар фермасын </w:t>
      </w:r>
      <w:r w:rsidR="008C68C1"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ру жоспарлануда. 2025 жылға дейін 6300 бас</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а тағы 15 </w:t>
      </w:r>
      <w:r w:rsidR="008C68C1" w:rsidRPr="00457CE9">
        <w:rPr>
          <w:rFonts w:ascii="Times New Roman" w:hAnsi="Times New Roman" w:cs="Times New Roman"/>
          <w:sz w:val="28"/>
          <w:szCs w:val="28"/>
          <w:lang w:val="kk-KZ"/>
        </w:rPr>
        <w:t>сүт-тауар фермасын</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ру жоспарлануда (с</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тті</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болжамды к</w:t>
      </w:r>
      <w:r w:rsidR="008C68C1"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лемі - 50 мы</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 2021 жылы барлығы 6466 тонна ет экспортталды, оны</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ішінде сиыр еті – 20 тонна, </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ой еті – 232 тонна, </w:t>
      </w:r>
      <w:r w:rsidR="008C68C1"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с еті – 6214 тонна</w:t>
      </w:r>
      <w:r w:rsidR="00C95FCE">
        <w:rPr>
          <w:rFonts w:ascii="Times New Roman" w:hAnsi="Times New Roman" w:cs="Times New Roman"/>
          <w:sz w:val="28"/>
          <w:szCs w:val="28"/>
          <w:lang w:val="kk-KZ"/>
        </w:rPr>
        <w:t xml:space="preserve"> </w:t>
      </w:r>
      <w:r w:rsidR="001807D4" w:rsidRPr="00457CE9">
        <w:rPr>
          <w:rFonts w:ascii="Times New Roman" w:hAnsi="Times New Roman" w:cs="Times New Roman"/>
          <w:sz w:val="28"/>
          <w:szCs w:val="28"/>
          <w:lang w:val="kk-KZ"/>
        </w:rPr>
        <w:t>[</w:t>
      </w:r>
      <w:r w:rsidR="00F53193" w:rsidRPr="00F53193">
        <w:rPr>
          <w:rFonts w:ascii="Times New Roman" w:hAnsi="Times New Roman" w:cs="Times New Roman"/>
          <w:sz w:val="28"/>
          <w:szCs w:val="28"/>
          <w:lang w:val="kk-KZ"/>
        </w:rPr>
        <w:t>94</w:t>
      </w:r>
      <w:r w:rsidR="001807D4"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r w:rsidR="00AE657E"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Тауар </w:t>
      </w:r>
      <w:r w:rsidR="008C68C1"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ндірушілерге 3000,0 млн. те</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ге к</w:t>
      </w:r>
      <w:r w:rsidR="008C68C1"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лемінде субсидиялар беру жалпы мал шаруашылығы саласын дамытуға о</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ә</w:t>
      </w:r>
      <w:r w:rsidRPr="00457CE9">
        <w:rPr>
          <w:rFonts w:ascii="Times New Roman" w:hAnsi="Times New Roman" w:cs="Times New Roman"/>
          <w:sz w:val="28"/>
          <w:szCs w:val="28"/>
          <w:lang w:val="kk-KZ"/>
        </w:rPr>
        <w:t>сер етті, сондай-а</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йымдас</w:t>
      </w:r>
      <w:r w:rsidR="00AE657E"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ан шаруашылы</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тарда мал басыны</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лғаюына, сондай-а</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асыл т</w:t>
      </w:r>
      <w:r w:rsidR="008C68C1" w:rsidRPr="00457CE9">
        <w:rPr>
          <w:rFonts w:ascii="Times New Roman" w:hAnsi="Times New Roman" w:cs="Times New Roman"/>
          <w:sz w:val="28"/>
          <w:szCs w:val="28"/>
          <w:lang w:val="kk-KZ"/>
        </w:rPr>
        <w:t>ұқ</w:t>
      </w:r>
      <w:r w:rsidRPr="00457CE9">
        <w:rPr>
          <w:rFonts w:ascii="Times New Roman" w:hAnsi="Times New Roman" w:cs="Times New Roman"/>
          <w:sz w:val="28"/>
          <w:szCs w:val="28"/>
          <w:lang w:val="kk-KZ"/>
        </w:rPr>
        <w:t>ымды мал басыны</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лес салмағыны</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ж</w:t>
      </w:r>
      <w:r w:rsidR="008C68C1" w:rsidRPr="00457CE9">
        <w:rPr>
          <w:rFonts w:ascii="Times New Roman" w:hAnsi="Times New Roman" w:cs="Times New Roman"/>
          <w:sz w:val="28"/>
          <w:szCs w:val="28"/>
          <w:lang w:val="kk-KZ"/>
        </w:rPr>
        <w:t>ә</w:t>
      </w:r>
      <w:r w:rsidRPr="00457CE9">
        <w:rPr>
          <w:rFonts w:ascii="Times New Roman" w:hAnsi="Times New Roman" w:cs="Times New Roman"/>
          <w:sz w:val="28"/>
          <w:szCs w:val="28"/>
          <w:lang w:val="kk-KZ"/>
        </w:rPr>
        <w:t xml:space="preserve">не мал шаруашылығы </w:t>
      </w:r>
      <w:r w:rsidR="008C68C1"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німін </w:t>
      </w:r>
      <w:r w:rsidR="008C68C1"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ндіру к</w:t>
      </w:r>
      <w:r w:rsidR="008C68C1"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леміні</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лғаюына ы</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пал етті. Шаруашылы</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ж</w:t>
      </w:r>
      <w:r w:rsidR="008C68C1"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ргізуші субъектілерді</w:t>
      </w:r>
      <w:r w:rsidR="008C68C1"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аржылы</w:t>
      </w:r>
      <w:r w:rsidR="008C68C1"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жағдайы нығайды</w:t>
      </w:r>
      <w:r w:rsidR="008C68C1" w:rsidRPr="00457CE9">
        <w:rPr>
          <w:rFonts w:ascii="Times New Roman" w:hAnsi="Times New Roman" w:cs="Times New Roman"/>
          <w:sz w:val="28"/>
          <w:szCs w:val="28"/>
          <w:lang w:val="kk-KZ"/>
        </w:rPr>
        <w:t xml:space="preserve"> деп жазылған</w:t>
      </w:r>
      <w:r w:rsidRPr="00457CE9">
        <w:rPr>
          <w:rFonts w:ascii="Times New Roman" w:hAnsi="Times New Roman" w:cs="Times New Roman"/>
          <w:sz w:val="28"/>
          <w:szCs w:val="28"/>
          <w:lang w:val="kk-KZ"/>
        </w:rPr>
        <w:t xml:space="preserve">. </w:t>
      </w:r>
    </w:p>
    <w:p w14:paraId="36F7A8D0" w14:textId="7E8CCE5A" w:rsidR="00AE657E" w:rsidRPr="00457CE9" w:rsidRDefault="00AE657E"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Шығыс Қазақстан облысындағы тауар өндірушілерге субсидия беру оң экономикалық әсер етті. Мал шаруашылығы саласында мемлекеттік қолдау шаралары есебінен 400-ден астам жұмыс орны құрылды. Бюджеттік бағдарламаның түпкілікті нәтижесі асыл тұқымды ІҚМ үлесін 0,2%-ға ұлғайту </w:t>
      </w:r>
      <w:r w:rsidR="006C4030">
        <w:rPr>
          <w:rFonts w:ascii="Times New Roman" w:hAnsi="Times New Roman" w:cs="Times New Roman"/>
          <w:sz w:val="28"/>
          <w:szCs w:val="28"/>
          <w:lang w:val="kk-KZ"/>
        </w:rPr>
        <w:t>жоспарланса</w:t>
      </w:r>
      <w:r w:rsidRPr="00457CE9">
        <w:rPr>
          <w:rFonts w:ascii="Times New Roman" w:hAnsi="Times New Roman" w:cs="Times New Roman"/>
          <w:sz w:val="28"/>
          <w:szCs w:val="28"/>
          <w:lang w:val="kk-KZ"/>
        </w:rPr>
        <w:t>,</w:t>
      </w:r>
      <w:r w:rsidR="006C4030">
        <w:rPr>
          <w:rFonts w:ascii="Times New Roman" w:hAnsi="Times New Roman" w:cs="Times New Roman"/>
          <w:sz w:val="28"/>
          <w:szCs w:val="28"/>
          <w:lang w:val="kk-KZ"/>
        </w:rPr>
        <w:t xml:space="preserve"> нақты</w:t>
      </w:r>
      <w:r w:rsidRPr="00457CE9">
        <w:rPr>
          <w:rFonts w:ascii="Times New Roman" w:hAnsi="Times New Roman" w:cs="Times New Roman"/>
          <w:sz w:val="28"/>
          <w:szCs w:val="28"/>
          <w:lang w:val="kk-KZ"/>
        </w:rPr>
        <w:t xml:space="preserve"> 0,7%-ға </w:t>
      </w:r>
      <w:r w:rsidR="006C4030">
        <w:rPr>
          <w:rFonts w:ascii="Times New Roman" w:hAnsi="Times New Roman" w:cs="Times New Roman"/>
          <w:sz w:val="28"/>
          <w:szCs w:val="28"/>
          <w:lang w:val="kk-KZ"/>
        </w:rPr>
        <w:t>дейін</w:t>
      </w:r>
      <w:r w:rsidRPr="00457CE9">
        <w:rPr>
          <w:rFonts w:ascii="Times New Roman" w:hAnsi="Times New Roman" w:cs="Times New Roman"/>
          <w:sz w:val="28"/>
          <w:szCs w:val="28"/>
          <w:lang w:val="kk-KZ"/>
        </w:rPr>
        <w:t xml:space="preserve"> жеткізілді, ұсақ малдың асыл тұқымды мал басы – 10,9%-ға</w:t>
      </w:r>
      <w:r w:rsidR="006C4030">
        <w:rPr>
          <w:rFonts w:ascii="Times New Roman" w:hAnsi="Times New Roman" w:cs="Times New Roman"/>
          <w:sz w:val="28"/>
          <w:szCs w:val="28"/>
          <w:lang w:val="kk-KZ"/>
        </w:rPr>
        <w:t xml:space="preserve"> деп жоспарланса</w:t>
      </w:r>
      <w:r w:rsidRPr="00457CE9">
        <w:rPr>
          <w:rFonts w:ascii="Times New Roman" w:hAnsi="Times New Roman" w:cs="Times New Roman"/>
          <w:sz w:val="28"/>
          <w:szCs w:val="28"/>
          <w:lang w:val="kk-KZ"/>
        </w:rPr>
        <w:t>,</w:t>
      </w:r>
      <w:r w:rsidR="006C4030">
        <w:rPr>
          <w:rFonts w:ascii="Times New Roman" w:hAnsi="Times New Roman" w:cs="Times New Roman"/>
          <w:sz w:val="28"/>
          <w:szCs w:val="28"/>
          <w:lang w:val="kk-KZ"/>
        </w:rPr>
        <w:t xml:space="preserve"> нақты</w:t>
      </w:r>
      <w:r w:rsidRPr="00457CE9">
        <w:rPr>
          <w:rFonts w:ascii="Times New Roman" w:hAnsi="Times New Roman" w:cs="Times New Roman"/>
          <w:sz w:val="28"/>
          <w:szCs w:val="28"/>
          <w:lang w:val="kk-KZ"/>
        </w:rPr>
        <w:t xml:space="preserve"> 1,9%</w:t>
      </w:r>
      <w:r w:rsidR="002B71EB"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ға қол жеткізілді.</w:t>
      </w:r>
    </w:p>
    <w:p w14:paraId="736BD057" w14:textId="671E4908" w:rsidR="00AE657E" w:rsidRPr="00457CE9" w:rsidRDefault="00AE657E"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Қостанай облысына 2021 жылы осы бағдарлама аясында 558,0 млн. теңге бөлінген, олар толық көлемде игерілген. Бөлінген қаражат есебінен 17 ауыл шаруашылығы тауарын өндірушіге 18150 тонна көлемінде сүт өндіру құнын арзандату, оның ішінде, 225,0 млн. теңге сомасына 5000 тонна көлемінде 600 бас жемдік </w:t>
      </w:r>
      <w:r w:rsidR="00CD3D4F" w:rsidRPr="00457CE9">
        <w:rPr>
          <w:rFonts w:ascii="Times New Roman" w:hAnsi="Times New Roman" w:cs="Times New Roman"/>
          <w:sz w:val="28"/>
          <w:szCs w:val="28"/>
          <w:lang w:val="kk-KZ"/>
        </w:rPr>
        <w:t xml:space="preserve">сиыр </w:t>
      </w:r>
      <w:r w:rsidRPr="00457CE9">
        <w:rPr>
          <w:rFonts w:ascii="Times New Roman" w:hAnsi="Times New Roman" w:cs="Times New Roman"/>
          <w:sz w:val="28"/>
          <w:szCs w:val="28"/>
          <w:lang w:val="kk-KZ"/>
        </w:rPr>
        <w:t xml:space="preserve">басы бар </w:t>
      </w:r>
      <w:r w:rsidR="00CD3D4F" w:rsidRPr="00457CE9">
        <w:rPr>
          <w:rFonts w:ascii="Times New Roman" w:hAnsi="Times New Roman" w:cs="Times New Roman"/>
          <w:sz w:val="28"/>
          <w:szCs w:val="28"/>
          <w:lang w:val="kk-KZ"/>
        </w:rPr>
        <w:t xml:space="preserve">3 </w:t>
      </w:r>
      <w:r w:rsidRPr="00457CE9">
        <w:rPr>
          <w:rFonts w:ascii="Times New Roman" w:hAnsi="Times New Roman" w:cs="Times New Roman"/>
          <w:sz w:val="28"/>
          <w:szCs w:val="28"/>
          <w:lang w:val="kk-KZ"/>
        </w:rPr>
        <w:t xml:space="preserve">шаруашылық, </w:t>
      </w:r>
      <w:r w:rsidR="00CD3D4F" w:rsidRPr="00457CE9">
        <w:rPr>
          <w:rFonts w:ascii="Times New Roman" w:hAnsi="Times New Roman" w:cs="Times New Roman"/>
          <w:sz w:val="28"/>
          <w:szCs w:val="28"/>
          <w:lang w:val="kk-KZ"/>
        </w:rPr>
        <w:t xml:space="preserve">жемдік </w:t>
      </w:r>
      <w:r w:rsidRPr="00457CE9">
        <w:rPr>
          <w:rFonts w:ascii="Times New Roman" w:hAnsi="Times New Roman" w:cs="Times New Roman"/>
          <w:sz w:val="28"/>
          <w:szCs w:val="28"/>
          <w:lang w:val="kk-KZ"/>
        </w:rPr>
        <w:t xml:space="preserve">сиыр басы 400 бастан басталатын 6 шаруашылық 210,0 млн. теңге сомасына 7000 тонна </w:t>
      </w:r>
      <w:r w:rsidR="00CD3D4F" w:rsidRPr="00457CE9">
        <w:rPr>
          <w:rFonts w:ascii="Times New Roman" w:hAnsi="Times New Roman" w:cs="Times New Roman"/>
          <w:sz w:val="28"/>
          <w:szCs w:val="28"/>
          <w:lang w:val="kk-KZ"/>
        </w:rPr>
        <w:t>сүт</w:t>
      </w:r>
      <w:r w:rsidRPr="00457CE9">
        <w:rPr>
          <w:rFonts w:ascii="Times New Roman" w:hAnsi="Times New Roman" w:cs="Times New Roman"/>
          <w:sz w:val="28"/>
          <w:szCs w:val="28"/>
          <w:lang w:val="kk-KZ"/>
        </w:rPr>
        <w:t>, 123,0 млн. теңге сомасына 6150 тонна көлемінде 8 ауыл шаруашылығы кооперативі</w:t>
      </w:r>
      <w:r w:rsidR="00CD3D4F" w:rsidRPr="00457CE9">
        <w:rPr>
          <w:rFonts w:ascii="Times New Roman" w:hAnsi="Times New Roman" w:cs="Times New Roman"/>
          <w:sz w:val="28"/>
          <w:szCs w:val="28"/>
          <w:lang w:val="kk-KZ"/>
        </w:rPr>
        <w:t xml:space="preserve"> субсидияланды</w:t>
      </w:r>
      <w:r w:rsidRPr="00457CE9">
        <w:rPr>
          <w:rFonts w:ascii="Times New Roman" w:hAnsi="Times New Roman" w:cs="Times New Roman"/>
          <w:sz w:val="28"/>
          <w:szCs w:val="28"/>
          <w:lang w:val="kk-KZ"/>
        </w:rPr>
        <w:t>. Облыс бойынша статистикалы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деректерге с</w:t>
      </w:r>
      <w:r w:rsidR="00CD3D4F" w:rsidRPr="00457CE9">
        <w:rPr>
          <w:rFonts w:ascii="Times New Roman" w:hAnsi="Times New Roman" w:cs="Times New Roman"/>
          <w:sz w:val="28"/>
          <w:szCs w:val="28"/>
          <w:lang w:val="kk-KZ"/>
        </w:rPr>
        <w:t>ә</w:t>
      </w:r>
      <w:r w:rsidRPr="00457CE9">
        <w:rPr>
          <w:rFonts w:ascii="Times New Roman" w:hAnsi="Times New Roman" w:cs="Times New Roman"/>
          <w:sz w:val="28"/>
          <w:szCs w:val="28"/>
          <w:lang w:val="kk-KZ"/>
        </w:rPr>
        <w:t>йкес ағымдағы жылды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1 </w:t>
      </w:r>
      <w:r w:rsidR="00CD3D4F" w:rsidRPr="00457CE9">
        <w:rPr>
          <w:rFonts w:ascii="Times New Roman" w:hAnsi="Times New Roman" w:cs="Times New Roman"/>
          <w:sz w:val="28"/>
          <w:szCs w:val="28"/>
          <w:lang w:val="kk-KZ"/>
        </w:rPr>
        <w:t>қаң</w:t>
      </w:r>
      <w:r w:rsidRPr="00457CE9">
        <w:rPr>
          <w:rFonts w:ascii="Times New Roman" w:hAnsi="Times New Roman" w:cs="Times New Roman"/>
          <w:sz w:val="28"/>
          <w:szCs w:val="28"/>
          <w:lang w:val="kk-KZ"/>
        </w:rPr>
        <w:t>тарына с</w:t>
      </w:r>
      <w:r w:rsidR="00CD3D4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тті бағыттағы І</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М саны 331,0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басты </w:t>
      </w:r>
      <w:r w:rsidR="00CD3D4F"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 xml:space="preserve">райды,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ткен жылмен салыстырғанда 9,3%-ға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сті (2021 жылды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1 </w:t>
      </w:r>
      <w:r w:rsidR="00CD3D4F" w:rsidRPr="00457CE9">
        <w:rPr>
          <w:rFonts w:ascii="Times New Roman" w:hAnsi="Times New Roman" w:cs="Times New Roman"/>
          <w:sz w:val="28"/>
          <w:szCs w:val="28"/>
          <w:lang w:val="kk-KZ"/>
        </w:rPr>
        <w:t>қаң</w:t>
      </w:r>
      <w:r w:rsidRPr="00457CE9">
        <w:rPr>
          <w:rFonts w:ascii="Times New Roman" w:hAnsi="Times New Roman" w:cs="Times New Roman"/>
          <w:sz w:val="28"/>
          <w:szCs w:val="28"/>
          <w:lang w:val="kk-KZ"/>
        </w:rPr>
        <w:t>тарына 364,7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басты </w:t>
      </w:r>
      <w:r w:rsidR="00CD3D4F"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рады), оны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ішінде 180,2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бас сиыр (2021 жылды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1 </w:t>
      </w:r>
      <w:r w:rsidR="00CD3D4F" w:rsidRPr="00457CE9">
        <w:rPr>
          <w:rFonts w:ascii="Times New Roman" w:hAnsi="Times New Roman" w:cs="Times New Roman"/>
          <w:sz w:val="28"/>
          <w:szCs w:val="28"/>
          <w:lang w:val="kk-KZ"/>
        </w:rPr>
        <w:t>қаң</w:t>
      </w:r>
      <w:r w:rsidRPr="00457CE9">
        <w:rPr>
          <w:rFonts w:ascii="Times New Roman" w:hAnsi="Times New Roman" w:cs="Times New Roman"/>
          <w:sz w:val="28"/>
          <w:szCs w:val="28"/>
          <w:lang w:val="kk-KZ"/>
        </w:rPr>
        <w:t>тарына 180,8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басты </w:t>
      </w:r>
      <w:r w:rsidR="00CD3D4F"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рады)</w:t>
      </w:r>
      <w:r w:rsidR="0039678E" w:rsidRPr="00457CE9">
        <w:rPr>
          <w:rFonts w:ascii="Times New Roman" w:hAnsi="Times New Roman" w:cs="Times New Roman"/>
          <w:sz w:val="28"/>
          <w:szCs w:val="28"/>
          <w:lang w:val="kk-KZ"/>
        </w:rPr>
        <w:t xml:space="preserve"> [</w:t>
      </w:r>
      <w:r w:rsidR="00DD0FCE" w:rsidRPr="00DD0FCE">
        <w:rPr>
          <w:rFonts w:ascii="Times New Roman" w:hAnsi="Times New Roman" w:cs="Times New Roman"/>
          <w:sz w:val="28"/>
          <w:szCs w:val="28"/>
          <w:lang w:val="kk-KZ"/>
        </w:rPr>
        <w:t>95</w:t>
      </w:r>
      <w:r w:rsidR="0039678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0A249DEF" w14:textId="3C16D4C0" w:rsidR="00AE657E" w:rsidRPr="00457CE9" w:rsidRDefault="00AE657E"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2022 жылғы 1 </w:t>
      </w:r>
      <w:r w:rsidR="00CD3D4F" w:rsidRPr="00457CE9">
        <w:rPr>
          <w:rFonts w:ascii="Times New Roman" w:hAnsi="Times New Roman" w:cs="Times New Roman"/>
          <w:sz w:val="28"/>
          <w:szCs w:val="28"/>
          <w:lang w:val="kk-KZ"/>
        </w:rPr>
        <w:t>қаң</w:t>
      </w:r>
      <w:r w:rsidRPr="00457CE9">
        <w:rPr>
          <w:rFonts w:ascii="Times New Roman" w:hAnsi="Times New Roman" w:cs="Times New Roman"/>
          <w:sz w:val="28"/>
          <w:szCs w:val="28"/>
          <w:lang w:val="kk-KZ"/>
        </w:rPr>
        <w:t>тарға шаруашылы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тарды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барлы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санаттарында с</w:t>
      </w:r>
      <w:r w:rsidR="00CD3D4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 xml:space="preserve">т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ндірісі 435,4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тоннаны </w:t>
      </w:r>
      <w:r w:rsidR="00CD3D4F"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 xml:space="preserve">рады,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ткен жылмен салыстырғанда 2%-ға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сті (2021 жылғы 1 </w:t>
      </w:r>
      <w:r w:rsidR="00CD3D4F" w:rsidRPr="00457CE9">
        <w:rPr>
          <w:rFonts w:ascii="Times New Roman" w:hAnsi="Times New Roman" w:cs="Times New Roman"/>
          <w:sz w:val="28"/>
          <w:szCs w:val="28"/>
          <w:lang w:val="kk-KZ"/>
        </w:rPr>
        <w:t>қаң</w:t>
      </w:r>
      <w:r w:rsidRPr="00457CE9">
        <w:rPr>
          <w:rFonts w:ascii="Times New Roman" w:hAnsi="Times New Roman" w:cs="Times New Roman"/>
          <w:sz w:val="28"/>
          <w:szCs w:val="28"/>
          <w:lang w:val="kk-KZ"/>
        </w:rPr>
        <w:t>тарға 426,9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 оны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ішінде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ндірістік секторда 111,7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 2,3%-ға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сті (2021 жылғы 1 </w:t>
      </w:r>
      <w:r w:rsidR="00CD3D4F" w:rsidRPr="00457CE9">
        <w:rPr>
          <w:rFonts w:ascii="Times New Roman" w:hAnsi="Times New Roman" w:cs="Times New Roman"/>
          <w:sz w:val="28"/>
          <w:szCs w:val="28"/>
          <w:lang w:val="kk-KZ"/>
        </w:rPr>
        <w:t>қаң</w:t>
      </w:r>
      <w:r w:rsidRPr="00457CE9">
        <w:rPr>
          <w:rFonts w:ascii="Times New Roman" w:hAnsi="Times New Roman" w:cs="Times New Roman"/>
          <w:sz w:val="28"/>
          <w:szCs w:val="28"/>
          <w:lang w:val="kk-KZ"/>
        </w:rPr>
        <w:t>тарға 109,2 мы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w:t>
      </w:r>
      <w:r w:rsidR="001807D4" w:rsidRPr="00457CE9">
        <w:rPr>
          <w:rFonts w:ascii="Times New Roman" w:hAnsi="Times New Roman" w:cs="Times New Roman"/>
          <w:sz w:val="28"/>
          <w:szCs w:val="28"/>
          <w:lang w:val="kk-KZ"/>
        </w:rPr>
        <w:t xml:space="preserve"> [</w:t>
      </w:r>
      <w:r w:rsidR="00DD0FCE" w:rsidRPr="00DD0FCE">
        <w:rPr>
          <w:rFonts w:ascii="Times New Roman" w:hAnsi="Times New Roman" w:cs="Times New Roman"/>
          <w:sz w:val="28"/>
          <w:szCs w:val="28"/>
          <w:lang w:val="kk-KZ"/>
        </w:rPr>
        <w:t>96</w:t>
      </w:r>
      <w:r w:rsidR="001807D4" w:rsidRPr="00457CE9">
        <w:rPr>
          <w:rFonts w:ascii="Times New Roman" w:hAnsi="Times New Roman" w:cs="Times New Roman"/>
          <w:sz w:val="28"/>
          <w:szCs w:val="28"/>
          <w:lang w:val="kk-KZ"/>
        </w:rPr>
        <w:t>]</w:t>
      </w:r>
      <w:r w:rsidR="00CD3D4F" w:rsidRPr="00457CE9">
        <w:rPr>
          <w:rFonts w:ascii="Times New Roman" w:hAnsi="Times New Roman" w:cs="Times New Roman"/>
          <w:sz w:val="28"/>
          <w:szCs w:val="28"/>
          <w:lang w:val="kk-KZ"/>
        </w:rPr>
        <w:t>.</w:t>
      </w:r>
    </w:p>
    <w:p w14:paraId="4FB6A321" w14:textId="01CE6A01" w:rsidR="00AE657E" w:rsidRPr="00457CE9" w:rsidRDefault="00AE657E"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2021 жылы 400 бас</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 1 с</w:t>
      </w:r>
      <w:r w:rsidR="00CD3D4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т-тауар фермасы, 200 бас</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 1 с</w:t>
      </w:r>
      <w:r w:rsidR="00CD3D4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т-тауар фермасы, 2 отбасылы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с</w:t>
      </w:r>
      <w:r w:rsidR="00CD3D4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т-тауар фермасы (100 бас</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 1 ж</w:t>
      </w:r>
      <w:r w:rsidR="00CD3D4F" w:rsidRPr="00457CE9">
        <w:rPr>
          <w:rFonts w:ascii="Times New Roman" w:hAnsi="Times New Roman" w:cs="Times New Roman"/>
          <w:sz w:val="28"/>
          <w:szCs w:val="28"/>
          <w:lang w:val="kk-KZ"/>
        </w:rPr>
        <w:t>ә</w:t>
      </w:r>
      <w:r w:rsidRPr="00457CE9">
        <w:rPr>
          <w:rFonts w:ascii="Times New Roman" w:hAnsi="Times New Roman" w:cs="Times New Roman"/>
          <w:sz w:val="28"/>
          <w:szCs w:val="28"/>
          <w:lang w:val="kk-KZ"/>
        </w:rPr>
        <w:t>не 50 бас</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 1)</w:t>
      </w:r>
      <w:r w:rsidR="00CD3D4F"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пайдалануға беріл</w:t>
      </w:r>
      <w:r w:rsidR="00CD3D4F" w:rsidRPr="00457CE9">
        <w:rPr>
          <w:rFonts w:ascii="Times New Roman" w:hAnsi="Times New Roman" w:cs="Times New Roman"/>
          <w:sz w:val="28"/>
          <w:szCs w:val="28"/>
          <w:lang w:val="kk-KZ"/>
        </w:rPr>
        <w:t xml:space="preserve">ген. </w:t>
      </w:r>
      <w:r w:rsidRPr="00457CE9">
        <w:rPr>
          <w:rFonts w:ascii="Times New Roman" w:hAnsi="Times New Roman" w:cs="Times New Roman"/>
          <w:sz w:val="28"/>
          <w:szCs w:val="28"/>
          <w:lang w:val="kk-KZ"/>
        </w:rPr>
        <w:t>Субсидиялар беру мал шаруашылығы саласыны</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дамуына о</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экономикалы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w:t>
      </w:r>
      <w:r w:rsidR="00CD3D4F" w:rsidRPr="00457CE9">
        <w:rPr>
          <w:rFonts w:ascii="Times New Roman" w:hAnsi="Times New Roman" w:cs="Times New Roman"/>
          <w:sz w:val="28"/>
          <w:szCs w:val="28"/>
          <w:lang w:val="kk-KZ"/>
        </w:rPr>
        <w:t>ә</w:t>
      </w:r>
      <w:r w:rsidRPr="00457CE9">
        <w:rPr>
          <w:rFonts w:ascii="Times New Roman" w:hAnsi="Times New Roman" w:cs="Times New Roman"/>
          <w:sz w:val="28"/>
          <w:szCs w:val="28"/>
          <w:lang w:val="kk-KZ"/>
        </w:rPr>
        <w:t xml:space="preserve">сер етті, мал шаруашылығы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німдерін </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ндіру к</w:t>
      </w:r>
      <w:r w:rsidR="00CD3D4F"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леміні</w:t>
      </w:r>
      <w:r w:rsidR="00CD3D4F"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w:t>
      </w:r>
      <w:r w:rsidR="00CD3D4F"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лғаюына 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пал етті, шаруашылы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ж</w:t>
      </w:r>
      <w:r w:rsidR="00CD3D4F"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ргізуші субъектілерді</w:t>
      </w:r>
      <w:r w:rsidR="00CD3D4F" w:rsidRPr="00457CE9">
        <w:rPr>
          <w:rFonts w:ascii="Times New Roman" w:hAnsi="Times New Roman" w:cs="Times New Roman"/>
          <w:sz w:val="28"/>
          <w:szCs w:val="28"/>
          <w:lang w:val="kk-KZ"/>
        </w:rPr>
        <w:t>ң қ</w:t>
      </w:r>
      <w:r w:rsidRPr="00457CE9">
        <w:rPr>
          <w:rFonts w:ascii="Times New Roman" w:hAnsi="Times New Roman" w:cs="Times New Roman"/>
          <w:sz w:val="28"/>
          <w:szCs w:val="28"/>
          <w:lang w:val="kk-KZ"/>
        </w:rPr>
        <w:t>аржылы</w:t>
      </w:r>
      <w:r w:rsidR="00CD3D4F"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 жағдайы нығайды</w:t>
      </w:r>
      <w:r w:rsidR="00CD3D4F" w:rsidRPr="00457CE9">
        <w:rPr>
          <w:rFonts w:ascii="Times New Roman" w:hAnsi="Times New Roman" w:cs="Times New Roman"/>
          <w:sz w:val="28"/>
          <w:szCs w:val="28"/>
          <w:lang w:val="kk-KZ"/>
        </w:rPr>
        <w:t xml:space="preserve"> деп жазылған</w:t>
      </w:r>
      <w:r w:rsidRPr="00457CE9">
        <w:rPr>
          <w:rFonts w:ascii="Times New Roman" w:hAnsi="Times New Roman" w:cs="Times New Roman"/>
          <w:sz w:val="28"/>
          <w:szCs w:val="28"/>
          <w:lang w:val="kk-KZ"/>
        </w:rPr>
        <w:t>.</w:t>
      </w:r>
    </w:p>
    <w:p w14:paraId="56276FC7" w14:textId="4F731959" w:rsidR="00CD3D4F" w:rsidRPr="00457CE9" w:rsidRDefault="00CD3D4F"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Солтүстік Қазақстан облысына бөлінген қаражат есебінен облыстың 31 АШТӨ сүт үндіру құнын 17500 тонна көлемінде арзандату субсидияланды, оның ішінде: 600 бас сиыры бар 7 шаруашылықта 6000 тонна сүт көлемінде (норматив 45 теңге), 24 ауыл шаруашылығы кооперативіне 11000 тонна көлемінде (норматив 20 теңге). Бюджеттік ба</w:t>
      </w:r>
      <w:r w:rsidR="00931432"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дарламаны жоспарлау кезінде түпкілікті н</w:t>
      </w:r>
      <w:r w:rsidR="00931432" w:rsidRPr="00457CE9">
        <w:rPr>
          <w:rFonts w:ascii="Times New Roman" w:hAnsi="Times New Roman" w:cs="Times New Roman"/>
          <w:sz w:val="28"/>
          <w:szCs w:val="28"/>
          <w:lang w:val="kk-KZ"/>
        </w:rPr>
        <w:t>ә</w:t>
      </w:r>
      <w:r w:rsidRPr="00457CE9">
        <w:rPr>
          <w:rFonts w:ascii="Times New Roman" w:hAnsi="Times New Roman" w:cs="Times New Roman"/>
          <w:sz w:val="28"/>
          <w:szCs w:val="28"/>
          <w:lang w:val="kk-KZ"/>
        </w:rPr>
        <w:t>тиже облыстың агроқұрылымдарында (ауыл шаруашылығы кәсіпорындары мен шаруа-фермер қожалықтарында) 2020 жылғы деңгейге қарағанда 2021 жылы сүт өндіру көлемін 5%-ға ұлғайту көзделді, нақты өсім 12,8%-ды құра</w:t>
      </w:r>
      <w:r w:rsidR="00931432" w:rsidRPr="00457CE9">
        <w:rPr>
          <w:rFonts w:ascii="Times New Roman" w:hAnsi="Times New Roman" w:cs="Times New Roman"/>
          <w:sz w:val="28"/>
          <w:szCs w:val="28"/>
          <w:lang w:val="kk-KZ"/>
        </w:rPr>
        <w:t>ған</w:t>
      </w:r>
      <w:r w:rsidRPr="00457CE9">
        <w:rPr>
          <w:rFonts w:ascii="Times New Roman" w:hAnsi="Times New Roman" w:cs="Times New Roman"/>
          <w:sz w:val="28"/>
          <w:szCs w:val="28"/>
          <w:lang w:val="kk-KZ"/>
        </w:rPr>
        <w:t xml:space="preserve">. 2021 жылдың қорытындысы бойынша жаңадан салынған 22 сүт кешені 39 мың тонна сүт немесе облыстың агроқұрылымдары </w:t>
      </w:r>
      <w:r w:rsidR="002E3D72"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ндірген сүтті</w:t>
      </w:r>
      <w:r w:rsidR="002E3D7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жалпы к</w:t>
      </w:r>
      <w:r w:rsidR="002E3D72"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леміні</w:t>
      </w:r>
      <w:r w:rsidR="002E3D7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17%</w:t>
      </w:r>
      <w:r w:rsidR="00931432" w:rsidRPr="00457CE9">
        <w:rPr>
          <w:rFonts w:ascii="Times New Roman" w:hAnsi="Times New Roman" w:cs="Times New Roman"/>
          <w:sz w:val="28"/>
          <w:szCs w:val="28"/>
          <w:lang w:val="kk-KZ"/>
        </w:rPr>
        <w:t>-ын</w:t>
      </w:r>
      <w:r w:rsidRPr="00457CE9">
        <w:rPr>
          <w:rFonts w:ascii="Times New Roman" w:hAnsi="Times New Roman" w:cs="Times New Roman"/>
          <w:sz w:val="28"/>
          <w:szCs w:val="28"/>
          <w:lang w:val="kk-KZ"/>
        </w:rPr>
        <w:t xml:space="preserve"> </w:t>
      </w:r>
      <w:r w:rsidR="002E3D72"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ндірді (227,5 мы</w:t>
      </w:r>
      <w:r w:rsidR="002E3D7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тоннаны</w:t>
      </w:r>
      <w:r w:rsidR="002E3D72"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39-ы).</w:t>
      </w:r>
      <w:r w:rsidR="00314298" w:rsidRPr="00457CE9">
        <w:rPr>
          <w:rFonts w:ascii="Times New Roman" w:hAnsi="Times New Roman" w:cs="Times New Roman"/>
          <w:sz w:val="28"/>
          <w:szCs w:val="28"/>
          <w:lang w:val="kk-KZ"/>
        </w:rPr>
        <w:t xml:space="preserve"> Ұ</w:t>
      </w:r>
      <w:r w:rsidRPr="00457CE9">
        <w:rPr>
          <w:rFonts w:ascii="Times New Roman" w:hAnsi="Times New Roman" w:cs="Times New Roman"/>
          <w:sz w:val="28"/>
          <w:szCs w:val="28"/>
          <w:lang w:val="kk-KZ"/>
        </w:rPr>
        <w:t>йымдастырыл</w:t>
      </w:r>
      <w:r w:rsidR="00314298"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ан шаруашылы</w:t>
      </w:r>
      <w:r w:rsidR="00314298"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тарды</w:t>
      </w:r>
      <w:r w:rsidR="00314298"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үлесіне жалпы сүт </w:t>
      </w:r>
      <w:r w:rsidR="00314298"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ндіруден 35,8% (635,2 мы</w:t>
      </w:r>
      <w:r w:rsidR="00314298"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тоннаны</w:t>
      </w:r>
      <w:r w:rsidR="00314298"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227,5-і) келеді, 2017 жылдан бастап б</w:t>
      </w:r>
      <w:r w:rsidR="00314298"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л к</w:t>
      </w:r>
      <w:r w:rsidR="00314298"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рсеткіш 3,9%-</w:t>
      </w:r>
      <w:r w:rsidR="00314298"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а (2017 жылы 31,9% немесе 546,1 мы</w:t>
      </w:r>
      <w:r w:rsidR="00314298"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тоннаны</w:t>
      </w:r>
      <w:r w:rsidR="00314298"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174,3-і) </w:t>
      </w:r>
      <w:r w:rsidR="00314298"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скенін </w:t>
      </w:r>
      <w:r w:rsidR="00314298" w:rsidRPr="00457CE9">
        <w:rPr>
          <w:rFonts w:ascii="Times New Roman" w:hAnsi="Times New Roman" w:cs="Times New Roman"/>
          <w:sz w:val="28"/>
          <w:szCs w:val="28"/>
          <w:lang w:val="kk-KZ"/>
        </w:rPr>
        <w:t xml:space="preserve">қорытындыда </w:t>
      </w:r>
      <w:r w:rsidRPr="00457CE9">
        <w:rPr>
          <w:rFonts w:ascii="Times New Roman" w:hAnsi="Times New Roman" w:cs="Times New Roman"/>
          <w:sz w:val="28"/>
          <w:szCs w:val="28"/>
          <w:lang w:val="kk-KZ"/>
        </w:rPr>
        <w:t xml:space="preserve">атап </w:t>
      </w:r>
      <w:r w:rsidR="00314298"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ткен</w:t>
      </w:r>
      <w:r w:rsidR="0039678E" w:rsidRPr="00457CE9">
        <w:rPr>
          <w:rFonts w:ascii="Times New Roman" w:hAnsi="Times New Roman" w:cs="Times New Roman"/>
          <w:sz w:val="28"/>
          <w:szCs w:val="28"/>
          <w:lang w:val="kk-KZ"/>
        </w:rPr>
        <w:t xml:space="preserve"> [</w:t>
      </w:r>
      <w:r w:rsidR="00D0056B">
        <w:rPr>
          <w:rFonts w:ascii="Times New Roman" w:hAnsi="Times New Roman" w:cs="Times New Roman"/>
          <w:sz w:val="28"/>
          <w:szCs w:val="28"/>
          <w:lang w:val="kk-KZ"/>
        </w:rPr>
        <w:t>8</w:t>
      </w:r>
      <w:r w:rsidR="00C04B7F">
        <w:rPr>
          <w:rFonts w:ascii="Times New Roman" w:hAnsi="Times New Roman" w:cs="Times New Roman"/>
          <w:sz w:val="28"/>
          <w:szCs w:val="28"/>
          <w:lang w:val="kk-KZ"/>
        </w:rPr>
        <w:t>3</w:t>
      </w:r>
      <w:r w:rsidR="0039678E" w:rsidRPr="00457CE9">
        <w:rPr>
          <w:rFonts w:ascii="Times New Roman" w:hAnsi="Times New Roman" w:cs="Times New Roman"/>
          <w:sz w:val="28"/>
          <w:szCs w:val="28"/>
          <w:lang w:val="kk-KZ"/>
        </w:rPr>
        <w:t>-</w:t>
      </w:r>
      <w:r w:rsidR="00C04B7F">
        <w:rPr>
          <w:rFonts w:ascii="Times New Roman" w:hAnsi="Times New Roman" w:cs="Times New Roman"/>
          <w:sz w:val="28"/>
          <w:szCs w:val="28"/>
          <w:lang w:val="kk-KZ"/>
        </w:rPr>
        <w:t>97</w:t>
      </w:r>
      <w:r w:rsidR="0039678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7F1CCAF1" w14:textId="17068A1A" w:rsidR="00CB5403" w:rsidRPr="00457CE9" w:rsidRDefault="00CC3357"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138 «Мемлекеттік қызметкерлердің біліктіл</w:t>
      </w:r>
      <w:r w:rsidR="008A0125">
        <w:rPr>
          <w:rFonts w:ascii="Times New Roman" w:hAnsi="Times New Roman" w:cs="Times New Roman"/>
          <w:sz w:val="28"/>
          <w:szCs w:val="28"/>
          <w:lang w:val="kk-KZ"/>
        </w:rPr>
        <w:t>і</w:t>
      </w:r>
      <w:r w:rsidRPr="00457CE9">
        <w:rPr>
          <w:rFonts w:ascii="Times New Roman" w:hAnsi="Times New Roman" w:cs="Times New Roman"/>
          <w:sz w:val="28"/>
          <w:szCs w:val="28"/>
          <w:lang w:val="kk-KZ"/>
        </w:rPr>
        <w:t>гін жоғарылатумен қамтамасыз ету»</w:t>
      </w:r>
      <w:r w:rsidR="002471C2" w:rsidRPr="00457CE9">
        <w:rPr>
          <w:rFonts w:ascii="Times New Roman" w:hAnsi="Times New Roman" w:cs="Times New Roman"/>
          <w:sz w:val="28"/>
          <w:szCs w:val="28"/>
          <w:lang w:val="kk-KZ"/>
        </w:rPr>
        <w:t xml:space="preserve"> бюджет бағдарламасы 2016-2022 жылдары жоспарланған бюджет қаражаты 100 пайыз игерілген, жалпы бюджет қаражатындағы үлес салмағы 0,01-0,02 пайызды құраған.</w:t>
      </w:r>
    </w:p>
    <w:p w14:paraId="054B04E1" w14:textId="1D01546E" w:rsidR="00EF03CE" w:rsidRPr="00457CE9" w:rsidRDefault="00EF03CE"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264 «Нәтижелі жұмыспен қамтуды және жаппай кәсіпкерлікті дамытуға облыстық бюджеттерге несие беру»</w:t>
      </w:r>
      <w:r w:rsidR="00C22C1A" w:rsidRPr="00457CE9">
        <w:rPr>
          <w:rFonts w:ascii="Times New Roman" w:hAnsi="Times New Roman" w:cs="Times New Roman"/>
          <w:sz w:val="28"/>
          <w:szCs w:val="28"/>
          <w:lang w:val="kk-KZ"/>
        </w:rPr>
        <w:t xml:space="preserve"> бюджет бағдарламасы 2017-2021 жылдар аралығында іске асырылған, бюджет қаражаты 100 пайыз игерілген. Бағдарлама мақсаты облыстық бюджеттерге нәтижелі жұмыспен қамтуды және жаппай кәсіпкерлікті дамытуға несие беру арқылы мемлекеттік қолдаудың қаржылық шараларын пайдаланудың тиімділігін арттыру болып табылады. Жалпы бюджет қаражаты шығынындағы үлесі әр жылдары 7,79 пайыздан 15,3 пайызға дейін құраған. Бюджеттік бағдарлама микробизнесті ашуға, кәсіпкерлердің қызметін кеңейтуге, ауыл шаруашылығы кооперативтерін құруға және зәкірлік кооперацияға қатысушылардың қызметін дамытуға ықпал етті, нәтижесінде ауылда кәсіпкерлікпен айналысатын субъектілер санын көбейтуге және жұмыссыздық деңгейін төмендетуге мүмкіндік берді. 2021 жылы 9 мыңға жуық жаңа жұмыс орны құрылып, 4108 стартап жоба қаржыландырылды деп іске асырудың экономикалық, әлеуметтік және экологиялық әсері</w:t>
      </w:r>
      <w:r w:rsidR="00A956AD" w:rsidRPr="00457CE9">
        <w:rPr>
          <w:rFonts w:ascii="Times New Roman" w:hAnsi="Times New Roman" w:cs="Times New Roman"/>
          <w:sz w:val="28"/>
          <w:szCs w:val="28"/>
          <w:lang w:val="kk-KZ"/>
        </w:rPr>
        <w:t>н сипаттаған.</w:t>
      </w:r>
    </w:p>
    <w:p w14:paraId="7B480F1A" w14:textId="09E45097" w:rsidR="00D53B5D" w:rsidRPr="00457CE9" w:rsidRDefault="005507A7"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152 «Қазақстан Республикасының орнықты дамуына және өсуіне жәрдемдесу шеңберінде бюджеттік инвестициялық жобаларды іске асыру», 105 «Бюджеттік инвестициялық жобалардың техникалық-экономикалық негіздемелерін және мемлекеттік-жекешелік әріптестік жобаларының конкурстық құжаттамаларын, концессиялық жобаларын әзірлеу немесе түзету, сондай-ақ оларға қажетті сараптамалар жүргізу, мемлекеттік-жекешелік әріптестік жобалары мен концессиялық жобаларды кеңестік сүйемелдеу», 241 «Қазсушар» шаруашылық жүргізу құқығындағы республикалық мемлекеттік кәсіпорнының жарғылық капиталын ұлғайту», 254 «Су ресурстарын тиімді басқару», 256 «Орман ресурстары мен жануарлар әлемін сақтау мен дамытуды басқару, қамтамасыз ету», 263 «ҚР 2015-2019 жж. Индустриялық-инновациялық дамуға арналған мемлекеттік бағдарлама шеңберінде зертханалар құру үшін «Ұлттық Аграрлық ғылыми-білім беру орталығы» К</w:t>
      </w:r>
      <w:r w:rsidR="00B118BD">
        <w:rPr>
          <w:rFonts w:ascii="Times New Roman" w:hAnsi="Times New Roman" w:cs="Times New Roman"/>
          <w:sz w:val="28"/>
          <w:szCs w:val="28"/>
          <w:lang w:val="kk-KZ"/>
        </w:rPr>
        <w:t>е</w:t>
      </w:r>
      <w:r w:rsidRPr="00457CE9">
        <w:rPr>
          <w:rFonts w:ascii="Times New Roman" w:hAnsi="Times New Roman" w:cs="Times New Roman"/>
          <w:sz w:val="28"/>
          <w:szCs w:val="28"/>
          <w:lang w:val="kk-KZ"/>
        </w:rPr>
        <w:t>АҚ-ң жарғылық капиталын ұлғайту» деп аталатын бюджет бағдарламалары 2017-2018 жылы алынып тасталған</w:t>
      </w:r>
      <w:r w:rsidR="00D87119" w:rsidRPr="00457CE9">
        <w:rPr>
          <w:rFonts w:ascii="Times New Roman" w:hAnsi="Times New Roman" w:cs="Times New Roman"/>
          <w:sz w:val="28"/>
          <w:szCs w:val="28"/>
          <w:lang w:val="kk-KZ"/>
        </w:rPr>
        <w:t xml:space="preserve"> [</w:t>
      </w:r>
      <w:r w:rsidR="00C04B7F">
        <w:rPr>
          <w:rFonts w:ascii="Times New Roman" w:hAnsi="Times New Roman" w:cs="Times New Roman"/>
          <w:sz w:val="28"/>
          <w:szCs w:val="28"/>
          <w:lang w:val="kk-KZ"/>
        </w:rPr>
        <w:t>83</w:t>
      </w:r>
      <w:r w:rsidR="00D87119" w:rsidRPr="00457CE9">
        <w:rPr>
          <w:rFonts w:ascii="Times New Roman" w:hAnsi="Times New Roman" w:cs="Times New Roman"/>
          <w:sz w:val="28"/>
          <w:szCs w:val="28"/>
          <w:lang w:val="kk-KZ"/>
        </w:rPr>
        <w:t>-</w:t>
      </w:r>
      <w:r w:rsidR="00C04B7F">
        <w:rPr>
          <w:rFonts w:ascii="Times New Roman" w:hAnsi="Times New Roman" w:cs="Times New Roman"/>
          <w:sz w:val="28"/>
          <w:szCs w:val="28"/>
          <w:lang w:val="kk-KZ"/>
        </w:rPr>
        <w:t>97</w:t>
      </w:r>
      <w:r w:rsidR="00D87119"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796776BC" w14:textId="1D89F35C" w:rsidR="00A956AD" w:rsidRPr="00457CE9" w:rsidRDefault="00A956AD"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267 «Білім мен ғылыми зерттеулердің қолжетімділігін арттыру» бюджет бағдарламасының мақсаты білім мен ғылыми зерттеулердің қолжетімділігін арттыру арқылы АӨК өндірісінің тиімділігін арттыру үшін жағдайлар жасау деп анықтаған. Бағдарламаның негізгі бағыттары келесідей:</w:t>
      </w:r>
    </w:p>
    <w:p w14:paraId="5049C792" w14:textId="47EE0B34" w:rsidR="00A956AD" w:rsidRPr="00457CE9" w:rsidRDefault="00A956AD" w:rsidP="00592171">
      <w:pPr>
        <w:pStyle w:val="a5"/>
        <w:numPr>
          <w:ilvl w:val="0"/>
          <w:numId w:val="1"/>
        </w:numPr>
        <w:tabs>
          <w:tab w:val="left" w:pos="993"/>
        </w:tabs>
        <w:spacing w:after="0" w:line="240" w:lineRule="auto"/>
        <w:ind w:left="0" w:firstLine="709"/>
        <w:rPr>
          <w:rFonts w:ascii="Times New Roman" w:hAnsi="Times New Roman"/>
          <w:sz w:val="28"/>
          <w:szCs w:val="28"/>
          <w:lang w:val="kk-KZ"/>
        </w:rPr>
      </w:pPr>
      <w:r w:rsidRPr="00457CE9">
        <w:rPr>
          <w:rFonts w:ascii="Times New Roman" w:hAnsi="Times New Roman"/>
          <w:sz w:val="28"/>
          <w:szCs w:val="28"/>
          <w:lang w:val="kk-KZ"/>
        </w:rPr>
        <w:t>АӨК субъектілерін өтеусіз негізде ақпараттық қамтамасыз ету;</w:t>
      </w:r>
    </w:p>
    <w:p w14:paraId="1230B5DE" w14:textId="4EFB97B2" w:rsidR="00A956AD" w:rsidRPr="00457CE9" w:rsidRDefault="006B5CD5" w:rsidP="00592171">
      <w:pPr>
        <w:pStyle w:val="a5"/>
        <w:numPr>
          <w:ilvl w:val="0"/>
          <w:numId w:val="1"/>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ө</w:t>
      </w:r>
      <w:r w:rsidR="00A956AD" w:rsidRPr="00457CE9">
        <w:rPr>
          <w:rFonts w:ascii="Times New Roman" w:hAnsi="Times New Roman"/>
          <w:sz w:val="28"/>
          <w:szCs w:val="28"/>
          <w:lang w:val="kk-KZ"/>
        </w:rPr>
        <w:t xml:space="preserve">сімдік шаруашылығы мен мал шаруашылығы өнімдерін өндіру мен қайта өңдеуді дамыту, өсімдіктерді қорғау және карантин, ветеринариялық қауіпсіздікті қамтамасыз ету үшін елеулі қызығушылық тудыратын негізгі бағыттар бойынша ғылыми-техникалық бағдарламалар әзірлеу. </w:t>
      </w:r>
    </w:p>
    <w:p w14:paraId="05299DE7" w14:textId="6E2CD504" w:rsidR="00B118BD" w:rsidRDefault="00A956AD"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Бағдарламаны іске асыру агробизнес субъектілеріне АӨК өнімін өндіруді ұлғайтуға қол жеткізілетін АӨК-тегі заманауи технологиялар мен озық ғылыми әзірлемелерге қол жеткізуді қамтамасыз етеді. </w:t>
      </w:r>
      <w:r w:rsidR="00575788">
        <w:rPr>
          <w:rFonts w:ascii="Times New Roman" w:hAnsi="Times New Roman" w:cs="Times New Roman"/>
          <w:sz w:val="28"/>
          <w:szCs w:val="28"/>
          <w:lang w:val="kk-KZ"/>
        </w:rPr>
        <w:t>АӨК-н</w:t>
      </w:r>
      <w:r w:rsidR="006B5CD5" w:rsidRPr="00457CE9">
        <w:rPr>
          <w:rFonts w:ascii="Times New Roman" w:hAnsi="Times New Roman" w:cs="Times New Roman"/>
          <w:sz w:val="28"/>
          <w:szCs w:val="28"/>
          <w:lang w:val="kk-KZ"/>
        </w:rPr>
        <w:t xml:space="preserve"> ғылыми-технологиялық және кадрлық қамтамасыз ету жөніндегі бюджеттік бағдарламаларды іске асырудың негізгі әсері ғылыми-инновациялық жүйені, ғылыми, ғылыми-техникалық және инновациялық қызмет саласындағы мемлекеттік-жекешелік әріптестікті дамыту және жетілдіру, жоғары оқу орындары мен ғылыми-зерттеу институттарының ғылыми-техникалық инфрақұрылымын жаңғырту болып табылады деп бағдарламаның экономикалық, әлеуметтік және экологиялық әсері анықталған</w:t>
      </w:r>
      <w:r w:rsidR="00B42DC5" w:rsidRPr="00B42DC5">
        <w:rPr>
          <w:rFonts w:ascii="Times New Roman" w:hAnsi="Times New Roman" w:cs="Times New Roman"/>
          <w:sz w:val="28"/>
          <w:szCs w:val="28"/>
          <w:lang w:val="kk-KZ"/>
        </w:rPr>
        <w:t xml:space="preserve"> [85-89]</w:t>
      </w:r>
      <w:r w:rsidR="006B5CD5" w:rsidRPr="00457CE9">
        <w:rPr>
          <w:rFonts w:ascii="Times New Roman" w:hAnsi="Times New Roman" w:cs="Times New Roman"/>
          <w:sz w:val="28"/>
          <w:szCs w:val="28"/>
          <w:lang w:val="kk-KZ"/>
        </w:rPr>
        <w:t xml:space="preserve">. </w:t>
      </w:r>
    </w:p>
    <w:p w14:paraId="6153C45D" w14:textId="755073AE" w:rsidR="005507A7" w:rsidRPr="00457CE9" w:rsidRDefault="006B5CD5"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267 бюджет бағдарламасы 2018 жылдан іске асырылуда, жалпы бюджет қаражаты шығындарындағы үлесі әр жылдары 1,52 пайыздан 2,07 пайыз аралығын қамтыған, агроөнеркәсіптік кешен субъектілерін өтеусіз негізде ақпараттық қамтамасыз ету және ғылыми зерттеулер мен іс-шараларды бағдарламалық-нысаналы қаржыландыру деп аталатын кіші бағдарламалары арқылы бюджет қаражаттары 2020 жылдан басқа жылдары 100 пайыз игерілген. 2020 жылы агроөнеркәсіптік кешен субъектілерін өтеусіз негізде ақпараттық қамтамасыз ету кіші бюджет бағдарламасы бойынша </w:t>
      </w:r>
      <w:r w:rsidR="00C176B6" w:rsidRPr="00457CE9">
        <w:rPr>
          <w:rFonts w:ascii="Times New Roman" w:hAnsi="Times New Roman" w:cs="Times New Roman"/>
          <w:sz w:val="28"/>
          <w:szCs w:val="28"/>
          <w:lang w:val="kk-KZ"/>
        </w:rPr>
        <w:t xml:space="preserve">121424 мың теңгенің тек </w:t>
      </w:r>
      <w:r w:rsidRPr="00457CE9">
        <w:rPr>
          <w:rFonts w:ascii="Times New Roman" w:hAnsi="Times New Roman" w:cs="Times New Roman"/>
          <w:sz w:val="28"/>
          <w:szCs w:val="28"/>
          <w:lang w:val="kk-KZ"/>
        </w:rPr>
        <w:t>16124 мың теңге</w:t>
      </w:r>
      <w:r w:rsidR="00C176B6" w:rsidRPr="00457CE9">
        <w:rPr>
          <w:rFonts w:ascii="Times New Roman" w:hAnsi="Times New Roman" w:cs="Times New Roman"/>
          <w:sz w:val="28"/>
          <w:szCs w:val="28"/>
          <w:lang w:val="kk-KZ"/>
        </w:rPr>
        <w:t>сі</w:t>
      </w:r>
      <w:r w:rsidRPr="00457CE9">
        <w:rPr>
          <w:rFonts w:ascii="Times New Roman" w:hAnsi="Times New Roman" w:cs="Times New Roman"/>
          <w:sz w:val="28"/>
          <w:szCs w:val="28"/>
          <w:lang w:val="kk-KZ"/>
        </w:rPr>
        <w:t xml:space="preserve"> немесе 13,3 пайызы ғана игерілген</w:t>
      </w:r>
      <w:r w:rsidR="0039678E" w:rsidRPr="00457CE9">
        <w:rPr>
          <w:rFonts w:ascii="Times New Roman" w:hAnsi="Times New Roman" w:cs="Times New Roman"/>
          <w:sz w:val="28"/>
          <w:szCs w:val="28"/>
          <w:lang w:val="kk-KZ"/>
        </w:rPr>
        <w:t xml:space="preserve"> [</w:t>
      </w:r>
      <w:r w:rsidR="00D0056B">
        <w:rPr>
          <w:rFonts w:ascii="Times New Roman" w:hAnsi="Times New Roman" w:cs="Times New Roman"/>
          <w:sz w:val="28"/>
          <w:szCs w:val="28"/>
          <w:lang w:val="kk-KZ"/>
        </w:rPr>
        <w:t>8</w:t>
      </w:r>
      <w:r w:rsidR="00B118BD">
        <w:rPr>
          <w:rFonts w:ascii="Times New Roman" w:hAnsi="Times New Roman" w:cs="Times New Roman"/>
          <w:sz w:val="28"/>
          <w:szCs w:val="28"/>
          <w:lang w:val="kk-KZ"/>
        </w:rPr>
        <w:t>8</w:t>
      </w:r>
      <w:r w:rsidR="00C04B7F">
        <w:rPr>
          <w:rFonts w:ascii="Times New Roman" w:hAnsi="Times New Roman" w:cs="Times New Roman"/>
          <w:sz w:val="28"/>
          <w:szCs w:val="28"/>
          <w:lang w:val="kk-KZ"/>
        </w:rPr>
        <w:t>-9</w:t>
      </w:r>
      <w:r w:rsidR="00B118BD">
        <w:rPr>
          <w:rFonts w:ascii="Times New Roman" w:hAnsi="Times New Roman" w:cs="Times New Roman"/>
          <w:sz w:val="28"/>
          <w:szCs w:val="28"/>
          <w:lang w:val="kk-KZ"/>
        </w:rPr>
        <w:t>2</w:t>
      </w:r>
      <w:r w:rsidR="0039678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p>
    <w:p w14:paraId="451F6090" w14:textId="7AAA48D4" w:rsidR="00C176B6" w:rsidRPr="00457CE9" w:rsidRDefault="00C176B6"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063 «Солтүстік Қазақстан облысының облыстық бюджетіне «Солтүстік» әлеуметтік-кәсіпкерлік корпорациясы» АҚ-ның жарғылық капиталын ұлғайтуға берілетін нысаналы даму трансферттері» бюджет бағдарламасы тек 2021 жылы іске асырылған. Бағдарлама мақсаты Солт</w:t>
      </w:r>
      <w:r w:rsidR="00D200B2"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стік Қазақстан облысында сүтті мал шаруашылығын, шикі сүтті қайта өңдеуді, қой шаруашылығын, шошқа шаруашылығын, майлы дақылдарды қайта өңдеуді, етті құс шаруашылы</w:t>
      </w:r>
      <w:r w:rsidR="007E33DB"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ын, жылыжай шаруашылы</w:t>
      </w:r>
      <w:r w:rsidR="007E33DB"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ын дамыту, о</w:t>
      </w:r>
      <w:r w:rsidR="007E33DB"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 xml:space="preserve">ан </w:t>
      </w:r>
      <w:r w:rsidR="007E33DB"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ажетті ауыл шаруашылы</w:t>
      </w:r>
      <w:r w:rsidR="007E33DB"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 xml:space="preserve">ы </w:t>
      </w:r>
      <w:r w:rsidR="007E33DB"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ндірістерін </w:t>
      </w:r>
      <w:r w:rsidR="007E33DB"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йымдастыру жолымен с</w:t>
      </w:r>
      <w:r w:rsidR="007E33DB" w:rsidRPr="00457CE9">
        <w:rPr>
          <w:rFonts w:ascii="Times New Roman" w:hAnsi="Times New Roman" w:cs="Times New Roman"/>
          <w:sz w:val="28"/>
          <w:szCs w:val="28"/>
          <w:lang w:val="kk-KZ"/>
        </w:rPr>
        <w:t>ү</w:t>
      </w:r>
      <w:r w:rsidRPr="00457CE9">
        <w:rPr>
          <w:rFonts w:ascii="Times New Roman" w:hAnsi="Times New Roman" w:cs="Times New Roman"/>
          <w:sz w:val="28"/>
          <w:szCs w:val="28"/>
          <w:lang w:val="kk-KZ"/>
        </w:rPr>
        <w:t xml:space="preserve">т, оны </w:t>
      </w:r>
      <w:r w:rsidR="007E33DB" w:rsidRPr="00457CE9">
        <w:rPr>
          <w:rFonts w:ascii="Times New Roman" w:hAnsi="Times New Roman" w:cs="Times New Roman"/>
          <w:sz w:val="28"/>
          <w:szCs w:val="28"/>
          <w:lang w:val="kk-KZ"/>
        </w:rPr>
        <w:t>қ</w:t>
      </w:r>
      <w:r w:rsidRPr="00457CE9">
        <w:rPr>
          <w:rFonts w:ascii="Times New Roman" w:hAnsi="Times New Roman" w:cs="Times New Roman"/>
          <w:sz w:val="28"/>
          <w:szCs w:val="28"/>
          <w:lang w:val="kk-KZ"/>
        </w:rPr>
        <w:t xml:space="preserve">айта </w:t>
      </w:r>
      <w:r w:rsidR="007E33DB" w:rsidRPr="00457CE9">
        <w:rPr>
          <w:rFonts w:ascii="Times New Roman" w:hAnsi="Times New Roman" w:cs="Times New Roman"/>
          <w:sz w:val="28"/>
          <w:szCs w:val="28"/>
          <w:lang w:val="kk-KZ"/>
        </w:rPr>
        <w:t>өң</w:t>
      </w:r>
      <w:r w:rsidRPr="00457CE9">
        <w:rPr>
          <w:rFonts w:ascii="Times New Roman" w:hAnsi="Times New Roman" w:cs="Times New Roman"/>
          <w:sz w:val="28"/>
          <w:szCs w:val="28"/>
          <w:lang w:val="kk-KZ"/>
        </w:rPr>
        <w:t xml:space="preserve">деу </w:t>
      </w:r>
      <w:r w:rsidR="007E33DB"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німдері, жануарлар мен </w:t>
      </w:r>
      <w:r w:rsidR="007E33DB" w:rsidRPr="00457CE9">
        <w:rPr>
          <w:rFonts w:ascii="Times New Roman" w:hAnsi="Times New Roman" w:cs="Times New Roman"/>
          <w:sz w:val="28"/>
          <w:szCs w:val="28"/>
          <w:lang w:val="kk-KZ"/>
        </w:rPr>
        <w:t>құ</w:t>
      </w:r>
      <w:r w:rsidRPr="00457CE9">
        <w:rPr>
          <w:rFonts w:ascii="Times New Roman" w:hAnsi="Times New Roman" w:cs="Times New Roman"/>
          <w:sz w:val="28"/>
          <w:szCs w:val="28"/>
          <w:lang w:val="kk-KZ"/>
        </w:rPr>
        <w:t>старды</w:t>
      </w:r>
      <w:r w:rsidR="007E33DB" w:rsidRPr="00457CE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еті, к</w:t>
      </w:r>
      <w:r w:rsidR="007E33DB"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к</w:t>
      </w:r>
      <w:r w:rsidR="007E33DB"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ністер </w:t>
      </w:r>
      <w:r w:rsidR="007E33DB" w:rsidRPr="00457CE9">
        <w:rPr>
          <w:rFonts w:ascii="Times New Roman" w:hAnsi="Times New Roman" w:cs="Times New Roman"/>
          <w:sz w:val="28"/>
          <w:szCs w:val="28"/>
          <w:lang w:val="kk-KZ"/>
        </w:rPr>
        <w:t>ө</w:t>
      </w:r>
      <w:r w:rsidRPr="00457CE9">
        <w:rPr>
          <w:rFonts w:ascii="Times New Roman" w:hAnsi="Times New Roman" w:cs="Times New Roman"/>
          <w:sz w:val="28"/>
          <w:szCs w:val="28"/>
          <w:lang w:val="kk-KZ"/>
        </w:rPr>
        <w:t xml:space="preserve">ндірісін </w:t>
      </w:r>
      <w:r w:rsidR="007E33DB" w:rsidRPr="00457CE9">
        <w:rPr>
          <w:rFonts w:ascii="Times New Roman" w:hAnsi="Times New Roman" w:cs="Times New Roman"/>
          <w:sz w:val="28"/>
          <w:szCs w:val="28"/>
          <w:lang w:val="kk-KZ"/>
        </w:rPr>
        <w:t>ұ</w:t>
      </w:r>
      <w:r w:rsidRPr="00457CE9">
        <w:rPr>
          <w:rFonts w:ascii="Times New Roman" w:hAnsi="Times New Roman" w:cs="Times New Roman"/>
          <w:sz w:val="28"/>
          <w:szCs w:val="28"/>
          <w:lang w:val="kk-KZ"/>
        </w:rPr>
        <w:t>л</w:t>
      </w:r>
      <w:r w:rsidR="007E33DB" w:rsidRPr="00457CE9">
        <w:rPr>
          <w:rFonts w:ascii="Times New Roman" w:hAnsi="Times New Roman" w:cs="Times New Roman"/>
          <w:sz w:val="28"/>
          <w:szCs w:val="28"/>
          <w:lang w:val="kk-KZ"/>
        </w:rPr>
        <w:t>ғ</w:t>
      </w:r>
      <w:r w:rsidRPr="00457CE9">
        <w:rPr>
          <w:rFonts w:ascii="Times New Roman" w:hAnsi="Times New Roman" w:cs="Times New Roman"/>
          <w:sz w:val="28"/>
          <w:szCs w:val="28"/>
          <w:lang w:val="kk-KZ"/>
        </w:rPr>
        <w:t>айту</w:t>
      </w:r>
      <w:r w:rsidR="007E33DB" w:rsidRPr="00457CE9">
        <w:rPr>
          <w:rFonts w:ascii="Times New Roman" w:hAnsi="Times New Roman" w:cs="Times New Roman"/>
          <w:sz w:val="28"/>
          <w:szCs w:val="28"/>
          <w:lang w:val="kk-KZ"/>
        </w:rPr>
        <w:t xml:space="preserve"> деп анықталған</w:t>
      </w:r>
      <w:r w:rsidRPr="00457CE9">
        <w:rPr>
          <w:rFonts w:ascii="Times New Roman" w:hAnsi="Times New Roman" w:cs="Times New Roman"/>
          <w:sz w:val="28"/>
          <w:szCs w:val="28"/>
          <w:lang w:val="kk-KZ"/>
        </w:rPr>
        <w:t>.</w:t>
      </w:r>
      <w:r w:rsidR="007E33DB" w:rsidRPr="00457CE9">
        <w:rPr>
          <w:rFonts w:ascii="Times New Roman" w:hAnsi="Times New Roman" w:cs="Times New Roman"/>
          <w:sz w:val="28"/>
          <w:szCs w:val="28"/>
          <w:lang w:val="kk-KZ"/>
        </w:rPr>
        <w:t xml:space="preserve"> Бағдарлама Солтүстік Қазақстан облысының бюджетіне ауыл шаруашылығы өндірістерін құру үшін «Солтүстік әлеуметтік-кәсіпкерлік корпорациясы» АҚ жарғылық капиталын ұлғайтуға даму трансферттерін беруге бағытталған. Бағдарламаға жұмсалған бюджет қаражаты 2021 жылы 15000 млн.теңгені, яғни бюджет шығындарындағы үлес салмағы 3,68 пайызды құраған. Бағдарламаны іске асырудың экономикалық, әлеуметтік және экологиялық әсері ретінде Солтүстік Қазақстан облысында ауыл шаруашылығының жалпы өнімінің 39,7 млрд. теңгеге өсуі қамтамасыз етілгені және үш қой фермасы құрылып 4015 бас қой сатып алынғаны </w:t>
      </w:r>
      <w:r w:rsidR="0095543E" w:rsidRPr="00457CE9">
        <w:rPr>
          <w:rFonts w:ascii="Times New Roman" w:hAnsi="Times New Roman" w:cs="Times New Roman"/>
          <w:sz w:val="28"/>
          <w:szCs w:val="28"/>
          <w:lang w:val="kk-KZ"/>
        </w:rPr>
        <w:t>көрсетілген</w:t>
      </w:r>
      <w:r w:rsidR="00B42DC5" w:rsidRPr="00B42DC5">
        <w:rPr>
          <w:rFonts w:ascii="Times New Roman" w:hAnsi="Times New Roman" w:cs="Times New Roman"/>
          <w:sz w:val="28"/>
          <w:szCs w:val="28"/>
          <w:lang w:val="kk-KZ"/>
        </w:rPr>
        <w:t xml:space="preserve"> [88]</w:t>
      </w:r>
      <w:r w:rsidR="0095543E" w:rsidRPr="00457CE9">
        <w:rPr>
          <w:rFonts w:ascii="Times New Roman" w:hAnsi="Times New Roman" w:cs="Times New Roman"/>
          <w:sz w:val="28"/>
          <w:szCs w:val="28"/>
          <w:lang w:val="kk-KZ"/>
        </w:rPr>
        <w:t xml:space="preserve">. </w:t>
      </w:r>
    </w:p>
    <w:p w14:paraId="1AA29419" w14:textId="78BCF939" w:rsidR="007E33DB" w:rsidRPr="00457CE9" w:rsidRDefault="00715ED9"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Қаржылық-экономикалық нәтиже салалық қорытындының 10-тармағына сәйкес бағдарламада 2021-2022 жылдарда 17 жаңа ауыл шаруашылығы жобасын құру үшін асыл тұқымды мал мен жабдық сатып алу көзделген. Қазіргі уақытта 16 жоба бойынша асыл тұқымды мал басын және қажетті жабдықты сатып алуды несиелеу жөніндегі іс-шаралар орындалды. Сонымен қатар, шошқа етін қайта өндіру бойынша шошқа шаруашылығы кәсіпорнын кеңейту бағыты бойынша жобаны ұйымдастырудың технологиялық күрделілігіне байланысты қазіргі уақытта жобалық-сметалық құжаттамаға мемлекеттік сараптама жүргізу бойынша жұмыстар жүргізілуде, қарыз алушылар шошқа фермасына арналған жабдықтар мен шошқаларды сатып алуға шарттар жасасуда. Осыған байланысты, осы іс-шара бойынша іске асыруды аяқтау қаржылық-экономикалық нәтижеде белгіленген бағдарламаны іске асыру кезеңіне сәйкес 2022 жылы жоспарланған деп жазылған</w:t>
      </w:r>
      <w:r w:rsidR="0039678E" w:rsidRPr="00457CE9">
        <w:rPr>
          <w:rFonts w:ascii="Times New Roman" w:hAnsi="Times New Roman" w:cs="Times New Roman"/>
          <w:sz w:val="28"/>
          <w:szCs w:val="28"/>
          <w:lang w:val="kk-KZ"/>
        </w:rPr>
        <w:t xml:space="preserve"> [</w:t>
      </w:r>
      <w:r w:rsidR="00C04B7F">
        <w:rPr>
          <w:rFonts w:ascii="Times New Roman" w:hAnsi="Times New Roman" w:cs="Times New Roman"/>
          <w:sz w:val="28"/>
          <w:szCs w:val="28"/>
          <w:lang w:val="kk-KZ"/>
        </w:rPr>
        <w:t>8</w:t>
      </w:r>
      <w:r w:rsidR="00B118BD">
        <w:rPr>
          <w:rFonts w:ascii="Times New Roman" w:hAnsi="Times New Roman" w:cs="Times New Roman"/>
          <w:sz w:val="28"/>
          <w:szCs w:val="28"/>
          <w:lang w:val="kk-KZ"/>
        </w:rPr>
        <w:t>8</w:t>
      </w:r>
      <w:r w:rsidR="0039678E" w:rsidRPr="00457CE9">
        <w:rPr>
          <w:rFonts w:ascii="Times New Roman" w:hAnsi="Times New Roman" w:cs="Times New Roman"/>
          <w:sz w:val="28"/>
          <w:szCs w:val="28"/>
          <w:lang w:val="kk-KZ"/>
        </w:rPr>
        <w:t>-</w:t>
      </w:r>
      <w:r w:rsidR="00C04B7F">
        <w:rPr>
          <w:rFonts w:ascii="Times New Roman" w:hAnsi="Times New Roman" w:cs="Times New Roman"/>
          <w:sz w:val="28"/>
          <w:szCs w:val="28"/>
          <w:lang w:val="kk-KZ"/>
        </w:rPr>
        <w:t>9</w:t>
      </w:r>
      <w:r w:rsidR="00B42DC5">
        <w:rPr>
          <w:rFonts w:ascii="Times New Roman" w:hAnsi="Times New Roman" w:cs="Times New Roman"/>
          <w:sz w:val="28"/>
          <w:szCs w:val="28"/>
          <w:lang w:val="kk-KZ"/>
        </w:rPr>
        <w:t>3</w:t>
      </w:r>
      <w:r w:rsidR="0039678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669E54CD" w14:textId="4730D528" w:rsidR="00715ED9" w:rsidRPr="00457CE9" w:rsidRDefault="00715ED9"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Бюджет бағдарламаларының әкімшілігі 2016-2022 жылдар аралығында бюджет қаражатын жұмсауды </w:t>
      </w:r>
      <w:r w:rsidR="00B42DC5">
        <w:rPr>
          <w:rFonts w:ascii="Times New Roman" w:hAnsi="Times New Roman" w:cs="Times New Roman"/>
          <w:sz w:val="28"/>
          <w:szCs w:val="28"/>
          <w:lang w:val="kk-KZ"/>
        </w:rPr>
        <w:t xml:space="preserve">жалпы </w:t>
      </w:r>
      <w:r w:rsidRPr="00457CE9">
        <w:rPr>
          <w:rFonts w:ascii="Times New Roman" w:hAnsi="Times New Roman" w:cs="Times New Roman"/>
          <w:sz w:val="28"/>
          <w:szCs w:val="28"/>
          <w:lang w:val="kk-KZ"/>
        </w:rPr>
        <w:t xml:space="preserve">40 бюджет бағдарламалары бойынша іске асырған, соның ішінде </w:t>
      </w:r>
      <w:r w:rsidR="00B42DC5">
        <w:rPr>
          <w:rFonts w:ascii="Times New Roman" w:hAnsi="Times New Roman" w:cs="Times New Roman"/>
          <w:sz w:val="28"/>
          <w:szCs w:val="28"/>
          <w:lang w:val="kk-KZ"/>
        </w:rPr>
        <w:t xml:space="preserve">7 </w:t>
      </w:r>
      <w:r w:rsidRPr="00457CE9">
        <w:rPr>
          <w:rFonts w:ascii="Times New Roman" w:hAnsi="Times New Roman" w:cs="Times New Roman"/>
          <w:sz w:val="28"/>
          <w:szCs w:val="28"/>
          <w:lang w:val="kk-KZ"/>
        </w:rPr>
        <w:t>бюджет бағдарлама</w:t>
      </w:r>
      <w:r w:rsidR="00B42DC5">
        <w:rPr>
          <w:rFonts w:ascii="Times New Roman" w:hAnsi="Times New Roman" w:cs="Times New Roman"/>
          <w:sz w:val="28"/>
          <w:szCs w:val="28"/>
          <w:lang w:val="kk-KZ"/>
        </w:rPr>
        <w:t>лар</w:t>
      </w:r>
      <w:r w:rsidRPr="00457CE9">
        <w:rPr>
          <w:rFonts w:ascii="Times New Roman" w:hAnsi="Times New Roman" w:cs="Times New Roman"/>
          <w:sz w:val="28"/>
          <w:szCs w:val="28"/>
          <w:lang w:val="kk-KZ"/>
        </w:rPr>
        <w:t>ы үздіксіз жүзеге асырылған болса, қалған 33 бағдарлама 2017-2019 жылдарда қысқарып, 2018-2022 жылдарда жаңа бағдарламалар қосылып отырған. Мәселен олардың ішінде 136 «Қазақстан мен Экономикалық ынтымақтастық және даму ұйымы арасында ынтымақтастықты нығайту жөніндегі Елдік бағдарламаны іске асыруды қамтамасыз ету», 233 «Табиғи ресурстарды жоспарлау, мониторингтеу, сақтау және тиімді пайдалану  жүйесін жетілдіру», 248 «Сәкен Сейфуллин атындағы Қазақ агротехникалық университеті» АҚ жарғылық капиталын ұлғайту», 253 «Өтеусіз негізде агроөнеркәсіптік кешен субъектілерін ақпараттық қамтамасыз ету», 257 «Қазақстандық-Венгерлік тікелей инвестицияларды</w:t>
      </w:r>
      <w:r w:rsidR="00B42DC5">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инвестициялық қорын қаржыландыру үшін «ҚазАгро» ұлттық басқарушы холдингі» АҚ жарғылық капиталын ұлғайту» деп аталатын бағдарламалар 2017 жылы алынып тасталған</w:t>
      </w:r>
      <w:r w:rsidR="00D87119" w:rsidRPr="00457CE9">
        <w:rPr>
          <w:rFonts w:ascii="Times New Roman" w:hAnsi="Times New Roman" w:cs="Times New Roman"/>
          <w:sz w:val="28"/>
          <w:szCs w:val="28"/>
          <w:lang w:val="kk-KZ"/>
        </w:rPr>
        <w:t xml:space="preserve"> [</w:t>
      </w:r>
      <w:r w:rsidR="00AB201F">
        <w:rPr>
          <w:rFonts w:ascii="Times New Roman" w:hAnsi="Times New Roman" w:cs="Times New Roman"/>
          <w:sz w:val="28"/>
          <w:szCs w:val="28"/>
          <w:lang w:val="kk-KZ"/>
        </w:rPr>
        <w:t>8</w:t>
      </w:r>
      <w:r w:rsidR="00C04B7F">
        <w:rPr>
          <w:rFonts w:ascii="Times New Roman" w:hAnsi="Times New Roman" w:cs="Times New Roman"/>
          <w:sz w:val="28"/>
          <w:szCs w:val="28"/>
          <w:lang w:val="kk-KZ"/>
        </w:rPr>
        <w:t>3</w:t>
      </w:r>
      <w:r w:rsidR="00D87119" w:rsidRPr="00457CE9">
        <w:rPr>
          <w:rFonts w:ascii="Times New Roman" w:hAnsi="Times New Roman" w:cs="Times New Roman"/>
          <w:sz w:val="28"/>
          <w:szCs w:val="28"/>
          <w:lang w:val="kk-KZ"/>
        </w:rPr>
        <w:t>-</w:t>
      </w:r>
      <w:r w:rsidR="00C04B7F">
        <w:rPr>
          <w:rFonts w:ascii="Times New Roman" w:hAnsi="Times New Roman" w:cs="Times New Roman"/>
          <w:sz w:val="28"/>
          <w:szCs w:val="28"/>
          <w:lang w:val="kk-KZ"/>
        </w:rPr>
        <w:t>97</w:t>
      </w:r>
      <w:r w:rsidR="00D87119"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0303E83B" w14:textId="7294B381" w:rsidR="00D02A1C" w:rsidRPr="00457CE9" w:rsidRDefault="00196B4D"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265 «Ауыл шаруашылығы өнімдерін қайта өңдеуді дамыту үшін жағдайлар жасау» бюджет бағдарламасы облыстық бюджеттерге, Астана және Алматы қалаларының бюджеттеріне агроөнеркәсіптік кешен саласындағы дайындаушы ұйымдарға есептелген қосылған құн салығы шегінде бюджетке төленген қосылған құн салығының сомасын субсидиялауға берілетін ағымдағы нысаналы трансферттер деп аталатын кіші бюджет бағдарламасы арқылы </w:t>
      </w:r>
      <w:r w:rsidR="00D02A1C" w:rsidRPr="00457CE9">
        <w:rPr>
          <w:rFonts w:ascii="Times New Roman" w:hAnsi="Times New Roman" w:cs="Times New Roman"/>
          <w:sz w:val="28"/>
          <w:szCs w:val="28"/>
          <w:lang w:val="kk-KZ"/>
        </w:rPr>
        <w:t xml:space="preserve">бюджет қаражатын </w:t>
      </w:r>
      <w:r w:rsidRPr="00457CE9">
        <w:rPr>
          <w:rFonts w:ascii="Times New Roman" w:hAnsi="Times New Roman" w:cs="Times New Roman"/>
          <w:sz w:val="28"/>
          <w:szCs w:val="28"/>
          <w:lang w:val="kk-KZ"/>
        </w:rPr>
        <w:t>үлестірумен байланысты, 2018 жылы 670 млн. теңге бюджет қаражаты 100 пайыз игерілген</w:t>
      </w:r>
      <w:r w:rsidR="00B42DC5">
        <w:rPr>
          <w:rFonts w:ascii="Times New Roman" w:hAnsi="Times New Roman" w:cs="Times New Roman"/>
          <w:sz w:val="28"/>
          <w:szCs w:val="28"/>
          <w:lang w:val="kk-KZ"/>
        </w:rPr>
        <w:t xml:space="preserve"> </w:t>
      </w:r>
      <w:r w:rsidR="00B42DC5" w:rsidRPr="00B42DC5">
        <w:rPr>
          <w:rFonts w:ascii="Times New Roman" w:hAnsi="Times New Roman" w:cs="Times New Roman"/>
          <w:sz w:val="28"/>
          <w:szCs w:val="28"/>
          <w:lang w:val="kk-KZ"/>
        </w:rPr>
        <w:t>[85]</w:t>
      </w:r>
      <w:r w:rsidRPr="00457CE9">
        <w:rPr>
          <w:rFonts w:ascii="Times New Roman" w:hAnsi="Times New Roman" w:cs="Times New Roman"/>
          <w:sz w:val="28"/>
          <w:szCs w:val="28"/>
          <w:lang w:val="kk-KZ"/>
        </w:rPr>
        <w:t xml:space="preserve">. </w:t>
      </w:r>
    </w:p>
    <w:p w14:paraId="32B2D52D" w14:textId="61D67136" w:rsidR="00D02A1C" w:rsidRPr="00457CE9" w:rsidRDefault="00196B4D"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268 «Суару және дренаж жүйелерін жетілдіру»</w:t>
      </w:r>
      <w:r w:rsidR="00D02A1C" w:rsidRPr="00457CE9">
        <w:rPr>
          <w:rFonts w:ascii="Times New Roman" w:hAnsi="Times New Roman" w:cs="Times New Roman"/>
          <w:sz w:val="28"/>
          <w:szCs w:val="28"/>
          <w:lang w:val="kk-KZ"/>
        </w:rPr>
        <w:t xml:space="preserve"> бюджет бағдарламасы сыртқы қарыздар есебінен және республикалық бюджеттен сыртқы қарыздарды қоса қаржыландыру есебінен деп аталатын кіші бюджет бағдарламалары арқылы бюджет қаражаты 2018 жылы 100 пайыз игерілген</w:t>
      </w:r>
      <w:r w:rsidR="00B42DC5" w:rsidRPr="00B42DC5">
        <w:rPr>
          <w:rFonts w:ascii="Times New Roman" w:hAnsi="Times New Roman" w:cs="Times New Roman"/>
          <w:sz w:val="28"/>
          <w:szCs w:val="28"/>
          <w:lang w:val="kk-KZ"/>
        </w:rPr>
        <w:t xml:space="preserve"> [85]</w:t>
      </w:r>
      <w:r w:rsidR="00D02A1C" w:rsidRPr="00457CE9">
        <w:rPr>
          <w:rFonts w:ascii="Times New Roman" w:hAnsi="Times New Roman" w:cs="Times New Roman"/>
          <w:sz w:val="28"/>
          <w:szCs w:val="28"/>
          <w:lang w:val="kk-KZ"/>
        </w:rPr>
        <w:t>.</w:t>
      </w:r>
    </w:p>
    <w:p w14:paraId="421F9DCF" w14:textId="13D2549D" w:rsidR="009A2327" w:rsidRPr="00457CE9" w:rsidRDefault="00196B4D"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266 «Нәтижелі жұмыспен қамту және жаппай кәсіпкерлік жөніндегі іс-шараларды іске асыру»</w:t>
      </w:r>
      <w:r w:rsidR="00D02A1C" w:rsidRPr="00457CE9">
        <w:rPr>
          <w:rFonts w:ascii="Times New Roman" w:hAnsi="Times New Roman" w:cs="Times New Roman"/>
          <w:sz w:val="28"/>
          <w:szCs w:val="28"/>
          <w:lang w:val="kk-KZ"/>
        </w:rPr>
        <w:t xml:space="preserve"> бюджет бағдарламасы республикалық бюджет қаражаты есебінен және Қазақстан Республикасының ұлттық қорынан берілетін нысаналы трансферт есебінен</w:t>
      </w:r>
      <w:r w:rsidR="009A2327" w:rsidRPr="00457CE9">
        <w:rPr>
          <w:rFonts w:ascii="Times New Roman" w:hAnsi="Times New Roman" w:cs="Times New Roman"/>
          <w:sz w:val="28"/>
          <w:szCs w:val="28"/>
          <w:lang w:val="kk-KZ"/>
        </w:rPr>
        <w:t xml:space="preserve"> кіші бюджет бағдарламалары арқылы бюджет қаражаты 2018-2019 жылдары 100 пайыз игерілген. Бұл бюджет бағдарламасы 264 бюджет бағдарлама</w:t>
      </w:r>
      <w:r w:rsidR="00C95FCE">
        <w:rPr>
          <w:rFonts w:ascii="Times New Roman" w:hAnsi="Times New Roman" w:cs="Times New Roman"/>
          <w:sz w:val="28"/>
          <w:szCs w:val="28"/>
          <w:lang w:val="kk-KZ"/>
        </w:rPr>
        <w:t>сымен байланысты деуге болады</w:t>
      </w:r>
      <w:r w:rsidR="00B42DC5" w:rsidRPr="00A41E51">
        <w:rPr>
          <w:rFonts w:ascii="Times New Roman" w:hAnsi="Times New Roman" w:cs="Times New Roman"/>
          <w:sz w:val="28"/>
          <w:szCs w:val="28"/>
          <w:lang w:val="kk-KZ"/>
        </w:rPr>
        <w:t xml:space="preserve"> [85-86]</w:t>
      </w:r>
      <w:r w:rsidR="00C95FCE">
        <w:rPr>
          <w:rFonts w:ascii="Times New Roman" w:hAnsi="Times New Roman" w:cs="Times New Roman"/>
          <w:sz w:val="28"/>
          <w:szCs w:val="28"/>
          <w:lang w:val="kk-KZ"/>
        </w:rPr>
        <w:t xml:space="preserve">. </w:t>
      </w:r>
    </w:p>
    <w:p w14:paraId="62F6AFFE" w14:textId="78D198B2" w:rsidR="00CC3357" w:rsidRPr="00457CE9" w:rsidRDefault="00196B4D" w:rsidP="00C95FC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269 «Ғылыми ұйымдарды жаңғырту үшін «Ұлттық аграрлық ғылыми-білім беру орталығы» К</w:t>
      </w:r>
      <w:r w:rsidR="00DA1A6C" w:rsidRPr="00457CE9">
        <w:rPr>
          <w:rFonts w:ascii="Times New Roman" w:hAnsi="Times New Roman" w:cs="Times New Roman"/>
          <w:sz w:val="28"/>
          <w:szCs w:val="28"/>
          <w:lang w:val="kk-KZ"/>
        </w:rPr>
        <w:t>е</w:t>
      </w:r>
      <w:r w:rsidRPr="00457CE9">
        <w:rPr>
          <w:rFonts w:ascii="Times New Roman" w:hAnsi="Times New Roman" w:cs="Times New Roman"/>
          <w:sz w:val="28"/>
          <w:szCs w:val="28"/>
          <w:lang w:val="kk-KZ"/>
        </w:rPr>
        <w:t>АҚ жарғылық капиталын ұлғайту»</w:t>
      </w:r>
      <w:r w:rsidR="009A2327" w:rsidRPr="00457CE9">
        <w:rPr>
          <w:rFonts w:ascii="Times New Roman" w:hAnsi="Times New Roman" w:cs="Times New Roman"/>
          <w:sz w:val="28"/>
          <w:szCs w:val="28"/>
          <w:lang w:val="kk-KZ"/>
        </w:rPr>
        <w:t xml:space="preserve"> 2018-2019 жылдары бюджет қаражаты 100 пайыз игерілген. Ғылыми ұйымның АӨК дамыту үшін белгіленген мақсатқа жету үшін қандай іс-шаралар мен көрсеткіштер орындалуы тиістігін бағалау маңызды</w:t>
      </w:r>
      <w:r w:rsidR="001807D4" w:rsidRPr="00457CE9">
        <w:rPr>
          <w:rFonts w:ascii="Times New Roman" w:hAnsi="Times New Roman" w:cs="Times New Roman"/>
          <w:sz w:val="28"/>
          <w:szCs w:val="28"/>
          <w:lang w:val="kk-KZ"/>
        </w:rPr>
        <w:t xml:space="preserve"> [</w:t>
      </w:r>
      <w:r w:rsidR="00AB201F">
        <w:rPr>
          <w:rFonts w:ascii="Times New Roman" w:hAnsi="Times New Roman" w:cs="Times New Roman"/>
          <w:sz w:val="28"/>
          <w:szCs w:val="28"/>
          <w:lang w:val="kk-KZ"/>
        </w:rPr>
        <w:t>8</w:t>
      </w:r>
      <w:r w:rsidR="00C04B7F">
        <w:rPr>
          <w:rFonts w:ascii="Times New Roman" w:hAnsi="Times New Roman" w:cs="Times New Roman"/>
          <w:sz w:val="28"/>
          <w:szCs w:val="28"/>
          <w:lang w:val="kk-KZ"/>
        </w:rPr>
        <w:t>5</w:t>
      </w:r>
      <w:r w:rsidR="00D87119" w:rsidRPr="00457CE9">
        <w:rPr>
          <w:rFonts w:ascii="Times New Roman" w:hAnsi="Times New Roman" w:cs="Times New Roman"/>
          <w:sz w:val="28"/>
          <w:szCs w:val="28"/>
          <w:lang w:val="kk-KZ"/>
        </w:rPr>
        <w:t>-</w:t>
      </w:r>
      <w:r w:rsidR="00AB201F">
        <w:rPr>
          <w:rFonts w:ascii="Times New Roman" w:hAnsi="Times New Roman" w:cs="Times New Roman"/>
          <w:sz w:val="28"/>
          <w:szCs w:val="28"/>
          <w:lang w:val="kk-KZ"/>
        </w:rPr>
        <w:t>8</w:t>
      </w:r>
      <w:r w:rsidR="00C04B7F">
        <w:rPr>
          <w:rFonts w:ascii="Times New Roman" w:hAnsi="Times New Roman" w:cs="Times New Roman"/>
          <w:sz w:val="28"/>
          <w:szCs w:val="28"/>
          <w:lang w:val="kk-KZ"/>
        </w:rPr>
        <w:t>6</w:t>
      </w:r>
      <w:r w:rsidR="001807D4" w:rsidRPr="00457CE9">
        <w:rPr>
          <w:rFonts w:ascii="Times New Roman" w:hAnsi="Times New Roman" w:cs="Times New Roman"/>
          <w:sz w:val="28"/>
          <w:szCs w:val="28"/>
          <w:lang w:val="kk-KZ"/>
        </w:rPr>
        <w:t>]</w:t>
      </w:r>
      <w:r w:rsidR="009A2327" w:rsidRPr="00457CE9">
        <w:rPr>
          <w:rFonts w:ascii="Times New Roman" w:hAnsi="Times New Roman" w:cs="Times New Roman"/>
          <w:sz w:val="28"/>
          <w:szCs w:val="28"/>
          <w:lang w:val="kk-KZ"/>
        </w:rPr>
        <w:t>.</w:t>
      </w:r>
    </w:p>
    <w:p w14:paraId="27374821" w14:textId="79017B06" w:rsidR="00CC3357" w:rsidRDefault="00AB0C52" w:rsidP="00C95FCE">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2016-2022 жылдар аралығында АӨК дамыту мақсатында ұйымдардың жарғылық капиталын ұлғайтуға берілетін нысаналы даму трансферттері туралы мәліметтер </w:t>
      </w:r>
      <w:r w:rsidR="00B757C9" w:rsidRPr="00457CE9">
        <w:rPr>
          <w:rFonts w:ascii="Times New Roman" w:hAnsi="Times New Roman" w:cs="Times New Roman"/>
          <w:sz w:val="28"/>
          <w:szCs w:val="28"/>
          <w:lang w:val="kk-KZ"/>
        </w:rPr>
        <w:t>1</w:t>
      </w:r>
      <w:r w:rsidR="00023296">
        <w:rPr>
          <w:rFonts w:ascii="Times New Roman" w:hAnsi="Times New Roman" w:cs="Times New Roman"/>
          <w:sz w:val="28"/>
          <w:szCs w:val="28"/>
          <w:lang w:val="kk-KZ"/>
        </w:rPr>
        <w:t>3</w:t>
      </w:r>
      <w:r w:rsidRPr="00457CE9">
        <w:rPr>
          <w:rFonts w:ascii="Times New Roman" w:hAnsi="Times New Roman" w:cs="Times New Roman"/>
          <w:sz w:val="28"/>
          <w:szCs w:val="28"/>
          <w:lang w:val="kk-KZ"/>
        </w:rPr>
        <w:t>-кестеде келтірілген.</w:t>
      </w:r>
      <w:r w:rsidR="009B4CC2" w:rsidRPr="00457CE9">
        <w:rPr>
          <w:rFonts w:ascii="Times New Roman" w:hAnsi="Times New Roman" w:cs="Times New Roman"/>
          <w:sz w:val="28"/>
          <w:szCs w:val="28"/>
          <w:lang w:val="kk-KZ"/>
        </w:rPr>
        <w:t xml:space="preserve"> </w:t>
      </w:r>
    </w:p>
    <w:p w14:paraId="2326DAE9" w14:textId="77777777" w:rsidR="00AB201F" w:rsidRPr="00457CE9" w:rsidRDefault="00AB201F" w:rsidP="00C95FCE">
      <w:pPr>
        <w:widowControl w:val="0"/>
        <w:spacing w:after="0" w:line="240" w:lineRule="auto"/>
        <w:ind w:firstLine="709"/>
        <w:jc w:val="both"/>
        <w:rPr>
          <w:rFonts w:ascii="Times New Roman" w:hAnsi="Times New Roman" w:cs="Times New Roman"/>
          <w:sz w:val="28"/>
          <w:szCs w:val="28"/>
          <w:lang w:val="kk-KZ"/>
        </w:rPr>
      </w:pPr>
    </w:p>
    <w:p w14:paraId="0A17D0A8" w14:textId="5DA68963" w:rsidR="00AB0C52" w:rsidRDefault="00AB0C52"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B757C9" w:rsidRPr="00457CE9">
        <w:rPr>
          <w:rFonts w:ascii="Times New Roman" w:hAnsi="Times New Roman" w:cs="Times New Roman"/>
          <w:sz w:val="28"/>
          <w:szCs w:val="28"/>
          <w:lang w:val="kk-KZ"/>
        </w:rPr>
        <w:t>1</w:t>
      </w:r>
      <w:r w:rsidR="00023296">
        <w:rPr>
          <w:rFonts w:ascii="Times New Roman" w:hAnsi="Times New Roman" w:cs="Times New Roman"/>
          <w:sz w:val="28"/>
          <w:szCs w:val="28"/>
          <w:lang w:val="kk-KZ"/>
        </w:rPr>
        <w:t>3</w:t>
      </w:r>
      <w:r w:rsidRPr="00457CE9">
        <w:rPr>
          <w:rFonts w:ascii="Times New Roman" w:hAnsi="Times New Roman" w:cs="Times New Roman"/>
          <w:sz w:val="28"/>
          <w:szCs w:val="28"/>
          <w:lang w:val="kk-KZ"/>
        </w:rPr>
        <w:t xml:space="preserve"> – 2016-2022 жылдар аралығында АӨК дамыту мақсатында ұйымдардың жарғылық капиталын ұлғайтуға берілетін нысаналы даму трансферттерінің динамикасы</w:t>
      </w:r>
    </w:p>
    <w:p w14:paraId="60689879" w14:textId="77777777" w:rsidR="00C95FCE" w:rsidRPr="00C95FCE" w:rsidRDefault="00C95FCE" w:rsidP="00946DDD">
      <w:pPr>
        <w:spacing w:after="0" w:line="240" w:lineRule="auto"/>
        <w:jc w:val="right"/>
        <w:rPr>
          <w:rFonts w:ascii="Times New Roman" w:hAnsi="Times New Roman" w:cs="Times New Roman"/>
          <w:sz w:val="16"/>
          <w:szCs w:val="16"/>
          <w:lang w:val="kk-KZ"/>
        </w:rPr>
      </w:pPr>
    </w:p>
    <w:tbl>
      <w:tblPr>
        <w:tblStyle w:val="a3"/>
        <w:tblW w:w="9639" w:type="dxa"/>
        <w:tblInd w:w="-5" w:type="dxa"/>
        <w:tblLook w:val="04A0" w:firstRow="1" w:lastRow="0" w:firstColumn="1" w:lastColumn="0" w:noHBand="0" w:noVBand="1"/>
      </w:tblPr>
      <w:tblGrid>
        <w:gridCol w:w="1831"/>
        <w:gridCol w:w="1271"/>
        <w:gridCol w:w="1120"/>
        <w:gridCol w:w="1130"/>
        <w:gridCol w:w="1140"/>
        <w:gridCol w:w="996"/>
        <w:gridCol w:w="1035"/>
        <w:gridCol w:w="1116"/>
      </w:tblGrid>
      <w:tr w:rsidR="00C95FCE" w:rsidRPr="00C95FCE" w14:paraId="724E5D6E" w14:textId="77777777" w:rsidTr="00E07FCE">
        <w:tc>
          <w:tcPr>
            <w:tcW w:w="1843" w:type="dxa"/>
            <w:tcBorders>
              <w:top w:val="single" w:sz="4" w:space="0" w:color="auto"/>
              <w:left w:val="single" w:sz="4" w:space="0" w:color="auto"/>
              <w:bottom w:val="single" w:sz="4" w:space="0" w:color="auto"/>
              <w:right w:val="single" w:sz="4" w:space="0" w:color="auto"/>
            </w:tcBorders>
            <w:vAlign w:val="center"/>
            <w:hideMark/>
          </w:tcPr>
          <w:p w14:paraId="492E33D8" w14:textId="66C71239"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ББ коды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87D14B" w14:textId="0DE14834"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2016 жыл</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174EC55" w14:textId="78DE9220"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2017 жыл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9B5AAA" w14:textId="334B635D"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2018 жыл</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BF1E0CF" w14:textId="61B0EFBC"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2019 жыл</w:t>
            </w:r>
          </w:p>
        </w:tc>
        <w:tc>
          <w:tcPr>
            <w:tcW w:w="996" w:type="dxa"/>
            <w:tcBorders>
              <w:top w:val="single" w:sz="4" w:space="0" w:color="auto"/>
              <w:left w:val="single" w:sz="4" w:space="0" w:color="auto"/>
              <w:bottom w:val="single" w:sz="4" w:space="0" w:color="auto"/>
              <w:right w:val="single" w:sz="4" w:space="0" w:color="auto"/>
            </w:tcBorders>
            <w:vAlign w:val="center"/>
            <w:hideMark/>
          </w:tcPr>
          <w:p w14:paraId="294A2FC1" w14:textId="59BD4DCB"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2020 жыл</w:t>
            </w:r>
          </w:p>
        </w:tc>
        <w:tc>
          <w:tcPr>
            <w:tcW w:w="1036" w:type="dxa"/>
            <w:tcBorders>
              <w:top w:val="single" w:sz="4" w:space="0" w:color="auto"/>
              <w:left w:val="single" w:sz="4" w:space="0" w:color="auto"/>
              <w:bottom w:val="single" w:sz="4" w:space="0" w:color="auto"/>
              <w:right w:val="single" w:sz="4" w:space="0" w:color="auto"/>
            </w:tcBorders>
            <w:vAlign w:val="center"/>
            <w:hideMark/>
          </w:tcPr>
          <w:p w14:paraId="1E16CEB1" w14:textId="66DA6EAA"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2021 жыл</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C040C07" w14:textId="7EA1BF2D" w:rsidR="00C95FCE" w:rsidRPr="00C95FCE" w:rsidRDefault="00C95FCE" w:rsidP="00946DDD">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2022 жыл</w:t>
            </w:r>
          </w:p>
        </w:tc>
      </w:tr>
      <w:tr w:rsidR="00C95FCE" w:rsidRPr="00C95FCE" w14:paraId="5FB4F40C" w14:textId="77777777" w:rsidTr="00E07FCE">
        <w:tc>
          <w:tcPr>
            <w:tcW w:w="1843" w:type="dxa"/>
            <w:tcBorders>
              <w:top w:val="single" w:sz="4" w:space="0" w:color="auto"/>
              <w:left w:val="single" w:sz="4" w:space="0" w:color="auto"/>
              <w:bottom w:val="single" w:sz="4" w:space="0" w:color="auto"/>
              <w:right w:val="single" w:sz="4" w:space="0" w:color="auto"/>
            </w:tcBorders>
            <w:vAlign w:val="center"/>
            <w:hideMark/>
          </w:tcPr>
          <w:p w14:paraId="4EB2586C"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rPr>
              <w:t>023</w:t>
            </w:r>
          </w:p>
        </w:tc>
        <w:tc>
          <w:tcPr>
            <w:tcW w:w="1276" w:type="dxa"/>
            <w:tcBorders>
              <w:top w:val="single" w:sz="4" w:space="0" w:color="auto"/>
              <w:left w:val="single" w:sz="4" w:space="0" w:color="auto"/>
              <w:bottom w:val="single" w:sz="4" w:space="0" w:color="auto"/>
              <w:right w:val="single" w:sz="4" w:space="0" w:color="auto"/>
            </w:tcBorders>
            <w:hideMark/>
          </w:tcPr>
          <w:p w14:paraId="2AF71096"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60000,0</w:t>
            </w:r>
          </w:p>
        </w:tc>
        <w:tc>
          <w:tcPr>
            <w:tcW w:w="1124" w:type="dxa"/>
            <w:tcBorders>
              <w:top w:val="single" w:sz="4" w:space="0" w:color="auto"/>
              <w:left w:val="single" w:sz="4" w:space="0" w:color="auto"/>
              <w:bottom w:val="single" w:sz="4" w:space="0" w:color="auto"/>
              <w:right w:val="single" w:sz="4" w:space="0" w:color="auto"/>
            </w:tcBorders>
          </w:tcPr>
          <w:p w14:paraId="63440CCD" w14:textId="7E130073"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14:paraId="44AC0B29" w14:textId="3A05439F"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1734F2F2" w14:textId="7A23DD2E"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6558F997" w14:textId="4CE92C0A"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216C013B" w14:textId="2A79864B"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tcPr>
          <w:p w14:paraId="4777F313" w14:textId="1321B98D"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r>
      <w:tr w:rsidR="00C95FCE" w:rsidRPr="00C95FCE" w14:paraId="5302D59F"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6528795C"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150</w:t>
            </w:r>
          </w:p>
        </w:tc>
        <w:tc>
          <w:tcPr>
            <w:tcW w:w="1276" w:type="dxa"/>
            <w:tcBorders>
              <w:top w:val="single" w:sz="4" w:space="0" w:color="auto"/>
              <w:left w:val="single" w:sz="4" w:space="0" w:color="auto"/>
              <w:bottom w:val="single" w:sz="4" w:space="0" w:color="auto"/>
              <w:right w:val="single" w:sz="4" w:space="0" w:color="auto"/>
            </w:tcBorders>
          </w:tcPr>
          <w:p w14:paraId="5CC4BCE6" w14:textId="63D9497D"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24" w:type="dxa"/>
            <w:tcBorders>
              <w:top w:val="single" w:sz="4" w:space="0" w:color="auto"/>
              <w:left w:val="single" w:sz="4" w:space="0" w:color="auto"/>
              <w:bottom w:val="single" w:sz="4" w:space="0" w:color="auto"/>
              <w:right w:val="single" w:sz="4" w:space="0" w:color="auto"/>
            </w:tcBorders>
            <w:hideMark/>
          </w:tcPr>
          <w:p w14:paraId="028FB4C7"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568,7</w:t>
            </w:r>
          </w:p>
        </w:tc>
        <w:tc>
          <w:tcPr>
            <w:tcW w:w="1134" w:type="dxa"/>
            <w:tcBorders>
              <w:top w:val="single" w:sz="4" w:space="0" w:color="auto"/>
              <w:left w:val="single" w:sz="4" w:space="0" w:color="auto"/>
              <w:bottom w:val="single" w:sz="4" w:space="0" w:color="auto"/>
              <w:right w:val="single" w:sz="4" w:space="0" w:color="auto"/>
            </w:tcBorders>
          </w:tcPr>
          <w:p w14:paraId="5E16D503" w14:textId="21E52FFB"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2CF6C011" w14:textId="284B5F10"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11330CD8" w14:textId="6E8AC413"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6E806493" w14:textId="0FD80295"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tcPr>
          <w:p w14:paraId="4E9F5EC0" w14:textId="6CE7D5FC"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r>
      <w:tr w:rsidR="00C95FCE" w:rsidRPr="00C95FCE" w14:paraId="11E91216"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1C67B009"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rPr>
              <w:t>241</w:t>
            </w:r>
          </w:p>
        </w:tc>
        <w:tc>
          <w:tcPr>
            <w:tcW w:w="1276" w:type="dxa"/>
            <w:tcBorders>
              <w:top w:val="single" w:sz="4" w:space="0" w:color="auto"/>
              <w:left w:val="single" w:sz="4" w:space="0" w:color="auto"/>
              <w:bottom w:val="single" w:sz="4" w:space="0" w:color="auto"/>
              <w:right w:val="single" w:sz="4" w:space="0" w:color="auto"/>
            </w:tcBorders>
            <w:hideMark/>
          </w:tcPr>
          <w:p w14:paraId="50D91AF1"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710,0</w:t>
            </w:r>
          </w:p>
        </w:tc>
        <w:tc>
          <w:tcPr>
            <w:tcW w:w="1124" w:type="dxa"/>
            <w:tcBorders>
              <w:top w:val="single" w:sz="4" w:space="0" w:color="auto"/>
              <w:left w:val="single" w:sz="4" w:space="0" w:color="auto"/>
              <w:bottom w:val="single" w:sz="4" w:space="0" w:color="auto"/>
              <w:right w:val="single" w:sz="4" w:space="0" w:color="auto"/>
            </w:tcBorders>
            <w:hideMark/>
          </w:tcPr>
          <w:p w14:paraId="33EB68F1"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7675,1</w:t>
            </w:r>
          </w:p>
        </w:tc>
        <w:tc>
          <w:tcPr>
            <w:tcW w:w="1134" w:type="dxa"/>
            <w:tcBorders>
              <w:top w:val="single" w:sz="4" w:space="0" w:color="auto"/>
              <w:left w:val="single" w:sz="4" w:space="0" w:color="auto"/>
              <w:bottom w:val="single" w:sz="4" w:space="0" w:color="auto"/>
              <w:right w:val="single" w:sz="4" w:space="0" w:color="auto"/>
            </w:tcBorders>
            <w:hideMark/>
          </w:tcPr>
          <w:p w14:paraId="6925B3C6"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9950,9</w:t>
            </w:r>
          </w:p>
        </w:tc>
        <w:tc>
          <w:tcPr>
            <w:tcW w:w="1145" w:type="dxa"/>
            <w:tcBorders>
              <w:top w:val="single" w:sz="4" w:space="0" w:color="auto"/>
              <w:left w:val="single" w:sz="4" w:space="0" w:color="auto"/>
              <w:bottom w:val="single" w:sz="4" w:space="0" w:color="auto"/>
              <w:right w:val="single" w:sz="4" w:space="0" w:color="auto"/>
            </w:tcBorders>
          </w:tcPr>
          <w:p w14:paraId="666EA50B" w14:textId="5C90EFE2"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3DBE8956" w14:textId="3F4F88FE"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51A78920" w14:textId="150905CF"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tcPr>
          <w:p w14:paraId="23446525" w14:textId="163080FC"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r>
      <w:tr w:rsidR="00C95FCE" w:rsidRPr="00C95FCE" w14:paraId="14E85991"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639B0987"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248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C95FA7"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rPr>
              <w:t>518</w:t>
            </w:r>
            <w:r w:rsidRPr="00C95FCE">
              <w:rPr>
                <w:rFonts w:ascii="Times New Roman" w:hAnsi="Times New Roman" w:cs="Times New Roman"/>
                <w:sz w:val="24"/>
                <w:szCs w:val="24"/>
                <w:lang w:val="kk-KZ"/>
              </w:rPr>
              <w:t>,</w:t>
            </w:r>
            <w:r w:rsidRPr="00C95FCE">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tcPr>
          <w:p w14:paraId="41675AD1" w14:textId="2F2C1B7A"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14:paraId="3513D2E7" w14:textId="4A26DD9A"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548EACA0" w14:textId="69475495"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0081659F" w14:textId="7084CFF0"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7F244306" w14:textId="5DD11285"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tcPr>
          <w:p w14:paraId="2D2C3B36" w14:textId="38C06364"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r>
      <w:tr w:rsidR="00C95FCE" w:rsidRPr="00C95FCE" w14:paraId="5585ED42"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6E7B9BCB"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257</w:t>
            </w:r>
          </w:p>
        </w:tc>
        <w:tc>
          <w:tcPr>
            <w:tcW w:w="1276" w:type="dxa"/>
            <w:tcBorders>
              <w:top w:val="single" w:sz="4" w:space="0" w:color="auto"/>
              <w:left w:val="single" w:sz="4" w:space="0" w:color="auto"/>
              <w:bottom w:val="single" w:sz="4" w:space="0" w:color="auto"/>
              <w:right w:val="single" w:sz="4" w:space="0" w:color="auto"/>
            </w:tcBorders>
            <w:hideMark/>
          </w:tcPr>
          <w:p w14:paraId="1714B33C"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1850,0</w:t>
            </w:r>
          </w:p>
        </w:tc>
        <w:tc>
          <w:tcPr>
            <w:tcW w:w="1124" w:type="dxa"/>
            <w:tcBorders>
              <w:top w:val="single" w:sz="4" w:space="0" w:color="auto"/>
              <w:left w:val="single" w:sz="4" w:space="0" w:color="auto"/>
              <w:bottom w:val="single" w:sz="4" w:space="0" w:color="auto"/>
              <w:right w:val="single" w:sz="4" w:space="0" w:color="auto"/>
            </w:tcBorders>
          </w:tcPr>
          <w:p w14:paraId="102CBB46" w14:textId="50104552"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14:paraId="1F1921EE" w14:textId="1B40359B"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22377577" w14:textId="322A1509"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44A20D14" w14:textId="1375D503"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17DC909C" w14:textId="47B1BC75"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tcPr>
          <w:p w14:paraId="03A46A12" w14:textId="0897B923"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r>
      <w:tr w:rsidR="00C95FCE" w:rsidRPr="00C95FCE" w14:paraId="2A9BD9D1"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2E7FA05D"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258</w:t>
            </w:r>
          </w:p>
        </w:tc>
        <w:tc>
          <w:tcPr>
            <w:tcW w:w="1276" w:type="dxa"/>
            <w:tcBorders>
              <w:top w:val="single" w:sz="4" w:space="0" w:color="auto"/>
              <w:left w:val="single" w:sz="4" w:space="0" w:color="auto"/>
              <w:bottom w:val="single" w:sz="4" w:space="0" w:color="auto"/>
              <w:right w:val="single" w:sz="4" w:space="0" w:color="auto"/>
            </w:tcBorders>
            <w:hideMark/>
          </w:tcPr>
          <w:p w14:paraId="7137D1DF"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74849,0</w:t>
            </w:r>
          </w:p>
        </w:tc>
        <w:tc>
          <w:tcPr>
            <w:tcW w:w="1124" w:type="dxa"/>
            <w:tcBorders>
              <w:top w:val="single" w:sz="4" w:space="0" w:color="auto"/>
              <w:left w:val="single" w:sz="4" w:space="0" w:color="auto"/>
              <w:bottom w:val="single" w:sz="4" w:space="0" w:color="auto"/>
              <w:right w:val="single" w:sz="4" w:space="0" w:color="auto"/>
            </w:tcBorders>
            <w:hideMark/>
          </w:tcPr>
          <w:p w14:paraId="057B39CC"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14967,0</w:t>
            </w:r>
          </w:p>
        </w:tc>
        <w:tc>
          <w:tcPr>
            <w:tcW w:w="1134" w:type="dxa"/>
            <w:tcBorders>
              <w:top w:val="single" w:sz="4" w:space="0" w:color="auto"/>
              <w:left w:val="single" w:sz="4" w:space="0" w:color="auto"/>
              <w:bottom w:val="single" w:sz="4" w:space="0" w:color="auto"/>
              <w:right w:val="single" w:sz="4" w:space="0" w:color="auto"/>
            </w:tcBorders>
            <w:hideMark/>
          </w:tcPr>
          <w:p w14:paraId="6364FC3B"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17880,0</w:t>
            </w:r>
          </w:p>
        </w:tc>
        <w:tc>
          <w:tcPr>
            <w:tcW w:w="1145" w:type="dxa"/>
            <w:tcBorders>
              <w:top w:val="single" w:sz="4" w:space="0" w:color="auto"/>
              <w:left w:val="single" w:sz="4" w:space="0" w:color="auto"/>
              <w:bottom w:val="single" w:sz="4" w:space="0" w:color="auto"/>
              <w:right w:val="single" w:sz="4" w:space="0" w:color="auto"/>
            </w:tcBorders>
            <w:hideMark/>
          </w:tcPr>
          <w:p w14:paraId="342D5B52"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30000,0</w:t>
            </w:r>
          </w:p>
        </w:tc>
        <w:tc>
          <w:tcPr>
            <w:tcW w:w="996" w:type="dxa"/>
            <w:tcBorders>
              <w:top w:val="single" w:sz="4" w:space="0" w:color="auto"/>
              <w:left w:val="single" w:sz="4" w:space="0" w:color="auto"/>
              <w:bottom w:val="single" w:sz="4" w:space="0" w:color="auto"/>
              <w:right w:val="single" w:sz="4" w:space="0" w:color="auto"/>
            </w:tcBorders>
            <w:hideMark/>
          </w:tcPr>
          <w:p w14:paraId="4B15243E"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34550,0</w:t>
            </w:r>
          </w:p>
        </w:tc>
        <w:tc>
          <w:tcPr>
            <w:tcW w:w="1036" w:type="dxa"/>
            <w:tcBorders>
              <w:top w:val="single" w:sz="4" w:space="0" w:color="auto"/>
              <w:left w:val="single" w:sz="4" w:space="0" w:color="auto"/>
              <w:bottom w:val="single" w:sz="4" w:space="0" w:color="auto"/>
              <w:right w:val="single" w:sz="4" w:space="0" w:color="auto"/>
            </w:tcBorders>
          </w:tcPr>
          <w:p w14:paraId="051C34FF" w14:textId="77777777" w:rsidR="00C95FCE" w:rsidRPr="00C95FCE" w:rsidRDefault="00C95FCE" w:rsidP="00457CE9">
            <w:pPr>
              <w:jc w:val="center"/>
              <w:rPr>
                <w:rFonts w:ascii="Times New Roman" w:hAnsi="Times New Roman" w:cs="Times New Roman"/>
                <w:sz w:val="24"/>
                <w:szCs w:val="24"/>
              </w:rPr>
            </w:pPr>
          </w:p>
        </w:tc>
        <w:tc>
          <w:tcPr>
            <w:tcW w:w="1085" w:type="dxa"/>
            <w:tcBorders>
              <w:top w:val="single" w:sz="4" w:space="0" w:color="auto"/>
              <w:left w:val="single" w:sz="4" w:space="0" w:color="auto"/>
              <w:bottom w:val="single" w:sz="4" w:space="0" w:color="auto"/>
              <w:right w:val="single" w:sz="4" w:space="0" w:color="auto"/>
            </w:tcBorders>
          </w:tcPr>
          <w:p w14:paraId="2629BF47" w14:textId="77777777" w:rsidR="00C95FCE" w:rsidRPr="00C95FCE" w:rsidRDefault="00C95FCE" w:rsidP="00457CE9">
            <w:pPr>
              <w:jc w:val="center"/>
              <w:rPr>
                <w:rFonts w:ascii="Times New Roman" w:hAnsi="Times New Roman" w:cs="Times New Roman"/>
                <w:sz w:val="24"/>
                <w:szCs w:val="24"/>
              </w:rPr>
            </w:pPr>
          </w:p>
        </w:tc>
      </w:tr>
      <w:tr w:rsidR="00C95FCE" w:rsidRPr="00C95FCE" w14:paraId="635D23A8"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6EE5E204"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262</w:t>
            </w:r>
          </w:p>
        </w:tc>
        <w:tc>
          <w:tcPr>
            <w:tcW w:w="1276" w:type="dxa"/>
            <w:tcBorders>
              <w:top w:val="single" w:sz="4" w:space="0" w:color="auto"/>
              <w:left w:val="single" w:sz="4" w:space="0" w:color="auto"/>
              <w:bottom w:val="single" w:sz="4" w:space="0" w:color="auto"/>
              <w:right w:val="single" w:sz="4" w:space="0" w:color="auto"/>
            </w:tcBorders>
          </w:tcPr>
          <w:p w14:paraId="041CAC51" w14:textId="706E756A"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24" w:type="dxa"/>
            <w:tcBorders>
              <w:top w:val="single" w:sz="4" w:space="0" w:color="auto"/>
              <w:left w:val="single" w:sz="4" w:space="0" w:color="auto"/>
              <w:bottom w:val="single" w:sz="4" w:space="0" w:color="auto"/>
              <w:right w:val="single" w:sz="4" w:space="0" w:color="auto"/>
            </w:tcBorders>
            <w:hideMark/>
          </w:tcPr>
          <w:p w14:paraId="5B0B5273"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60000,0</w:t>
            </w:r>
          </w:p>
        </w:tc>
        <w:tc>
          <w:tcPr>
            <w:tcW w:w="1134" w:type="dxa"/>
            <w:tcBorders>
              <w:top w:val="single" w:sz="4" w:space="0" w:color="auto"/>
              <w:left w:val="single" w:sz="4" w:space="0" w:color="auto"/>
              <w:bottom w:val="single" w:sz="4" w:space="0" w:color="auto"/>
              <w:right w:val="single" w:sz="4" w:space="0" w:color="auto"/>
            </w:tcBorders>
            <w:hideMark/>
          </w:tcPr>
          <w:p w14:paraId="5C66FA5D"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60000,0</w:t>
            </w:r>
          </w:p>
        </w:tc>
        <w:tc>
          <w:tcPr>
            <w:tcW w:w="1145" w:type="dxa"/>
            <w:tcBorders>
              <w:top w:val="single" w:sz="4" w:space="0" w:color="auto"/>
              <w:left w:val="single" w:sz="4" w:space="0" w:color="auto"/>
              <w:bottom w:val="single" w:sz="4" w:space="0" w:color="auto"/>
              <w:right w:val="single" w:sz="4" w:space="0" w:color="auto"/>
            </w:tcBorders>
            <w:hideMark/>
          </w:tcPr>
          <w:p w14:paraId="759FB3E6"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60000,0</w:t>
            </w:r>
          </w:p>
        </w:tc>
        <w:tc>
          <w:tcPr>
            <w:tcW w:w="996" w:type="dxa"/>
            <w:tcBorders>
              <w:top w:val="single" w:sz="4" w:space="0" w:color="auto"/>
              <w:left w:val="single" w:sz="4" w:space="0" w:color="auto"/>
              <w:bottom w:val="single" w:sz="4" w:space="0" w:color="auto"/>
              <w:right w:val="single" w:sz="4" w:space="0" w:color="auto"/>
            </w:tcBorders>
            <w:hideMark/>
          </w:tcPr>
          <w:p w14:paraId="0AC570E6"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70000,0</w:t>
            </w:r>
          </w:p>
        </w:tc>
        <w:tc>
          <w:tcPr>
            <w:tcW w:w="1036" w:type="dxa"/>
            <w:tcBorders>
              <w:top w:val="single" w:sz="4" w:space="0" w:color="auto"/>
              <w:left w:val="single" w:sz="4" w:space="0" w:color="auto"/>
              <w:bottom w:val="single" w:sz="4" w:space="0" w:color="auto"/>
              <w:right w:val="single" w:sz="4" w:space="0" w:color="auto"/>
            </w:tcBorders>
            <w:hideMark/>
          </w:tcPr>
          <w:p w14:paraId="5388E239"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70000,0</w:t>
            </w:r>
          </w:p>
        </w:tc>
        <w:tc>
          <w:tcPr>
            <w:tcW w:w="1085" w:type="dxa"/>
            <w:tcBorders>
              <w:top w:val="single" w:sz="4" w:space="0" w:color="auto"/>
              <w:left w:val="single" w:sz="4" w:space="0" w:color="auto"/>
              <w:bottom w:val="single" w:sz="4" w:space="0" w:color="auto"/>
              <w:right w:val="single" w:sz="4" w:space="0" w:color="auto"/>
            </w:tcBorders>
            <w:hideMark/>
          </w:tcPr>
          <w:p w14:paraId="455B872A"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140000,0</w:t>
            </w:r>
          </w:p>
        </w:tc>
      </w:tr>
      <w:tr w:rsidR="00C95FCE" w:rsidRPr="00C95FCE" w14:paraId="15100913"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04801BA8"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263</w:t>
            </w:r>
          </w:p>
        </w:tc>
        <w:tc>
          <w:tcPr>
            <w:tcW w:w="1276" w:type="dxa"/>
            <w:tcBorders>
              <w:top w:val="single" w:sz="4" w:space="0" w:color="auto"/>
              <w:left w:val="single" w:sz="4" w:space="0" w:color="auto"/>
              <w:bottom w:val="single" w:sz="4" w:space="0" w:color="auto"/>
              <w:right w:val="single" w:sz="4" w:space="0" w:color="auto"/>
            </w:tcBorders>
            <w:hideMark/>
          </w:tcPr>
          <w:p w14:paraId="41B1B26E"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622,5</w:t>
            </w:r>
          </w:p>
        </w:tc>
        <w:tc>
          <w:tcPr>
            <w:tcW w:w="1124" w:type="dxa"/>
            <w:tcBorders>
              <w:top w:val="single" w:sz="4" w:space="0" w:color="auto"/>
              <w:left w:val="single" w:sz="4" w:space="0" w:color="auto"/>
              <w:bottom w:val="single" w:sz="4" w:space="0" w:color="auto"/>
              <w:right w:val="single" w:sz="4" w:space="0" w:color="auto"/>
            </w:tcBorders>
            <w:hideMark/>
          </w:tcPr>
          <w:p w14:paraId="5916FADA"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734,3</w:t>
            </w:r>
          </w:p>
        </w:tc>
        <w:tc>
          <w:tcPr>
            <w:tcW w:w="1134" w:type="dxa"/>
            <w:tcBorders>
              <w:top w:val="single" w:sz="4" w:space="0" w:color="auto"/>
              <w:left w:val="single" w:sz="4" w:space="0" w:color="auto"/>
              <w:bottom w:val="single" w:sz="4" w:space="0" w:color="auto"/>
              <w:right w:val="single" w:sz="4" w:space="0" w:color="auto"/>
            </w:tcBorders>
            <w:hideMark/>
          </w:tcPr>
          <w:p w14:paraId="61A275AE"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223,1</w:t>
            </w:r>
          </w:p>
        </w:tc>
        <w:tc>
          <w:tcPr>
            <w:tcW w:w="1145" w:type="dxa"/>
            <w:tcBorders>
              <w:top w:val="single" w:sz="4" w:space="0" w:color="auto"/>
              <w:left w:val="single" w:sz="4" w:space="0" w:color="auto"/>
              <w:bottom w:val="single" w:sz="4" w:space="0" w:color="auto"/>
              <w:right w:val="single" w:sz="4" w:space="0" w:color="auto"/>
            </w:tcBorders>
          </w:tcPr>
          <w:p w14:paraId="3089710C" w14:textId="1F918A83"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23C2B539" w14:textId="2D7B95F0"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7FAF19B4" w14:textId="7933E390"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tcPr>
          <w:p w14:paraId="7B7A11F6" w14:textId="56AE012C"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r>
      <w:tr w:rsidR="00C95FCE" w:rsidRPr="00C95FCE" w14:paraId="65AB555A"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56AB3D90"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063</w:t>
            </w:r>
          </w:p>
        </w:tc>
        <w:tc>
          <w:tcPr>
            <w:tcW w:w="1276" w:type="dxa"/>
            <w:tcBorders>
              <w:top w:val="single" w:sz="4" w:space="0" w:color="auto"/>
              <w:left w:val="single" w:sz="4" w:space="0" w:color="auto"/>
              <w:bottom w:val="single" w:sz="4" w:space="0" w:color="auto"/>
              <w:right w:val="single" w:sz="4" w:space="0" w:color="auto"/>
            </w:tcBorders>
          </w:tcPr>
          <w:p w14:paraId="0265A64B" w14:textId="7F43ED31"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24" w:type="dxa"/>
            <w:tcBorders>
              <w:top w:val="single" w:sz="4" w:space="0" w:color="auto"/>
              <w:left w:val="single" w:sz="4" w:space="0" w:color="auto"/>
              <w:bottom w:val="single" w:sz="4" w:space="0" w:color="auto"/>
              <w:right w:val="single" w:sz="4" w:space="0" w:color="auto"/>
            </w:tcBorders>
          </w:tcPr>
          <w:p w14:paraId="10A92AB8" w14:textId="6BEF5AF9"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14:paraId="44D89369" w14:textId="152EA003"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439C0753" w14:textId="38BD4E36"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53D1CF5F" w14:textId="04B56DB4"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30D4FA5"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15000,0</w:t>
            </w:r>
          </w:p>
        </w:tc>
        <w:tc>
          <w:tcPr>
            <w:tcW w:w="1085" w:type="dxa"/>
            <w:tcBorders>
              <w:top w:val="single" w:sz="4" w:space="0" w:color="auto"/>
              <w:left w:val="single" w:sz="4" w:space="0" w:color="auto"/>
              <w:bottom w:val="single" w:sz="4" w:space="0" w:color="auto"/>
              <w:right w:val="single" w:sz="4" w:space="0" w:color="auto"/>
            </w:tcBorders>
            <w:vAlign w:val="center"/>
          </w:tcPr>
          <w:p w14:paraId="20B54882" w14:textId="1D0B0CFF"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r>
      <w:tr w:rsidR="00C95FCE" w:rsidRPr="00C95FCE" w14:paraId="638FE14B"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1BB7122C"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004</w:t>
            </w:r>
          </w:p>
        </w:tc>
        <w:tc>
          <w:tcPr>
            <w:tcW w:w="1276" w:type="dxa"/>
            <w:tcBorders>
              <w:top w:val="single" w:sz="4" w:space="0" w:color="auto"/>
              <w:left w:val="single" w:sz="4" w:space="0" w:color="auto"/>
              <w:bottom w:val="single" w:sz="4" w:space="0" w:color="auto"/>
              <w:right w:val="single" w:sz="4" w:space="0" w:color="auto"/>
            </w:tcBorders>
          </w:tcPr>
          <w:p w14:paraId="5940E98A" w14:textId="5881EB21"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24" w:type="dxa"/>
            <w:tcBorders>
              <w:top w:val="single" w:sz="4" w:space="0" w:color="auto"/>
              <w:left w:val="single" w:sz="4" w:space="0" w:color="auto"/>
              <w:bottom w:val="single" w:sz="4" w:space="0" w:color="auto"/>
              <w:right w:val="single" w:sz="4" w:space="0" w:color="auto"/>
            </w:tcBorders>
          </w:tcPr>
          <w:p w14:paraId="2A4C3EE2" w14:textId="0B2647C1"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14:paraId="4A151F38" w14:textId="516E2D28"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275B8D40" w14:textId="0AC73293"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7E4684EC" w14:textId="3F3E4C29"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7266462C" w14:textId="4BFE59F8"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hideMark/>
          </w:tcPr>
          <w:p w14:paraId="589EEA50"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rPr>
              <w:t>20000,0</w:t>
            </w:r>
          </w:p>
        </w:tc>
      </w:tr>
      <w:tr w:rsidR="00C95FCE" w:rsidRPr="00C95FCE" w14:paraId="5171C78C"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4B0FB900" w14:textId="77777777"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005</w:t>
            </w:r>
          </w:p>
        </w:tc>
        <w:tc>
          <w:tcPr>
            <w:tcW w:w="1276" w:type="dxa"/>
            <w:tcBorders>
              <w:top w:val="single" w:sz="4" w:space="0" w:color="auto"/>
              <w:left w:val="single" w:sz="4" w:space="0" w:color="auto"/>
              <w:bottom w:val="single" w:sz="4" w:space="0" w:color="auto"/>
              <w:right w:val="single" w:sz="4" w:space="0" w:color="auto"/>
            </w:tcBorders>
          </w:tcPr>
          <w:p w14:paraId="353906D3" w14:textId="569B66C4"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24" w:type="dxa"/>
            <w:tcBorders>
              <w:top w:val="single" w:sz="4" w:space="0" w:color="auto"/>
              <w:left w:val="single" w:sz="4" w:space="0" w:color="auto"/>
              <w:bottom w:val="single" w:sz="4" w:space="0" w:color="auto"/>
              <w:right w:val="single" w:sz="4" w:space="0" w:color="auto"/>
            </w:tcBorders>
          </w:tcPr>
          <w:p w14:paraId="67C78D9D" w14:textId="22C25B20"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tcPr>
          <w:p w14:paraId="6D90AC61" w14:textId="16EBD91E"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145" w:type="dxa"/>
            <w:tcBorders>
              <w:top w:val="single" w:sz="4" w:space="0" w:color="auto"/>
              <w:left w:val="single" w:sz="4" w:space="0" w:color="auto"/>
              <w:bottom w:val="single" w:sz="4" w:space="0" w:color="auto"/>
              <w:right w:val="single" w:sz="4" w:space="0" w:color="auto"/>
            </w:tcBorders>
          </w:tcPr>
          <w:p w14:paraId="6231F81A" w14:textId="70F511B6"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996" w:type="dxa"/>
            <w:tcBorders>
              <w:top w:val="single" w:sz="4" w:space="0" w:color="auto"/>
              <w:left w:val="single" w:sz="4" w:space="0" w:color="auto"/>
              <w:bottom w:val="single" w:sz="4" w:space="0" w:color="auto"/>
              <w:right w:val="single" w:sz="4" w:space="0" w:color="auto"/>
            </w:tcBorders>
          </w:tcPr>
          <w:p w14:paraId="3207E8D2" w14:textId="53FC9C75"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36" w:type="dxa"/>
            <w:tcBorders>
              <w:top w:val="single" w:sz="4" w:space="0" w:color="auto"/>
              <w:left w:val="single" w:sz="4" w:space="0" w:color="auto"/>
              <w:bottom w:val="single" w:sz="4" w:space="0" w:color="auto"/>
              <w:right w:val="single" w:sz="4" w:space="0" w:color="auto"/>
            </w:tcBorders>
          </w:tcPr>
          <w:p w14:paraId="747B7EED" w14:textId="77CE55EF"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w:t>
            </w:r>
          </w:p>
        </w:tc>
        <w:tc>
          <w:tcPr>
            <w:tcW w:w="1085" w:type="dxa"/>
            <w:tcBorders>
              <w:top w:val="single" w:sz="4" w:space="0" w:color="auto"/>
              <w:left w:val="single" w:sz="4" w:space="0" w:color="auto"/>
              <w:bottom w:val="single" w:sz="4" w:space="0" w:color="auto"/>
              <w:right w:val="single" w:sz="4" w:space="0" w:color="auto"/>
            </w:tcBorders>
            <w:hideMark/>
          </w:tcPr>
          <w:p w14:paraId="40C1449B"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20000,0</w:t>
            </w:r>
          </w:p>
        </w:tc>
      </w:tr>
      <w:tr w:rsidR="00C95FCE" w:rsidRPr="00C95FCE" w14:paraId="42EC592C" w14:textId="77777777" w:rsidTr="00E07FCE">
        <w:tc>
          <w:tcPr>
            <w:tcW w:w="1843" w:type="dxa"/>
            <w:tcBorders>
              <w:top w:val="single" w:sz="4" w:space="0" w:color="auto"/>
              <w:left w:val="single" w:sz="4" w:space="0" w:color="auto"/>
              <w:bottom w:val="single" w:sz="4" w:space="0" w:color="auto"/>
              <w:right w:val="single" w:sz="4" w:space="0" w:color="auto"/>
            </w:tcBorders>
            <w:hideMark/>
          </w:tcPr>
          <w:p w14:paraId="69157195"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sz w:val="24"/>
                <w:szCs w:val="24"/>
                <w:lang w:val="kk-KZ"/>
              </w:rPr>
              <w:t>Жиыны</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6B352B8"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138549,6</w:t>
            </w:r>
          </w:p>
        </w:tc>
        <w:tc>
          <w:tcPr>
            <w:tcW w:w="1124" w:type="dxa"/>
            <w:tcBorders>
              <w:top w:val="single" w:sz="4" w:space="0" w:color="auto"/>
              <w:left w:val="single" w:sz="4" w:space="0" w:color="auto"/>
              <w:bottom w:val="single" w:sz="4" w:space="0" w:color="auto"/>
              <w:right w:val="single" w:sz="4" w:space="0" w:color="auto"/>
            </w:tcBorders>
            <w:vAlign w:val="bottom"/>
            <w:hideMark/>
          </w:tcPr>
          <w:p w14:paraId="587944C5"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83945,1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F501102"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88054</w:t>
            </w:r>
          </w:p>
        </w:tc>
        <w:tc>
          <w:tcPr>
            <w:tcW w:w="1145" w:type="dxa"/>
            <w:tcBorders>
              <w:top w:val="single" w:sz="4" w:space="0" w:color="auto"/>
              <w:left w:val="single" w:sz="4" w:space="0" w:color="auto"/>
              <w:bottom w:val="single" w:sz="4" w:space="0" w:color="auto"/>
              <w:right w:val="single" w:sz="4" w:space="0" w:color="auto"/>
            </w:tcBorders>
            <w:vAlign w:val="bottom"/>
            <w:hideMark/>
          </w:tcPr>
          <w:p w14:paraId="7DA95297"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90000</w:t>
            </w:r>
          </w:p>
        </w:tc>
        <w:tc>
          <w:tcPr>
            <w:tcW w:w="996" w:type="dxa"/>
            <w:tcBorders>
              <w:top w:val="single" w:sz="4" w:space="0" w:color="auto"/>
              <w:left w:val="single" w:sz="4" w:space="0" w:color="auto"/>
              <w:bottom w:val="single" w:sz="4" w:space="0" w:color="auto"/>
              <w:right w:val="single" w:sz="4" w:space="0" w:color="auto"/>
            </w:tcBorders>
            <w:vAlign w:val="bottom"/>
            <w:hideMark/>
          </w:tcPr>
          <w:p w14:paraId="63D25507"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104550</w:t>
            </w:r>
          </w:p>
        </w:tc>
        <w:tc>
          <w:tcPr>
            <w:tcW w:w="1036" w:type="dxa"/>
            <w:tcBorders>
              <w:top w:val="single" w:sz="4" w:space="0" w:color="auto"/>
              <w:left w:val="single" w:sz="4" w:space="0" w:color="auto"/>
              <w:bottom w:val="single" w:sz="4" w:space="0" w:color="auto"/>
              <w:right w:val="single" w:sz="4" w:space="0" w:color="auto"/>
            </w:tcBorders>
            <w:vAlign w:val="bottom"/>
            <w:hideMark/>
          </w:tcPr>
          <w:p w14:paraId="1714D638"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85000</w:t>
            </w:r>
          </w:p>
        </w:tc>
        <w:tc>
          <w:tcPr>
            <w:tcW w:w="1085" w:type="dxa"/>
            <w:tcBorders>
              <w:top w:val="single" w:sz="4" w:space="0" w:color="auto"/>
              <w:left w:val="single" w:sz="4" w:space="0" w:color="auto"/>
              <w:bottom w:val="single" w:sz="4" w:space="0" w:color="auto"/>
              <w:right w:val="single" w:sz="4" w:space="0" w:color="auto"/>
            </w:tcBorders>
            <w:vAlign w:val="bottom"/>
            <w:hideMark/>
          </w:tcPr>
          <w:p w14:paraId="156AF2AB" w14:textId="77777777" w:rsidR="00C95FCE" w:rsidRPr="00C95FCE" w:rsidRDefault="00C95FCE" w:rsidP="00457CE9">
            <w:pPr>
              <w:jc w:val="center"/>
              <w:rPr>
                <w:rFonts w:ascii="Times New Roman" w:hAnsi="Times New Roman" w:cs="Times New Roman"/>
                <w:sz w:val="24"/>
                <w:szCs w:val="24"/>
                <w:lang w:val="kk-KZ"/>
              </w:rPr>
            </w:pPr>
            <w:r w:rsidRPr="00C95FCE">
              <w:rPr>
                <w:rFonts w:ascii="Times New Roman" w:hAnsi="Times New Roman" w:cs="Times New Roman"/>
                <w:color w:val="000000"/>
                <w:sz w:val="24"/>
                <w:szCs w:val="24"/>
              </w:rPr>
              <w:t>180000</w:t>
            </w:r>
          </w:p>
        </w:tc>
      </w:tr>
      <w:tr w:rsidR="00C95FCE" w:rsidRPr="00C95FCE" w14:paraId="5BD6DD72" w14:textId="77777777" w:rsidTr="00E07FCE">
        <w:tc>
          <w:tcPr>
            <w:tcW w:w="1843" w:type="dxa"/>
            <w:tcBorders>
              <w:top w:val="single" w:sz="4" w:space="0" w:color="auto"/>
              <w:left w:val="single" w:sz="4" w:space="0" w:color="auto"/>
              <w:bottom w:val="single" w:sz="4" w:space="0" w:color="auto"/>
              <w:right w:val="single" w:sz="4" w:space="0" w:color="auto"/>
            </w:tcBorders>
          </w:tcPr>
          <w:p w14:paraId="4A480DE7" w14:textId="00BB395E" w:rsidR="00C95FCE" w:rsidRPr="00C95FCE" w:rsidRDefault="00C95FCE" w:rsidP="00457CE9">
            <w:pPr>
              <w:jc w:val="center"/>
              <w:rPr>
                <w:rFonts w:ascii="Times New Roman" w:hAnsi="Times New Roman" w:cs="Times New Roman"/>
                <w:sz w:val="24"/>
                <w:szCs w:val="24"/>
              </w:rPr>
            </w:pPr>
            <w:r w:rsidRPr="00C95FCE">
              <w:rPr>
                <w:rFonts w:ascii="Times New Roman" w:hAnsi="Times New Roman" w:cs="Times New Roman"/>
                <w:sz w:val="24"/>
                <w:szCs w:val="24"/>
                <w:lang w:val="kk-KZ"/>
              </w:rPr>
              <w:t xml:space="preserve">Шығындағы үлесі, </w:t>
            </w:r>
            <w:r w:rsidRPr="00C95FCE">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494A3D92" w14:textId="47385720"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42,4</w:t>
            </w:r>
          </w:p>
        </w:tc>
        <w:tc>
          <w:tcPr>
            <w:tcW w:w="1124" w:type="dxa"/>
            <w:tcBorders>
              <w:top w:val="single" w:sz="4" w:space="0" w:color="auto"/>
              <w:left w:val="single" w:sz="4" w:space="0" w:color="auto"/>
              <w:bottom w:val="single" w:sz="4" w:space="0" w:color="auto"/>
              <w:right w:val="single" w:sz="4" w:space="0" w:color="auto"/>
            </w:tcBorders>
            <w:vAlign w:val="center"/>
          </w:tcPr>
          <w:p w14:paraId="4028DE09" w14:textId="1EF382FB"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24,1</w:t>
            </w:r>
          </w:p>
        </w:tc>
        <w:tc>
          <w:tcPr>
            <w:tcW w:w="1134" w:type="dxa"/>
            <w:tcBorders>
              <w:top w:val="single" w:sz="4" w:space="0" w:color="auto"/>
              <w:left w:val="single" w:sz="4" w:space="0" w:color="auto"/>
              <w:bottom w:val="single" w:sz="4" w:space="0" w:color="auto"/>
              <w:right w:val="single" w:sz="4" w:space="0" w:color="auto"/>
            </w:tcBorders>
            <w:vAlign w:val="center"/>
          </w:tcPr>
          <w:p w14:paraId="7ADACA7F" w14:textId="2C58227D"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21,8</w:t>
            </w:r>
          </w:p>
        </w:tc>
        <w:tc>
          <w:tcPr>
            <w:tcW w:w="1145" w:type="dxa"/>
            <w:tcBorders>
              <w:top w:val="single" w:sz="4" w:space="0" w:color="auto"/>
              <w:left w:val="single" w:sz="4" w:space="0" w:color="auto"/>
              <w:bottom w:val="single" w:sz="4" w:space="0" w:color="auto"/>
              <w:right w:val="single" w:sz="4" w:space="0" w:color="auto"/>
            </w:tcBorders>
            <w:vAlign w:val="center"/>
          </w:tcPr>
          <w:p w14:paraId="36975210" w14:textId="771BD131"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19,2</w:t>
            </w:r>
          </w:p>
        </w:tc>
        <w:tc>
          <w:tcPr>
            <w:tcW w:w="996" w:type="dxa"/>
            <w:tcBorders>
              <w:top w:val="single" w:sz="4" w:space="0" w:color="auto"/>
              <w:left w:val="single" w:sz="4" w:space="0" w:color="auto"/>
              <w:bottom w:val="single" w:sz="4" w:space="0" w:color="auto"/>
              <w:right w:val="single" w:sz="4" w:space="0" w:color="auto"/>
            </w:tcBorders>
            <w:vAlign w:val="center"/>
          </w:tcPr>
          <w:p w14:paraId="66340740" w14:textId="34BD0C9B"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24,7</w:t>
            </w:r>
          </w:p>
        </w:tc>
        <w:tc>
          <w:tcPr>
            <w:tcW w:w="1036" w:type="dxa"/>
            <w:tcBorders>
              <w:top w:val="single" w:sz="4" w:space="0" w:color="auto"/>
              <w:left w:val="single" w:sz="4" w:space="0" w:color="auto"/>
              <w:bottom w:val="single" w:sz="4" w:space="0" w:color="auto"/>
              <w:right w:val="single" w:sz="4" w:space="0" w:color="auto"/>
            </w:tcBorders>
            <w:vAlign w:val="center"/>
          </w:tcPr>
          <w:p w14:paraId="7507217A" w14:textId="48905E92"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20,9</w:t>
            </w:r>
          </w:p>
        </w:tc>
        <w:tc>
          <w:tcPr>
            <w:tcW w:w="1085" w:type="dxa"/>
            <w:tcBorders>
              <w:top w:val="single" w:sz="4" w:space="0" w:color="auto"/>
              <w:left w:val="single" w:sz="4" w:space="0" w:color="auto"/>
              <w:bottom w:val="single" w:sz="4" w:space="0" w:color="auto"/>
              <w:right w:val="single" w:sz="4" w:space="0" w:color="auto"/>
            </w:tcBorders>
            <w:vAlign w:val="center"/>
          </w:tcPr>
          <w:p w14:paraId="2D9C2F7F" w14:textId="435289E1" w:rsidR="00C95FCE" w:rsidRPr="00C95FCE" w:rsidRDefault="00C95FCE" w:rsidP="00946DDD">
            <w:pPr>
              <w:jc w:val="center"/>
              <w:rPr>
                <w:rFonts w:ascii="Times New Roman" w:hAnsi="Times New Roman" w:cs="Times New Roman"/>
                <w:color w:val="000000"/>
                <w:sz w:val="24"/>
                <w:szCs w:val="24"/>
              </w:rPr>
            </w:pPr>
            <w:r w:rsidRPr="00C95FCE">
              <w:rPr>
                <w:rFonts w:ascii="Times New Roman" w:hAnsi="Times New Roman" w:cs="Times New Roman"/>
                <w:color w:val="000000"/>
                <w:sz w:val="24"/>
                <w:szCs w:val="24"/>
              </w:rPr>
              <w:t>31,8</w:t>
            </w:r>
          </w:p>
        </w:tc>
      </w:tr>
      <w:tr w:rsidR="00C95FCE" w:rsidRPr="00C95FCE" w14:paraId="085FE7CE" w14:textId="3F4205B5" w:rsidTr="00E07FCE">
        <w:tc>
          <w:tcPr>
            <w:tcW w:w="9639" w:type="dxa"/>
            <w:gridSpan w:val="8"/>
            <w:tcBorders>
              <w:top w:val="single" w:sz="4" w:space="0" w:color="auto"/>
              <w:left w:val="single" w:sz="4" w:space="0" w:color="auto"/>
              <w:bottom w:val="single" w:sz="4" w:space="0" w:color="auto"/>
              <w:right w:val="single" w:sz="4" w:space="0" w:color="auto"/>
            </w:tcBorders>
          </w:tcPr>
          <w:p w14:paraId="62E1D1DC" w14:textId="2918ECD9" w:rsidR="00C95FCE" w:rsidRPr="00C95FCE" w:rsidRDefault="00946DDD" w:rsidP="00946DDD">
            <w:pPr>
              <w:ind w:left="293" w:firstLine="285"/>
              <w:rPr>
                <w:rFonts w:ascii="Times New Roman" w:hAnsi="Times New Roman" w:cs="Times New Roman"/>
                <w:color w:val="000000"/>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C95FCE" w:rsidRPr="00C95FCE">
              <w:rPr>
                <w:rFonts w:ascii="Times New Roman" w:hAnsi="Times New Roman" w:cs="Times New Roman"/>
                <w:color w:val="000000"/>
                <w:sz w:val="24"/>
                <w:szCs w:val="24"/>
                <w:lang w:val="kk-KZ"/>
              </w:rPr>
              <w:t xml:space="preserve"> </w:t>
            </w:r>
            <w:r w:rsidR="00C95FCE" w:rsidRPr="00C95FCE">
              <w:rPr>
                <w:rFonts w:ascii="Times New Roman" w:hAnsi="Times New Roman" w:cs="Times New Roman"/>
                <w:color w:val="000000"/>
                <w:sz w:val="24"/>
                <w:szCs w:val="24"/>
              </w:rPr>
              <w:t>[</w:t>
            </w:r>
            <w:r w:rsidR="00C04B7F">
              <w:rPr>
                <w:rFonts w:ascii="Times New Roman" w:hAnsi="Times New Roman" w:cs="Times New Roman"/>
                <w:color w:val="000000"/>
                <w:sz w:val="24"/>
                <w:szCs w:val="24"/>
                <w:lang w:val="kk-KZ"/>
              </w:rPr>
              <w:t>83</w:t>
            </w:r>
            <w:r w:rsidR="00AB201F">
              <w:rPr>
                <w:rFonts w:ascii="Times New Roman" w:hAnsi="Times New Roman" w:cs="Times New Roman"/>
                <w:color w:val="000000"/>
                <w:sz w:val="24"/>
                <w:szCs w:val="24"/>
                <w:lang w:val="kk-KZ"/>
              </w:rPr>
              <w:t>-</w:t>
            </w:r>
            <w:r w:rsidR="00C04B7F">
              <w:rPr>
                <w:rFonts w:ascii="Times New Roman" w:hAnsi="Times New Roman" w:cs="Times New Roman"/>
                <w:color w:val="000000"/>
                <w:sz w:val="24"/>
                <w:szCs w:val="24"/>
                <w:lang w:val="kk-KZ"/>
              </w:rPr>
              <w:t>97</w:t>
            </w:r>
            <w:r w:rsidR="00C95FCE" w:rsidRPr="00C95FCE">
              <w:rPr>
                <w:rFonts w:ascii="Times New Roman" w:hAnsi="Times New Roman" w:cs="Times New Roman"/>
                <w:color w:val="000000"/>
                <w:sz w:val="24"/>
                <w:szCs w:val="24"/>
              </w:rPr>
              <w:t xml:space="preserve">] </w:t>
            </w:r>
          </w:p>
        </w:tc>
      </w:tr>
    </w:tbl>
    <w:p w14:paraId="5F1A1E62" w14:textId="77777777" w:rsidR="00AB201F" w:rsidRDefault="00AB201F" w:rsidP="00AB201F">
      <w:pPr>
        <w:widowControl w:val="0"/>
        <w:spacing w:after="0" w:line="240" w:lineRule="auto"/>
        <w:ind w:firstLine="709"/>
        <w:jc w:val="both"/>
        <w:rPr>
          <w:rFonts w:ascii="Times New Roman" w:hAnsi="Times New Roman" w:cs="Times New Roman"/>
          <w:sz w:val="28"/>
          <w:szCs w:val="28"/>
          <w:lang w:val="kk-KZ"/>
        </w:rPr>
      </w:pPr>
    </w:p>
    <w:p w14:paraId="7CF92B88" w14:textId="1566442A" w:rsidR="00AB201F" w:rsidRDefault="00AB201F" w:rsidP="00AB201F">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23296">
        <w:rPr>
          <w:rFonts w:ascii="Times New Roman" w:hAnsi="Times New Roman" w:cs="Times New Roman"/>
          <w:sz w:val="28"/>
          <w:szCs w:val="28"/>
          <w:lang w:val="kk-KZ"/>
        </w:rPr>
        <w:t>3</w:t>
      </w:r>
      <w:r>
        <w:rPr>
          <w:rFonts w:ascii="Times New Roman" w:hAnsi="Times New Roman" w:cs="Times New Roman"/>
          <w:sz w:val="28"/>
          <w:szCs w:val="28"/>
          <w:lang w:val="kk-KZ"/>
        </w:rPr>
        <w:t>-кесте мәліметтерінен бюджет бағдарламасының кодтары бойынша 2016-2022 жылдар аралығында АӨК дамытудың жауапты орындаушылары болып табылатын ұйымдардың жарғылық капиталын ұлғайтуға</w:t>
      </w:r>
      <w:r w:rsidR="00B42DC5">
        <w:rPr>
          <w:rFonts w:ascii="Times New Roman" w:hAnsi="Times New Roman" w:cs="Times New Roman"/>
          <w:sz w:val="28"/>
          <w:szCs w:val="28"/>
          <w:lang w:val="kk-KZ"/>
        </w:rPr>
        <w:t xml:space="preserve"> б</w:t>
      </w:r>
      <w:r>
        <w:rPr>
          <w:rFonts w:ascii="Times New Roman" w:hAnsi="Times New Roman" w:cs="Times New Roman"/>
          <w:sz w:val="28"/>
          <w:szCs w:val="28"/>
          <w:lang w:val="kk-KZ"/>
        </w:rPr>
        <w:t>ерілетін нысаналы даму трансферттерінің динамикасын көруге болады [8</w:t>
      </w:r>
      <w:r w:rsidR="00C04B7F">
        <w:rPr>
          <w:rFonts w:ascii="Times New Roman" w:hAnsi="Times New Roman" w:cs="Times New Roman"/>
          <w:sz w:val="28"/>
          <w:szCs w:val="28"/>
          <w:lang w:val="kk-KZ"/>
        </w:rPr>
        <w:t>3</w:t>
      </w:r>
      <w:r>
        <w:rPr>
          <w:rFonts w:ascii="Times New Roman" w:hAnsi="Times New Roman" w:cs="Times New Roman"/>
          <w:sz w:val="28"/>
          <w:szCs w:val="28"/>
          <w:lang w:val="kk-KZ"/>
        </w:rPr>
        <w:t>-</w:t>
      </w:r>
      <w:r w:rsidR="00C04B7F">
        <w:rPr>
          <w:rFonts w:ascii="Times New Roman" w:hAnsi="Times New Roman" w:cs="Times New Roman"/>
          <w:sz w:val="28"/>
          <w:szCs w:val="28"/>
          <w:lang w:val="kk-KZ"/>
        </w:rPr>
        <w:t>97</w:t>
      </w:r>
      <w:r>
        <w:rPr>
          <w:rFonts w:ascii="Times New Roman" w:hAnsi="Times New Roman" w:cs="Times New Roman"/>
          <w:sz w:val="28"/>
          <w:szCs w:val="28"/>
          <w:lang w:val="kk-KZ"/>
        </w:rPr>
        <w:t>].</w:t>
      </w:r>
    </w:p>
    <w:p w14:paraId="4E1F9F23" w14:textId="77777777" w:rsidR="00B42DC5" w:rsidRDefault="00B42DC5" w:rsidP="00B42D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004 «Солтүстік Қазақстан облысының облыстық бюджетіне «Солтүстік әлеуметтік кәсіпкерлік корпорациясы» АҚ жарғылық капиталын ұлғайтуға берілетін нысаналы даму трансферттері», 005 «Агроөнеркәсіптік кешенді ынталандыру жөніндегі мемлекеттік саясатты іске асыру үшін «Азық-түлік келісімшарттық корпорациясы «Ұлттық компаниясы» АҚ жарғылық капиталын ұлғайту», 006 «Ауылдық елді мекендерде және шағын қалаларда микрокредит беру үшін облыстық бюджеттерге несие беру», 013 «Агроөнеркәсіптік кешен субъектілерінің ирригациялық жүйелерді сатып алуы және оларды орнату бойынша дайындық жұмыстарын қаржыландыру үшін облыстық бюджеттерге несие беру», 100 «Қазақстан Республикасы Үкіметінің төтенше резерві есебінен іс-шаралар өткізу» деп аталатын бюджет бағдарламалары 2022 жылдан бастап іске асырылуда [89]. </w:t>
      </w:r>
    </w:p>
    <w:p w14:paraId="4DAD53E6" w14:textId="42AF4C92" w:rsidR="00F10535" w:rsidRPr="00457CE9" w:rsidRDefault="002E1567" w:rsidP="00946DDD">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АӨК дамытудың бағдарламаларын әзірлеуші Ауыл шаруашылығы министрілігінің есеп мәліметтеріне сәйкес жалпы бюджет қаражатындағы </w:t>
      </w:r>
      <w:r w:rsidR="00B42DC5">
        <w:rPr>
          <w:rFonts w:ascii="Times New Roman" w:hAnsi="Times New Roman" w:cs="Times New Roman"/>
          <w:sz w:val="28"/>
          <w:szCs w:val="28"/>
          <w:lang w:val="kk-KZ"/>
        </w:rPr>
        <w:t xml:space="preserve">нысаналы трансферттердің </w:t>
      </w:r>
      <w:r w:rsidRPr="00457CE9">
        <w:rPr>
          <w:rFonts w:ascii="Times New Roman" w:hAnsi="Times New Roman" w:cs="Times New Roman"/>
          <w:sz w:val="28"/>
          <w:szCs w:val="28"/>
          <w:lang w:val="kk-KZ"/>
        </w:rPr>
        <w:t xml:space="preserve">үлесі қомақты екенін көруге болады. Мәселен 2016 жылы 42,4 пайызды құраған, 2019 жылға дейін оның үлесі 19,2 пайызға дейін төмендеген, 2022 жылы 31,8 пайызға дейін қайта өскен. 023 бюджет бағдарламасы 262 бюджет бағдарламасының жалғасы болып табылады. 063 бюджет бағдарламасы 004 бюджет бағдарламасының жалғасы екенін көруге болады. Бұл ұйымдардың бюджет қаражатын қаншалықты тиімді пайдаланып жатқанын және АӨК дамытуға қаншалықты әсер ететінін бағалайтын тиімділік аудиті болғандықтан, анықталған көрсеткіштер мен жүргізіліп жатқан іс-шаралардың </w:t>
      </w:r>
      <w:r w:rsidR="00AD65AD">
        <w:rPr>
          <w:rFonts w:ascii="Times New Roman" w:hAnsi="Times New Roman" w:cs="Times New Roman"/>
          <w:sz w:val="28"/>
          <w:szCs w:val="28"/>
          <w:lang w:val="kk-KZ"/>
        </w:rPr>
        <w:t xml:space="preserve">стратегиялық құжаттарда, </w:t>
      </w:r>
      <w:r w:rsidRPr="00457CE9">
        <w:rPr>
          <w:rFonts w:ascii="Times New Roman" w:hAnsi="Times New Roman" w:cs="Times New Roman"/>
          <w:sz w:val="28"/>
          <w:szCs w:val="28"/>
          <w:lang w:val="kk-KZ"/>
        </w:rPr>
        <w:t>ұлттық жоба не бағдарлама</w:t>
      </w:r>
      <w:r w:rsidR="00AD65AD">
        <w:rPr>
          <w:rFonts w:ascii="Times New Roman" w:hAnsi="Times New Roman" w:cs="Times New Roman"/>
          <w:sz w:val="28"/>
          <w:szCs w:val="28"/>
          <w:lang w:val="kk-KZ"/>
        </w:rPr>
        <w:t>д</w:t>
      </w:r>
      <w:r w:rsidRPr="00457CE9">
        <w:rPr>
          <w:rFonts w:ascii="Times New Roman" w:hAnsi="Times New Roman" w:cs="Times New Roman"/>
          <w:sz w:val="28"/>
          <w:szCs w:val="28"/>
          <w:lang w:val="kk-KZ"/>
        </w:rPr>
        <w:t>а</w:t>
      </w:r>
      <w:r w:rsidR="00AD65AD">
        <w:rPr>
          <w:rFonts w:ascii="Times New Roman" w:hAnsi="Times New Roman" w:cs="Times New Roman"/>
          <w:sz w:val="28"/>
          <w:szCs w:val="28"/>
          <w:lang w:val="kk-KZ"/>
        </w:rPr>
        <w:t>ғы іс-шараларға, көрсеткіштерге</w:t>
      </w:r>
      <w:r w:rsidRPr="00457CE9">
        <w:rPr>
          <w:rFonts w:ascii="Times New Roman" w:hAnsi="Times New Roman" w:cs="Times New Roman"/>
          <w:sz w:val="28"/>
          <w:szCs w:val="28"/>
          <w:lang w:val="kk-KZ"/>
        </w:rPr>
        <w:t xml:space="preserve"> сәйкестігін тексеруден бастаған жөн.</w:t>
      </w:r>
    </w:p>
    <w:p w14:paraId="2ABF7195" w14:textId="1C94E724" w:rsidR="00931432" w:rsidRDefault="00931432" w:rsidP="00946DDD">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2016-2022 жж. АӨК дамытуға бағытталған ұйымдар жарғылық капиталын толтыруға жұмсалған бюджет қаражатының динамикасы </w:t>
      </w:r>
      <w:r w:rsidR="00132979">
        <w:rPr>
          <w:rFonts w:ascii="Times New Roman" w:hAnsi="Times New Roman" w:cs="Times New Roman"/>
          <w:sz w:val="28"/>
          <w:szCs w:val="28"/>
          <w:lang w:val="kk-KZ"/>
        </w:rPr>
        <w:t>9</w:t>
      </w:r>
      <w:r w:rsidRPr="00457CE9">
        <w:rPr>
          <w:rFonts w:ascii="Times New Roman" w:hAnsi="Times New Roman" w:cs="Times New Roman"/>
          <w:sz w:val="28"/>
          <w:szCs w:val="28"/>
          <w:lang w:val="kk-KZ"/>
        </w:rPr>
        <w:t>-суретте келтірілген.</w:t>
      </w:r>
    </w:p>
    <w:p w14:paraId="2F41D330" w14:textId="77777777" w:rsidR="00946DDD" w:rsidRPr="00457CE9" w:rsidRDefault="00946DDD" w:rsidP="00946DDD">
      <w:pPr>
        <w:spacing w:after="0" w:line="240" w:lineRule="auto"/>
        <w:ind w:firstLine="709"/>
        <w:jc w:val="both"/>
        <w:rPr>
          <w:rFonts w:ascii="Times New Roman" w:hAnsi="Times New Roman" w:cs="Times New Roman"/>
          <w:sz w:val="28"/>
          <w:szCs w:val="28"/>
          <w:lang w:val="kk-KZ"/>
        </w:rPr>
      </w:pPr>
    </w:p>
    <w:p w14:paraId="0773A469" w14:textId="4447DAC1" w:rsidR="00C565D6" w:rsidRPr="00457CE9" w:rsidRDefault="00D259BD" w:rsidP="00457CE9">
      <w:pPr>
        <w:spacing w:after="0" w:line="240" w:lineRule="auto"/>
        <w:jc w:val="center"/>
        <w:rPr>
          <w:rFonts w:ascii="Times New Roman" w:hAnsi="Times New Roman" w:cs="Times New Roman"/>
          <w:sz w:val="28"/>
          <w:szCs w:val="28"/>
          <w:lang w:val="kk-KZ"/>
        </w:rPr>
      </w:pPr>
      <w:r w:rsidRPr="00457CE9">
        <w:rPr>
          <w:noProof/>
          <w:lang w:eastAsia="ru-RU"/>
        </w:rPr>
        <w:drawing>
          <wp:inline distT="0" distB="0" distL="0" distR="0" wp14:anchorId="53143A4F" wp14:editId="5CCC7975">
            <wp:extent cx="5554980" cy="2407920"/>
            <wp:effectExtent l="0" t="0" r="7620" b="0"/>
            <wp:docPr id="127" name="Диаграмма 1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23FCBB-B3BB-AE86-97E8-47149BC1C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E17AAF" w14:textId="77777777" w:rsidR="00946DDD" w:rsidRPr="00946DDD" w:rsidRDefault="00946DDD" w:rsidP="00457CE9">
      <w:pPr>
        <w:spacing w:after="0" w:line="240" w:lineRule="auto"/>
        <w:jc w:val="center"/>
        <w:rPr>
          <w:rFonts w:ascii="Times New Roman" w:hAnsi="Times New Roman" w:cs="Times New Roman"/>
          <w:sz w:val="16"/>
          <w:szCs w:val="16"/>
          <w:lang w:val="kk-KZ"/>
        </w:rPr>
      </w:pPr>
    </w:p>
    <w:p w14:paraId="13A00930" w14:textId="5B3D134A" w:rsidR="00D259BD" w:rsidRPr="00457CE9" w:rsidRDefault="00D259BD" w:rsidP="00457CE9">
      <w:pPr>
        <w:spacing w:after="0" w:line="240" w:lineRule="auto"/>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Сурет </w:t>
      </w:r>
      <w:r w:rsidR="00132979">
        <w:rPr>
          <w:rFonts w:ascii="Times New Roman" w:hAnsi="Times New Roman" w:cs="Times New Roman"/>
          <w:sz w:val="28"/>
          <w:szCs w:val="28"/>
          <w:lang w:val="kk-KZ"/>
        </w:rPr>
        <w:t>9</w:t>
      </w:r>
      <w:r w:rsidRPr="00457CE9">
        <w:rPr>
          <w:rFonts w:ascii="Times New Roman" w:hAnsi="Times New Roman" w:cs="Times New Roman"/>
          <w:sz w:val="28"/>
          <w:szCs w:val="28"/>
          <w:lang w:val="kk-KZ"/>
        </w:rPr>
        <w:t xml:space="preserve"> </w:t>
      </w:r>
      <w:r w:rsidR="00946DDD">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2016-2022 жж. </w:t>
      </w:r>
      <w:r w:rsidR="004F6AD6" w:rsidRPr="00457CE9">
        <w:rPr>
          <w:rFonts w:ascii="Times New Roman" w:hAnsi="Times New Roman" w:cs="Times New Roman"/>
          <w:sz w:val="28"/>
          <w:szCs w:val="28"/>
          <w:lang w:val="kk-KZ"/>
        </w:rPr>
        <w:t xml:space="preserve">ҚР </w:t>
      </w:r>
      <w:r w:rsidRPr="00457CE9">
        <w:rPr>
          <w:rFonts w:ascii="Times New Roman" w:hAnsi="Times New Roman" w:cs="Times New Roman"/>
          <w:sz w:val="28"/>
          <w:szCs w:val="28"/>
          <w:lang w:val="kk-KZ"/>
        </w:rPr>
        <w:t>АӨК дамытуға бағытталған ұйымдар жарғылық капиталын толтыруға жұмсалған бюджет қаражатының динамикасы, млн.</w:t>
      </w:r>
      <w:r w:rsidR="00946DDD">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теңге</w:t>
      </w:r>
    </w:p>
    <w:p w14:paraId="642C3F93" w14:textId="77777777" w:rsidR="00946DDD" w:rsidRPr="00946DDD" w:rsidRDefault="00946DDD" w:rsidP="00457CE9">
      <w:pPr>
        <w:spacing w:after="0" w:line="240" w:lineRule="auto"/>
        <w:ind w:firstLine="567"/>
        <w:jc w:val="both"/>
        <w:rPr>
          <w:rFonts w:ascii="Times New Roman" w:hAnsi="Times New Roman" w:cs="Times New Roman"/>
          <w:sz w:val="16"/>
          <w:szCs w:val="16"/>
          <w:lang w:val="kk-KZ"/>
        </w:rPr>
      </w:pPr>
    </w:p>
    <w:p w14:paraId="480CE645" w14:textId="49386D51" w:rsidR="00B757C9" w:rsidRPr="00457CE9" w:rsidRDefault="00946DDD" w:rsidP="00946DDD">
      <w:pPr>
        <w:spacing w:after="0" w:line="240" w:lineRule="auto"/>
        <w:ind w:firstLine="567"/>
        <w:jc w:val="both"/>
        <w:rPr>
          <w:rFonts w:ascii="Times New Roman" w:hAnsi="Times New Roman" w:cs="Times New Roman"/>
          <w:sz w:val="28"/>
          <w:szCs w:val="28"/>
          <w:lang w:val="kk-KZ"/>
        </w:rPr>
      </w:pPr>
      <w:r w:rsidRPr="00EB67B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39678E" w:rsidRPr="00457CE9">
        <w:rPr>
          <w:rFonts w:ascii="Times New Roman" w:hAnsi="Times New Roman" w:cs="Times New Roman"/>
          <w:sz w:val="24"/>
          <w:szCs w:val="24"/>
          <w:lang w:val="kk-KZ"/>
        </w:rPr>
        <w:t>[</w:t>
      </w:r>
      <w:r w:rsidR="00AB201F">
        <w:rPr>
          <w:rFonts w:ascii="Times New Roman" w:hAnsi="Times New Roman" w:cs="Times New Roman"/>
          <w:sz w:val="24"/>
          <w:szCs w:val="24"/>
          <w:lang w:val="kk-KZ"/>
        </w:rPr>
        <w:t>8</w:t>
      </w:r>
      <w:r w:rsidR="00C04B7F">
        <w:rPr>
          <w:rFonts w:ascii="Times New Roman" w:hAnsi="Times New Roman" w:cs="Times New Roman"/>
          <w:sz w:val="24"/>
          <w:szCs w:val="24"/>
          <w:lang w:val="kk-KZ"/>
        </w:rPr>
        <w:t>3</w:t>
      </w:r>
      <w:r w:rsidR="00AB201F">
        <w:rPr>
          <w:rFonts w:ascii="Times New Roman" w:hAnsi="Times New Roman" w:cs="Times New Roman"/>
          <w:sz w:val="24"/>
          <w:szCs w:val="24"/>
          <w:lang w:val="kk-KZ"/>
        </w:rPr>
        <w:t>-</w:t>
      </w:r>
      <w:r w:rsidR="00C04B7F">
        <w:rPr>
          <w:rFonts w:ascii="Times New Roman" w:hAnsi="Times New Roman" w:cs="Times New Roman"/>
          <w:sz w:val="24"/>
          <w:szCs w:val="24"/>
          <w:lang w:val="kk-KZ"/>
        </w:rPr>
        <w:t>97</w:t>
      </w:r>
      <w:r w:rsidR="0039678E" w:rsidRPr="00457CE9">
        <w:rPr>
          <w:rFonts w:ascii="Times New Roman" w:hAnsi="Times New Roman" w:cs="Times New Roman"/>
          <w:sz w:val="24"/>
          <w:szCs w:val="24"/>
          <w:lang w:val="kk-KZ"/>
        </w:rPr>
        <w:t xml:space="preserve">] </w:t>
      </w:r>
    </w:p>
    <w:p w14:paraId="0D3C7BDD" w14:textId="77777777" w:rsidR="00AD65AD" w:rsidRDefault="00AD65AD" w:rsidP="00946DDD">
      <w:pPr>
        <w:spacing w:after="0" w:line="240" w:lineRule="auto"/>
        <w:ind w:firstLine="709"/>
        <w:jc w:val="both"/>
        <w:rPr>
          <w:rFonts w:ascii="Times New Roman" w:hAnsi="Times New Roman" w:cs="Times New Roman"/>
          <w:sz w:val="28"/>
          <w:szCs w:val="28"/>
          <w:lang w:val="kk-KZ"/>
        </w:rPr>
      </w:pPr>
    </w:p>
    <w:p w14:paraId="6C2FB7AE" w14:textId="77777777" w:rsidR="00AD65AD" w:rsidRDefault="00AD65AD" w:rsidP="00AD65AD">
      <w:pPr>
        <w:spacing w:after="0" w:line="240" w:lineRule="auto"/>
        <w:ind w:firstLine="709"/>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004 «Солтүстік Қазақстан облысының облыстық бюджетіне «Солтүстік әлеуметтік кәсіпкерлік корпорациясы» АҚ жарғылық капиталын ұлғайтуға берілетін нысаналы даму трансферттері» бюджет бағдарламасы 063 бюджет бағдарламасынының жалғасы, тек коды 2022 жылы ауыстырылған. 2022 жылы бюджет қаражатының жалпы шығындарында 20000 млн. теңгені немесе 3,33 пайызды құраған [89-97].  </w:t>
      </w:r>
    </w:p>
    <w:p w14:paraId="7DA68365" w14:textId="77777777" w:rsidR="00AD65AD" w:rsidRDefault="00AD65AD" w:rsidP="00AD65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005 «Агроөнеркәсіптік кешенді ынталандыру жөніндегі мемлекеттік саясатты іске асыру үшін «Азық-түлік келісімшарттық корпорациясы «Ұлттық компаниясы» АҚ жарғылық капиталын ұлғайту» деп аталатын бюджет бағдарламасы 2022 жылы енгізіліп, бюджет қаражатының 40000 млн. теңгесін немесе 7,06 пайызды құраған [89-97].</w:t>
      </w:r>
    </w:p>
    <w:p w14:paraId="4CDE0908" w14:textId="55BB1DBC" w:rsidR="0093247F" w:rsidRPr="00457CE9" w:rsidRDefault="00D259BD" w:rsidP="00946DDD">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«Азық-түлік келісімшарттық корпорациясы «Ұлттық компаниясы» АҚ-ның 2021-2030 жж. стратегиялық даму бағдарламасы бекітілген</w:t>
      </w:r>
      <w:r w:rsidR="0061222C" w:rsidRPr="00457CE9">
        <w:rPr>
          <w:rFonts w:ascii="Times New Roman" w:hAnsi="Times New Roman" w:cs="Times New Roman"/>
          <w:sz w:val="28"/>
          <w:szCs w:val="28"/>
          <w:lang w:val="kk-KZ"/>
        </w:rPr>
        <w:t xml:space="preserve"> [</w:t>
      </w:r>
      <w:r w:rsidR="00C04B7F">
        <w:rPr>
          <w:rFonts w:ascii="Times New Roman" w:hAnsi="Times New Roman" w:cs="Times New Roman"/>
          <w:sz w:val="28"/>
          <w:szCs w:val="28"/>
          <w:lang w:val="kk-KZ"/>
        </w:rPr>
        <w:t>98</w:t>
      </w:r>
      <w:r w:rsidR="0061222C"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Стратегиялық бағыттарына азық-түлік қауіпсіздігін қамтамасыз етуге қатысу және астық нарығын тұрақтандыру, егіс алқаптарын әртараптандыруға және АӨК субъектілерін қаржылық қолдауға жәрдемдесу, ауыл шаруашылығы дақылдарының сапасы мен өнімділігін арттыруға жәрдемдесу, АӨК тұрақты жем базасын құруға жәрдемдесу, астық экспортын дамытуға жәрдемдесу, азық-түлік корпорациясы қызметінің тиімділігін арттыру деп анықталған</w:t>
      </w:r>
      <w:r w:rsidR="00AD65AD">
        <w:rPr>
          <w:rFonts w:ascii="Times New Roman" w:hAnsi="Times New Roman" w:cs="Times New Roman"/>
          <w:sz w:val="28"/>
          <w:szCs w:val="28"/>
          <w:lang w:val="kk-KZ"/>
        </w:rPr>
        <w:t xml:space="preserve"> </w:t>
      </w:r>
      <w:r w:rsidR="00AD65AD" w:rsidRPr="00AD65AD">
        <w:rPr>
          <w:rFonts w:ascii="Times New Roman" w:hAnsi="Times New Roman" w:cs="Times New Roman"/>
          <w:sz w:val="28"/>
          <w:szCs w:val="28"/>
          <w:lang w:val="kk-KZ"/>
        </w:rPr>
        <w:t>[98]</w:t>
      </w:r>
      <w:r w:rsidRPr="00457CE9">
        <w:rPr>
          <w:rFonts w:ascii="Times New Roman" w:hAnsi="Times New Roman" w:cs="Times New Roman"/>
          <w:sz w:val="28"/>
          <w:szCs w:val="28"/>
          <w:lang w:val="kk-KZ"/>
        </w:rPr>
        <w:t>.</w:t>
      </w:r>
    </w:p>
    <w:p w14:paraId="016CB391" w14:textId="77777777" w:rsidR="00AD65AD" w:rsidRDefault="00AD65AD" w:rsidP="00946DD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ҚР АӨК-н дамытуға 2016-2022 жж. аралығында жұмсалған бюджет қаражатының динамикасын талдай отырып келесідей қорытынды жасауға болады:</w:t>
      </w:r>
    </w:p>
    <w:p w14:paraId="423DBF2C" w14:textId="52ED6D0E" w:rsidR="00AD65AD" w:rsidRDefault="00AD65AD" w:rsidP="0097172E">
      <w:pPr>
        <w:pStyle w:val="a5"/>
        <w:numPr>
          <w:ilvl w:val="0"/>
          <w:numId w:val="6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АӨК дамыту бойынша соңғы 30 жылда елімізде жалпы 9 мемлекеттік бағдарлама және қазіргі таңда 10-шы ұлттық жоба іске асырылуда, АӨК дамыту мемлекеттік бағдарламаларын жоспарлауы, яғни, оның </w:t>
      </w:r>
      <w:r w:rsidR="00AB71E6">
        <w:rPr>
          <w:rFonts w:ascii="Times New Roman" w:hAnsi="Times New Roman"/>
          <w:sz w:val="28"/>
          <w:szCs w:val="28"/>
          <w:lang w:val="kk-KZ"/>
        </w:rPr>
        <w:t xml:space="preserve">бағыттары, </w:t>
      </w:r>
      <w:r>
        <w:rPr>
          <w:rFonts w:ascii="Times New Roman" w:hAnsi="Times New Roman"/>
          <w:sz w:val="28"/>
          <w:szCs w:val="28"/>
          <w:lang w:val="kk-KZ"/>
        </w:rPr>
        <w:t>мақсаты, нәтижелі көрсеткіштері, іс-шаралары</w:t>
      </w:r>
      <w:r w:rsidR="00AB71E6">
        <w:rPr>
          <w:rFonts w:ascii="Times New Roman" w:hAnsi="Times New Roman"/>
          <w:sz w:val="28"/>
          <w:szCs w:val="28"/>
          <w:lang w:val="kk-KZ"/>
        </w:rPr>
        <w:t>н анықтау сапасы біршама жақсарған деуге болады, дегенмен, АӨК саласы оның әлеуетін ескерсе, еліміздің басқа салаларымен салыстырғанда дамуы артта деуге болады;</w:t>
      </w:r>
    </w:p>
    <w:p w14:paraId="647B8615" w14:textId="6565E6C8" w:rsidR="00AB71E6" w:rsidRDefault="00AB71E6" w:rsidP="0097172E">
      <w:pPr>
        <w:pStyle w:val="a5"/>
        <w:numPr>
          <w:ilvl w:val="0"/>
          <w:numId w:val="6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АӨК дамыту шараларына бағытталған бюджет қаражатына қажеттілікті анықтайтын, жұмсайтын, мониторингісін жүзеге асыратын мемлекеттік орган Ауыл шаруашылығы министрлігі болып табылады. АӨК үлкен сала болғандықтан бағдарламаны іске асыруға атсалысатын басқа да мемлекеттік органдар белгіленген. Тәжірибе олардың өзара әрекеттесуі әлсіз екендігін көрсетеді;</w:t>
      </w:r>
    </w:p>
    <w:p w14:paraId="47CEEC9E" w14:textId="336DBFB8" w:rsidR="00AB71E6" w:rsidRPr="00935655" w:rsidRDefault="00AB71E6" w:rsidP="0097172E">
      <w:pPr>
        <w:pStyle w:val="a5"/>
        <w:numPr>
          <w:ilvl w:val="0"/>
          <w:numId w:val="6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АӨК дамытуға бюджет қаражаты белгіленген бюджет бағдарламалары арқылы жұмсалады. Бағдарламада не жобада жоспарланған нәтижелі көрсеткіштердің, іс-шаралардың орындалуын бақылайтын Ауыл шаруашылығы министрлігінде белгілі департамент не бөлім жоқ деуге болады. Нәтижелі көрсеткіштер орындалуы </w:t>
      </w:r>
      <w:r>
        <w:rPr>
          <w:rFonts w:ascii="Times New Roman" w:hAnsi="Times New Roman"/>
          <w:color w:val="000000"/>
          <w:sz w:val="28"/>
          <w:szCs w:val="28"/>
          <w:lang w:val="kk-KZ"/>
        </w:rPr>
        <w:t xml:space="preserve">Стратегиялық жоспарлау және реформалар агенттігі Ұлттық статистика бюросының мәліметтерінде жарияланатынын мемлекеттік аудиторлар өз есептерінде атап жазған. Сондықтан АӨК дамытуға жұмсалған бюджет қаражатының тиімділігін арттырудың ең күшті жолы – ол ішкі бақылауды күшейту </w:t>
      </w:r>
      <w:r w:rsidR="00E75E8A">
        <w:rPr>
          <w:rFonts w:ascii="Times New Roman" w:hAnsi="Times New Roman"/>
          <w:color w:val="000000"/>
          <w:sz w:val="28"/>
          <w:szCs w:val="28"/>
          <w:lang w:val="kk-KZ"/>
        </w:rPr>
        <w:t>болып табылады</w:t>
      </w:r>
      <w:r w:rsidR="00935655">
        <w:rPr>
          <w:rFonts w:ascii="Times New Roman" w:hAnsi="Times New Roman"/>
          <w:color w:val="000000"/>
          <w:sz w:val="28"/>
          <w:szCs w:val="28"/>
          <w:lang w:val="kk-KZ"/>
        </w:rPr>
        <w:t>;</w:t>
      </w:r>
    </w:p>
    <w:p w14:paraId="5FD00C78" w14:textId="5A73B6FA" w:rsidR="00935655" w:rsidRPr="00AD65AD" w:rsidRDefault="00935655" w:rsidP="0097172E">
      <w:pPr>
        <w:pStyle w:val="a5"/>
        <w:numPr>
          <w:ilvl w:val="0"/>
          <w:numId w:val="64"/>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АӨК дамытуға жұмсалған бюджет қаражатының жалпы әсерлері бюджеттік бағдарламаларда ұсынылуы қарастырылған, алайда 2016-2022 жж. аралығындағы ресми сайтта жариялаған бюджет бағдарламалары бойынша есептіліктерде, жеткілікті деңгейде толық жазылмаған, және бюджет бағдарламалары бойынша есептерді ұсыну сапасына назар аудару қажет.</w:t>
      </w:r>
    </w:p>
    <w:p w14:paraId="7A214FDF" w14:textId="5A8BDA2C" w:rsidR="00D259BD" w:rsidRPr="00457CE9" w:rsidRDefault="0093247F" w:rsidP="00946DDD">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АӨК дамытуға бағытталған бюджет қаражатын, яғни оның көлемін жоспарлайтын,</w:t>
      </w:r>
      <w:r w:rsidR="00D259BD"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жұмсалу бағыттарын анықтайтын, ұлттық жобаны әзірлейтін</w:t>
      </w:r>
      <w:r w:rsidR="00E87B45" w:rsidRPr="00457CE9">
        <w:rPr>
          <w:rFonts w:ascii="Times New Roman" w:hAnsi="Times New Roman" w:cs="Times New Roman"/>
          <w:sz w:val="28"/>
          <w:szCs w:val="28"/>
          <w:lang w:val="kk-KZ"/>
        </w:rPr>
        <w:t>, іске асыратын</w:t>
      </w:r>
      <w:r w:rsidR="00AD65AD">
        <w:rPr>
          <w:rFonts w:ascii="Times New Roman" w:hAnsi="Times New Roman" w:cs="Times New Roman"/>
          <w:sz w:val="28"/>
          <w:szCs w:val="28"/>
          <w:lang w:val="kk-KZ"/>
        </w:rPr>
        <w:t xml:space="preserve">, </w:t>
      </w:r>
      <w:r w:rsidR="00E87B45" w:rsidRPr="00457CE9">
        <w:rPr>
          <w:rFonts w:ascii="Times New Roman" w:hAnsi="Times New Roman" w:cs="Times New Roman"/>
          <w:sz w:val="28"/>
          <w:szCs w:val="28"/>
          <w:lang w:val="kk-KZ"/>
        </w:rPr>
        <w:t xml:space="preserve">тікелей және қорытынды көрсеткіштерінің мониторннгін жүзеге асыратын ҚР </w:t>
      </w:r>
      <w:r w:rsidR="007C29D2">
        <w:rPr>
          <w:rFonts w:ascii="Times New Roman" w:hAnsi="Times New Roman" w:cs="Times New Roman"/>
          <w:sz w:val="28"/>
          <w:szCs w:val="28"/>
          <w:lang w:val="kk-KZ"/>
        </w:rPr>
        <w:t>АШМ</w:t>
      </w:r>
      <w:r w:rsidR="00E87B45" w:rsidRPr="00457CE9">
        <w:rPr>
          <w:rFonts w:ascii="Times New Roman" w:hAnsi="Times New Roman" w:cs="Times New Roman"/>
          <w:sz w:val="28"/>
          <w:szCs w:val="28"/>
          <w:lang w:val="kk-KZ"/>
        </w:rPr>
        <w:t xml:space="preserve"> бюджет бағдарламасының әкімшілігі болып табылады. Алайда АӨК дамытуға бағытталған бюджет қаражатының тиімділігін бағалау үшін бюджет бағдарламасы әкімшілігінің жоспарланған тікелей және қорытынды көрсеткіштері мен іс-шараларының жеткіліктігін бағалауын жүзеге асыратын әдістеме қажет. </w:t>
      </w:r>
      <w:r w:rsidR="007C29D2">
        <w:rPr>
          <w:rFonts w:ascii="Times New Roman" w:hAnsi="Times New Roman" w:cs="Times New Roman"/>
          <w:sz w:val="28"/>
          <w:szCs w:val="28"/>
          <w:lang w:val="kk-KZ"/>
        </w:rPr>
        <w:t xml:space="preserve">Сонымен қатар жоғарыда іске асырылған АӨК дамыту бағдарламасын жоспарлау сапасының төмендігін, оны іске асыру барысында енгізілетін көптеген өзгерістер мен толықтырулар куәландырады. </w:t>
      </w:r>
    </w:p>
    <w:p w14:paraId="0E935899" w14:textId="48F5CA48"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 xml:space="preserve">Тиімді бюджет – АӨК дамытуға ықпал ететін тапсырмалар, нәтижелі көрсеткіштер мен іс-шаралар көрсеткіштерін дұрыс жоспарлау керек, сол себепті АӨК дамыту ұлттық жобасының мақсатын SMART технологиясына негіздей отырып әзірлеуді ұсынамыз, </w:t>
      </w:r>
      <w:r w:rsidR="00132979" w:rsidRPr="00C04B7F">
        <w:rPr>
          <w:rFonts w:ascii="Times New Roman" w:hAnsi="Times New Roman" w:cs="Times New Roman"/>
          <w:sz w:val="28"/>
          <w:szCs w:val="28"/>
          <w:shd w:val="clear" w:color="auto" w:fill="FFFFFF"/>
          <w:lang w:val="kk-KZ"/>
        </w:rPr>
        <w:t>10</w:t>
      </w:r>
      <w:r w:rsidRPr="00C04B7F">
        <w:rPr>
          <w:rFonts w:ascii="Times New Roman" w:hAnsi="Times New Roman" w:cs="Times New Roman"/>
          <w:sz w:val="28"/>
          <w:szCs w:val="28"/>
          <w:shd w:val="clear" w:color="auto" w:fill="FFFFFF"/>
          <w:lang w:val="kk-KZ"/>
        </w:rPr>
        <w:t>-сурет.</w:t>
      </w:r>
    </w:p>
    <w:p w14:paraId="45BAAF29" w14:textId="014949E7" w:rsidR="007C29D2" w:rsidRDefault="007C29D2" w:rsidP="007C29D2">
      <w:pPr>
        <w:widowControl w:val="0"/>
        <w:spacing w:after="0" w:line="240" w:lineRule="auto"/>
        <w:jc w:val="both"/>
        <w:rPr>
          <w:rFonts w:ascii="Times New Roman" w:hAnsi="Times New Roman" w:cs="Times New Roman"/>
          <w:color w:val="FF0000"/>
          <w:sz w:val="28"/>
          <w:szCs w:val="28"/>
          <w:shd w:val="clear" w:color="auto" w:fill="FFFFFF"/>
          <w:lang w:val="kk-KZ"/>
        </w:rPr>
      </w:pPr>
      <w:r>
        <w:rPr>
          <w:rFonts w:ascii="Times New Roman" w:hAnsi="Times New Roman" w:cs="Times New Roman"/>
          <w:noProof/>
          <w:color w:val="FF0000"/>
          <w:sz w:val="28"/>
          <w:szCs w:val="28"/>
          <w:shd w:val="clear" w:color="auto" w:fill="FFFFFF"/>
          <w:lang w:eastAsia="ru-RU"/>
        </w:rPr>
        <w:drawing>
          <wp:inline distT="0" distB="0" distL="0" distR="0" wp14:anchorId="499994FA" wp14:editId="6B3C3EFC">
            <wp:extent cx="6027420" cy="3108960"/>
            <wp:effectExtent l="57150" t="19050" r="49530" b="72390"/>
            <wp:docPr id="34946947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5DE9FF9" w14:textId="464498D4"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 xml:space="preserve">Сурет </w:t>
      </w:r>
      <w:r w:rsidR="00132979" w:rsidRPr="00C04B7F">
        <w:rPr>
          <w:rFonts w:ascii="Times New Roman" w:hAnsi="Times New Roman" w:cs="Times New Roman"/>
          <w:sz w:val="28"/>
          <w:szCs w:val="28"/>
          <w:shd w:val="clear" w:color="auto" w:fill="FFFFFF"/>
          <w:lang w:val="kk-KZ"/>
        </w:rPr>
        <w:t>10</w:t>
      </w:r>
      <w:r w:rsidRPr="00C04B7F">
        <w:rPr>
          <w:rFonts w:ascii="Times New Roman" w:hAnsi="Times New Roman" w:cs="Times New Roman"/>
          <w:sz w:val="28"/>
          <w:szCs w:val="28"/>
          <w:shd w:val="clear" w:color="auto" w:fill="FFFFFF"/>
          <w:lang w:val="kk-KZ"/>
        </w:rPr>
        <w:t>. ҚР АӨК дамыту ұлттық жобасы мақсатын әзірлеу технологиясы</w:t>
      </w:r>
    </w:p>
    <w:p w14:paraId="68ABD265" w14:textId="77777777" w:rsidR="007C29D2" w:rsidRPr="00C04B7F" w:rsidRDefault="007C29D2" w:rsidP="007C29D2">
      <w:pPr>
        <w:widowControl w:val="0"/>
        <w:spacing w:after="0" w:line="240" w:lineRule="auto"/>
        <w:ind w:firstLine="709"/>
        <w:jc w:val="both"/>
        <w:rPr>
          <w:rFonts w:ascii="Times New Roman" w:hAnsi="Times New Roman" w:cs="Times New Roman"/>
          <w:sz w:val="24"/>
          <w:szCs w:val="24"/>
          <w:shd w:val="clear" w:color="auto" w:fill="FFFFFF"/>
          <w:lang w:val="kk-KZ"/>
        </w:rPr>
      </w:pPr>
      <w:r w:rsidRPr="00C04B7F">
        <w:rPr>
          <w:rFonts w:ascii="Times New Roman" w:hAnsi="Times New Roman" w:cs="Times New Roman"/>
          <w:sz w:val="24"/>
          <w:szCs w:val="24"/>
          <w:shd w:val="clear" w:color="auto" w:fill="FFFFFF"/>
          <w:lang w:val="kk-KZ"/>
        </w:rPr>
        <w:t>Ескерту – автормен құрастырылған</w:t>
      </w:r>
    </w:p>
    <w:p w14:paraId="22B35CB6" w14:textId="7777777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p>
    <w:p w14:paraId="55F87ACC" w14:textId="61013FA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Осы бағыттағы теория мен тәжірибені зерттей келе біздің ойымызша, АӨК-н</w:t>
      </w:r>
      <w:r w:rsidR="00935655">
        <w:rPr>
          <w:rFonts w:ascii="Times New Roman" w:hAnsi="Times New Roman" w:cs="Times New Roman"/>
          <w:sz w:val="28"/>
          <w:szCs w:val="28"/>
          <w:shd w:val="clear" w:color="auto" w:fill="FFFFFF"/>
          <w:lang w:val="kk-KZ"/>
        </w:rPr>
        <w:t>ің</w:t>
      </w:r>
      <w:r w:rsidRPr="00C04B7F">
        <w:rPr>
          <w:rFonts w:ascii="Times New Roman" w:hAnsi="Times New Roman" w:cs="Times New Roman"/>
          <w:sz w:val="28"/>
          <w:szCs w:val="28"/>
          <w:shd w:val="clear" w:color="auto" w:fill="FFFFFF"/>
          <w:lang w:val="kk-KZ"/>
        </w:rPr>
        <w:t xml:space="preserve"> дамуын сипаттайтын негізгі макроэкономикалық көрсеткіштерді индикаторлар ретінде белгілеп алып оны орындау үшін қажетті ресурстардың тиімділі</w:t>
      </w:r>
      <w:r w:rsidR="00935655">
        <w:rPr>
          <w:rFonts w:ascii="Times New Roman" w:hAnsi="Times New Roman" w:cs="Times New Roman"/>
          <w:sz w:val="28"/>
          <w:szCs w:val="28"/>
          <w:shd w:val="clear" w:color="auto" w:fill="FFFFFF"/>
          <w:lang w:val="kk-KZ"/>
        </w:rPr>
        <w:t xml:space="preserve">к аудитінің </w:t>
      </w:r>
      <w:r w:rsidRPr="00C04B7F">
        <w:rPr>
          <w:rFonts w:ascii="Times New Roman" w:hAnsi="Times New Roman" w:cs="Times New Roman"/>
          <w:sz w:val="28"/>
          <w:szCs w:val="28"/>
          <w:shd w:val="clear" w:color="auto" w:fill="FFFFFF"/>
          <w:lang w:val="kk-KZ"/>
        </w:rPr>
        <w:t xml:space="preserve">үнемділігі, нәтижелілігі, өнімділігі деген </w:t>
      </w:r>
      <w:r w:rsidR="00935655">
        <w:rPr>
          <w:rFonts w:ascii="Times New Roman" w:hAnsi="Times New Roman" w:cs="Times New Roman"/>
          <w:sz w:val="28"/>
          <w:szCs w:val="28"/>
          <w:shd w:val="clear" w:color="auto" w:fill="FFFFFF"/>
          <w:lang w:val="kk-KZ"/>
        </w:rPr>
        <w:t>көрсеткіштер</w:t>
      </w:r>
      <w:r w:rsidRPr="00C04B7F">
        <w:rPr>
          <w:rFonts w:ascii="Times New Roman" w:hAnsi="Times New Roman" w:cs="Times New Roman"/>
          <w:sz w:val="28"/>
          <w:szCs w:val="28"/>
          <w:shd w:val="clear" w:color="auto" w:fill="FFFFFF"/>
          <w:lang w:val="kk-KZ"/>
        </w:rPr>
        <w:t>дің деңгейлерін анықтау, аудитордың және салалық эксперттердің кәсіби пікірлері негізінде эксперттік тәуелсіз баға беру, тиімділікті өлшеу шкаласын тағайындау және қорытынды беру. Сонымен қатар АӨК дамытуға бағытталған бюджет қаражатының тиімді пайдаланылуын қамтамасыз ету тиімді бюджет жоспарлаудан басталады. Яғни, тиімді бюджет – АӨК дамытуға ықпал ететін тапсырмалар, нәтижелі көрсеткіштер мен іс-шаралар көрсеткіштерін дұрыс жоспарлау керек.</w:t>
      </w:r>
    </w:p>
    <w:p w14:paraId="388BC54B" w14:textId="7777777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АӨК дамыту бойынша тапсырмаларды, нәтижелі көрсеткіштер мен іс-шараларды жоспарлайтын және орындалуын бақылайтын мемлекеттік орган есептілігінің ашықтығын арттыру үшін веб-технологиялар мен әлеуметтік желілерді пайдалану.</w:t>
      </w:r>
    </w:p>
    <w:p w14:paraId="651C9846" w14:textId="7777777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АӨК дамытуға арналған жоспарлы тапсырмалар, нәтижелі көрсеткіштер мен іс-шаралар көрсеткіштеріне қол жеткізу үшін инновациялық тәсілдерді қолдану.</w:t>
      </w:r>
    </w:p>
    <w:p w14:paraId="150AA0F4" w14:textId="7777777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АӨК дамытудың ұлттық жобасын іске асыру кезінде оны орындаушылар арасында тиімді әрекет ету тетіктерін анықтау.</w:t>
      </w:r>
    </w:p>
    <w:p w14:paraId="53CD7D37" w14:textId="7777777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АӨК дамытудың стратегиялық және ұлттық жоба жоспарлауда тәуекелдерді анықтау және оны басқаруда басқару қиыншылықтарына жауап беру қаблетін бағалау.</w:t>
      </w:r>
    </w:p>
    <w:p w14:paraId="0D499940" w14:textId="77777777" w:rsidR="007C29D2" w:rsidRPr="00C04B7F" w:rsidRDefault="007C29D2" w:rsidP="007C29D2">
      <w:pPr>
        <w:widowControl w:val="0"/>
        <w:spacing w:after="0" w:line="240" w:lineRule="auto"/>
        <w:ind w:firstLine="709"/>
        <w:jc w:val="both"/>
        <w:rPr>
          <w:rFonts w:ascii="Times New Roman" w:hAnsi="Times New Roman" w:cs="Times New Roman"/>
          <w:sz w:val="28"/>
          <w:szCs w:val="28"/>
          <w:shd w:val="clear" w:color="auto" w:fill="FFFFFF"/>
          <w:lang w:val="kk-KZ"/>
        </w:rPr>
      </w:pPr>
      <w:r w:rsidRPr="00C04B7F">
        <w:rPr>
          <w:rFonts w:ascii="Times New Roman" w:hAnsi="Times New Roman" w:cs="Times New Roman"/>
          <w:sz w:val="28"/>
          <w:szCs w:val="28"/>
          <w:shd w:val="clear" w:color="auto" w:fill="FFFFFF"/>
          <w:lang w:val="kk-KZ"/>
        </w:rPr>
        <w:t xml:space="preserve">АӨК дамытудың ұлттық жобасының іске асырылуын үздіксіз және жүйелі қадағалау арқылы дер кезінде олқылықтарды жою.  </w:t>
      </w:r>
    </w:p>
    <w:p w14:paraId="3CDDCB67" w14:textId="6366B8F6" w:rsidR="00BE74E5" w:rsidRPr="00946DDD" w:rsidRDefault="007C29D2" w:rsidP="00132979">
      <w:pPr>
        <w:widowControl w:val="0"/>
        <w:spacing w:after="0" w:line="240" w:lineRule="auto"/>
        <w:ind w:firstLine="709"/>
        <w:jc w:val="both"/>
        <w:rPr>
          <w:rFonts w:ascii="Times New Roman" w:hAnsi="Times New Roman"/>
          <w:b/>
          <w:sz w:val="28"/>
          <w:szCs w:val="28"/>
          <w:lang w:val="kk-KZ"/>
        </w:rPr>
      </w:pPr>
      <w:r>
        <w:rPr>
          <w:rFonts w:ascii="Times New Roman" w:hAnsi="Times New Roman" w:cs="Times New Roman"/>
          <w:sz w:val="28"/>
          <w:szCs w:val="28"/>
          <w:shd w:val="clear" w:color="auto" w:fill="FFFFFF"/>
          <w:lang w:val="kk-KZ"/>
        </w:rPr>
        <w:t xml:space="preserve">  </w:t>
      </w:r>
    </w:p>
    <w:p w14:paraId="47F0862F" w14:textId="34710366" w:rsidR="00EC368C" w:rsidRPr="00946DDD" w:rsidRDefault="00385ED8" w:rsidP="00946DDD">
      <w:pPr>
        <w:spacing w:after="0" w:line="240" w:lineRule="auto"/>
        <w:ind w:firstLine="709"/>
        <w:jc w:val="both"/>
        <w:rPr>
          <w:rFonts w:ascii="Times New Roman" w:hAnsi="Times New Roman" w:cs="Times New Roman"/>
          <w:b/>
          <w:color w:val="000000"/>
          <w:sz w:val="28"/>
          <w:szCs w:val="28"/>
          <w:shd w:val="clear" w:color="auto" w:fill="FFFFFF"/>
          <w:lang w:val="kk-KZ"/>
        </w:rPr>
      </w:pPr>
      <w:r w:rsidRPr="00946DDD">
        <w:rPr>
          <w:rFonts w:ascii="Times New Roman" w:hAnsi="Times New Roman"/>
          <w:b/>
          <w:sz w:val="28"/>
          <w:szCs w:val="28"/>
          <w:lang w:val="kk-KZ"/>
        </w:rPr>
        <w:t>2.</w:t>
      </w:r>
      <w:r w:rsidR="00931432" w:rsidRPr="00946DDD">
        <w:rPr>
          <w:rFonts w:ascii="Times New Roman" w:hAnsi="Times New Roman"/>
          <w:b/>
          <w:sz w:val="28"/>
          <w:szCs w:val="28"/>
          <w:lang w:val="kk-KZ"/>
        </w:rPr>
        <w:t>2</w:t>
      </w:r>
      <w:r w:rsidR="00B0347C" w:rsidRPr="00946DDD">
        <w:rPr>
          <w:rFonts w:ascii="Times New Roman" w:hAnsi="Times New Roman"/>
          <w:b/>
          <w:sz w:val="28"/>
          <w:szCs w:val="28"/>
          <w:lang w:val="kk-KZ"/>
        </w:rPr>
        <w:t xml:space="preserve"> </w:t>
      </w:r>
      <w:r w:rsidRPr="00946DDD">
        <w:rPr>
          <w:rFonts w:ascii="Times New Roman" w:hAnsi="Times New Roman"/>
          <w:b/>
          <w:sz w:val="28"/>
          <w:szCs w:val="28"/>
          <w:lang w:val="kk-KZ"/>
        </w:rPr>
        <w:t>АӨК дамытуға бағытталған бюджет қаражатын пайдаланудың тиімділі</w:t>
      </w:r>
      <w:r w:rsidR="004C585D" w:rsidRPr="00946DDD">
        <w:rPr>
          <w:rFonts w:ascii="Times New Roman" w:hAnsi="Times New Roman"/>
          <w:b/>
          <w:sz w:val="28"/>
          <w:szCs w:val="28"/>
          <w:lang w:val="kk-KZ"/>
        </w:rPr>
        <w:t>гі</w:t>
      </w:r>
      <w:r w:rsidRPr="00946DDD">
        <w:rPr>
          <w:rFonts w:ascii="Times New Roman" w:hAnsi="Times New Roman"/>
          <w:b/>
          <w:sz w:val="28"/>
          <w:szCs w:val="28"/>
          <w:lang w:val="kk-KZ"/>
        </w:rPr>
        <w:t xml:space="preserve"> аудитінің нәтижелерін бағалау</w:t>
      </w:r>
    </w:p>
    <w:p w14:paraId="332B9BFF" w14:textId="78E4D4EA" w:rsidR="000F6D59" w:rsidRPr="00457CE9" w:rsidRDefault="000F6D59" w:rsidP="00946DDD">
      <w:pPr>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ҚР-да </w:t>
      </w:r>
      <w:r w:rsidR="00575788">
        <w:rPr>
          <w:rFonts w:ascii="Times New Roman" w:hAnsi="Times New Roman" w:cs="Times New Roman"/>
          <w:color w:val="000000"/>
          <w:sz w:val="28"/>
          <w:szCs w:val="28"/>
          <w:shd w:val="clear" w:color="auto" w:fill="FFFFFF"/>
          <w:lang w:val="kk-KZ"/>
        </w:rPr>
        <w:t>АӨК-н</w:t>
      </w:r>
      <w:r w:rsidRPr="00457CE9">
        <w:rPr>
          <w:rFonts w:ascii="Times New Roman" w:hAnsi="Times New Roman" w:cs="Times New Roman"/>
          <w:color w:val="000000"/>
          <w:sz w:val="28"/>
          <w:szCs w:val="28"/>
          <w:shd w:val="clear" w:color="auto" w:fill="FFFFFF"/>
          <w:lang w:val="kk-KZ"/>
        </w:rPr>
        <w:t xml:space="preserve"> дамытуға бағытталған бюджет қаражатының тиімділік аудитін максималды тиімді ұйымдастырып, объективті тәуелсіз баға беру үшін, жалпы осы бағыттағы жүргізілген тиімділік аудитінің әдістемесін зерттеуден бастаған жөн.  </w:t>
      </w:r>
    </w:p>
    <w:p w14:paraId="01C916A3" w14:textId="5DF0656A" w:rsidR="002F4B72" w:rsidRPr="00457CE9" w:rsidRDefault="002F4B72" w:rsidP="00946DDD">
      <w:pPr>
        <w:tabs>
          <w:tab w:val="left" w:pos="851"/>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heme="minorEastAsia" w:hAnsi="Times New Roman"/>
          <w:kern w:val="36"/>
          <w:sz w:val="28"/>
          <w:szCs w:val="28"/>
          <w:lang w:val="kk-KZ" w:eastAsia="zh-CN"/>
        </w:rPr>
        <w:t xml:space="preserve">2017-2021 жж. аралығында </w:t>
      </w:r>
      <w:r w:rsidRPr="00457CE9">
        <w:rPr>
          <w:rFonts w:ascii="Times New Roman" w:eastAsia="Times New Roman" w:hAnsi="Times New Roman"/>
          <w:kern w:val="36"/>
          <w:sz w:val="28"/>
          <w:szCs w:val="28"/>
          <w:lang w:val="kk-KZ" w:eastAsia="ru-RU"/>
        </w:rPr>
        <w:t xml:space="preserve">АӨК дамытуға бағытталған мемлекеттік Бағдарламаны іске асырудың тиімділік аудитін ҚР «Мемлекеттік аудит және қаржылық бақылау туралы» </w:t>
      </w:r>
      <w:r w:rsidR="0039678E" w:rsidRPr="00457CE9">
        <w:rPr>
          <w:rFonts w:ascii="Times New Roman" w:eastAsia="Times New Roman" w:hAnsi="Times New Roman"/>
          <w:kern w:val="36"/>
          <w:sz w:val="28"/>
          <w:szCs w:val="28"/>
          <w:lang w:val="kk-KZ" w:eastAsia="ru-RU"/>
        </w:rPr>
        <w:t>[1</w:t>
      </w:r>
      <w:r w:rsidR="00C04B7F">
        <w:rPr>
          <w:rFonts w:ascii="Times New Roman" w:eastAsia="Times New Roman" w:hAnsi="Times New Roman"/>
          <w:kern w:val="36"/>
          <w:sz w:val="28"/>
          <w:szCs w:val="28"/>
          <w:lang w:val="kk-KZ" w:eastAsia="ru-RU"/>
        </w:rPr>
        <w:t>3</w:t>
      </w:r>
      <w:r w:rsidR="0039678E" w:rsidRPr="00457CE9">
        <w:rPr>
          <w:rFonts w:ascii="Times New Roman" w:eastAsia="Times New Roman" w:hAnsi="Times New Roman"/>
          <w:kern w:val="36"/>
          <w:sz w:val="28"/>
          <w:szCs w:val="28"/>
          <w:lang w:val="kk-KZ" w:eastAsia="ru-RU"/>
        </w:rPr>
        <w:t xml:space="preserve">] </w:t>
      </w:r>
      <w:r w:rsidRPr="00457CE9">
        <w:rPr>
          <w:rFonts w:ascii="Times New Roman" w:eastAsia="Times New Roman" w:hAnsi="Times New Roman"/>
          <w:kern w:val="36"/>
          <w:sz w:val="28"/>
          <w:szCs w:val="28"/>
          <w:lang w:val="kk-KZ" w:eastAsia="ru-RU"/>
        </w:rPr>
        <w:t xml:space="preserve">заңына сәйкес өткізу құзыретіне ҚР Жоғары аудит палатасы ие. </w:t>
      </w:r>
    </w:p>
    <w:p w14:paraId="42616882" w14:textId="5F25971A" w:rsidR="002F4B72" w:rsidRPr="00457CE9" w:rsidRDefault="002F4B72" w:rsidP="00946DDD">
      <w:pPr>
        <w:tabs>
          <w:tab w:val="left" w:pos="851"/>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Бағдарламаның тиімділік аудитінің объектісі ретінде ҚР Ауыл шаруашылығы министрлігі болып анықталған, себебі Бағдарламаны іске асыратын орган болып табылады.</w:t>
      </w:r>
      <w:r w:rsidR="00472396" w:rsidRPr="00457CE9">
        <w:rPr>
          <w:rFonts w:ascii="Times New Roman" w:eastAsia="Times New Roman" w:hAnsi="Times New Roman"/>
          <w:kern w:val="36"/>
          <w:sz w:val="28"/>
          <w:szCs w:val="28"/>
          <w:lang w:val="kk-KZ" w:eastAsia="ru-RU"/>
        </w:rPr>
        <w:t xml:space="preserve"> </w:t>
      </w:r>
      <w:r w:rsidRPr="00457CE9">
        <w:rPr>
          <w:rFonts w:ascii="Times New Roman" w:eastAsia="Times New Roman" w:hAnsi="Times New Roman"/>
          <w:kern w:val="36"/>
          <w:sz w:val="28"/>
          <w:szCs w:val="28"/>
          <w:lang w:val="kk-KZ" w:eastAsia="ru-RU"/>
        </w:rPr>
        <w:t xml:space="preserve">Тиімділік аудитімен қатар сәйкестік аудиті де жүзеге асырылады, себебі Бағдарламада анықталған нәтижелі көрсеткіштерге жету сәйкестігі тексеріледі. </w:t>
      </w:r>
    </w:p>
    <w:p w14:paraId="122BBBA0" w14:textId="1F51CFBE" w:rsidR="002F4B72" w:rsidRPr="00457CE9" w:rsidRDefault="002F4B72" w:rsidP="00132979">
      <w:pPr>
        <w:widowControl w:val="0"/>
        <w:tabs>
          <w:tab w:val="left" w:pos="851"/>
        </w:tabs>
        <w:spacing w:after="0" w:line="240" w:lineRule="auto"/>
        <w:ind w:firstLine="709"/>
        <w:jc w:val="both"/>
        <w:rPr>
          <w:rFonts w:ascii="Times New Roman" w:eastAsiaTheme="minorEastAsia" w:hAnsi="Times New Roman"/>
          <w:kern w:val="36"/>
          <w:sz w:val="28"/>
          <w:szCs w:val="28"/>
          <w:lang w:val="kk-KZ" w:eastAsia="zh-CN"/>
        </w:rPr>
      </w:pPr>
      <w:r w:rsidRPr="00457CE9">
        <w:rPr>
          <w:rFonts w:ascii="Times New Roman" w:eastAsia="Times New Roman" w:hAnsi="Times New Roman"/>
          <w:kern w:val="36"/>
          <w:sz w:val="28"/>
          <w:szCs w:val="28"/>
          <w:lang w:val="kk-KZ" w:eastAsia="ru-RU"/>
        </w:rPr>
        <w:t xml:space="preserve">Мемлекеттік аудит пәні ретінде бюджеттік бағдарламалар, яғни жалпы саны </w:t>
      </w:r>
      <w:r w:rsidRPr="00457CE9">
        <w:rPr>
          <w:rFonts w:ascii="Times New Roman" w:eastAsiaTheme="minorEastAsia" w:hAnsi="Times New Roman"/>
          <w:kern w:val="36"/>
          <w:sz w:val="28"/>
          <w:szCs w:val="28"/>
          <w:lang w:val="kk-KZ" w:eastAsia="zh-CN"/>
        </w:rPr>
        <w:t>27 бағдарлама кодтары: 001/100, 001/111, 131, 249/100, 249/106, 249/107, 249/110, 249/111, 250/102, 250/103, 250/104, 250/105, 250/106, 250/107, 255/106, 255/106,  255/108, 255/111, 255/112, 255/114, 255/115, 258, 262, 265/100, 267/100, 267/101, 269</w:t>
      </w:r>
      <w:r w:rsidR="00935655">
        <w:rPr>
          <w:rFonts w:ascii="Times New Roman" w:eastAsiaTheme="minorEastAsia" w:hAnsi="Times New Roman"/>
          <w:kern w:val="36"/>
          <w:sz w:val="28"/>
          <w:szCs w:val="28"/>
          <w:lang w:val="kk-KZ" w:eastAsia="zh-CN"/>
        </w:rPr>
        <w:t xml:space="preserve"> деп белгіленген</w:t>
      </w:r>
      <w:r w:rsidRPr="00457CE9">
        <w:rPr>
          <w:rFonts w:ascii="Times New Roman" w:eastAsiaTheme="minorEastAsia" w:hAnsi="Times New Roman"/>
          <w:kern w:val="36"/>
          <w:sz w:val="28"/>
          <w:szCs w:val="28"/>
          <w:lang w:val="kk-KZ" w:eastAsia="zh-CN"/>
        </w:rPr>
        <w:t xml:space="preserve"> </w:t>
      </w:r>
      <w:r w:rsidR="000B5B6F">
        <w:rPr>
          <w:rFonts w:ascii="Times New Roman" w:eastAsiaTheme="minorEastAsia" w:hAnsi="Times New Roman"/>
          <w:kern w:val="36"/>
          <w:sz w:val="28"/>
          <w:szCs w:val="28"/>
          <w:lang w:val="kk-KZ" w:eastAsia="zh-CN"/>
        </w:rPr>
        <w:t>[52]</w:t>
      </w:r>
      <w:r w:rsidRPr="00457CE9">
        <w:rPr>
          <w:rFonts w:ascii="Times New Roman" w:eastAsiaTheme="minorEastAsia" w:hAnsi="Times New Roman"/>
          <w:kern w:val="36"/>
          <w:sz w:val="28"/>
          <w:szCs w:val="28"/>
          <w:lang w:val="kk-KZ" w:eastAsia="zh-CN"/>
        </w:rPr>
        <w:t>.</w:t>
      </w:r>
    </w:p>
    <w:p w14:paraId="32C9A658" w14:textId="77777777" w:rsidR="002F4B72" w:rsidRPr="00457CE9" w:rsidRDefault="002F4B72" w:rsidP="00132979">
      <w:pPr>
        <w:widowControl w:val="0"/>
        <w:tabs>
          <w:tab w:val="left" w:pos="851"/>
        </w:tabs>
        <w:spacing w:after="0" w:line="240" w:lineRule="auto"/>
        <w:ind w:firstLine="709"/>
        <w:jc w:val="both"/>
        <w:rPr>
          <w:rFonts w:ascii="Times New Roman" w:eastAsiaTheme="minorEastAsia" w:hAnsi="Times New Roman"/>
          <w:kern w:val="36"/>
          <w:sz w:val="28"/>
          <w:szCs w:val="28"/>
          <w:lang w:val="kk-KZ" w:eastAsia="zh-CN"/>
        </w:rPr>
      </w:pPr>
      <w:r w:rsidRPr="00457CE9">
        <w:rPr>
          <w:rFonts w:ascii="Times New Roman" w:eastAsiaTheme="minorEastAsia" w:hAnsi="Times New Roman"/>
          <w:kern w:val="36"/>
          <w:sz w:val="28"/>
          <w:szCs w:val="28"/>
          <w:lang w:val="kk-KZ" w:eastAsia="zh-CN"/>
        </w:rPr>
        <w:t xml:space="preserve">Мемлекеттік аудитті жүргізу үшін тоғыз адамнан құралған аудиторлық топ құрылған. Мемлекеттік аудитті өткізу қамтылған кезең: 01.01.2017 ж. – 30.06.2020 ж. </w:t>
      </w:r>
    </w:p>
    <w:p w14:paraId="7CFF40CD" w14:textId="77777777" w:rsidR="002F4B72" w:rsidRPr="00457CE9" w:rsidRDefault="002F4B72" w:rsidP="00946DDD">
      <w:pPr>
        <w:tabs>
          <w:tab w:val="left" w:pos="851"/>
        </w:tabs>
        <w:spacing w:after="0" w:line="240" w:lineRule="auto"/>
        <w:ind w:firstLine="709"/>
        <w:jc w:val="both"/>
        <w:rPr>
          <w:rFonts w:ascii="Times New Roman" w:eastAsiaTheme="minorEastAsia" w:hAnsi="Times New Roman"/>
          <w:kern w:val="36"/>
          <w:sz w:val="28"/>
          <w:szCs w:val="28"/>
          <w:lang w:val="kk-KZ" w:eastAsia="zh-CN"/>
        </w:rPr>
      </w:pPr>
      <w:r w:rsidRPr="00457CE9">
        <w:rPr>
          <w:rFonts w:ascii="Times New Roman" w:eastAsiaTheme="minorEastAsia" w:hAnsi="Times New Roman"/>
          <w:kern w:val="36"/>
          <w:sz w:val="28"/>
          <w:szCs w:val="28"/>
          <w:lang w:val="kk-KZ" w:eastAsia="zh-CN"/>
        </w:rPr>
        <w:t>Мемлекеттік аудитті өткізу уақыты: 29.06.2020ж. – 23.10.2020 ж.</w:t>
      </w:r>
    </w:p>
    <w:p w14:paraId="424E380B" w14:textId="4046B2FD" w:rsidR="005E1EE1" w:rsidRPr="00457CE9" w:rsidRDefault="00385ED8" w:rsidP="00946DDD">
      <w:pPr>
        <w:widowControl w:val="0"/>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ҚР АӨК дамытуға бағытталған бюджет қаражатының тиімділік аудитін ҚР </w:t>
      </w:r>
      <w:r w:rsidR="002F4B72" w:rsidRPr="00457CE9">
        <w:rPr>
          <w:rFonts w:ascii="Times New Roman" w:hAnsi="Times New Roman" w:cs="Times New Roman"/>
          <w:color w:val="000000"/>
          <w:sz w:val="28"/>
          <w:szCs w:val="28"/>
          <w:shd w:val="clear" w:color="auto" w:fill="FFFFFF"/>
          <w:lang w:val="kk-KZ"/>
        </w:rPr>
        <w:t>Жоғары Аудит палатасы</w:t>
      </w:r>
      <w:r w:rsidRPr="00457CE9">
        <w:rPr>
          <w:rFonts w:ascii="Times New Roman" w:hAnsi="Times New Roman" w:cs="Times New Roman"/>
          <w:color w:val="000000"/>
          <w:sz w:val="28"/>
          <w:szCs w:val="28"/>
          <w:shd w:val="clear" w:color="auto" w:fill="FFFFFF"/>
          <w:lang w:val="kk-KZ"/>
        </w:rPr>
        <w:t xml:space="preserve"> </w:t>
      </w:r>
      <w:r w:rsidR="00276A63" w:rsidRPr="00457CE9">
        <w:rPr>
          <w:rFonts w:ascii="Times New Roman" w:hAnsi="Times New Roman" w:cs="Times New Roman"/>
          <w:color w:val="000000"/>
          <w:sz w:val="28"/>
          <w:szCs w:val="28"/>
          <w:shd w:val="clear" w:color="auto" w:fill="FFFFFF"/>
          <w:lang w:val="kk-KZ"/>
        </w:rPr>
        <w:t xml:space="preserve">2017 жылдың 1 қаңтарынан </w:t>
      </w:r>
      <w:r w:rsidRPr="00457CE9">
        <w:rPr>
          <w:rFonts w:ascii="Times New Roman" w:hAnsi="Times New Roman" w:cs="Times New Roman"/>
          <w:color w:val="000000"/>
          <w:sz w:val="28"/>
          <w:szCs w:val="28"/>
          <w:shd w:val="clear" w:color="auto" w:fill="FFFFFF"/>
          <w:lang w:val="kk-KZ"/>
        </w:rPr>
        <w:t>2020 жыл</w:t>
      </w:r>
      <w:r w:rsidR="00276A63" w:rsidRPr="00457CE9">
        <w:rPr>
          <w:rFonts w:ascii="Times New Roman" w:hAnsi="Times New Roman" w:cs="Times New Roman"/>
          <w:color w:val="000000"/>
          <w:sz w:val="28"/>
          <w:szCs w:val="28"/>
          <w:shd w:val="clear" w:color="auto" w:fill="FFFFFF"/>
          <w:lang w:val="kk-KZ"/>
        </w:rPr>
        <w:t>д</w:t>
      </w:r>
      <w:r w:rsidRPr="00457CE9">
        <w:rPr>
          <w:rFonts w:ascii="Times New Roman" w:hAnsi="Times New Roman" w:cs="Times New Roman"/>
          <w:color w:val="000000"/>
          <w:sz w:val="28"/>
          <w:szCs w:val="28"/>
          <w:shd w:val="clear" w:color="auto" w:fill="FFFFFF"/>
          <w:lang w:val="kk-KZ"/>
        </w:rPr>
        <w:t>ы</w:t>
      </w:r>
      <w:r w:rsidR="00276A63" w:rsidRPr="00457CE9">
        <w:rPr>
          <w:rFonts w:ascii="Times New Roman" w:hAnsi="Times New Roman" w:cs="Times New Roman"/>
          <w:color w:val="000000"/>
          <w:sz w:val="28"/>
          <w:szCs w:val="28"/>
          <w:shd w:val="clear" w:color="auto" w:fill="FFFFFF"/>
          <w:lang w:val="kk-KZ"/>
        </w:rPr>
        <w:t xml:space="preserve">ң 30 маусымы аралығын қамтитын </w:t>
      </w:r>
      <w:r w:rsidR="003C56BE" w:rsidRPr="00457CE9">
        <w:rPr>
          <w:rFonts w:ascii="Times New Roman" w:hAnsi="Times New Roman" w:cs="Times New Roman"/>
          <w:color w:val="000000"/>
          <w:sz w:val="28"/>
          <w:szCs w:val="28"/>
          <w:shd w:val="clear" w:color="auto" w:fill="FFFFFF"/>
          <w:lang w:val="kk-KZ"/>
        </w:rPr>
        <w:t>«</w:t>
      </w:r>
      <w:r w:rsidR="00276A63" w:rsidRPr="00457CE9">
        <w:rPr>
          <w:rFonts w:ascii="Times New Roman" w:hAnsi="Times New Roman" w:cs="Times New Roman"/>
          <w:color w:val="000000"/>
          <w:sz w:val="28"/>
          <w:szCs w:val="28"/>
          <w:shd w:val="clear" w:color="auto" w:fill="FFFFFF"/>
          <w:lang w:val="kk-KZ"/>
        </w:rPr>
        <w:t>2017-2021 жж. ҚР АӨК дамытудың мемлекеттік бағдарламасын</w:t>
      </w:r>
      <w:r w:rsidR="003C56BE" w:rsidRPr="00457CE9">
        <w:rPr>
          <w:rFonts w:ascii="Times New Roman" w:hAnsi="Times New Roman" w:cs="Times New Roman"/>
          <w:color w:val="000000"/>
          <w:sz w:val="28"/>
          <w:szCs w:val="28"/>
          <w:shd w:val="clear" w:color="auto" w:fill="FFFFFF"/>
          <w:lang w:val="kk-KZ"/>
        </w:rPr>
        <w:t>»</w:t>
      </w:r>
      <w:r w:rsidR="00276A63" w:rsidRPr="00457CE9">
        <w:rPr>
          <w:rFonts w:ascii="Times New Roman" w:hAnsi="Times New Roman" w:cs="Times New Roman"/>
          <w:color w:val="000000"/>
          <w:sz w:val="28"/>
          <w:szCs w:val="28"/>
          <w:shd w:val="clear" w:color="auto" w:fill="FFFFFF"/>
          <w:lang w:val="kk-KZ"/>
        </w:rPr>
        <w:t xml:space="preserve"> іске асырудың </w:t>
      </w:r>
      <w:r w:rsidR="005E1EE1" w:rsidRPr="00457CE9">
        <w:rPr>
          <w:rFonts w:ascii="Times New Roman" w:hAnsi="Times New Roman" w:cs="Times New Roman"/>
          <w:color w:val="000000"/>
          <w:sz w:val="28"/>
          <w:szCs w:val="28"/>
          <w:shd w:val="clear" w:color="auto" w:fill="FFFFFF"/>
          <w:lang w:val="kk-KZ"/>
        </w:rPr>
        <w:t xml:space="preserve">аралық бағалауын </w:t>
      </w:r>
      <w:r w:rsidRPr="00457CE9">
        <w:rPr>
          <w:rFonts w:ascii="Times New Roman" w:hAnsi="Times New Roman" w:cs="Times New Roman"/>
          <w:color w:val="000000"/>
          <w:sz w:val="28"/>
          <w:szCs w:val="28"/>
          <w:shd w:val="clear" w:color="auto" w:fill="FFFFFF"/>
          <w:lang w:val="kk-KZ"/>
        </w:rPr>
        <w:t>жүргізді.</w:t>
      </w:r>
      <w:r w:rsidR="005E1EE1" w:rsidRPr="00457CE9">
        <w:rPr>
          <w:rFonts w:ascii="Times New Roman" w:hAnsi="Times New Roman" w:cs="Times New Roman"/>
          <w:color w:val="000000"/>
          <w:sz w:val="28"/>
          <w:szCs w:val="28"/>
          <w:shd w:val="clear" w:color="auto" w:fill="FFFFFF"/>
          <w:lang w:val="kk-KZ"/>
        </w:rPr>
        <w:t xml:space="preserve"> Тексеру түрі, аудит типі ретінде: тиімділік аудиті, сәйкестік аудиті және параллель аудит деп бекітілген</w:t>
      </w:r>
      <w:r w:rsidR="00AB201F">
        <w:rPr>
          <w:rFonts w:ascii="Times New Roman" w:hAnsi="Times New Roman" w:cs="Times New Roman"/>
          <w:color w:val="000000"/>
          <w:sz w:val="28"/>
          <w:szCs w:val="28"/>
          <w:shd w:val="clear" w:color="auto" w:fill="FFFFFF"/>
          <w:lang w:val="kk-KZ"/>
        </w:rPr>
        <w:t xml:space="preserve"> </w:t>
      </w:r>
      <w:r w:rsidR="00AB201F">
        <w:rPr>
          <w:rFonts w:ascii="Times New Roman" w:eastAsiaTheme="minorEastAsia" w:hAnsi="Times New Roman"/>
          <w:kern w:val="36"/>
          <w:sz w:val="28"/>
          <w:szCs w:val="28"/>
          <w:lang w:val="kk-KZ" w:eastAsia="zh-CN"/>
        </w:rPr>
        <w:t>[5</w:t>
      </w:r>
      <w:r w:rsidR="00AA4EAE" w:rsidRPr="00AA4EAE">
        <w:rPr>
          <w:rFonts w:ascii="Times New Roman" w:eastAsiaTheme="minorEastAsia" w:hAnsi="Times New Roman"/>
          <w:kern w:val="36"/>
          <w:sz w:val="28"/>
          <w:szCs w:val="28"/>
          <w:lang w:val="kk-KZ" w:eastAsia="zh-CN"/>
        </w:rPr>
        <w:t>2</w:t>
      </w:r>
      <w:r w:rsidR="00AB201F">
        <w:rPr>
          <w:rFonts w:ascii="Times New Roman" w:eastAsiaTheme="minorEastAsia" w:hAnsi="Times New Roman"/>
          <w:kern w:val="36"/>
          <w:sz w:val="28"/>
          <w:szCs w:val="28"/>
          <w:lang w:val="kk-KZ" w:eastAsia="zh-CN"/>
        </w:rPr>
        <w:t>, с. 2]</w:t>
      </w:r>
      <w:r w:rsidR="005E1EE1" w:rsidRPr="00457CE9">
        <w:rPr>
          <w:rFonts w:ascii="Times New Roman" w:hAnsi="Times New Roman" w:cs="Times New Roman"/>
          <w:color w:val="000000"/>
          <w:sz w:val="28"/>
          <w:szCs w:val="28"/>
          <w:shd w:val="clear" w:color="auto" w:fill="FFFFFF"/>
          <w:lang w:val="kk-KZ"/>
        </w:rPr>
        <w:t xml:space="preserve">. </w:t>
      </w:r>
    </w:p>
    <w:p w14:paraId="6A0B2033" w14:textId="5A56D6B6" w:rsidR="002F4B72" w:rsidRPr="00457CE9" w:rsidRDefault="005E1EE1" w:rsidP="00132979">
      <w:pPr>
        <w:widowControl w:val="0"/>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Мемлекеттік аудит объектісі ретінде мемлекеттік бағдарламаны </w:t>
      </w:r>
      <w:r w:rsidR="000F6D59" w:rsidRPr="00457CE9">
        <w:rPr>
          <w:rFonts w:ascii="Times New Roman" w:hAnsi="Times New Roman" w:cs="Times New Roman"/>
          <w:color w:val="000000"/>
          <w:sz w:val="28"/>
          <w:szCs w:val="28"/>
          <w:shd w:val="clear" w:color="auto" w:fill="FFFFFF"/>
          <w:lang w:val="kk-KZ"/>
        </w:rPr>
        <w:t xml:space="preserve">әзірлеуші және </w:t>
      </w:r>
      <w:r w:rsidRPr="00457CE9">
        <w:rPr>
          <w:rFonts w:ascii="Times New Roman" w:hAnsi="Times New Roman" w:cs="Times New Roman"/>
          <w:color w:val="000000"/>
          <w:sz w:val="28"/>
          <w:szCs w:val="28"/>
          <w:shd w:val="clear" w:color="auto" w:fill="FFFFFF"/>
          <w:lang w:val="kk-KZ"/>
        </w:rPr>
        <w:t>іске асыруға жауапты ҚР Ауыл шаруашылығы министрлігі деп анықталған. Мемлекеттік аудит мақсаты ретінде мемлекеттік бағдарламаны іске асыру</w:t>
      </w:r>
      <w:r w:rsidR="00FD3806" w:rsidRPr="00457CE9">
        <w:rPr>
          <w:rFonts w:ascii="Times New Roman" w:hAnsi="Times New Roman" w:cs="Times New Roman"/>
          <w:color w:val="000000"/>
          <w:sz w:val="28"/>
          <w:szCs w:val="28"/>
          <w:shd w:val="clear" w:color="auto" w:fill="FFFFFF"/>
          <w:lang w:val="kk-KZ"/>
        </w:rPr>
        <w:t xml:space="preserve"> кезінде дағдарысқа қарсы шараларға</w:t>
      </w:r>
      <w:r w:rsidRPr="00457CE9">
        <w:rPr>
          <w:rFonts w:ascii="Times New Roman" w:hAnsi="Times New Roman" w:cs="Times New Roman"/>
          <w:color w:val="000000"/>
          <w:sz w:val="28"/>
          <w:szCs w:val="28"/>
          <w:shd w:val="clear" w:color="auto" w:fill="FFFFFF"/>
          <w:lang w:val="kk-KZ"/>
        </w:rPr>
        <w:t xml:space="preserve"> </w:t>
      </w:r>
      <w:r w:rsidR="00FD3806" w:rsidRPr="00457CE9">
        <w:rPr>
          <w:rFonts w:ascii="Times New Roman" w:hAnsi="Times New Roman" w:cs="Times New Roman"/>
          <w:color w:val="000000"/>
          <w:sz w:val="28"/>
          <w:szCs w:val="28"/>
          <w:shd w:val="clear" w:color="auto" w:fill="FFFFFF"/>
          <w:lang w:val="kk-KZ"/>
        </w:rPr>
        <w:t>пайдаланыл</w:t>
      </w:r>
      <w:r w:rsidRPr="00457CE9">
        <w:rPr>
          <w:rFonts w:ascii="Times New Roman" w:hAnsi="Times New Roman" w:cs="Times New Roman"/>
          <w:color w:val="000000"/>
          <w:sz w:val="28"/>
          <w:szCs w:val="28"/>
          <w:shd w:val="clear" w:color="auto" w:fill="FFFFFF"/>
          <w:lang w:val="kk-KZ"/>
        </w:rPr>
        <w:t xml:space="preserve">ған қаражат тиімділігін бағалау </w:t>
      </w:r>
      <w:r w:rsidR="00FD3806" w:rsidRPr="00457CE9">
        <w:rPr>
          <w:rFonts w:ascii="Times New Roman" w:hAnsi="Times New Roman" w:cs="Times New Roman"/>
          <w:color w:val="000000"/>
          <w:sz w:val="28"/>
          <w:szCs w:val="28"/>
          <w:shd w:val="clear" w:color="auto" w:fill="FFFFFF"/>
          <w:lang w:val="kk-KZ"/>
        </w:rPr>
        <w:t xml:space="preserve">деп анықталған. </w:t>
      </w:r>
      <w:r w:rsidR="00090CC4" w:rsidRPr="00457CE9">
        <w:rPr>
          <w:rFonts w:ascii="Times New Roman" w:hAnsi="Times New Roman" w:cs="Times New Roman"/>
          <w:color w:val="000000"/>
          <w:sz w:val="28"/>
          <w:szCs w:val="28"/>
          <w:shd w:val="clear" w:color="auto" w:fill="FFFFFF"/>
          <w:lang w:val="kk-KZ"/>
        </w:rPr>
        <w:t xml:space="preserve">Аудитті өткізу кезінде қолданылған көрсеткіш </w:t>
      </w:r>
      <w:r w:rsidR="003C56BE" w:rsidRPr="00457CE9">
        <w:rPr>
          <w:rFonts w:ascii="Times New Roman" w:hAnsi="Times New Roman" w:cs="Times New Roman"/>
          <w:color w:val="000000"/>
          <w:sz w:val="28"/>
          <w:szCs w:val="28"/>
          <w:shd w:val="clear" w:color="auto" w:fill="FFFFFF"/>
          <w:lang w:val="kk-KZ"/>
        </w:rPr>
        <w:t>«</w:t>
      </w:r>
      <w:r w:rsidR="00090CC4" w:rsidRPr="00457CE9">
        <w:rPr>
          <w:rFonts w:ascii="Times New Roman" w:hAnsi="Times New Roman" w:cs="Times New Roman"/>
          <w:color w:val="000000"/>
          <w:sz w:val="28"/>
          <w:szCs w:val="28"/>
          <w:shd w:val="clear" w:color="auto" w:fill="FFFFFF"/>
          <w:lang w:val="kk-KZ"/>
        </w:rPr>
        <w:t xml:space="preserve">Тиімділік </w:t>
      </w:r>
      <w:r w:rsidR="00AA31E2" w:rsidRPr="00457CE9">
        <w:rPr>
          <w:rFonts w:ascii="Times New Roman" w:hAnsi="Times New Roman" w:cs="Times New Roman"/>
          <w:color w:val="000000"/>
          <w:sz w:val="28"/>
          <w:szCs w:val="28"/>
          <w:shd w:val="clear" w:color="auto" w:fill="FFFFFF"/>
          <w:lang w:val="kk-KZ"/>
        </w:rPr>
        <w:t>–</w:t>
      </w:r>
      <w:r w:rsidR="00090CC4" w:rsidRPr="00457CE9">
        <w:rPr>
          <w:rFonts w:ascii="Times New Roman" w:hAnsi="Times New Roman" w:cs="Times New Roman"/>
          <w:color w:val="000000"/>
          <w:sz w:val="28"/>
          <w:szCs w:val="28"/>
          <w:shd w:val="clear" w:color="auto" w:fill="FFFFFF"/>
          <w:lang w:val="kk-KZ"/>
        </w:rPr>
        <w:t xml:space="preserve"> </w:t>
      </w:r>
      <w:r w:rsidR="00AA31E2" w:rsidRPr="00457CE9">
        <w:rPr>
          <w:rFonts w:ascii="Times New Roman" w:hAnsi="Times New Roman" w:cs="Times New Roman"/>
          <w:color w:val="000000"/>
          <w:sz w:val="28"/>
          <w:szCs w:val="28"/>
          <w:shd w:val="clear" w:color="auto" w:fill="FFFFFF"/>
          <w:lang w:val="kk-KZ"/>
        </w:rPr>
        <w:t>алынған нәтижелердің оларға қол жеткізу үшін пайдаланылған ресурстарды ескере отырып</w:t>
      </w:r>
      <w:r w:rsidR="00494158" w:rsidRPr="00457CE9">
        <w:rPr>
          <w:rFonts w:ascii="Times New Roman" w:hAnsi="Times New Roman" w:cs="Times New Roman"/>
          <w:color w:val="000000"/>
          <w:sz w:val="28"/>
          <w:szCs w:val="28"/>
          <w:shd w:val="clear" w:color="auto" w:fill="FFFFFF"/>
          <w:lang w:val="kk-KZ"/>
        </w:rPr>
        <w:t xml:space="preserve"> жоспарланғанға ара қатынасы</w:t>
      </w:r>
      <w:r w:rsidR="003C56BE" w:rsidRPr="00457CE9">
        <w:rPr>
          <w:rFonts w:ascii="Times New Roman" w:hAnsi="Times New Roman" w:cs="Times New Roman"/>
          <w:color w:val="000000"/>
          <w:sz w:val="28"/>
          <w:szCs w:val="28"/>
          <w:shd w:val="clear" w:color="auto" w:fill="FFFFFF"/>
          <w:lang w:val="kk-KZ"/>
        </w:rPr>
        <w:t>»</w:t>
      </w:r>
      <w:r w:rsidR="00494158" w:rsidRPr="00457CE9">
        <w:rPr>
          <w:rFonts w:ascii="Times New Roman" w:hAnsi="Times New Roman" w:cs="Times New Roman"/>
          <w:color w:val="000000"/>
          <w:sz w:val="28"/>
          <w:szCs w:val="28"/>
          <w:shd w:val="clear" w:color="auto" w:fill="FFFFFF"/>
          <w:lang w:val="kk-KZ"/>
        </w:rPr>
        <w:t xml:space="preserve"> деп аталған</w:t>
      </w:r>
      <w:r w:rsidR="0039678E" w:rsidRPr="00457CE9">
        <w:rPr>
          <w:rFonts w:ascii="Times New Roman" w:hAnsi="Times New Roman" w:cs="Times New Roman"/>
          <w:color w:val="000000"/>
          <w:sz w:val="28"/>
          <w:szCs w:val="28"/>
          <w:shd w:val="clear" w:color="auto" w:fill="FFFFFF"/>
          <w:lang w:val="kk-KZ"/>
        </w:rPr>
        <w:t xml:space="preserve"> [</w:t>
      </w:r>
      <w:r w:rsidR="00AB201F">
        <w:rPr>
          <w:rFonts w:ascii="Times New Roman" w:hAnsi="Times New Roman" w:cs="Times New Roman"/>
          <w:color w:val="000000"/>
          <w:sz w:val="28"/>
          <w:szCs w:val="28"/>
          <w:shd w:val="clear" w:color="auto" w:fill="FFFFFF"/>
          <w:lang w:val="kk-KZ"/>
        </w:rPr>
        <w:t>5</w:t>
      </w:r>
      <w:r w:rsidR="00AA4EAE" w:rsidRPr="00AA4EAE">
        <w:rPr>
          <w:rFonts w:ascii="Times New Roman" w:hAnsi="Times New Roman" w:cs="Times New Roman"/>
          <w:color w:val="000000"/>
          <w:sz w:val="28"/>
          <w:szCs w:val="28"/>
          <w:shd w:val="clear" w:color="auto" w:fill="FFFFFF"/>
          <w:lang w:val="kk-KZ"/>
        </w:rPr>
        <w:t>2</w:t>
      </w:r>
      <w:r w:rsidR="00AB201F">
        <w:rPr>
          <w:rFonts w:ascii="Times New Roman" w:hAnsi="Times New Roman" w:cs="Times New Roman"/>
          <w:color w:val="000000"/>
          <w:sz w:val="28"/>
          <w:szCs w:val="28"/>
          <w:shd w:val="clear" w:color="auto" w:fill="FFFFFF"/>
          <w:lang w:val="kk-KZ"/>
        </w:rPr>
        <w:t>, с. 3</w:t>
      </w:r>
      <w:r w:rsidR="0039678E" w:rsidRPr="00457CE9">
        <w:rPr>
          <w:rFonts w:ascii="Times New Roman" w:hAnsi="Times New Roman" w:cs="Times New Roman"/>
          <w:color w:val="000000"/>
          <w:sz w:val="28"/>
          <w:szCs w:val="28"/>
          <w:shd w:val="clear" w:color="auto" w:fill="FFFFFF"/>
          <w:lang w:val="kk-KZ"/>
        </w:rPr>
        <w:t>]</w:t>
      </w:r>
      <w:r w:rsidR="00494158" w:rsidRPr="00457CE9">
        <w:rPr>
          <w:rFonts w:ascii="Times New Roman" w:hAnsi="Times New Roman" w:cs="Times New Roman"/>
          <w:color w:val="000000"/>
          <w:sz w:val="28"/>
          <w:szCs w:val="28"/>
          <w:shd w:val="clear" w:color="auto" w:fill="FFFFFF"/>
          <w:lang w:val="kk-KZ"/>
        </w:rPr>
        <w:t xml:space="preserve">. </w:t>
      </w:r>
    </w:p>
    <w:p w14:paraId="3518C314" w14:textId="617D45F4" w:rsidR="00494158" w:rsidRPr="00457CE9" w:rsidRDefault="00494158" w:rsidP="00946DDD">
      <w:pPr>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Арнайы критерий – АӨК дамытуға бағытталған мемлекетпен қабылданған шаралар жеткіліктілігі деп белгіленген</w:t>
      </w:r>
      <w:r w:rsidR="0039678E" w:rsidRPr="00457CE9">
        <w:rPr>
          <w:rFonts w:ascii="Times New Roman" w:hAnsi="Times New Roman" w:cs="Times New Roman"/>
          <w:color w:val="000000"/>
          <w:sz w:val="28"/>
          <w:szCs w:val="28"/>
          <w:shd w:val="clear" w:color="auto" w:fill="FFFFFF"/>
          <w:lang w:val="kk-KZ"/>
        </w:rPr>
        <w:t xml:space="preserve"> [</w:t>
      </w:r>
      <w:r w:rsidR="00AB201F">
        <w:rPr>
          <w:rFonts w:ascii="Times New Roman" w:hAnsi="Times New Roman" w:cs="Times New Roman"/>
          <w:color w:val="000000"/>
          <w:sz w:val="28"/>
          <w:szCs w:val="28"/>
          <w:shd w:val="clear" w:color="auto" w:fill="FFFFFF"/>
          <w:lang w:val="kk-KZ"/>
        </w:rPr>
        <w:t>5</w:t>
      </w:r>
      <w:r w:rsidR="00AA4EAE" w:rsidRPr="00AA4EAE">
        <w:rPr>
          <w:rFonts w:ascii="Times New Roman" w:hAnsi="Times New Roman" w:cs="Times New Roman"/>
          <w:color w:val="000000"/>
          <w:sz w:val="28"/>
          <w:szCs w:val="28"/>
          <w:shd w:val="clear" w:color="auto" w:fill="FFFFFF"/>
          <w:lang w:val="kk-KZ"/>
        </w:rPr>
        <w:t>2</w:t>
      </w:r>
      <w:r w:rsidR="00AB201F">
        <w:rPr>
          <w:rFonts w:ascii="Times New Roman" w:hAnsi="Times New Roman" w:cs="Times New Roman"/>
          <w:color w:val="000000"/>
          <w:sz w:val="28"/>
          <w:szCs w:val="28"/>
          <w:shd w:val="clear" w:color="auto" w:fill="FFFFFF"/>
          <w:lang w:val="kk-KZ"/>
        </w:rPr>
        <w:t>, с. 4</w:t>
      </w:r>
      <w:r w:rsidR="0039678E" w:rsidRPr="00457CE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color w:val="000000"/>
          <w:sz w:val="28"/>
          <w:szCs w:val="28"/>
          <w:shd w:val="clear" w:color="auto" w:fill="FFFFFF"/>
          <w:lang w:val="kk-KZ"/>
        </w:rPr>
        <w:t>.</w:t>
      </w:r>
      <w:r w:rsidR="005C4BB1" w:rsidRPr="00457CE9">
        <w:rPr>
          <w:rFonts w:ascii="Times New Roman" w:hAnsi="Times New Roman" w:cs="Times New Roman"/>
          <w:color w:val="000000"/>
          <w:sz w:val="28"/>
          <w:szCs w:val="28"/>
          <w:shd w:val="clear" w:color="auto" w:fill="FFFFFF"/>
          <w:lang w:val="kk-KZ"/>
        </w:rPr>
        <w:t xml:space="preserve"> </w:t>
      </w:r>
    </w:p>
    <w:p w14:paraId="37571178" w14:textId="0B58CD6D" w:rsidR="000F6D59" w:rsidRPr="00457CE9" w:rsidRDefault="005C4BB1" w:rsidP="00946DDD">
      <w:pPr>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ҚР АӨК дамытуға бағытталған бюджет қаражатының мемлекеттік аудитін оны іске асыруға арналған мемлекеттік бағдарламаның мақсатына міндеттеріне, бөлінген қаражатына</w:t>
      </w:r>
      <w:r w:rsidR="001E286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color w:val="000000"/>
          <w:sz w:val="28"/>
          <w:szCs w:val="28"/>
          <w:shd w:val="clear" w:color="auto" w:fill="FFFFFF"/>
          <w:lang w:val="kk-KZ"/>
        </w:rPr>
        <w:t xml:space="preserve"> нысаналы индикаторларына енгізілген өзгерістерді талдау</w:t>
      </w:r>
      <w:r w:rsidR="004E7B68" w:rsidRPr="00457CE9">
        <w:rPr>
          <w:rFonts w:ascii="Times New Roman" w:hAnsi="Times New Roman" w:cs="Times New Roman"/>
          <w:color w:val="000000"/>
          <w:sz w:val="28"/>
          <w:szCs w:val="28"/>
          <w:shd w:val="clear" w:color="auto" w:fill="FFFFFF"/>
          <w:lang w:val="kk-KZ"/>
        </w:rPr>
        <w:t xml:space="preserve"> жасалған. Нысаналы индикаторларды есептеу әдістемесі зерттелген, қайта өңделген ауыл шаруашылық өнімнің экспорт көлемін</w:t>
      </w:r>
      <w:r w:rsidR="006D3C90" w:rsidRPr="00457CE9">
        <w:rPr>
          <w:rFonts w:ascii="Times New Roman" w:hAnsi="Times New Roman" w:cs="Times New Roman"/>
          <w:color w:val="000000"/>
          <w:sz w:val="28"/>
          <w:szCs w:val="28"/>
          <w:shd w:val="clear" w:color="auto" w:fill="FFFFFF"/>
          <w:lang w:val="kk-KZ"/>
        </w:rPr>
        <w:t xml:space="preserve"> және азық-түлік тауарларының импорт көлемін</w:t>
      </w:r>
      <w:r w:rsidR="004E7B68" w:rsidRPr="00457CE9">
        <w:rPr>
          <w:rFonts w:ascii="Times New Roman" w:hAnsi="Times New Roman" w:cs="Times New Roman"/>
          <w:color w:val="000000"/>
          <w:sz w:val="28"/>
          <w:szCs w:val="28"/>
          <w:shd w:val="clear" w:color="auto" w:fill="FFFFFF"/>
          <w:lang w:val="kk-KZ"/>
        </w:rPr>
        <w:t xml:space="preserve"> есептеудің бекітілген әдістемесінің жоқтығын атап өткен</w:t>
      </w:r>
      <w:r w:rsidR="006D3C90" w:rsidRPr="00457CE9">
        <w:rPr>
          <w:rFonts w:ascii="Times New Roman" w:hAnsi="Times New Roman" w:cs="Times New Roman"/>
          <w:color w:val="000000"/>
          <w:sz w:val="28"/>
          <w:szCs w:val="28"/>
          <w:shd w:val="clear" w:color="auto" w:fill="FFFFFF"/>
          <w:lang w:val="kk-KZ"/>
        </w:rPr>
        <w:t xml:space="preserve">, бұл өз кезегінде </w:t>
      </w:r>
      <w:r w:rsidR="00AA4D04" w:rsidRPr="00457CE9">
        <w:rPr>
          <w:rFonts w:ascii="Times New Roman" w:hAnsi="Times New Roman" w:cs="Times New Roman"/>
          <w:color w:val="000000"/>
          <w:sz w:val="28"/>
          <w:szCs w:val="28"/>
          <w:shd w:val="clear" w:color="auto" w:fill="FFFFFF"/>
          <w:lang w:val="kk-KZ"/>
        </w:rPr>
        <w:t>нысаналы индикаторлар мәліметтерін</w:t>
      </w:r>
      <w:r w:rsidR="003E4264" w:rsidRPr="00457CE9">
        <w:rPr>
          <w:rFonts w:ascii="Times New Roman" w:hAnsi="Times New Roman" w:cs="Times New Roman"/>
          <w:color w:val="000000"/>
          <w:sz w:val="28"/>
          <w:szCs w:val="28"/>
          <w:shd w:val="clear" w:color="auto" w:fill="FFFFFF"/>
          <w:lang w:val="kk-KZ"/>
        </w:rPr>
        <w:t xml:space="preserve"> есептеу мөлдірсіздігін</w:t>
      </w:r>
      <w:r w:rsidR="00AA4D04" w:rsidRPr="00457CE9">
        <w:rPr>
          <w:rFonts w:ascii="Times New Roman" w:hAnsi="Times New Roman" w:cs="Times New Roman"/>
          <w:color w:val="000000"/>
          <w:sz w:val="28"/>
          <w:szCs w:val="28"/>
          <w:shd w:val="clear" w:color="auto" w:fill="FFFFFF"/>
          <w:lang w:val="kk-KZ"/>
        </w:rPr>
        <w:t>ің тәуекелінің болуына және критерийге сәйкессіздігі, нәтижесінде ақпара</w:t>
      </w:r>
      <w:r w:rsidR="006D3C90" w:rsidRPr="00457CE9">
        <w:rPr>
          <w:rFonts w:ascii="Times New Roman" w:hAnsi="Times New Roman" w:cs="Times New Roman"/>
          <w:color w:val="000000"/>
          <w:sz w:val="28"/>
          <w:szCs w:val="28"/>
          <w:shd w:val="clear" w:color="auto" w:fill="FFFFFF"/>
          <w:lang w:val="kk-KZ"/>
        </w:rPr>
        <w:t xml:space="preserve">т пайдаланушыларға </w:t>
      </w:r>
      <w:r w:rsidR="00AA4D04" w:rsidRPr="00457CE9">
        <w:rPr>
          <w:rFonts w:ascii="Times New Roman" w:hAnsi="Times New Roman" w:cs="Times New Roman"/>
          <w:color w:val="000000"/>
          <w:sz w:val="28"/>
          <w:szCs w:val="28"/>
          <w:shd w:val="clear" w:color="auto" w:fill="FFFFFF"/>
          <w:lang w:val="kk-KZ"/>
        </w:rPr>
        <w:t>түсініксіз болуына алып келе</w:t>
      </w:r>
      <w:r w:rsidR="004B22AD" w:rsidRPr="00457CE9">
        <w:rPr>
          <w:rFonts w:ascii="Times New Roman" w:hAnsi="Times New Roman" w:cs="Times New Roman"/>
          <w:color w:val="000000"/>
          <w:sz w:val="28"/>
          <w:szCs w:val="28"/>
          <w:shd w:val="clear" w:color="auto" w:fill="FFFFFF"/>
          <w:lang w:val="kk-KZ"/>
        </w:rPr>
        <w:t xml:space="preserve">тінін атап жазған. </w:t>
      </w:r>
    </w:p>
    <w:p w14:paraId="5C4E3CAB" w14:textId="4887A6EE" w:rsidR="006A3C25" w:rsidRPr="00457CE9" w:rsidRDefault="00A2641C" w:rsidP="00132979">
      <w:pPr>
        <w:spacing w:after="0" w:line="240" w:lineRule="auto"/>
        <w:ind w:firstLine="709"/>
        <w:jc w:val="both"/>
        <w:rPr>
          <w:rFonts w:ascii="Times New Roman" w:hAnsi="Times New Roman" w:cs="Times New Roman"/>
          <w:kern w:val="36"/>
          <w:sz w:val="28"/>
          <w:szCs w:val="28"/>
          <w:lang w:val="kk-KZ" w:eastAsia="zh-CN"/>
        </w:rPr>
      </w:pPr>
      <w:r w:rsidRPr="00457CE9">
        <w:rPr>
          <w:rFonts w:ascii="Times New Roman" w:hAnsi="Times New Roman" w:cs="Times New Roman"/>
          <w:color w:val="000000"/>
          <w:sz w:val="28"/>
          <w:szCs w:val="28"/>
          <w:shd w:val="clear" w:color="auto" w:fill="FFFFFF"/>
          <w:lang w:val="kk-KZ"/>
        </w:rPr>
        <w:t>АӨК өндірілетін азық</w:t>
      </w:r>
      <w:r w:rsidR="001E286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color w:val="000000"/>
          <w:sz w:val="28"/>
          <w:szCs w:val="28"/>
          <w:shd w:val="clear" w:color="auto" w:fill="FFFFFF"/>
          <w:lang w:val="kk-KZ"/>
        </w:rPr>
        <w:t xml:space="preserve">түлік жарамды мерзімі шектеулі болғандықтан, басты тапсырма оны уақытында тұтынушыларға жіберу болып табылады. Бағдарламада нысаналы индикатор ретінде </w:t>
      </w:r>
      <w:r w:rsidR="003C56BE" w:rsidRPr="00457CE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color w:val="000000"/>
          <w:sz w:val="28"/>
          <w:szCs w:val="28"/>
          <w:shd w:val="clear" w:color="auto" w:fill="FFFFFF"/>
          <w:lang w:val="kk-KZ"/>
        </w:rPr>
        <w:t>сауда-логистикалық инфрақұрылымды дамыту</w:t>
      </w:r>
      <w:r w:rsidR="003C56BE" w:rsidRPr="00457CE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color w:val="000000"/>
          <w:sz w:val="28"/>
          <w:szCs w:val="28"/>
          <w:shd w:val="clear" w:color="auto" w:fill="FFFFFF"/>
          <w:lang w:val="kk-KZ"/>
        </w:rPr>
        <w:t xml:space="preserve"> міндеті бойынша 100 көтерме-бөлу орталықтарын құру түріндегі сандық көрсеткіш алынып тасталған және ең бастысы өндіруші мен тұтынушы арасындағы делдалдарды азайту көзделу қажеттігі аталған. </w:t>
      </w:r>
      <w:r w:rsidR="00B72450" w:rsidRPr="00457CE9">
        <w:rPr>
          <w:rFonts w:ascii="Times New Roman" w:hAnsi="Times New Roman" w:cs="Times New Roman"/>
          <w:color w:val="000000"/>
          <w:sz w:val="28"/>
          <w:szCs w:val="28"/>
          <w:shd w:val="clear" w:color="auto" w:fill="FFFFFF"/>
          <w:lang w:val="kk-KZ"/>
        </w:rPr>
        <w:t xml:space="preserve">Яғни, бұл міндетті алып тастау негізсіз деп атап өткен. Нәтижесінде 11 мамыр 2020 жылғы мемлекет басшысының </w:t>
      </w:r>
      <w:r w:rsidR="003C56BE" w:rsidRPr="00457CE9">
        <w:rPr>
          <w:rFonts w:ascii="Times New Roman" w:hAnsi="Times New Roman" w:cs="Times New Roman"/>
          <w:color w:val="000000"/>
          <w:sz w:val="28"/>
          <w:szCs w:val="28"/>
          <w:shd w:val="clear" w:color="auto" w:fill="FFFFFF"/>
          <w:lang w:val="kk-KZ"/>
        </w:rPr>
        <w:t>«</w:t>
      </w:r>
      <w:r w:rsidR="00B72450" w:rsidRPr="00457CE9">
        <w:rPr>
          <w:rFonts w:ascii="Times New Roman" w:hAnsi="Times New Roman" w:cs="Times New Roman"/>
          <w:color w:val="000000"/>
          <w:sz w:val="28"/>
          <w:szCs w:val="28"/>
          <w:shd w:val="clear" w:color="auto" w:fill="FFFFFF"/>
          <w:lang w:val="kk-KZ"/>
        </w:rPr>
        <w:t>егістіктен дүкен сөресіне дейін</w:t>
      </w:r>
      <w:r w:rsidR="003C56BE" w:rsidRPr="00457CE9">
        <w:rPr>
          <w:rFonts w:ascii="Times New Roman" w:hAnsi="Times New Roman" w:cs="Times New Roman"/>
          <w:color w:val="000000"/>
          <w:sz w:val="28"/>
          <w:szCs w:val="28"/>
          <w:shd w:val="clear" w:color="auto" w:fill="FFFFFF"/>
          <w:lang w:val="kk-KZ"/>
        </w:rPr>
        <w:t>»</w:t>
      </w:r>
      <w:r w:rsidR="00B72450" w:rsidRPr="00457CE9">
        <w:rPr>
          <w:rFonts w:ascii="Times New Roman" w:hAnsi="Times New Roman" w:cs="Times New Roman"/>
          <w:color w:val="000000"/>
          <w:sz w:val="28"/>
          <w:szCs w:val="28"/>
          <w:shd w:val="clear" w:color="auto" w:fill="FFFFFF"/>
          <w:lang w:val="kk-KZ"/>
        </w:rPr>
        <w:t xml:space="preserve"> деп аталған кооперациялық тізбекті қалыптастыру тапсырмасының орындалмауына алып кел</w:t>
      </w:r>
      <w:r w:rsidR="00E70D7B" w:rsidRPr="00457CE9">
        <w:rPr>
          <w:rFonts w:ascii="Times New Roman" w:hAnsi="Times New Roman" w:cs="Times New Roman"/>
          <w:color w:val="000000"/>
          <w:sz w:val="28"/>
          <w:szCs w:val="28"/>
          <w:shd w:val="clear" w:color="auto" w:fill="FFFFFF"/>
          <w:lang w:val="kk-KZ"/>
        </w:rPr>
        <w:t>ген</w:t>
      </w:r>
      <w:r w:rsidR="00B72450" w:rsidRPr="00457CE9">
        <w:rPr>
          <w:rFonts w:ascii="Times New Roman" w:hAnsi="Times New Roman" w:cs="Times New Roman"/>
          <w:color w:val="000000"/>
          <w:sz w:val="28"/>
          <w:szCs w:val="28"/>
          <w:shd w:val="clear" w:color="auto" w:fill="FFFFFF"/>
          <w:lang w:val="kk-KZ"/>
        </w:rPr>
        <w:t xml:space="preserve">. </w:t>
      </w:r>
      <w:r w:rsidR="006A3C25" w:rsidRPr="00457CE9">
        <w:rPr>
          <w:rFonts w:ascii="Times New Roman" w:eastAsia="Times New Roman" w:hAnsi="Times New Roman" w:cs="Times New Roman"/>
          <w:kern w:val="36"/>
          <w:sz w:val="28"/>
          <w:szCs w:val="28"/>
          <w:lang w:val="kk-KZ" w:eastAsia="ru-RU"/>
        </w:rPr>
        <w:t xml:space="preserve">ҚР Президентінің 14.02.2017 ж. №420 Жарлығының редакциясымен </w:t>
      </w:r>
      <w:r w:rsidR="003C56BE" w:rsidRPr="00457CE9">
        <w:rPr>
          <w:rFonts w:ascii="Times New Roman" w:eastAsia="Times New Roman" w:hAnsi="Times New Roman" w:cs="Times New Roman"/>
          <w:kern w:val="36"/>
          <w:sz w:val="28"/>
          <w:szCs w:val="28"/>
          <w:lang w:val="kk-KZ" w:eastAsia="ru-RU"/>
        </w:rPr>
        <w:t>«</w:t>
      </w:r>
      <w:r w:rsidR="006A3C25" w:rsidRPr="00457CE9">
        <w:rPr>
          <w:rFonts w:ascii="Times New Roman" w:eastAsia="Times New Roman" w:hAnsi="Times New Roman" w:cs="Times New Roman"/>
          <w:kern w:val="36"/>
          <w:sz w:val="28"/>
          <w:szCs w:val="28"/>
          <w:lang w:val="kk-KZ" w:eastAsia="ru-RU"/>
        </w:rPr>
        <w:t>АӨК дамытудың 2017-2021 жылдарға арналған бағдарламасында</w:t>
      </w:r>
      <w:r w:rsidR="003C56BE" w:rsidRPr="00457CE9">
        <w:rPr>
          <w:rFonts w:ascii="Times New Roman" w:eastAsia="Times New Roman" w:hAnsi="Times New Roman" w:cs="Times New Roman"/>
          <w:kern w:val="36"/>
          <w:sz w:val="28"/>
          <w:szCs w:val="28"/>
          <w:lang w:val="kk-KZ" w:eastAsia="ru-RU"/>
        </w:rPr>
        <w:t>»</w:t>
      </w:r>
      <w:r w:rsidR="006A3C25" w:rsidRPr="00457CE9">
        <w:rPr>
          <w:rFonts w:ascii="Times New Roman" w:eastAsia="Times New Roman" w:hAnsi="Times New Roman" w:cs="Times New Roman"/>
          <w:kern w:val="36"/>
          <w:sz w:val="28"/>
          <w:szCs w:val="28"/>
          <w:lang w:val="kk-KZ" w:eastAsia="ru-RU"/>
        </w:rPr>
        <w:t xml:space="preserve"> 4.2 </w:t>
      </w:r>
      <w:r w:rsidR="003C56BE" w:rsidRPr="00457CE9">
        <w:rPr>
          <w:rFonts w:ascii="Times New Roman" w:eastAsia="Times New Roman" w:hAnsi="Times New Roman" w:cs="Times New Roman"/>
          <w:kern w:val="36"/>
          <w:sz w:val="28"/>
          <w:szCs w:val="28"/>
          <w:lang w:val="kk-KZ" w:eastAsia="ru-RU"/>
        </w:rPr>
        <w:t>«</w:t>
      </w:r>
      <w:r w:rsidR="006A3C25" w:rsidRPr="00457CE9">
        <w:rPr>
          <w:rFonts w:ascii="Times New Roman" w:eastAsia="Times New Roman" w:hAnsi="Times New Roman" w:cs="Times New Roman"/>
          <w:kern w:val="36"/>
          <w:sz w:val="28"/>
          <w:szCs w:val="28"/>
          <w:lang w:val="kk-KZ" w:eastAsia="ru-RU"/>
        </w:rPr>
        <w:t>Ішкі нарықты молықтыру және экспорттық әлеуетті дамыту</w:t>
      </w:r>
      <w:r w:rsidR="003C56BE" w:rsidRPr="00457CE9">
        <w:rPr>
          <w:rFonts w:ascii="Times New Roman" w:eastAsia="Times New Roman" w:hAnsi="Times New Roman" w:cs="Times New Roman"/>
          <w:kern w:val="36"/>
          <w:sz w:val="28"/>
          <w:szCs w:val="28"/>
          <w:lang w:val="kk-KZ" w:eastAsia="ru-RU"/>
        </w:rPr>
        <w:t>»</w:t>
      </w:r>
      <w:r w:rsidR="006A3C25" w:rsidRPr="00457CE9">
        <w:rPr>
          <w:rFonts w:ascii="Times New Roman" w:eastAsia="Times New Roman" w:hAnsi="Times New Roman" w:cs="Times New Roman"/>
          <w:kern w:val="36"/>
          <w:sz w:val="28"/>
          <w:szCs w:val="28"/>
          <w:lang w:val="kk-KZ" w:eastAsia="ru-RU"/>
        </w:rPr>
        <w:t xml:space="preserve"> тапсырмасын орындау үшін </w:t>
      </w:r>
      <w:r w:rsidR="006A3C25" w:rsidRPr="00457CE9">
        <w:rPr>
          <w:rFonts w:ascii="Times New Roman" w:hAnsi="Times New Roman" w:cs="Times New Roman"/>
          <w:kern w:val="36"/>
          <w:sz w:val="28"/>
          <w:szCs w:val="28"/>
          <w:lang w:val="kk-KZ" w:eastAsia="zh-CN"/>
        </w:rPr>
        <w:t>43 нәтижелі көрсеткіш жоспарланған. Азық-түлікке ішкі қажеттіліктерді қамтамасыз ету үшін мынадай басым өнім түрлерін: құс етін, ет өнімдерін, сүт өнімдерін, балықты, өсімдік майын, жеміс-көкөніс өнімдерін және қантты өндіруді дамыту қажет делінген</w:t>
      </w:r>
      <w:r w:rsidR="0039678E" w:rsidRPr="00457CE9">
        <w:rPr>
          <w:rFonts w:ascii="Times New Roman" w:hAnsi="Times New Roman" w:cs="Times New Roman"/>
          <w:kern w:val="36"/>
          <w:sz w:val="28"/>
          <w:szCs w:val="28"/>
          <w:lang w:val="kk-KZ" w:eastAsia="zh-CN"/>
        </w:rPr>
        <w:t xml:space="preserve"> [</w:t>
      </w:r>
      <w:r w:rsidR="001E2869">
        <w:rPr>
          <w:rFonts w:ascii="Times New Roman" w:hAnsi="Times New Roman" w:cs="Times New Roman"/>
          <w:kern w:val="36"/>
          <w:sz w:val="28"/>
          <w:szCs w:val="28"/>
          <w:lang w:val="kk-KZ" w:eastAsia="zh-CN"/>
        </w:rPr>
        <w:t>99</w:t>
      </w:r>
      <w:r w:rsidR="0039678E" w:rsidRPr="00457CE9">
        <w:rPr>
          <w:rFonts w:ascii="Times New Roman" w:hAnsi="Times New Roman" w:cs="Times New Roman"/>
          <w:kern w:val="36"/>
          <w:sz w:val="28"/>
          <w:szCs w:val="28"/>
          <w:lang w:val="kk-KZ" w:eastAsia="zh-CN"/>
        </w:rPr>
        <w:t>]</w:t>
      </w:r>
      <w:r w:rsidR="006A3C25" w:rsidRPr="00457CE9">
        <w:rPr>
          <w:rFonts w:ascii="Times New Roman" w:hAnsi="Times New Roman" w:cs="Times New Roman"/>
          <w:kern w:val="36"/>
          <w:sz w:val="28"/>
          <w:szCs w:val="28"/>
          <w:lang w:val="kk-KZ" w:eastAsia="zh-CN"/>
        </w:rPr>
        <w:t xml:space="preserve">. </w:t>
      </w:r>
    </w:p>
    <w:p w14:paraId="2AC6AE97" w14:textId="2464E2DC" w:rsidR="00AB201F" w:rsidRDefault="006A3C25" w:rsidP="00132979">
      <w:pPr>
        <w:widowControl w:val="0"/>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Салыстырмалы түрде Үкіметтің 12.07.2018 ж. №423 қаулысының редакциясымен бекітілген ҚР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АӨК дамытудың 2017-2021 жылдарға арналған бағдарламасында</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(05.01.2020 ж. өзгерістер мен толықтырулармен)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Азық</w:t>
      </w:r>
      <w:r w:rsidR="001E286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түлік қауіпсіздігін қамтамасыз ету</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тапсырмасы бойынша 8 нәтиже көрсеткіштері жоспарланған болса оның 2 бойынша шешу шаралары қарастырылмаған. Екі нәтиже көрсеткіштері бойынша шешу жолдарымен көрсеткіштері сәйкес келмеген. </w:t>
      </w:r>
      <w:r w:rsidR="002F4B72" w:rsidRPr="00457CE9">
        <w:rPr>
          <w:rFonts w:ascii="Times New Roman" w:eastAsia="Times New Roman" w:hAnsi="Times New Roman" w:cs="Times New Roman"/>
          <w:kern w:val="36"/>
          <w:sz w:val="28"/>
          <w:szCs w:val="28"/>
          <w:lang w:val="kk-KZ" w:eastAsia="ru-RU"/>
        </w:rPr>
        <w:t>Жоғары аудит палатасы</w:t>
      </w:r>
      <w:r w:rsidR="00E70D7B" w:rsidRPr="00457CE9">
        <w:rPr>
          <w:rFonts w:ascii="Times New Roman" w:eastAsia="Times New Roman" w:hAnsi="Times New Roman" w:cs="Times New Roman"/>
          <w:kern w:val="36"/>
          <w:sz w:val="28"/>
          <w:szCs w:val="28"/>
          <w:lang w:val="kk-KZ" w:eastAsia="ru-RU"/>
        </w:rPr>
        <w:t xml:space="preserve"> Бағдарламаның мемлекеттік аудитін оған енгізілген өзгерістерден бастаған. Бұл Бағдарламаның алғашқы нұсқасы ҚР Президентінің №420 жарлығымен 14.02.2017 ж. бекітілген. ҚР Үкіметінің өкілеттігі өзгерісінен соң Бағдарламаға өзгерістер енгізіліп №</w:t>
      </w:r>
      <w:r w:rsidR="00E70D7B" w:rsidRPr="00457CE9">
        <w:rPr>
          <w:rFonts w:ascii="Times New Roman" w:eastAsiaTheme="minorEastAsia" w:hAnsi="Times New Roman" w:cs="Times New Roman"/>
          <w:kern w:val="36"/>
          <w:sz w:val="28"/>
          <w:szCs w:val="28"/>
          <w:lang w:val="kk-KZ" w:eastAsia="zh-CN"/>
        </w:rPr>
        <w:t>423 Қаулысымен 12.07.2018 ж. бекітілген, сонымен қатар ҚР Үкіметінің №1 қаулысымен 05.01.2020 ж. өзгерістер енгізілген</w:t>
      </w:r>
      <w:r w:rsidR="00D87119" w:rsidRPr="00457CE9">
        <w:rPr>
          <w:rFonts w:ascii="Times New Roman" w:eastAsiaTheme="minorEastAsia" w:hAnsi="Times New Roman" w:cs="Times New Roman"/>
          <w:kern w:val="36"/>
          <w:sz w:val="28"/>
          <w:szCs w:val="28"/>
          <w:lang w:val="kk-KZ" w:eastAsia="zh-CN"/>
        </w:rPr>
        <w:t xml:space="preserve"> [</w:t>
      </w:r>
      <w:r w:rsidR="00AB201F">
        <w:rPr>
          <w:rFonts w:ascii="Times New Roman" w:eastAsiaTheme="minorEastAsia" w:hAnsi="Times New Roman" w:cs="Times New Roman"/>
          <w:kern w:val="36"/>
          <w:sz w:val="28"/>
          <w:szCs w:val="28"/>
          <w:lang w:val="kk-KZ" w:eastAsia="zh-CN"/>
        </w:rPr>
        <w:t>5</w:t>
      </w:r>
      <w:r w:rsidR="00AA4EAE" w:rsidRPr="00AA4EAE">
        <w:rPr>
          <w:rFonts w:ascii="Times New Roman" w:eastAsiaTheme="minorEastAsia" w:hAnsi="Times New Roman" w:cs="Times New Roman"/>
          <w:kern w:val="36"/>
          <w:sz w:val="28"/>
          <w:szCs w:val="28"/>
          <w:lang w:val="kk-KZ" w:eastAsia="zh-CN"/>
        </w:rPr>
        <w:t>2</w:t>
      </w:r>
      <w:r w:rsidR="00AB201F">
        <w:rPr>
          <w:rFonts w:ascii="Times New Roman" w:eastAsiaTheme="minorEastAsia" w:hAnsi="Times New Roman" w:cs="Times New Roman"/>
          <w:kern w:val="36"/>
          <w:sz w:val="28"/>
          <w:szCs w:val="28"/>
          <w:lang w:val="kk-KZ" w:eastAsia="zh-CN"/>
        </w:rPr>
        <w:t>, с. 3</w:t>
      </w:r>
      <w:r w:rsidR="00D87119" w:rsidRPr="00457CE9">
        <w:rPr>
          <w:rFonts w:ascii="Times New Roman" w:eastAsiaTheme="minorEastAsia" w:hAnsi="Times New Roman" w:cs="Times New Roman"/>
          <w:kern w:val="36"/>
          <w:sz w:val="28"/>
          <w:szCs w:val="28"/>
          <w:lang w:val="kk-KZ" w:eastAsia="zh-CN"/>
        </w:rPr>
        <w:t>]</w:t>
      </w:r>
      <w:r w:rsidR="00E70D7B" w:rsidRPr="00457CE9">
        <w:rPr>
          <w:rFonts w:ascii="Times New Roman" w:eastAsiaTheme="minorEastAsia" w:hAnsi="Times New Roman" w:cs="Times New Roman"/>
          <w:kern w:val="36"/>
          <w:sz w:val="28"/>
          <w:szCs w:val="28"/>
          <w:lang w:val="kk-KZ" w:eastAsia="zh-CN"/>
        </w:rPr>
        <w:t xml:space="preserve">. </w:t>
      </w:r>
      <w:r w:rsidR="00AB201F">
        <w:rPr>
          <w:rFonts w:ascii="Times New Roman" w:eastAsia="Times New Roman" w:hAnsi="Times New Roman" w:cs="Times New Roman"/>
          <w:kern w:val="36"/>
          <w:sz w:val="28"/>
          <w:szCs w:val="28"/>
          <w:lang w:val="kk-KZ" w:eastAsia="ru-RU"/>
        </w:rPr>
        <w:t>Мемлекеттік бағдарламасының тапсырмаларындағы өзгерістері 1</w:t>
      </w:r>
      <w:r w:rsidR="00023296">
        <w:rPr>
          <w:rFonts w:ascii="Times New Roman" w:eastAsia="Times New Roman" w:hAnsi="Times New Roman" w:cs="Times New Roman"/>
          <w:kern w:val="36"/>
          <w:sz w:val="28"/>
          <w:szCs w:val="28"/>
          <w:lang w:val="kk-KZ" w:eastAsia="ru-RU"/>
        </w:rPr>
        <w:t>4</w:t>
      </w:r>
      <w:r w:rsidR="00AB201F">
        <w:rPr>
          <w:rFonts w:ascii="Times New Roman" w:eastAsia="Times New Roman" w:hAnsi="Times New Roman" w:cs="Times New Roman"/>
          <w:kern w:val="36"/>
          <w:sz w:val="28"/>
          <w:szCs w:val="28"/>
          <w:lang w:val="kk-KZ" w:eastAsia="ru-RU"/>
        </w:rPr>
        <w:t>-кестеде келтірілген.</w:t>
      </w:r>
    </w:p>
    <w:p w14:paraId="43ABBEC7" w14:textId="77777777" w:rsidR="00946DDD" w:rsidRPr="00132979" w:rsidRDefault="00946DDD" w:rsidP="00946DDD">
      <w:pPr>
        <w:widowControl w:val="0"/>
        <w:spacing w:after="0" w:line="240" w:lineRule="auto"/>
        <w:ind w:firstLine="709"/>
        <w:jc w:val="both"/>
        <w:rPr>
          <w:rFonts w:ascii="Times New Roman" w:eastAsia="Times New Roman" w:hAnsi="Times New Roman" w:cs="Times New Roman"/>
          <w:kern w:val="36"/>
          <w:sz w:val="16"/>
          <w:szCs w:val="16"/>
          <w:lang w:val="kk-KZ" w:eastAsia="ru-RU"/>
        </w:rPr>
      </w:pPr>
    </w:p>
    <w:p w14:paraId="0C02E299" w14:textId="33485101" w:rsidR="00E70D7B" w:rsidRDefault="00E70D7B" w:rsidP="00457CE9">
      <w:pPr>
        <w:spacing w:after="0" w:line="240" w:lineRule="auto"/>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Кесте</w:t>
      </w:r>
      <w:r w:rsidR="00EC13BA" w:rsidRPr="00457CE9">
        <w:rPr>
          <w:rFonts w:ascii="Times New Roman" w:eastAsia="Times New Roman" w:hAnsi="Times New Roman" w:cs="Times New Roman"/>
          <w:kern w:val="36"/>
          <w:sz w:val="28"/>
          <w:szCs w:val="28"/>
          <w:lang w:val="kk-KZ" w:eastAsia="ru-RU"/>
        </w:rPr>
        <w:t xml:space="preserve"> 1</w:t>
      </w:r>
      <w:r w:rsidR="00023296">
        <w:rPr>
          <w:rFonts w:ascii="Times New Roman" w:eastAsia="Times New Roman" w:hAnsi="Times New Roman" w:cs="Times New Roman"/>
          <w:kern w:val="36"/>
          <w:sz w:val="28"/>
          <w:szCs w:val="28"/>
          <w:lang w:val="kk-KZ" w:eastAsia="ru-RU"/>
        </w:rPr>
        <w:t>4</w:t>
      </w:r>
      <w:r w:rsidR="00EC13BA"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 </w:t>
      </w:r>
      <w:r w:rsidR="001E2869">
        <w:rPr>
          <w:rFonts w:ascii="Times New Roman" w:eastAsia="Times New Roman" w:hAnsi="Times New Roman" w:cs="Times New Roman"/>
          <w:kern w:val="36"/>
          <w:sz w:val="28"/>
          <w:szCs w:val="28"/>
          <w:lang w:val="kk-KZ" w:eastAsia="ru-RU"/>
        </w:rPr>
        <w:t>ҚР АӨК</w:t>
      </w:r>
      <w:r w:rsidRPr="00457CE9">
        <w:rPr>
          <w:rFonts w:ascii="Times New Roman" w:eastAsia="Times New Roman" w:hAnsi="Times New Roman" w:cs="Times New Roman"/>
          <w:kern w:val="36"/>
          <w:sz w:val="28"/>
          <w:szCs w:val="28"/>
          <w:lang w:val="kk-KZ" w:eastAsia="ru-RU"/>
        </w:rPr>
        <w:t xml:space="preserve"> дамытудың 2017–2021 жылдарға арналған мемлекеттік бағдарламасының тапсырмаларындағы өзгерістер</w:t>
      </w:r>
    </w:p>
    <w:p w14:paraId="2EC2BFD8" w14:textId="77777777" w:rsidR="00946DDD" w:rsidRPr="00946DDD" w:rsidRDefault="00946DDD" w:rsidP="00457CE9">
      <w:pPr>
        <w:spacing w:after="0" w:line="240" w:lineRule="auto"/>
        <w:jc w:val="both"/>
        <w:rPr>
          <w:rFonts w:ascii="Times New Roman" w:eastAsia="Times New Roman" w:hAnsi="Times New Roman" w:cs="Times New Roman"/>
          <w:kern w:val="36"/>
          <w:sz w:val="16"/>
          <w:szCs w:val="16"/>
          <w:lang w:val="kk-KZ" w:eastAsia="ru-RU"/>
        </w:rPr>
      </w:pPr>
    </w:p>
    <w:tbl>
      <w:tblPr>
        <w:tblStyle w:val="a3"/>
        <w:tblW w:w="0" w:type="auto"/>
        <w:tblInd w:w="-5" w:type="dxa"/>
        <w:tblLook w:val="04A0" w:firstRow="1" w:lastRow="0" w:firstColumn="1" w:lastColumn="0" w:noHBand="0" w:noVBand="1"/>
      </w:tblPr>
      <w:tblGrid>
        <w:gridCol w:w="4012"/>
        <w:gridCol w:w="2510"/>
        <w:gridCol w:w="3111"/>
      </w:tblGrid>
      <w:tr w:rsidR="00E70D7B" w:rsidRPr="00946DDD" w14:paraId="63D03F54" w14:textId="77777777" w:rsidTr="00AB201F">
        <w:tc>
          <w:tcPr>
            <w:tcW w:w="4012" w:type="dxa"/>
            <w:tcBorders>
              <w:top w:val="single" w:sz="4" w:space="0" w:color="auto"/>
              <w:left w:val="single" w:sz="4" w:space="0" w:color="auto"/>
              <w:bottom w:val="single" w:sz="4" w:space="0" w:color="auto"/>
              <w:right w:val="single" w:sz="4" w:space="0" w:color="auto"/>
            </w:tcBorders>
            <w:vAlign w:val="center"/>
            <w:hideMark/>
          </w:tcPr>
          <w:p w14:paraId="65BBBD61" w14:textId="785864F5" w:rsidR="00E70D7B" w:rsidRPr="00457CE9" w:rsidRDefault="00E70D7B" w:rsidP="00946DDD">
            <w:pPr>
              <w:jc w:val="center"/>
              <w:rPr>
                <w:rFonts w:ascii="Times New Roman" w:hAnsi="Times New Roman" w:cs="Times New Roman"/>
                <w:sz w:val="24"/>
                <w:szCs w:val="24"/>
                <w:shd w:val="clear" w:color="auto" w:fill="FFFFFF"/>
                <w:lang w:val="kk-KZ"/>
              </w:rPr>
            </w:pPr>
            <w:r w:rsidRPr="00457CE9">
              <w:rPr>
                <w:rFonts w:ascii="Times New Roman" w:eastAsia="Times New Roman" w:hAnsi="Times New Roman" w:cs="Times New Roman"/>
                <w:kern w:val="36"/>
                <w:sz w:val="24"/>
                <w:szCs w:val="24"/>
                <w:lang w:val="kk-KZ" w:eastAsia="ru-RU"/>
              </w:rPr>
              <w:t>ҚР Президентінің 14.02.2017 ж. №420 Жарлығының редакциясы (ҚР Президентінің 19.04.2019</w:t>
            </w:r>
            <w:r w:rsidR="001E2869">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ж. №29 жарлығымен күші жойылды)</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E5D279C" w14:textId="77777777" w:rsidR="00E70D7B" w:rsidRPr="00457CE9" w:rsidRDefault="00E70D7B" w:rsidP="001E64ED">
            <w:pPr>
              <w:ind w:left="-101" w:right="-96"/>
              <w:jc w:val="center"/>
              <w:rPr>
                <w:rFonts w:ascii="Times New Roman" w:hAnsi="Times New Roman" w:cs="Times New Roman"/>
                <w:sz w:val="24"/>
                <w:szCs w:val="24"/>
                <w:shd w:val="clear" w:color="auto" w:fill="FFFFFF"/>
              </w:rPr>
            </w:pPr>
            <w:r w:rsidRPr="00457CE9">
              <w:rPr>
                <w:rFonts w:ascii="Times New Roman" w:eastAsia="Times New Roman" w:hAnsi="Times New Roman" w:cs="Times New Roman"/>
                <w:kern w:val="36"/>
                <w:sz w:val="24"/>
                <w:szCs w:val="24"/>
                <w:lang w:val="kk-KZ" w:eastAsia="ru-RU"/>
              </w:rPr>
              <w:t>Үкіметтің 12.07.2018 ж. №423 қаулысының редакциясы</w:t>
            </w:r>
          </w:p>
        </w:tc>
        <w:tc>
          <w:tcPr>
            <w:tcW w:w="3111" w:type="dxa"/>
            <w:tcBorders>
              <w:top w:val="single" w:sz="4" w:space="0" w:color="auto"/>
              <w:left w:val="single" w:sz="4" w:space="0" w:color="auto"/>
              <w:bottom w:val="single" w:sz="4" w:space="0" w:color="auto"/>
              <w:right w:val="single" w:sz="4" w:space="0" w:color="auto"/>
            </w:tcBorders>
            <w:vAlign w:val="center"/>
            <w:hideMark/>
          </w:tcPr>
          <w:p w14:paraId="06C58D74" w14:textId="0456D9BA" w:rsidR="00E70D7B" w:rsidRPr="00457CE9" w:rsidRDefault="00E70D7B" w:rsidP="00946DDD">
            <w:pPr>
              <w:widowControl w:val="0"/>
              <w:ind w:left="-92" w:right="-52"/>
              <w:jc w:val="center"/>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eastAsia="Times New Roman" w:hAnsi="Times New Roman" w:cs="Times New Roman"/>
                <w:kern w:val="36"/>
                <w:sz w:val="24"/>
                <w:szCs w:val="24"/>
                <w:lang w:val="kk-KZ" w:eastAsia="ru-RU"/>
              </w:rPr>
              <w:t>Үкіметтің 12.07.2018 ж. №423 қаулысының редак</w:t>
            </w:r>
            <w:r w:rsidR="00946DDD">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циясы (05.01.2020 ж. өзге</w:t>
            </w:r>
            <w:r w:rsidR="00946DDD">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рістер мен толықтырулармен)</w:t>
            </w:r>
          </w:p>
        </w:tc>
      </w:tr>
      <w:tr w:rsidR="00E70D7B" w:rsidRPr="00946DDD" w14:paraId="5C328B3B" w14:textId="77777777" w:rsidTr="00AB201F">
        <w:tc>
          <w:tcPr>
            <w:tcW w:w="9633" w:type="dxa"/>
            <w:gridSpan w:val="3"/>
            <w:tcBorders>
              <w:top w:val="single" w:sz="4" w:space="0" w:color="auto"/>
              <w:left w:val="single" w:sz="4" w:space="0" w:color="auto"/>
              <w:bottom w:val="single" w:sz="4" w:space="0" w:color="auto"/>
              <w:right w:val="single" w:sz="4" w:space="0" w:color="auto"/>
            </w:tcBorders>
            <w:hideMark/>
          </w:tcPr>
          <w:p w14:paraId="471A6F74" w14:textId="77777777" w:rsidR="00E70D7B" w:rsidRPr="00457CE9" w:rsidRDefault="00E70D7B" w:rsidP="00457CE9">
            <w:pPr>
              <w:widowControl w:val="0"/>
              <w:jc w:val="center"/>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eastAsia="Times New Roman" w:hAnsi="Times New Roman" w:cs="Times New Roman"/>
                <w:kern w:val="36"/>
                <w:sz w:val="24"/>
                <w:szCs w:val="24"/>
                <w:lang w:val="kk-KZ" w:eastAsia="ru-RU"/>
              </w:rPr>
              <w:t>Алынып тасталған, өзгертілген, нақтыланған тапсырмалар</w:t>
            </w:r>
          </w:p>
        </w:tc>
      </w:tr>
      <w:tr w:rsidR="00E70D7B" w:rsidRPr="00457CE9" w14:paraId="1AD7745E"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1A144B53" w14:textId="76B611D7"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rPr>
              <w:t xml:space="preserve">1) </w:t>
            </w:r>
            <w:r w:rsidRPr="00457CE9">
              <w:rPr>
                <w:rFonts w:ascii="Times New Roman" w:hAnsi="Times New Roman" w:cs="Times New Roman"/>
                <w:sz w:val="24"/>
                <w:szCs w:val="24"/>
                <w:shd w:val="clear" w:color="auto" w:fill="FFFFFF"/>
                <w:lang w:val="kk-KZ"/>
              </w:rPr>
              <w:t>ұсақ және орта шаруашылық</w:t>
            </w:r>
            <w:r w:rsidR="00946DDD">
              <w:rPr>
                <w:rFonts w:ascii="Times New Roman" w:hAnsi="Times New Roman" w:cs="Times New Roman"/>
                <w:sz w:val="24"/>
                <w:szCs w:val="24"/>
                <w:shd w:val="clear" w:color="auto" w:fill="FFFFFF"/>
                <w:lang w:val="kk-KZ"/>
              </w:rPr>
              <w:t xml:space="preserve"> </w:t>
            </w:r>
            <w:r w:rsidRPr="00457CE9">
              <w:rPr>
                <w:rFonts w:ascii="Times New Roman" w:hAnsi="Times New Roman" w:cs="Times New Roman"/>
                <w:sz w:val="24"/>
                <w:szCs w:val="24"/>
                <w:shd w:val="clear" w:color="auto" w:fill="FFFFFF"/>
                <w:lang w:val="kk-KZ"/>
              </w:rPr>
              <w:t>тарды ауыл шаруашылығы корпорациясына тарту;</w:t>
            </w:r>
          </w:p>
        </w:tc>
        <w:tc>
          <w:tcPr>
            <w:tcW w:w="5621" w:type="dxa"/>
            <w:gridSpan w:val="2"/>
            <w:tcBorders>
              <w:top w:val="single" w:sz="4" w:space="0" w:color="auto"/>
              <w:left w:val="single" w:sz="4" w:space="0" w:color="auto"/>
              <w:bottom w:val="single" w:sz="4" w:space="0" w:color="auto"/>
              <w:right w:val="single" w:sz="4" w:space="0" w:color="auto"/>
            </w:tcBorders>
            <w:hideMark/>
          </w:tcPr>
          <w:p w14:paraId="179A706B" w14:textId="77777777"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eastAsia="Times New Roman" w:hAnsi="Times New Roman" w:cs="Times New Roman"/>
                <w:kern w:val="36"/>
                <w:sz w:val="24"/>
                <w:szCs w:val="24"/>
                <w:lang w:val="kk-KZ" w:eastAsia="ru-RU"/>
              </w:rPr>
              <w:t>алынып тасталған</w:t>
            </w:r>
          </w:p>
        </w:tc>
      </w:tr>
      <w:tr w:rsidR="00E70D7B" w:rsidRPr="00457CE9" w14:paraId="0348670A"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5697F62A" w14:textId="41D755B9"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2) сауда-логистикалық инфрақұры</w:t>
            </w:r>
            <w:r w:rsidR="00946DDD">
              <w:rPr>
                <w:rFonts w:ascii="Times New Roman" w:hAnsi="Times New Roman" w:cs="Times New Roman"/>
                <w:sz w:val="24"/>
                <w:szCs w:val="24"/>
                <w:shd w:val="clear" w:color="auto" w:fill="FFFFFF"/>
                <w:lang w:val="kk-KZ"/>
              </w:rPr>
              <w:t xml:space="preserve"> </w:t>
            </w:r>
            <w:r w:rsidRPr="00457CE9">
              <w:rPr>
                <w:rFonts w:ascii="Times New Roman" w:hAnsi="Times New Roman" w:cs="Times New Roman"/>
                <w:sz w:val="24"/>
                <w:szCs w:val="24"/>
                <w:shd w:val="clear" w:color="auto" w:fill="FFFFFF"/>
                <w:lang w:val="kk-KZ"/>
              </w:rPr>
              <w:t>лымды дамыту;</w:t>
            </w:r>
          </w:p>
        </w:tc>
        <w:tc>
          <w:tcPr>
            <w:tcW w:w="5621" w:type="dxa"/>
            <w:gridSpan w:val="2"/>
            <w:tcBorders>
              <w:top w:val="single" w:sz="4" w:space="0" w:color="auto"/>
              <w:left w:val="single" w:sz="4" w:space="0" w:color="auto"/>
              <w:bottom w:val="single" w:sz="4" w:space="0" w:color="auto"/>
              <w:right w:val="single" w:sz="4" w:space="0" w:color="auto"/>
            </w:tcBorders>
            <w:hideMark/>
          </w:tcPr>
          <w:p w14:paraId="1ECB960E" w14:textId="77777777"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eastAsia="Times New Roman" w:hAnsi="Times New Roman" w:cs="Times New Roman"/>
                <w:kern w:val="36"/>
                <w:sz w:val="24"/>
                <w:szCs w:val="24"/>
                <w:lang w:val="kk-KZ" w:eastAsia="ru-RU"/>
              </w:rPr>
              <w:t>алынып тасталған</w:t>
            </w:r>
          </w:p>
        </w:tc>
      </w:tr>
      <w:tr w:rsidR="00E70D7B" w:rsidRPr="00805B3E" w14:paraId="7ACE5474"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0BA596D8" w14:textId="32140110"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3) ішкі нарықты молықтыру және отандық өні</w:t>
            </w:r>
            <w:r w:rsidR="001E64ED">
              <w:rPr>
                <w:rFonts w:ascii="Times New Roman" w:hAnsi="Times New Roman" w:cs="Times New Roman"/>
                <w:sz w:val="24"/>
                <w:szCs w:val="24"/>
                <w:shd w:val="clear" w:color="auto" w:fill="FFFFFF"/>
                <w:lang w:val="kk-KZ"/>
              </w:rPr>
              <w:t>мнің экспорттық әлеуетін дамыту</w:t>
            </w:r>
          </w:p>
        </w:tc>
        <w:tc>
          <w:tcPr>
            <w:tcW w:w="5621" w:type="dxa"/>
            <w:gridSpan w:val="2"/>
            <w:tcBorders>
              <w:top w:val="single" w:sz="4" w:space="0" w:color="auto"/>
              <w:left w:val="single" w:sz="4" w:space="0" w:color="auto"/>
              <w:bottom w:val="single" w:sz="4" w:space="0" w:color="auto"/>
              <w:right w:val="single" w:sz="4" w:space="0" w:color="auto"/>
            </w:tcBorders>
            <w:hideMark/>
          </w:tcPr>
          <w:p w14:paraId="6A989663" w14:textId="4A242126"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 xml:space="preserve">1) өткізу нарықтарының қолжетімділігін қамтамасыз ету және </w:t>
            </w:r>
            <w:r w:rsidR="001E64ED">
              <w:rPr>
                <w:rFonts w:ascii="Times New Roman" w:hAnsi="Times New Roman" w:cs="Times New Roman"/>
                <w:sz w:val="24"/>
                <w:szCs w:val="24"/>
                <w:shd w:val="clear" w:color="auto" w:fill="FFFFFF"/>
                <w:lang w:val="kk-KZ"/>
              </w:rPr>
              <w:t>экспортты дамыту болып табылады</w:t>
            </w:r>
          </w:p>
        </w:tc>
      </w:tr>
      <w:tr w:rsidR="00E70D7B" w:rsidRPr="00805B3E" w14:paraId="64DA8742"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588AEAC3" w14:textId="77777777"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қарастырылмаған</w:t>
            </w:r>
          </w:p>
        </w:tc>
        <w:tc>
          <w:tcPr>
            <w:tcW w:w="5621" w:type="dxa"/>
            <w:gridSpan w:val="2"/>
            <w:tcBorders>
              <w:top w:val="single" w:sz="4" w:space="0" w:color="auto"/>
              <w:left w:val="single" w:sz="4" w:space="0" w:color="auto"/>
              <w:bottom w:val="single" w:sz="4" w:space="0" w:color="auto"/>
              <w:right w:val="single" w:sz="4" w:space="0" w:color="auto"/>
            </w:tcBorders>
            <w:hideMark/>
          </w:tcPr>
          <w:p w14:paraId="645D2829" w14:textId="12DB3E2E"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2) азық-түл</w:t>
            </w:r>
            <w:r w:rsidR="001E64ED">
              <w:rPr>
                <w:rFonts w:ascii="Times New Roman" w:hAnsi="Times New Roman" w:cs="Times New Roman"/>
                <w:sz w:val="24"/>
                <w:szCs w:val="24"/>
                <w:shd w:val="clear" w:color="auto" w:fill="FFFFFF"/>
                <w:lang w:val="kk-KZ"/>
              </w:rPr>
              <w:t>ік қауіпсіздігін қамтамасыз ету</w:t>
            </w:r>
          </w:p>
        </w:tc>
      </w:tr>
      <w:tr w:rsidR="00E70D7B" w:rsidRPr="00805B3E" w14:paraId="66D7D5C3" w14:textId="77777777" w:rsidTr="00AB201F">
        <w:tc>
          <w:tcPr>
            <w:tcW w:w="4012" w:type="dxa"/>
            <w:tcBorders>
              <w:top w:val="single" w:sz="4" w:space="0" w:color="auto"/>
              <w:left w:val="single" w:sz="4" w:space="0" w:color="auto"/>
              <w:bottom w:val="single" w:sz="4" w:space="0" w:color="auto"/>
              <w:right w:val="single" w:sz="4" w:space="0" w:color="auto"/>
            </w:tcBorders>
          </w:tcPr>
          <w:p w14:paraId="2E83CB11" w14:textId="7D007458"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4) мемлекеттік қолдаудың қаржы</w:t>
            </w:r>
            <w:r w:rsidR="00946DDD">
              <w:rPr>
                <w:rFonts w:ascii="Times New Roman" w:hAnsi="Times New Roman" w:cs="Times New Roman"/>
                <w:sz w:val="24"/>
                <w:szCs w:val="24"/>
                <w:shd w:val="clear" w:color="auto" w:fill="FFFFFF"/>
                <w:lang w:val="kk-KZ"/>
              </w:rPr>
              <w:t xml:space="preserve"> </w:t>
            </w:r>
            <w:r w:rsidRPr="00457CE9">
              <w:rPr>
                <w:rFonts w:ascii="Times New Roman" w:hAnsi="Times New Roman" w:cs="Times New Roman"/>
                <w:sz w:val="24"/>
                <w:szCs w:val="24"/>
                <w:shd w:val="clear" w:color="auto" w:fill="FFFFFF"/>
                <w:lang w:val="kk-KZ"/>
              </w:rPr>
              <w:t>лық шараларын тиімді пайдалану болып табылады;</w:t>
            </w:r>
          </w:p>
          <w:p w14:paraId="111207B9" w14:textId="77777777" w:rsidR="00E70D7B" w:rsidRPr="00457CE9" w:rsidRDefault="00E70D7B" w:rsidP="00457CE9">
            <w:pPr>
              <w:rPr>
                <w:rFonts w:ascii="Times New Roman" w:hAnsi="Times New Roman" w:cs="Times New Roman"/>
                <w:sz w:val="24"/>
                <w:szCs w:val="24"/>
                <w:shd w:val="clear" w:color="auto" w:fill="FFFFFF"/>
                <w:lang w:val="kk-KZ"/>
              </w:rPr>
            </w:pPr>
          </w:p>
        </w:tc>
        <w:tc>
          <w:tcPr>
            <w:tcW w:w="5621" w:type="dxa"/>
            <w:gridSpan w:val="2"/>
            <w:tcBorders>
              <w:top w:val="single" w:sz="4" w:space="0" w:color="auto"/>
              <w:left w:val="single" w:sz="4" w:space="0" w:color="auto"/>
              <w:bottom w:val="single" w:sz="4" w:space="0" w:color="auto"/>
              <w:right w:val="single" w:sz="4" w:space="0" w:color="auto"/>
            </w:tcBorders>
            <w:hideMark/>
          </w:tcPr>
          <w:p w14:paraId="7BBEEEB0" w14:textId="71B53EC3"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3) АӨК субъектілері үшін қаржыландырудың қолжетімділігін арттыру және АӨК субъектілеріне салық салудың оңтайлы режимдері</w:t>
            </w:r>
            <w:r w:rsidR="001E64ED">
              <w:rPr>
                <w:rFonts w:ascii="Times New Roman" w:hAnsi="Times New Roman" w:cs="Times New Roman"/>
                <w:sz w:val="24"/>
                <w:szCs w:val="24"/>
                <w:shd w:val="clear" w:color="auto" w:fill="FFFFFF"/>
                <w:lang w:val="kk-KZ"/>
              </w:rPr>
              <w:t>н қамтамасыз ету болып табылады</w:t>
            </w:r>
          </w:p>
        </w:tc>
      </w:tr>
      <w:tr w:rsidR="00E70D7B" w:rsidRPr="00805B3E" w14:paraId="736BCD12"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0130958D" w14:textId="77777777"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5) жер ресурстарын тиімді пайдалану үшін жағдайлар жасау;</w:t>
            </w:r>
          </w:p>
        </w:tc>
        <w:tc>
          <w:tcPr>
            <w:tcW w:w="5621" w:type="dxa"/>
            <w:gridSpan w:val="2"/>
            <w:tcBorders>
              <w:top w:val="single" w:sz="4" w:space="0" w:color="auto"/>
              <w:left w:val="single" w:sz="4" w:space="0" w:color="auto"/>
              <w:bottom w:val="single" w:sz="4" w:space="0" w:color="auto"/>
              <w:right w:val="single" w:sz="4" w:space="0" w:color="auto"/>
            </w:tcBorders>
            <w:hideMark/>
          </w:tcPr>
          <w:p w14:paraId="3FE5F16E" w14:textId="77777777"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4) жер ресурстарын пайдалану тиімділігін арттыру;</w:t>
            </w:r>
          </w:p>
        </w:tc>
      </w:tr>
      <w:tr w:rsidR="00E70D7B" w:rsidRPr="00805B3E" w14:paraId="17151FF2"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09A7151E" w14:textId="77777777"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6) су ресурстарын тиімді пайдалану;</w:t>
            </w:r>
          </w:p>
        </w:tc>
        <w:tc>
          <w:tcPr>
            <w:tcW w:w="5621" w:type="dxa"/>
            <w:gridSpan w:val="2"/>
            <w:tcBorders>
              <w:top w:val="single" w:sz="4" w:space="0" w:color="auto"/>
              <w:left w:val="single" w:sz="4" w:space="0" w:color="auto"/>
              <w:bottom w:val="single" w:sz="4" w:space="0" w:color="auto"/>
              <w:right w:val="single" w:sz="4" w:space="0" w:color="auto"/>
            </w:tcBorders>
            <w:hideMark/>
          </w:tcPr>
          <w:p w14:paraId="69E1D0D3" w14:textId="77777777"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5) су ресурстарын пайдалану тиімділігін арттыру;</w:t>
            </w:r>
          </w:p>
        </w:tc>
      </w:tr>
      <w:tr w:rsidR="00E70D7B" w:rsidRPr="00805B3E" w14:paraId="2860E587"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207752F8" w14:textId="77777777"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7) ауыл шаруашылығы тауарларын өндірушілердің техникамен және химияландыру құралдарымен қамтамасыз етілуін арттыру;</w:t>
            </w:r>
          </w:p>
        </w:tc>
        <w:tc>
          <w:tcPr>
            <w:tcW w:w="5621" w:type="dxa"/>
            <w:gridSpan w:val="2"/>
            <w:tcBorders>
              <w:top w:val="single" w:sz="4" w:space="0" w:color="auto"/>
              <w:left w:val="single" w:sz="4" w:space="0" w:color="auto"/>
              <w:bottom w:val="single" w:sz="4" w:space="0" w:color="auto"/>
              <w:right w:val="single" w:sz="4" w:space="0" w:color="auto"/>
            </w:tcBorders>
            <w:hideMark/>
          </w:tcPr>
          <w:p w14:paraId="1CB6B595" w14:textId="77777777"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6) аграрлық ғылымды, технологиялар трансфертін дамытуды және АӨК субъектілері құзыретінің деңгейін қамтамасыз ету;</w:t>
            </w:r>
          </w:p>
        </w:tc>
      </w:tr>
      <w:tr w:rsidR="00E70D7B" w:rsidRPr="00805B3E" w14:paraId="519C2CE5" w14:textId="77777777" w:rsidTr="00AB201F">
        <w:tc>
          <w:tcPr>
            <w:tcW w:w="4012" w:type="dxa"/>
            <w:tcBorders>
              <w:top w:val="single" w:sz="4" w:space="0" w:color="auto"/>
              <w:left w:val="single" w:sz="4" w:space="0" w:color="auto"/>
              <w:bottom w:val="nil"/>
              <w:right w:val="single" w:sz="4" w:space="0" w:color="auto"/>
            </w:tcBorders>
            <w:hideMark/>
          </w:tcPr>
          <w:p w14:paraId="28524210" w14:textId="1024BD2F" w:rsidR="00E70D7B" w:rsidRPr="00457CE9" w:rsidRDefault="00E70D7B"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8) </w:t>
            </w:r>
            <w:r w:rsidR="00575788">
              <w:rPr>
                <w:rFonts w:ascii="Times New Roman" w:hAnsi="Times New Roman" w:cs="Times New Roman"/>
                <w:sz w:val="24"/>
                <w:szCs w:val="24"/>
                <w:shd w:val="clear" w:color="auto" w:fill="FFFFFF"/>
                <w:lang w:val="kk-KZ"/>
              </w:rPr>
              <w:t>АӨК-н</w:t>
            </w:r>
            <w:r w:rsidRPr="00457CE9">
              <w:rPr>
                <w:rFonts w:ascii="Times New Roman" w:hAnsi="Times New Roman" w:cs="Times New Roman"/>
                <w:sz w:val="24"/>
                <w:szCs w:val="24"/>
                <w:shd w:val="clear" w:color="auto" w:fill="FFFFFF"/>
                <w:lang w:val="kk-KZ"/>
              </w:rPr>
              <w:t xml:space="preserve"> ғылыми-технологиялық, кадрлық және ақпараттық-марке</w:t>
            </w:r>
            <w:r w:rsidR="00946DDD">
              <w:rPr>
                <w:rFonts w:ascii="Times New Roman" w:hAnsi="Times New Roman" w:cs="Times New Roman"/>
                <w:sz w:val="24"/>
                <w:szCs w:val="24"/>
                <w:shd w:val="clear" w:color="auto" w:fill="FFFFFF"/>
                <w:lang w:val="kk-KZ"/>
              </w:rPr>
              <w:t xml:space="preserve"> </w:t>
            </w:r>
            <w:r w:rsidRPr="00457CE9">
              <w:rPr>
                <w:rFonts w:ascii="Times New Roman" w:hAnsi="Times New Roman" w:cs="Times New Roman"/>
                <w:sz w:val="24"/>
                <w:szCs w:val="24"/>
                <w:shd w:val="clear" w:color="auto" w:fill="FFFFFF"/>
                <w:lang w:val="kk-KZ"/>
              </w:rPr>
              <w:t>тингтік қамтамасыз ету болып табылады.</w:t>
            </w:r>
          </w:p>
        </w:tc>
        <w:tc>
          <w:tcPr>
            <w:tcW w:w="5621" w:type="dxa"/>
            <w:gridSpan w:val="2"/>
            <w:tcBorders>
              <w:top w:val="single" w:sz="4" w:space="0" w:color="auto"/>
              <w:left w:val="single" w:sz="4" w:space="0" w:color="auto"/>
              <w:bottom w:val="nil"/>
              <w:right w:val="single" w:sz="4" w:space="0" w:color="auto"/>
            </w:tcBorders>
            <w:hideMark/>
          </w:tcPr>
          <w:p w14:paraId="76BD275E" w14:textId="64EE20A5"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7) АӨК-дегі өндірістің техникалық жарақтанды</w:t>
            </w:r>
            <w:r w:rsidR="00946DDD">
              <w:rPr>
                <w:rFonts w:ascii="Times New Roman" w:hAnsi="Times New Roman" w:cs="Times New Roman"/>
                <w:sz w:val="24"/>
                <w:szCs w:val="24"/>
                <w:shd w:val="clear" w:color="auto" w:fill="FFFFFF"/>
                <w:lang w:val="kk-KZ"/>
              </w:rPr>
              <w:t xml:space="preserve"> </w:t>
            </w:r>
            <w:r w:rsidRPr="00457CE9">
              <w:rPr>
                <w:rFonts w:ascii="Times New Roman" w:hAnsi="Times New Roman" w:cs="Times New Roman"/>
                <w:sz w:val="24"/>
                <w:szCs w:val="24"/>
                <w:shd w:val="clear" w:color="auto" w:fill="FFFFFF"/>
                <w:lang w:val="kk-KZ"/>
              </w:rPr>
              <w:t>рылуы мен қарқындылығының деңгейін арттыру;</w:t>
            </w:r>
          </w:p>
        </w:tc>
      </w:tr>
      <w:tr w:rsidR="00E70D7B" w:rsidRPr="00805B3E" w14:paraId="6EA21EEE"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6F732ED2" w14:textId="05B71E0A" w:rsidR="00E70D7B" w:rsidRPr="00457CE9" w:rsidRDefault="00946DDD"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Қарастырылмаған</w:t>
            </w:r>
          </w:p>
        </w:tc>
        <w:tc>
          <w:tcPr>
            <w:tcW w:w="5621" w:type="dxa"/>
            <w:gridSpan w:val="2"/>
            <w:tcBorders>
              <w:top w:val="single" w:sz="4" w:space="0" w:color="auto"/>
              <w:left w:val="single" w:sz="4" w:space="0" w:color="auto"/>
              <w:bottom w:val="single" w:sz="4" w:space="0" w:color="auto"/>
              <w:right w:val="single" w:sz="4" w:space="0" w:color="auto"/>
            </w:tcBorders>
            <w:hideMark/>
          </w:tcPr>
          <w:p w14:paraId="30D82221" w14:textId="77777777"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8) мемлекеттік көрсетілетін қызметтердің сапасын арттыру және АӨК-ге цифрлық технологияларды енгізуді қамтамасыз ету;</w:t>
            </w:r>
          </w:p>
        </w:tc>
      </w:tr>
      <w:tr w:rsidR="00E70D7B" w:rsidRPr="00805B3E" w14:paraId="1B3A85D5" w14:textId="77777777" w:rsidTr="00AB201F">
        <w:tc>
          <w:tcPr>
            <w:tcW w:w="4012" w:type="dxa"/>
            <w:tcBorders>
              <w:top w:val="single" w:sz="4" w:space="0" w:color="auto"/>
              <w:left w:val="single" w:sz="4" w:space="0" w:color="auto"/>
              <w:bottom w:val="single" w:sz="4" w:space="0" w:color="auto"/>
              <w:right w:val="single" w:sz="4" w:space="0" w:color="auto"/>
            </w:tcBorders>
            <w:hideMark/>
          </w:tcPr>
          <w:p w14:paraId="5C899396" w14:textId="1AE05709" w:rsidR="00E70D7B" w:rsidRPr="00457CE9" w:rsidRDefault="00946DDD"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Қарастырылмаған</w:t>
            </w:r>
          </w:p>
        </w:tc>
        <w:tc>
          <w:tcPr>
            <w:tcW w:w="5621" w:type="dxa"/>
            <w:gridSpan w:val="2"/>
            <w:tcBorders>
              <w:top w:val="single" w:sz="4" w:space="0" w:color="auto"/>
              <w:left w:val="single" w:sz="4" w:space="0" w:color="auto"/>
              <w:bottom w:val="single" w:sz="4" w:space="0" w:color="auto"/>
              <w:right w:val="single" w:sz="4" w:space="0" w:color="auto"/>
            </w:tcBorders>
            <w:hideMark/>
          </w:tcPr>
          <w:p w14:paraId="24EFB68A" w14:textId="2B77BA54" w:rsidR="00E70D7B" w:rsidRPr="00457CE9" w:rsidRDefault="00E70D7B" w:rsidP="00457CE9">
            <w:pPr>
              <w:widowControl w:val="0"/>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hAnsi="Times New Roman" w:cs="Times New Roman"/>
                <w:sz w:val="24"/>
                <w:szCs w:val="24"/>
                <w:shd w:val="clear" w:color="auto" w:fill="FFFFFF"/>
                <w:lang w:val="kk-KZ"/>
              </w:rPr>
              <w:t>9)</w:t>
            </w:r>
            <w:r w:rsidR="00946DDD">
              <w:rPr>
                <w:rFonts w:ascii="Times New Roman" w:hAnsi="Times New Roman" w:cs="Times New Roman"/>
                <w:sz w:val="24"/>
                <w:szCs w:val="24"/>
                <w:shd w:val="clear" w:color="auto" w:fill="FFFFFF"/>
                <w:lang w:val="kk-KZ"/>
              </w:rPr>
              <w:t xml:space="preserve"> </w:t>
            </w:r>
            <w:r w:rsidRPr="00457CE9">
              <w:rPr>
                <w:rFonts w:ascii="Times New Roman" w:hAnsi="Times New Roman" w:cs="Times New Roman"/>
                <w:sz w:val="24"/>
                <w:szCs w:val="24"/>
                <w:shd w:val="clear" w:color="auto" w:fill="FFFFFF"/>
                <w:lang w:val="kk-KZ"/>
              </w:rPr>
              <w:t>ауылдық жерде тұратын халықтың өмір сүру жағдайларына қанағаттану деңгейін арттыру.</w:t>
            </w:r>
          </w:p>
        </w:tc>
      </w:tr>
      <w:tr w:rsidR="00E70D7B" w:rsidRPr="00457CE9" w14:paraId="69313F48" w14:textId="77777777" w:rsidTr="00AB201F">
        <w:tc>
          <w:tcPr>
            <w:tcW w:w="9633" w:type="dxa"/>
            <w:gridSpan w:val="3"/>
            <w:tcBorders>
              <w:top w:val="single" w:sz="4" w:space="0" w:color="auto"/>
              <w:left w:val="single" w:sz="4" w:space="0" w:color="auto"/>
              <w:bottom w:val="single" w:sz="4" w:space="0" w:color="auto"/>
              <w:right w:val="single" w:sz="4" w:space="0" w:color="auto"/>
            </w:tcBorders>
            <w:hideMark/>
          </w:tcPr>
          <w:p w14:paraId="2F2CEA9C" w14:textId="7273FB8B" w:rsidR="00E70D7B" w:rsidRPr="00457CE9" w:rsidRDefault="00946DDD" w:rsidP="00946DDD">
            <w:pPr>
              <w:widowControl w:val="0"/>
              <w:ind w:firstLine="567"/>
              <w:textAlignment w:val="baseline"/>
              <w:outlineLvl w:val="0"/>
              <w:rPr>
                <w:rFonts w:ascii="Times New Roman" w:hAnsi="Times New Roman" w:cs="Times New Roman"/>
                <w:sz w:val="24"/>
                <w:szCs w:val="24"/>
                <w:shd w:val="clear" w:color="auto" w:fill="FFFFFF"/>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E70D7B" w:rsidRPr="00457CE9">
              <w:rPr>
                <w:rFonts w:ascii="Times New Roman" w:hAnsi="Times New Roman" w:cs="Times New Roman"/>
                <w:kern w:val="36"/>
                <w:sz w:val="24"/>
                <w:szCs w:val="24"/>
                <w:lang w:val="kk-KZ" w:eastAsia="zh-CN"/>
              </w:rPr>
              <w:t xml:space="preserve"> </w:t>
            </w:r>
            <w:r w:rsidR="0039678E" w:rsidRPr="00457CE9">
              <w:rPr>
                <w:rFonts w:ascii="Times New Roman" w:hAnsi="Times New Roman" w:cs="Times New Roman"/>
                <w:kern w:val="36"/>
                <w:sz w:val="24"/>
                <w:szCs w:val="24"/>
                <w:lang w:eastAsia="zh-CN"/>
              </w:rPr>
              <w:t>[</w:t>
            </w:r>
            <w:r w:rsidR="00232EA1">
              <w:rPr>
                <w:rFonts w:ascii="Times New Roman" w:hAnsi="Times New Roman" w:cs="Times New Roman"/>
                <w:kern w:val="36"/>
                <w:sz w:val="24"/>
                <w:szCs w:val="24"/>
                <w:lang w:val="kk-KZ" w:eastAsia="zh-CN"/>
              </w:rPr>
              <w:t>52,</w:t>
            </w:r>
            <w:r w:rsidR="00C04B7F">
              <w:rPr>
                <w:rFonts w:ascii="Times New Roman" w:hAnsi="Times New Roman" w:cs="Times New Roman"/>
                <w:kern w:val="36"/>
                <w:sz w:val="24"/>
                <w:szCs w:val="24"/>
                <w:lang w:val="kk-KZ" w:eastAsia="zh-CN"/>
              </w:rPr>
              <w:t>81</w:t>
            </w:r>
            <w:r w:rsidR="0039678E" w:rsidRPr="00457CE9">
              <w:rPr>
                <w:rFonts w:ascii="Times New Roman" w:hAnsi="Times New Roman" w:cs="Times New Roman"/>
                <w:kern w:val="36"/>
                <w:sz w:val="24"/>
                <w:szCs w:val="24"/>
                <w:lang w:eastAsia="zh-CN"/>
              </w:rPr>
              <w:t xml:space="preserve">] </w:t>
            </w:r>
          </w:p>
        </w:tc>
      </w:tr>
    </w:tbl>
    <w:p w14:paraId="376C2EBB" w14:textId="77777777" w:rsidR="001E2869" w:rsidRDefault="001E2869" w:rsidP="00AB201F">
      <w:pPr>
        <w:widowControl w:val="0"/>
        <w:spacing w:after="0" w:line="240" w:lineRule="auto"/>
        <w:ind w:firstLine="709"/>
        <w:jc w:val="both"/>
        <w:rPr>
          <w:rFonts w:ascii="Times New Roman" w:eastAsiaTheme="minorEastAsia" w:hAnsi="Times New Roman" w:cs="Times New Roman"/>
          <w:kern w:val="36"/>
          <w:sz w:val="28"/>
          <w:szCs w:val="28"/>
          <w:lang w:val="kk-KZ" w:eastAsia="zh-CN"/>
        </w:rPr>
      </w:pPr>
    </w:p>
    <w:p w14:paraId="64DD1019" w14:textId="722603C9" w:rsidR="00AB201F" w:rsidRDefault="00AB201F" w:rsidP="00AB201F">
      <w:pPr>
        <w:widowControl w:val="0"/>
        <w:spacing w:after="0" w:line="240" w:lineRule="auto"/>
        <w:ind w:firstLine="709"/>
        <w:jc w:val="both"/>
        <w:rPr>
          <w:rFonts w:ascii="Times New Roman" w:eastAsiaTheme="minorEastAsia" w:hAnsi="Times New Roman" w:cs="Times New Roman"/>
          <w:kern w:val="36"/>
          <w:sz w:val="28"/>
          <w:szCs w:val="28"/>
          <w:lang w:val="kk-KZ" w:eastAsia="zh-CN"/>
        </w:rPr>
      </w:pPr>
      <w:r>
        <w:rPr>
          <w:rFonts w:ascii="Times New Roman" w:eastAsiaTheme="minorEastAsia" w:hAnsi="Times New Roman" w:cs="Times New Roman"/>
          <w:kern w:val="36"/>
          <w:sz w:val="28"/>
          <w:szCs w:val="28"/>
          <w:lang w:val="kk-KZ" w:eastAsia="zh-CN"/>
        </w:rPr>
        <w:t xml:space="preserve">Аудиторлардың пікірінше аталған өзгерістер енгізілуі қалыпты жағдай деуге болатын шығар, бірақ ол әдетте Бағдарламаның жоспарлау сапасының төмендігін білдіреді. </w:t>
      </w:r>
      <w:r>
        <w:rPr>
          <w:rFonts w:ascii="Times New Roman" w:eastAsia="Times New Roman" w:hAnsi="Times New Roman" w:cs="Times New Roman"/>
          <w:kern w:val="36"/>
          <w:sz w:val="28"/>
          <w:szCs w:val="28"/>
          <w:lang w:val="kk-KZ" w:eastAsia="ru-RU"/>
        </w:rPr>
        <w:t xml:space="preserve">Жоғары аудит палатасының қорытындысы бойынша </w:t>
      </w:r>
      <w:r>
        <w:rPr>
          <w:rFonts w:ascii="Times New Roman" w:eastAsiaTheme="minorEastAsia" w:hAnsi="Times New Roman" w:cs="Times New Roman"/>
          <w:kern w:val="36"/>
          <w:sz w:val="28"/>
          <w:szCs w:val="28"/>
          <w:lang w:val="kk-KZ" w:eastAsia="zh-CN"/>
        </w:rPr>
        <w:t>2018 жылы қабылданған редакцияда анықталған Бағдарламаның мақсаты мазмұнды және өлшенетін нақты көрсеткішке жету түрінде анықталған [5</w:t>
      </w:r>
      <w:r w:rsidR="00AA4EAE" w:rsidRPr="00AA4EAE">
        <w:rPr>
          <w:rFonts w:ascii="Times New Roman" w:eastAsiaTheme="minorEastAsia" w:hAnsi="Times New Roman" w:cs="Times New Roman"/>
          <w:kern w:val="36"/>
          <w:sz w:val="28"/>
          <w:szCs w:val="28"/>
          <w:lang w:val="kk-KZ" w:eastAsia="zh-CN"/>
        </w:rPr>
        <w:t>2</w:t>
      </w:r>
      <w:r>
        <w:rPr>
          <w:rFonts w:ascii="Times New Roman" w:eastAsiaTheme="minorEastAsia" w:hAnsi="Times New Roman" w:cs="Times New Roman"/>
          <w:kern w:val="36"/>
          <w:sz w:val="28"/>
          <w:szCs w:val="28"/>
          <w:lang w:val="kk-KZ" w:eastAsia="zh-CN"/>
        </w:rPr>
        <w:t xml:space="preserve">, с. 4]. </w:t>
      </w:r>
    </w:p>
    <w:p w14:paraId="0D1E33D3" w14:textId="77777777" w:rsidR="00AB201F" w:rsidRDefault="00AB201F" w:rsidP="00AB201F">
      <w:pPr>
        <w:widowControl w:val="0"/>
        <w:spacing w:after="0" w:line="240" w:lineRule="auto"/>
        <w:ind w:firstLine="709"/>
        <w:jc w:val="both"/>
        <w:rPr>
          <w:rFonts w:ascii="Times New Roman" w:eastAsiaTheme="minorEastAsia" w:hAnsi="Times New Roman" w:cs="Times New Roman"/>
          <w:kern w:val="36"/>
          <w:sz w:val="28"/>
          <w:szCs w:val="28"/>
          <w:lang w:val="kk-KZ" w:eastAsia="zh-CN"/>
        </w:rPr>
      </w:pPr>
      <w:r>
        <w:rPr>
          <w:rFonts w:ascii="Times New Roman" w:eastAsiaTheme="minorEastAsia" w:hAnsi="Times New Roman" w:cs="Times New Roman"/>
          <w:kern w:val="36"/>
          <w:sz w:val="28"/>
          <w:szCs w:val="28"/>
          <w:lang w:val="kk-KZ" w:eastAsia="zh-CN"/>
        </w:rPr>
        <w:t>Сонымен қатар Бағдарламаның мақсаты өзгергендіктен нысаналы индикаторлары мен тапсырмаларына да өзгерістер мен толықтырулар енгізілген.</w:t>
      </w:r>
    </w:p>
    <w:p w14:paraId="5AB6E664" w14:textId="77777777" w:rsidR="00AB201F" w:rsidRDefault="00AB201F" w:rsidP="00AB201F">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heme="minorEastAsia" w:hAnsi="Times New Roman" w:cs="Times New Roman"/>
          <w:kern w:val="36"/>
          <w:sz w:val="28"/>
          <w:szCs w:val="28"/>
          <w:lang w:val="kk-KZ" w:eastAsia="zh-CN"/>
        </w:rPr>
        <w:t xml:space="preserve">Дегенмен еңбек өнімділігін 5 жыл ішінде 2,5 есеге ұлғайту деп өлшенуі қандай мәліметтерге негізделе отырып анықтау да маңызды деп саналады. </w:t>
      </w:r>
      <w:r>
        <w:rPr>
          <w:rFonts w:ascii="Times New Roman" w:eastAsia="Times New Roman" w:hAnsi="Times New Roman" w:cs="Times New Roman"/>
          <w:kern w:val="36"/>
          <w:sz w:val="28"/>
          <w:szCs w:val="28"/>
          <w:lang w:val="kk-KZ" w:eastAsia="ru-RU"/>
        </w:rPr>
        <w:t xml:space="preserve">АӨК дамытуға арналған мемлекеттік бағдарлама тапсырыстары 2017 жылдан бастап 2018 жылы өзгерістерге ұшыраған. Бұл негізінен Бағдарламаны дайындаушы Ауыл шаруашылық министрлігінің оны дайындау бойынша нақты әдістеменің болмауы не оның мақсатына жету үшін тапсырмалар өзекті мәселелерін қамтымаған деген қорытынды жасауға болады. </w:t>
      </w:r>
    </w:p>
    <w:p w14:paraId="596A59A9" w14:textId="77777777" w:rsidR="00E70D7B" w:rsidRPr="00457CE9" w:rsidRDefault="00E70D7B" w:rsidP="00946DDD">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АӨК сала ретінде стратегиялық мақсаттарының бірі мемлекеттің азық түліктік қауіпсіздігін қамтамасыз ету болып табылатындығы белгілі, яғни, 2017 жылғы редакцияда мұндай тапсырма мүлде қойылмаған. </w:t>
      </w:r>
    </w:p>
    <w:p w14:paraId="4335B9B1" w14:textId="0E0B675C" w:rsidR="00E70D7B" w:rsidRPr="00457CE9" w:rsidRDefault="00E70D7B" w:rsidP="00946DDD">
      <w:pPr>
        <w:spacing w:after="0" w:line="240" w:lineRule="auto"/>
        <w:ind w:firstLine="709"/>
        <w:jc w:val="both"/>
        <w:rPr>
          <w:rFonts w:ascii="Times New Roman" w:hAnsi="Times New Roman" w:cs="Times New Roman"/>
          <w:sz w:val="28"/>
          <w:szCs w:val="28"/>
          <w:shd w:val="clear" w:color="auto" w:fill="FFFFFF"/>
          <w:lang w:val="kk-KZ"/>
        </w:rPr>
      </w:pPr>
      <w:r w:rsidRPr="00457CE9">
        <w:rPr>
          <w:rFonts w:ascii="Times New Roman" w:hAnsi="Times New Roman" w:cs="Times New Roman"/>
          <w:sz w:val="28"/>
          <w:szCs w:val="28"/>
          <w:shd w:val="clear" w:color="auto" w:fill="FFFFFF"/>
          <w:lang w:val="kk-KZ"/>
        </w:rPr>
        <w:t>Жалпы анықталған тапсырмалар өзгерісін талдай келе, Ауыл шаруашылы</w:t>
      </w:r>
      <w:r w:rsidR="00E65BA6" w:rsidRPr="00457CE9">
        <w:rPr>
          <w:rFonts w:ascii="Times New Roman" w:hAnsi="Times New Roman" w:cs="Times New Roman"/>
          <w:sz w:val="28"/>
          <w:szCs w:val="28"/>
          <w:shd w:val="clear" w:color="auto" w:fill="FFFFFF"/>
          <w:lang w:val="kk-KZ"/>
        </w:rPr>
        <w:t>ғы</w:t>
      </w:r>
      <w:r w:rsidRPr="00457CE9">
        <w:rPr>
          <w:rFonts w:ascii="Times New Roman" w:hAnsi="Times New Roman" w:cs="Times New Roman"/>
          <w:sz w:val="28"/>
          <w:szCs w:val="28"/>
          <w:shd w:val="clear" w:color="auto" w:fill="FFFFFF"/>
          <w:lang w:val="kk-KZ"/>
        </w:rPr>
        <w:t xml:space="preserve"> министрлігі Бағдарламада қол жетімді тапсырмалар</w:t>
      </w:r>
      <w:r w:rsidR="00E65BA6" w:rsidRPr="00457CE9">
        <w:rPr>
          <w:rFonts w:ascii="Times New Roman" w:hAnsi="Times New Roman" w:cs="Times New Roman"/>
          <w:sz w:val="28"/>
          <w:szCs w:val="28"/>
          <w:shd w:val="clear" w:color="auto" w:fill="FFFFFF"/>
          <w:lang w:val="kk-KZ"/>
        </w:rPr>
        <w:t>д</w:t>
      </w:r>
      <w:r w:rsidRPr="00457CE9">
        <w:rPr>
          <w:rFonts w:ascii="Times New Roman" w:hAnsi="Times New Roman" w:cs="Times New Roman"/>
          <w:sz w:val="28"/>
          <w:szCs w:val="28"/>
          <w:shd w:val="clear" w:color="auto" w:fill="FFFFFF"/>
          <w:lang w:val="kk-KZ"/>
        </w:rPr>
        <w:t xml:space="preserve">ы ғана қойған, дегенмен қайта өзгертілген мақсаты мен тапсырмалары мазмұнды және нақтыланған деуге болады. </w:t>
      </w:r>
      <w:r w:rsidR="00E73F31" w:rsidRPr="00457CE9">
        <w:rPr>
          <w:rFonts w:ascii="Times New Roman" w:hAnsi="Times New Roman" w:cs="Times New Roman"/>
          <w:sz w:val="28"/>
          <w:szCs w:val="28"/>
          <w:shd w:val="clear" w:color="auto" w:fill="FFFFFF"/>
          <w:lang w:val="kk-KZ"/>
        </w:rPr>
        <w:t xml:space="preserve">ҚР АӨК дамытуға бағытталған бюджет қаражаты негізі республикалық бюджеттен, жергілікті бюджеттен және басқа да көздерден тарту жоспарланған. </w:t>
      </w:r>
      <w:r w:rsidRPr="00457CE9">
        <w:rPr>
          <w:rFonts w:ascii="Times New Roman" w:hAnsi="Times New Roman" w:cs="Times New Roman"/>
          <w:sz w:val="28"/>
          <w:szCs w:val="28"/>
          <w:shd w:val="clear" w:color="auto" w:fill="FFFFFF"/>
          <w:lang w:val="kk-KZ"/>
        </w:rPr>
        <w:t xml:space="preserve">Бағдарламаны қаржыландыру көздеріне де өзгерістер енгізілген. Ол мәліметтер </w:t>
      </w:r>
      <w:r w:rsidR="00EC13BA" w:rsidRPr="00457CE9">
        <w:rPr>
          <w:rFonts w:ascii="Times New Roman" w:hAnsi="Times New Roman" w:cs="Times New Roman"/>
          <w:sz w:val="28"/>
          <w:szCs w:val="28"/>
          <w:shd w:val="clear" w:color="auto" w:fill="FFFFFF"/>
          <w:lang w:val="kk-KZ"/>
        </w:rPr>
        <w:t>1</w:t>
      </w:r>
      <w:r w:rsidR="00023296">
        <w:rPr>
          <w:rFonts w:ascii="Times New Roman" w:hAnsi="Times New Roman" w:cs="Times New Roman"/>
          <w:sz w:val="28"/>
          <w:szCs w:val="28"/>
          <w:shd w:val="clear" w:color="auto" w:fill="FFFFFF"/>
          <w:lang w:val="kk-KZ"/>
        </w:rPr>
        <w:t>5</w:t>
      </w:r>
      <w:r w:rsidR="00EC13BA" w:rsidRPr="00457CE9">
        <w:rPr>
          <w:rFonts w:ascii="Times New Roman" w:hAnsi="Times New Roman" w:cs="Times New Roman"/>
          <w:sz w:val="28"/>
          <w:szCs w:val="28"/>
          <w:shd w:val="clear" w:color="auto" w:fill="FFFFFF"/>
          <w:lang w:val="kk-KZ"/>
        </w:rPr>
        <w:t>-</w:t>
      </w:r>
      <w:r w:rsidRPr="00457CE9">
        <w:rPr>
          <w:rFonts w:ascii="Times New Roman" w:hAnsi="Times New Roman" w:cs="Times New Roman"/>
          <w:sz w:val="28"/>
          <w:szCs w:val="28"/>
          <w:shd w:val="clear" w:color="auto" w:fill="FFFFFF"/>
          <w:lang w:val="kk-KZ"/>
        </w:rPr>
        <w:t>кестеде келтірілген.</w:t>
      </w:r>
    </w:p>
    <w:p w14:paraId="62FF5CC3" w14:textId="77777777" w:rsidR="00EC13BA" w:rsidRPr="00457CE9" w:rsidRDefault="00EC13BA" w:rsidP="00457CE9">
      <w:pPr>
        <w:spacing w:after="0" w:line="240" w:lineRule="auto"/>
        <w:ind w:firstLine="567"/>
        <w:jc w:val="both"/>
        <w:rPr>
          <w:rFonts w:ascii="Times New Roman" w:hAnsi="Times New Roman" w:cs="Times New Roman"/>
          <w:sz w:val="28"/>
          <w:szCs w:val="28"/>
          <w:shd w:val="clear" w:color="auto" w:fill="FFFFFF"/>
          <w:lang w:val="kk-KZ"/>
        </w:rPr>
      </w:pPr>
    </w:p>
    <w:p w14:paraId="45B6DF82" w14:textId="2EDBC138" w:rsidR="00E70D7B" w:rsidRDefault="00E70D7B" w:rsidP="00457CE9">
      <w:pPr>
        <w:spacing w:after="0" w:line="240" w:lineRule="auto"/>
        <w:jc w:val="both"/>
        <w:rPr>
          <w:rFonts w:ascii="Times New Roman" w:hAnsi="Times New Roman" w:cs="Times New Roman"/>
          <w:sz w:val="28"/>
          <w:szCs w:val="28"/>
          <w:shd w:val="clear" w:color="auto" w:fill="FFFFFF"/>
          <w:lang w:val="kk-KZ"/>
        </w:rPr>
      </w:pPr>
      <w:r w:rsidRPr="00457CE9">
        <w:rPr>
          <w:rFonts w:ascii="Times New Roman" w:hAnsi="Times New Roman" w:cs="Times New Roman"/>
          <w:sz w:val="28"/>
          <w:szCs w:val="28"/>
          <w:shd w:val="clear" w:color="auto" w:fill="FFFFFF"/>
          <w:lang w:val="kk-KZ"/>
        </w:rPr>
        <w:t xml:space="preserve">Кесте </w:t>
      </w:r>
      <w:r w:rsidR="00EC13BA" w:rsidRPr="00457CE9">
        <w:rPr>
          <w:rFonts w:ascii="Times New Roman" w:hAnsi="Times New Roman" w:cs="Times New Roman"/>
          <w:sz w:val="28"/>
          <w:szCs w:val="28"/>
          <w:shd w:val="clear" w:color="auto" w:fill="FFFFFF"/>
          <w:lang w:val="kk-KZ"/>
        </w:rPr>
        <w:t>1</w:t>
      </w:r>
      <w:r w:rsidR="00023296">
        <w:rPr>
          <w:rFonts w:ascii="Times New Roman" w:hAnsi="Times New Roman" w:cs="Times New Roman"/>
          <w:sz w:val="28"/>
          <w:szCs w:val="28"/>
          <w:shd w:val="clear" w:color="auto" w:fill="FFFFFF"/>
          <w:lang w:val="kk-KZ"/>
        </w:rPr>
        <w:t>5</w:t>
      </w:r>
      <w:r w:rsidR="00EC13BA" w:rsidRPr="00457CE9">
        <w:rPr>
          <w:rFonts w:ascii="Times New Roman" w:hAnsi="Times New Roman" w:cs="Times New Roman"/>
          <w:sz w:val="28"/>
          <w:szCs w:val="28"/>
          <w:shd w:val="clear" w:color="auto" w:fill="FFFFFF"/>
          <w:lang w:val="kk-KZ"/>
        </w:rPr>
        <w:t xml:space="preserve"> – </w:t>
      </w:r>
      <w:r w:rsidRPr="00457CE9">
        <w:rPr>
          <w:rFonts w:ascii="Times New Roman" w:hAnsi="Times New Roman" w:cs="Times New Roman"/>
          <w:sz w:val="28"/>
          <w:szCs w:val="28"/>
          <w:shd w:val="clear" w:color="auto" w:fill="FFFFFF"/>
          <w:lang w:val="kk-KZ"/>
        </w:rPr>
        <w:t>ҚР АӨК 2017-2021 жж. дамыту бағдарламасын қаржыландыру көлеміне енгізілген өзгерістері, млрд.</w:t>
      </w:r>
      <w:r w:rsidR="00946DDD">
        <w:rPr>
          <w:rFonts w:ascii="Times New Roman" w:hAnsi="Times New Roman" w:cs="Times New Roman"/>
          <w:sz w:val="28"/>
          <w:szCs w:val="28"/>
          <w:shd w:val="clear" w:color="auto" w:fill="FFFFFF"/>
          <w:lang w:val="kk-KZ"/>
        </w:rPr>
        <w:t xml:space="preserve"> </w:t>
      </w:r>
      <w:r w:rsidRPr="00457CE9">
        <w:rPr>
          <w:rFonts w:ascii="Times New Roman" w:hAnsi="Times New Roman" w:cs="Times New Roman"/>
          <w:sz w:val="28"/>
          <w:szCs w:val="28"/>
          <w:shd w:val="clear" w:color="auto" w:fill="FFFFFF"/>
          <w:lang w:val="kk-KZ"/>
        </w:rPr>
        <w:t>теңге</w:t>
      </w:r>
    </w:p>
    <w:p w14:paraId="248F0AB1" w14:textId="77777777" w:rsidR="00946DDD" w:rsidRPr="00946DDD" w:rsidRDefault="00946DDD" w:rsidP="00457CE9">
      <w:pPr>
        <w:spacing w:after="0" w:line="240" w:lineRule="auto"/>
        <w:jc w:val="both"/>
        <w:rPr>
          <w:rFonts w:ascii="Times New Roman" w:hAnsi="Times New Roman" w:cs="Times New Roman"/>
          <w:sz w:val="16"/>
          <w:szCs w:val="16"/>
          <w:shd w:val="clear" w:color="auto" w:fill="FFFFFF"/>
          <w:lang w:val="kk-KZ"/>
        </w:rPr>
      </w:pPr>
    </w:p>
    <w:tbl>
      <w:tblPr>
        <w:tblStyle w:val="a3"/>
        <w:tblW w:w="0" w:type="auto"/>
        <w:jc w:val="center"/>
        <w:tblLook w:val="04A0" w:firstRow="1" w:lastRow="0" w:firstColumn="1" w:lastColumn="0" w:noHBand="0" w:noVBand="1"/>
      </w:tblPr>
      <w:tblGrid>
        <w:gridCol w:w="1202"/>
        <w:gridCol w:w="1542"/>
        <w:gridCol w:w="878"/>
        <w:gridCol w:w="808"/>
        <w:gridCol w:w="876"/>
        <w:gridCol w:w="795"/>
        <w:gridCol w:w="837"/>
        <w:gridCol w:w="876"/>
        <w:gridCol w:w="795"/>
        <w:gridCol w:w="956"/>
      </w:tblGrid>
      <w:tr w:rsidR="00946DDD" w:rsidRPr="00457CE9" w14:paraId="73D783C8" w14:textId="77777777" w:rsidTr="00946DDD">
        <w:trPr>
          <w:jc w:val="center"/>
        </w:trPr>
        <w:tc>
          <w:tcPr>
            <w:tcW w:w="1202" w:type="dxa"/>
            <w:vMerge w:val="restart"/>
            <w:tcBorders>
              <w:top w:val="single" w:sz="4" w:space="0" w:color="auto"/>
              <w:left w:val="single" w:sz="4" w:space="0" w:color="auto"/>
              <w:right w:val="single" w:sz="4" w:space="0" w:color="auto"/>
            </w:tcBorders>
            <w:vAlign w:val="center"/>
          </w:tcPr>
          <w:p w14:paraId="652838E0" w14:textId="0CFD2425" w:rsidR="00946DDD" w:rsidRPr="00457CE9" w:rsidRDefault="00946DDD" w:rsidP="00946DDD">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Жылдар</w:t>
            </w:r>
          </w:p>
        </w:tc>
        <w:tc>
          <w:tcPr>
            <w:tcW w:w="3228" w:type="dxa"/>
            <w:gridSpan w:val="3"/>
            <w:tcBorders>
              <w:top w:val="single" w:sz="4" w:space="0" w:color="auto"/>
              <w:left w:val="single" w:sz="4" w:space="0" w:color="auto"/>
              <w:bottom w:val="single" w:sz="4" w:space="0" w:color="auto"/>
              <w:right w:val="single" w:sz="4" w:space="0" w:color="auto"/>
            </w:tcBorders>
            <w:vAlign w:val="center"/>
            <w:hideMark/>
          </w:tcPr>
          <w:p w14:paraId="531AE6BB" w14:textId="43A68FBC" w:rsidR="00946DDD" w:rsidRPr="00457CE9" w:rsidRDefault="00946DDD" w:rsidP="00946DDD">
            <w:pPr>
              <w:jc w:val="center"/>
              <w:rPr>
                <w:rFonts w:ascii="Times New Roman" w:hAnsi="Times New Roman" w:cs="Times New Roman"/>
                <w:sz w:val="24"/>
                <w:szCs w:val="24"/>
                <w:shd w:val="clear" w:color="auto" w:fill="FFFFFF"/>
                <w:lang w:val="kk-KZ"/>
              </w:rPr>
            </w:pPr>
            <w:r w:rsidRPr="00457CE9">
              <w:rPr>
                <w:rFonts w:ascii="Times New Roman" w:eastAsia="Times New Roman" w:hAnsi="Times New Roman" w:cs="Times New Roman"/>
                <w:kern w:val="36"/>
                <w:sz w:val="24"/>
                <w:szCs w:val="24"/>
                <w:lang w:val="kk-KZ" w:eastAsia="ru-RU"/>
              </w:rPr>
              <w:t xml:space="preserve">ҚР Президентінің </w:t>
            </w:r>
            <w:r>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14.02.2017 ж. №420 Жарлы</w:t>
            </w:r>
            <w:r>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ғы редакциясы (ҚР Президен</w:t>
            </w:r>
            <w:r>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тінің 19.04.2019</w:t>
            </w:r>
            <w:r w:rsidR="001E64ED">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ж. №29 жарлығымен күші жойылды)</w:t>
            </w:r>
          </w:p>
        </w:tc>
        <w:tc>
          <w:tcPr>
            <w:tcW w:w="2508" w:type="dxa"/>
            <w:gridSpan w:val="3"/>
            <w:tcBorders>
              <w:top w:val="single" w:sz="4" w:space="0" w:color="auto"/>
              <w:left w:val="single" w:sz="4" w:space="0" w:color="auto"/>
              <w:bottom w:val="single" w:sz="4" w:space="0" w:color="auto"/>
              <w:right w:val="single" w:sz="4" w:space="0" w:color="auto"/>
            </w:tcBorders>
            <w:vAlign w:val="center"/>
            <w:hideMark/>
          </w:tcPr>
          <w:p w14:paraId="4A12695A" w14:textId="77777777" w:rsidR="00946DDD" w:rsidRPr="00457CE9" w:rsidRDefault="00946DDD" w:rsidP="001E64ED">
            <w:pPr>
              <w:ind w:left="-94" w:right="-91"/>
              <w:jc w:val="center"/>
              <w:rPr>
                <w:rFonts w:ascii="Times New Roman" w:hAnsi="Times New Roman" w:cs="Times New Roman"/>
                <w:sz w:val="24"/>
                <w:szCs w:val="24"/>
                <w:shd w:val="clear" w:color="auto" w:fill="FFFFFF"/>
              </w:rPr>
            </w:pPr>
            <w:r w:rsidRPr="00457CE9">
              <w:rPr>
                <w:rFonts w:ascii="Times New Roman" w:eastAsia="Times New Roman" w:hAnsi="Times New Roman" w:cs="Times New Roman"/>
                <w:kern w:val="36"/>
                <w:sz w:val="24"/>
                <w:szCs w:val="24"/>
                <w:lang w:val="kk-KZ" w:eastAsia="ru-RU"/>
              </w:rPr>
              <w:t>Үкіметтің 12.07.2018 ж. №423 қаулысының редакциясы</w:t>
            </w:r>
          </w:p>
        </w:tc>
        <w:tc>
          <w:tcPr>
            <w:tcW w:w="2627" w:type="dxa"/>
            <w:gridSpan w:val="3"/>
            <w:tcBorders>
              <w:top w:val="single" w:sz="4" w:space="0" w:color="auto"/>
              <w:left w:val="single" w:sz="4" w:space="0" w:color="auto"/>
              <w:bottom w:val="single" w:sz="4" w:space="0" w:color="auto"/>
              <w:right w:val="single" w:sz="4" w:space="0" w:color="auto"/>
            </w:tcBorders>
            <w:vAlign w:val="center"/>
            <w:hideMark/>
          </w:tcPr>
          <w:p w14:paraId="3F607E3B" w14:textId="6F5FA76A" w:rsidR="00946DDD" w:rsidRPr="00457CE9" w:rsidRDefault="00946DDD" w:rsidP="00946DDD">
            <w:pPr>
              <w:widowControl w:val="0"/>
              <w:ind w:left="-83"/>
              <w:jc w:val="center"/>
              <w:textAlignment w:val="baseline"/>
              <w:outlineLvl w:val="0"/>
              <w:rPr>
                <w:rFonts w:ascii="Times New Roman" w:eastAsia="Times New Roman" w:hAnsi="Times New Roman" w:cs="Times New Roman"/>
                <w:kern w:val="36"/>
                <w:sz w:val="24"/>
                <w:szCs w:val="24"/>
                <w:lang w:val="kk-KZ" w:eastAsia="ru-RU"/>
              </w:rPr>
            </w:pPr>
            <w:r w:rsidRPr="00457CE9">
              <w:rPr>
                <w:rFonts w:ascii="Times New Roman" w:eastAsia="Times New Roman" w:hAnsi="Times New Roman" w:cs="Times New Roman"/>
                <w:kern w:val="36"/>
                <w:sz w:val="24"/>
                <w:szCs w:val="24"/>
                <w:lang w:val="kk-KZ" w:eastAsia="ru-RU"/>
              </w:rPr>
              <w:t>Үкіметтің 12.07.2018 ж. №423 қаулысының ре</w:t>
            </w:r>
            <w:r w:rsidR="001E64ED">
              <w:rPr>
                <w:rFonts w:ascii="Times New Roman" w:eastAsia="Times New Roman" w:hAnsi="Times New Roman" w:cs="Times New Roman"/>
                <w:kern w:val="36"/>
                <w:sz w:val="24"/>
                <w:szCs w:val="24"/>
                <w:lang w:val="kk-KZ" w:eastAsia="ru-RU"/>
              </w:rPr>
              <w:t xml:space="preserve"> </w:t>
            </w:r>
            <w:r w:rsidRPr="00457CE9">
              <w:rPr>
                <w:rFonts w:ascii="Times New Roman" w:eastAsia="Times New Roman" w:hAnsi="Times New Roman" w:cs="Times New Roman"/>
                <w:kern w:val="36"/>
                <w:sz w:val="24"/>
                <w:szCs w:val="24"/>
                <w:lang w:val="kk-KZ" w:eastAsia="ru-RU"/>
              </w:rPr>
              <w:t>дакциясы (05.01.2020 ж. өзгерістер мен толықтырулармен)</w:t>
            </w:r>
          </w:p>
        </w:tc>
      </w:tr>
      <w:tr w:rsidR="00946DDD" w:rsidRPr="00457CE9" w14:paraId="74E2BF8B" w14:textId="77777777" w:rsidTr="00946DDD">
        <w:trPr>
          <w:jc w:val="center"/>
        </w:trPr>
        <w:tc>
          <w:tcPr>
            <w:tcW w:w="1202" w:type="dxa"/>
            <w:vMerge/>
            <w:tcBorders>
              <w:left w:val="single" w:sz="4" w:space="0" w:color="auto"/>
              <w:bottom w:val="single" w:sz="4" w:space="0" w:color="auto"/>
              <w:right w:val="single" w:sz="4" w:space="0" w:color="auto"/>
            </w:tcBorders>
            <w:vAlign w:val="center"/>
          </w:tcPr>
          <w:p w14:paraId="2838F4A7" w14:textId="77777777" w:rsidR="00946DDD" w:rsidRPr="00457CE9" w:rsidRDefault="00946DDD" w:rsidP="00457CE9">
            <w:pPr>
              <w:rPr>
                <w:rFonts w:ascii="Times New Roman" w:hAnsi="Times New Roman" w:cs="Times New Roman"/>
                <w:sz w:val="24"/>
                <w:szCs w:val="24"/>
                <w:shd w:val="clear" w:color="auto" w:fill="FFFFFF"/>
                <w:lang w:val="kk-KZ"/>
              </w:rPr>
            </w:pPr>
          </w:p>
        </w:tc>
        <w:tc>
          <w:tcPr>
            <w:tcW w:w="1542" w:type="dxa"/>
            <w:tcBorders>
              <w:top w:val="single" w:sz="4" w:space="0" w:color="auto"/>
              <w:left w:val="single" w:sz="4" w:space="0" w:color="auto"/>
              <w:bottom w:val="single" w:sz="4" w:space="0" w:color="auto"/>
              <w:right w:val="single" w:sz="4" w:space="0" w:color="auto"/>
            </w:tcBorders>
            <w:hideMark/>
          </w:tcPr>
          <w:p w14:paraId="2C0E71B4"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РБ</w:t>
            </w:r>
          </w:p>
        </w:tc>
        <w:tc>
          <w:tcPr>
            <w:tcW w:w="878" w:type="dxa"/>
            <w:tcBorders>
              <w:top w:val="single" w:sz="4" w:space="0" w:color="auto"/>
              <w:left w:val="single" w:sz="4" w:space="0" w:color="auto"/>
              <w:bottom w:val="single" w:sz="4" w:space="0" w:color="auto"/>
              <w:right w:val="single" w:sz="4" w:space="0" w:color="auto"/>
            </w:tcBorders>
            <w:hideMark/>
          </w:tcPr>
          <w:p w14:paraId="412CC15C"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ЖБ</w:t>
            </w:r>
          </w:p>
        </w:tc>
        <w:tc>
          <w:tcPr>
            <w:tcW w:w="808" w:type="dxa"/>
            <w:tcBorders>
              <w:top w:val="single" w:sz="4" w:space="0" w:color="auto"/>
              <w:left w:val="single" w:sz="4" w:space="0" w:color="auto"/>
              <w:bottom w:val="single" w:sz="4" w:space="0" w:color="auto"/>
              <w:right w:val="single" w:sz="4" w:space="0" w:color="auto"/>
            </w:tcBorders>
            <w:hideMark/>
          </w:tcPr>
          <w:p w14:paraId="6D02BE63"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Басқа</w:t>
            </w:r>
          </w:p>
        </w:tc>
        <w:tc>
          <w:tcPr>
            <w:tcW w:w="876" w:type="dxa"/>
            <w:tcBorders>
              <w:top w:val="single" w:sz="4" w:space="0" w:color="auto"/>
              <w:left w:val="single" w:sz="4" w:space="0" w:color="auto"/>
              <w:bottom w:val="single" w:sz="4" w:space="0" w:color="auto"/>
              <w:right w:val="single" w:sz="4" w:space="0" w:color="auto"/>
            </w:tcBorders>
            <w:hideMark/>
          </w:tcPr>
          <w:p w14:paraId="1D4EBF3F"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РБ</w:t>
            </w:r>
          </w:p>
        </w:tc>
        <w:tc>
          <w:tcPr>
            <w:tcW w:w="795" w:type="dxa"/>
            <w:tcBorders>
              <w:top w:val="single" w:sz="4" w:space="0" w:color="auto"/>
              <w:left w:val="single" w:sz="4" w:space="0" w:color="auto"/>
              <w:bottom w:val="single" w:sz="4" w:space="0" w:color="auto"/>
              <w:right w:val="single" w:sz="4" w:space="0" w:color="auto"/>
            </w:tcBorders>
            <w:hideMark/>
          </w:tcPr>
          <w:p w14:paraId="710BA149"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ЖБ</w:t>
            </w:r>
          </w:p>
        </w:tc>
        <w:tc>
          <w:tcPr>
            <w:tcW w:w="837" w:type="dxa"/>
            <w:tcBorders>
              <w:top w:val="single" w:sz="4" w:space="0" w:color="auto"/>
              <w:left w:val="single" w:sz="4" w:space="0" w:color="auto"/>
              <w:bottom w:val="single" w:sz="4" w:space="0" w:color="auto"/>
              <w:right w:val="single" w:sz="4" w:space="0" w:color="auto"/>
            </w:tcBorders>
            <w:hideMark/>
          </w:tcPr>
          <w:p w14:paraId="66375FB5"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Басқа</w:t>
            </w:r>
          </w:p>
        </w:tc>
        <w:tc>
          <w:tcPr>
            <w:tcW w:w="876" w:type="dxa"/>
            <w:tcBorders>
              <w:top w:val="single" w:sz="4" w:space="0" w:color="auto"/>
              <w:left w:val="single" w:sz="4" w:space="0" w:color="auto"/>
              <w:bottom w:val="single" w:sz="4" w:space="0" w:color="auto"/>
              <w:right w:val="single" w:sz="4" w:space="0" w:color="auto"/>
            </w:tcBorders>
            <w:hideMark/>
          </w:tcPr>
          <w:p w14:paraId="755F9C0F"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РБ</w:t>
            </w:r>
          </w:p>
        </w:tc>
        <w:tc>
          <w:tcPr>
            <w:tcW w:w="795" w:type="dxa"/>
            <w:tcBorders>
              <w:top w:val="single" w:sz="4" w:space="0" w:color="auto"/>
              <w:left w:val="single" w:sz="4" w:space="0" w:color="auto"/>
              <w:bottom w:val="single" w:sz="4" w:space="0" w:color="auto"/>
              <w:right w:val="single" w:sz="4" w:space="0" w:color="auto"/>
            </w:tcBorders>
            <w:hideMark/>
          </w:tcPr>
          <w:p w14:paraId="6FF2EE92"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ЖБ</w:t>
            </w:r>
          </w:p>
        </w:tc>
        <w:tc>
          <w:tcPr>
            <w:tcW w:w="956" w:type="dxa"/>
            <w:tcBorders>
              <w:top w:val="single" w:sz="4" w:space="0" w:color="auto"/>
              <w:left w:val="single" w:sz="4" w:space="0" w:color="auto"/>
              <w:bottom w:val="single" w:sz="4" w:space="0" w:color="auto"/>
              <w:right w:val="single" w:sz="4" w:space="0" w:color="auto"/>
            </w:tcBorders>
            <w:hideMark/>
          </w:tcPr>
          <w:p w14:paraId="55B75272" w14:textId="77777777" w:rsidR="00946DDD" w:rsidRPr="00457CE9" w:rsidRDefault="00946DDD" w:rsidP="00457CE9">
            <w:pPr>
              <w:jc w:val="cente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Басқа</w:t>
            </w:r>
          </w:p>
        </w:tc>
      </w:tr>
      <w:tr w:rsidR="00946DDD" w:rsidRPr="00457CE9" w14:paraId="2095B989"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2A36BCE0" w14:textId="6312D872" w:rsidR="00946DDD" w:rsidRPr="00457CE9" w:rsidRDefault="00946DDD" w:rsidP="00946DDD">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2017 </w:t>
            </w:r>
          </w:p>
        </w:tc>
        <w:tc>
          <w:tcPr>
            <w:tcW w:w="1542" w:type="dxa"/>
            <w:tcBorders>
              <w:top w:val="single" w:sz="4" w:space="0" w:color="auto"/>
              <w:left w:val="single" w:sz="4" w:space="0" w:color="auto"/>
              <w:bottom w:val="single" w:sz="4" w:space="0" w:color="auto"/>
              <w:right w:val="single" w:sz="4" w:space="0" w:color="auto"/>
            </w:tcBorders>
            <w:hideMark/>
          </w:tcPr>
          <w:p w14:paraId="10F8B2A6" w14:textId="77777777" w:rsidR="00946DDD" w:rsidRPr="00457CE9" w:rsidRDefault="00946DDD" w:rsidP="00457CE9">
            <w:pPr>
              <w:jc w:val="center"/>
              <w:rPr>
                <w:rFonts w:ascii="Times New Roman" w:hAnsi="Times New Roman" w:cs="Times New Roman"/>
                <w:sz w:val="24"/>
                <w:szCs w:val="24"/>
                <w:shd w:val="clear" w:color="auto" w:fill="FFFFFF"/>
                <w:lang w:val="en-US" w:eastAsia="zh-CN"/>
              </w:rPr>
            </w:pPr>
            <w:r w:rsidRPr="00457CE9">
              <w:rPr>
                <w:rFonts w:ascii="Times New Roman" w:hAnsi="Times New Roman" w:cs="Times New Roman"/>
                <w:sz w:val="24"/>
                <w:szCs w:val="24"/>
                <w:shd w:val="clear" w:color="auto" w:fill="FFFFFF"/>
                <w:lang w:val="en-US" w:eastAsia="zh-CN"/>
              </w:rPr>
              <w:t>198,2</w:t>
            </w:r>
          </w:p>
        </w:tc>
        <w:tc>
          <w:tcPr>
            <w:tcW w:w="878" w:type="dxa"/>
            <w:tcBorders>
              <w:top w:val="single" w:sz="4" w:space="0" w:color="auto"/>
              <w:left w:val="single" w:sz="4" w:space="0" w:color="auto"/>
              <w:bottom w:val="single" w:sz="4" w:space="0" w:color="auto"/>
              <w:right w:val="single" w:sz="4" w:space="0" w:color="auto"/>
            </w:tcBorders>
            <w:hideMark/>
          </w:tcPr>
          <w:p w14:paraId="2FEA328B"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144,5</w:t>
            </w:r>
          </w:p>
        </w:tc>
        <w:tc>
          <w:tcPr>
            <w:tcW w:w="808" w:type="dxa"/>
            <w:tcBorders>
              <w:top w:val="single" w:sz="4" w:space="0" w:color="auto"/>
              <w:left w:val="single" w:sz="4" w:space="0" w:color="auto"/>
              <w:bottom w:val="single" w:sz="4" w:space="0" w:color="auto"/>
              <w:right w:val="single" w:sz="4" w:space="0" w:color="auto"/>
            </w:tcBorders>
            <w:hideMark/>
          </w:tcPr>
          <w:p w14:paraId="46A1C6BA"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17,0</w:t>
            </w:r>
          </w:p>
        </w:tc>
        <w:tc>
          <w:tcPr>
            <w:tcW w:w="876" w:type="dxa"/>
            <w:tcBorders>
              <w:top w:val="single" w:sz="4" w:space="0" w:color="auto"/>
              <w:left w:val="single" w:sz="4" w:space="0" w:color="auto"/>
              <w:bottom w:val="single" w:sz="4" w:space="0" w:color="auto"/>
              <w:right w:val="single" w:sz="4" w:space="0" w:color="auto"/>
            </w:tcBorders>
            <w:hideMark/>
          </w:tcPr>
          <w:p w14:paraId="4751AB4E"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232,5</w:t>
            </w:r>
          </w:p>
        </w:tc>
        <w:tc>
          <w:tcPr>
            <w:tcW w:w="795" w:type="dxa"/>
            <w:tcBorders>
              <w:top w:val="single" w:sz="4" w:space="0" w:color="auto"/>
              <w:left w:val="single" w:sz="4" w:space="0" w:color="auto"/>
              <w:bottom w:val="single" w:sz="4" w:space="0" w:color="auto"/>
              <w:right w:val="single" w:sz="4" w:space="0" w:color="auto"/>
            </w:tcBorders>
            <w:hideMark/>
          </w:tcPr>
          <w:p w14:paraId="2325B218"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140,2</w:t>
            </w:r>
          </w:p>
        </w:tc>
        <w:tc>
          <w:tcPr>
            <w:tcW w:w="837" w:type="dxa"/>
            <w:tcBorders>
              <w:top w:val="single" w:sz="4" w:space="0" w:color="auto"/>
              <w:left w:val="single" w:sz="4" w:space="0" w:color="auto"/>
              <w:bottom w:val="single" w:sz="4" w:space="0" w:color="auto"/>
              <w:right w:val="single" w:sz="4" w:space="0" w:color="auto"/>
            </w:tcBorders>
            <w:hideMark/>
          </w:tcPr>
          <w:p w14:paraId="782E05A0"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0</w:t>
            </w:r>
          </w:p>
        </w:tc>
        <w:tc>
          <w:tcPr>
            <w:tcW w:w="876" w:type="dxa"/>
            <w:tcBorders>
              <w:top w:val="single" w:sz="4" w:space="0" w:color="auto"/>
              <w:left w:val="single" w:sz="4" w:space="0" w:color="auto"/>
              <w:bottom w:val="single" w:sz="4" w:space="0" w:color="auto"/>
              <w:right w:val="single" w:sz="4" w:space="0" w:color="auto"/>
            </w:tcBorders>
            <w:hideMark/>
          </w:tcPr>
          <w:p w14:paraId="189AD333"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232,5</w:t>
            </w:r>
          </w:p>
        </w:tc>
        <w:tc>
          <w:tcPr>
            <w:tcW w:w="795" w:type="dxa"/>
            <w:tcBorders>
              <w:top w:val="single" w:sz="4" w:space="0" w:color="auto"/>
              <w:left w:val="single" w:sz="4" w:space="0" w:color="auto"/>
              <w:bottom w:val="single" w:sz="4" w:space="0" w:color="auto"/>
              <w:right w:val="single" w:sz="4" w:space="0" w:color="auto"/>
            </w:tcBorders>
            <w:hideMark/>
          </w:tcPr>
          <w:p w14:paraId="06A4F99D"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140,2</w:t>
            </w:r>
          </w:p>
        </w:tc>
        <w:tc>
          <w:tcPr>
            <w:tcW w:w="956" w:type="dxa"/>
            <w:tcBorders>
              <w:top w:val="single" w:sz="4" w:space="0" w:color="auto"/>
              <w:left w:val="single" w:sz="4" w:space="0" w:color="auto"/>
              <w:bottom w:val="single" w:sz="4" w:space="0" w:color="auto"/>
              <w:right w:val="single" w:sz="4" w:space="0" w:color="auto"/>
            </w:tcBorders>
            <w:hideMark/>
          </w:tcPr>
          <w:p w14:paraId="0208A45A"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0</w:t>
            </w:r>
          </w:p>
        </w:tc>
      </w:tr>
      <w:tr w:rsidR="00946DDD" w:rsidRPr="00457CE9" w14:paraId="39F19222"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0B0569F4" w14:textId="346DE1A5" w:rsidR="00946DDD" w:rsidRPr="00457CE9" w:rsidRDefault="00946DDD" w:rsidP="00946DDD">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2018 </w:t>
            </w:r>
          </w:p>
        </w:tc>
        <w:tc>
          <w:tcPr>
            <w:tcW w:w="1542" w:type="dxa"/>
            <w:tcBorders>
              <w:top w:val="single" w:sz="4" w:space="0" w:color="auto"/>
              <w:left w:val="single" w:sz="4" w:space="0" w:color="auto"/>
              <w:bottom w:val="single" w:sz="4" w:space="0" w:color="auto"/>
              <w:right w:val="single" w:sz="4" w:space="0" w:color="auto"/>
            </w:tcBorders>
            <w:hideMark/>
          </w:tcPr>
          <w:p w14:paraId="69BE6BF6"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202,0</w:t>
            </w:r>
          </w:p>
        </w:tc>
        <w:tc>
          <w:tcPr>
            <w:tcW w:w="878" w:type="dxa"/>
            <w:tcBorders>
              <w:top w:val="single" w:sz="4" w:space="0" w:color="auto"/>
              <w:left w:val="single" w:sz="4" w:space="0" w:color="auto"/>
              <w:bottom w:val="single" w:sz="4" w:space="0" w:color="auto"/>
              <w:right w:val="single" w:sz="4" w:space="0" w:color="auto"/>
            </w:tcBorders>
            <w:hideMark/>
          </w:tcPr>
          <w:p w14:paraId="4940B0A8"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151,0</w:t>
            </w:r>
          </w:p>
        </w:tc>
        <w:tc>
          <w:tcPr>
            <w:tcW w:w="808" w:type="dxa"/>
            <w:tcBorders>
              <w:top w:val="single" w:sz="4" w:space="0" w:color="auto"/>
              <w:left w:val="single" w:sz="4" w:space="0" w:color="auto"/>
              <w:bottom w:val="single" w:sz="4" w:space="0" w:color="auto"/>
              <w:right w:val="single" w:sz="4" w:space="0" w:color="auto"/>
            </w:tcBorders>
            <w:hideMark/>
          </w:tcPr>
          <w:p w14:paraId="51C5F346"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44,9</w:t>
            </w:r>
          </w:p>
        </w:tc>
        <w:tc>
          <w:tcPr>
            <w:tcW w:w="876" w:type="dxa"/>
            <w:tcBorders>
              <w:top w:val="single" w:sz="4" w:space="0" w:color="auto"/>
              <w:left w:val="single" w:sz="4" w:space="0" w:color="auto"/>
              <w:bottom w:val="single" w:sz="4" w:space="0" w:color="auto"/>
              <w:right w:val="single" w:sz="4" w:space="0" w:color="auto"/>
            </w:tcBorders>
            <w:hideMark/>
          </w:tcPr>
          <w:p w14:paraId="3212A0E4"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262,0</w:t>
            </w:r>
          </w:p>
        </w:tc>
        <w:tc>
          <w:tcPr>
            <w:tcW w:w="795" w:type="dxa"/>
            <w:tcBorders>
              <w:top w:val="single" w:sz="4" w:space="0" w:color="auto"/>
              <w:left w:val="single" w:sz="4" w:space="0" w:color="auto"/>
              <w:bottom w:val="single" w:sz="4" w:space="0" w:color="auto"/>
              <w:right w:val="single" w:sz="4" w:space="0" w:color="auto"/>
            </w:tcBorders>
            <w:hideMark/>
          </w:tcPr>
          <w:p w14:paraId="0FB32A37"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150,1</w:t>
            </w:r>
          </w:p>
        </w:tc>
        <w:tc>
          <w:tcPr>
            <w:tcW w:w="837" w:type="dxa"/>
            <w:tcBorders>
              <w:top w:val="single" w:sz="4" w:space="0" w:color="auto"/>
              <w:left w:val="single" w:sz="4" w:space="0" w:color="auto"/>
              <w:bottom w:val="single" w:sz="4" w:space="0" w:color="auto"/>
              <w:right w:val="single" w:sz="4" w:space="0" w:color="auto"/>
            </w:tcBorders>
            <w:hideMark/>
          </w:tcPr>
          <w:p w14:paraId="67673C39"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42,3</w:t>
            </w:r>
          </w:p>
        </w:tc>
        <w:tc>
          <w:tcPr>
            <w:tcW w:w="876" w:type="dxa"/>
            <w:tcBorders>
              <w:top w:val="single" w:sz="4" w:space="0" w:color="auto"/>
              <w:left w:val="single" w:sz="4" w:space="0" w:color="auto"/>
              <w:bottom w:val="single" w:sz="4" w:space="0" w:color="auto"/>
              <w:right w:val="single" w:sz="4" w:space="0" w:color="auto"/>
            </w:tcBorders>
            <w:hideMark/>
          </w:tcPr>
          <w:p w14:paraId="7E7E320B"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262,0</w:t>
            </w:r>
          </w:p>
        </w:tc>
        <w:tc>
          <w:tcPr>
            <w:tcW w:w="795" w:type="dxa"/>
            <w:tcBorders>
              <w:top w:val="single" w:sz="4" w:space="0" w:color="auto"/>
              <w:left w:val="single" w:sz="4" w:space="0" w:color="auto"/>
              <w:bottom w:val="single" w:sz="4" w:space="0" w:color="auto"/>
              <w:right w:val="single" w:sz="4" w:space="0" w:color="auto"/>
            </w:tcBorders>
            <w:hideMark/>
          </w:tcPr>
          <w:p w14:paraId="4A52B9F2"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150,1</w:t>
            </w:r>
          </w:p>
        </w:tc>
        <w:tc>
          <w:tcPr>
            <w:tcW w:w="956" w:type="dxa"/>
            <w:tcBorders>
              <w:top w:val="single" w:sz="4" w:space="0" w:color="auto"/>
              <w:left w:val="single" w:sz="4" w:space="0" w:color="auto"/>
              <w:bottom w:val="single" w:sz="4" w:space="0" w:color="auto"/>
              <w:right w:val="single" w:sz="4" w:space="0" w:color="auto"/>
            </w:tcBorders>
            <w:hideMark/>
          </w:tcPr>
          <w:p w14:paraId="62B44CC2"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42,3</w:t>
            </w:r>
          </w:p>
        </w:tc>
      </w:tr>
      <w:tr w:rsidR="00946DDD" w:rsidRPr="00457CE9" w14:paraId="4F30372B"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5D939126" w14:textId="6889FA4B" w:rsidR="00946DDD" w:rsidRPr="00457CE9" w:rsidRDefault="00946DDD" w:rsidP="00946DDD">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2019 </w:t>
            </w:r>
          </w:p>
        </w:tc>
        <w:tc>
          <w:tcPr>
            <w:tcW w:w="1542" w:type="dxa"/>
            <w:tcBorders>
              <w:top w:val="single" w:sz="4" w:space="0" w:color="auto"/>
              <w:left w:val="single" w:sz="4" w:space="0" w:color="auto"/>
              <w:bottom w:val="single" w:sz="4" w:space="0" w:color="auto"/>
              <w:right w:val="single" w:sz="4" w:space="0" w:color="auto"/>
            </w:tcBorders>
            <w:hideMark/>
          </w:tcPr>
          <w:p w14:paraId="013437C0"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207,9</w:t>
            </w:r>
          </w:p>
        </w:tc>
        <w:tc>
          <w:tcPr>
            <w:tcW w:w="878" w:type="dxa"/>
            <w:tcBorders>
              <w:top w:val="single" w:sz="4" w:space="0" w:color="auto"/>
              <w:left w:val="single" w:sz="4" w:space="0" w:color="auto"/>
              <w:bottom w:val="single" w:sz="4" w:space="0" w:color="auto"/>
              <w:right w:val="single" w:sz="4" w:space="0" w:color="auto"/>
            </w:tcBorders>
            <w:hideMark/>
          </w:tcPr>
          <w:p w14:paraId="4B4B652A"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158,4</w:t>
            </w:r>
          </w:p>
        </w:tc>
        <w:tc>
          <w:tcPr>
            <w:tcW w:w="808" w:type="dxa"/>
            <w:tcBorders>
              <w:top w:val="single" w:sz="4" w:space="0" w:color="auto"/>
              <w:left w:val="single" w:sz="4" w:space="0" w:color="auto"/>
              <w:bottom w:val="single" w:sz="4" w:space="0" w:color="auto"/>
              <w:right w:val="single" w:sz="4" w:space="0" w:color="auto"/>
            </w:tcBorders>
            <w:hideMark/>
          </w:tcPr>
          <w:p w14:paraId="2674E0BD"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63,1</w:t>
            </w:r>
          </w:p>
        </w:tc>
        <w:tc>
          <w:tcPr>
            <w:tcW w:w="876" w:type="dxa"/>
            <w:tcBorders>
              <w:top w:val="single" w:sz="4" w:space="0" w:color="auto"/>
              <w:left w:val="single" w:sz="4" w:space="0" w:color="auto"/>
              <w:bottom w:val="single" w:sz="4" w:space="0" w:color="auto"/>
              <w:right w:val="single" w:sz="4" w:space="0" w:color="auto"/>
            </w:tcBorders>
            <w:hideMark/>
          </w:tcPr>
          <w:p w14:paraId="6CDE87DA"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290,6</w:t>
            </w:r>
          </w:p>
        </w:tc>
        <w:tc>
          <w:tcPr>
            <w:tcW w:w="795" w:type="dxa"/>
            <w:tcBorders>
              <w:top w:val="single" w:sz="4" w:space="0" w:color="auto"/>
              <w:left w:val="single" w:sz="4" w:space="0" w:color="auto"/>
              <w:bottom w:val="single" w:sz="4" w:space="0" w:color="auto"/>
              <w:right w:val="single" w:sz="4" w:space="0" w:color="auto"/>
            </w:tcBorders>
            <w:hideMark/>
          </w:tcPr>
          <w:p w14:paraId="300EA431"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156,7</w:t>
            </w:r>
          </w:p>
        </w:tc>
        <w:tc>
          <w:tcPr>
            <w:tcW w:w="837" w:type="dxa"/>
            <w:tcBorders>
              <w:top w:val="single" w:sz="4" w:space="0" w:color="auto"/>
              <w:left w:val="single" w:sz="4" w:space="0" w:color="auto"/>
              <w:bottom w:val="single" w:sz="4" w:space="0" w:color="auto"/>
              <w:right w:val="single" w:sz="4" w:space="0" w:color="auto"/>
            </w:tcBorders>
            <w:hideMark/>
          </w:tcPr>
          <w:p w14:paraId="3CBDB827"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60,2</w:t>
            </w:r>
          </w:p>
        </w:tc>
        <w:tc>
          <w:tcPr>
            <w:tcW w:w="876" w:type="dxa"/>
            <w:tcBorders>
              <w:top w:val="single" w:sz="4" w:space="0" w:color="auto"/>
              <w:left w:val="single" w:sz="4" w:space="0" w:color="auto"/>
              <w:bottom w:val="single" w:sz="4" w:space="0" w:color="auto"/>
              <w:right w:val="single" w:sz="4" w:space="0" w:color="auto"/>
            </w:tcBorders>
            <w:hideMark/>
          </w:tcPr>
          <w:p w14:paraId="554E8D87"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290,6</w:t>
            </w:r>
          </w:p>
        </w:tc>
        <w:tc>
          <w:tcPr>
            <w:tcW w:w="795" w:type="dxa"/>
            <w:tcBorders>
              <w:top w:val="single" w:sz="4" w:space="0" w:color="auto"/>
              <w:left w:val="single" w:sz="4" w:space="0" w:color="auto"/>
              <w:bottom w:val="single" w:sz="4" w:space="0" w:color="auto"/>
              <w:right w:val="single" w:sz="4" w:space="0" w:color="auto"/>
            </w:tcBorders>
            <w:hideMark/>
          </w:tcPr>
          <w:p w14:paraId="41985A52"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156,7</w:t>
            </w:r>
          </w:p>
        </w:tc>
        <w:tc>
          <w:tcPr>
            <w:tcW w:w="956" w:type="dxa"/>
            <w:tcBorders>
              <w:top w:val="single" w:sz="4" w:space="0" w:color="auto"/>
              <w:left w:val="single" w:sz="4" w:space="0" w:color="auto"/>
              <w:bottom w:val="single" w:sz="4" w:space="0" w:color="auto"/>
              <w:right w:val="single" w:sz="4" w:space="0" w:color="auto"/>
            </w:tcBorders>
            <w:hideMark/>
          </w:tcPr>
          <w:p w14:paraId="0CCDD34F"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60,2</w:t>
            </w:r>
          </w:p>
        </w:tc>
      </w:tr>
      <w:tr w:rsidR="00946DDD" w:rsidRPr="00457CE9" w14:paraId="08A93B54"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1E8D7976" w14:textId="353CAF39" w:rsidR="00946DDD" w:rsidRPr="00457CE9" w:rsidRDefault="00946DDD" w:rsidP="00946DDD">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2020 </w:t>
            </w:r>
          </w:p>
        </w:tc>
        <w:tc>
          <w:tcPr>
            <w:tcW w:w="1542" w:type="dxa"/>
            <w:tcBorders>
              <w:top w:val="single" w:sz="4" w:space="0" w:color="auto"/>
              <w:left w:val="single" w:sz="4" w:space="0" w:color="auto"/>
              <w:bottom w:val="single" w:sz="4" w:space="0" w:color="auto"/>
              <w:right w:val="single" w:sz="4" w:space="0" w:color="auto"/>
            </w:tcBorders>
            <w:hideMark/>
          </w:tcPr>
          <w:p w14:paraId="347969B4"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281,6</w:t>
            </w:r>
          </w:p>
        </w:tc>
        <w:tc>
          <w:tcPr>
            <w:tcW w:w="878" w:type="dxa"/>
            <w:tcBorders>
              <w:top w:val="single" w:sz="4" w:space="0" w:color="auto"/>
              <w:left w:val="single" w:sz="4" w:space="0" w:color="auto"/>
              <w:bottom w:val="single" w:sz="4" w:space="0" w:color="auto"/>
              <w:right w:val="single" w:sz="4" w:space="0" w:color="auto"/>
            </w:tcBorders>
            <w:hideMark/>
          </w:tcPr>
          <w:p w14:paraId="30D8DCF5"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193,6</w:t>
            </w:r>
          </w:p>
        </w:tc>
        <w:tc>
          <w:tcPr>
            <w:tcW w:w="808" w:type="dxa"/>
            <w:tcBorders>
              <w:top w:val="single" w:sz="4" w:space="0" w:color="auto"/>
              <w:left w:val="single" w:sz="4" w:space="0" w:color="auto"/>
              <w:bottom w:val="single" w:sz="4" w:space="0" w:color="auto"/>
              <w:right w:val="single" w:sz="4" w:space="0" w:color="auto"/>
            </w:tcBorders>
            <w:hideMark/>
          </w:tcPr>
          <w:p w14:paraId="0AA1702F"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83,6</w:t>
            </w:r>
          </w:p>
        </w:tc>
        <w:tc>
          <w:tcPr>
            <w:tcW w:w="876" w:type="dxa"/>
            <w:tcBorders>
              <w:top w:val="single" w:sz="4" w:space="0" w:color="auto"/>
              <w:left w:val="single" w:sz="4" w:space="0" w:color="auto"/>
              <w:bottom w:val="single" w:sz="4" w:space="0" w:color="auto"/>
              <w:right w:val="single" w:sz="4" w:space="0" w:color="auto"/>
            </w:tcBorders>
            <w:hideMark/>
          </w:tcPr>
          <w:p w14:paraId="6E5971FF"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423,2</w:t>
            </w:r>
          </w:p>
        </w:tc>
        <w:tc>
          <w:tcPr>
            <w:tcW w:w="795" w:type="dxa"/>
            <w:tcBorders>
              <w:top w:val="single" w:sz="4" w:space="0" w:color="auto"/>
              <w:left w:val="single" w:sz="4" w:space="0" w:color="auto"/>
              <w:bottom w:val="single" w:sz="4" w:space="0" w:color="auto"/>
              <w:right w:val="single" w:sz="4" w:space="0" w:color="auto"/>
            </w:tcBorders>
            <w:hideMark/>
          </w:tcPr>
          <w:p w14:paraId="787722F1"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160,5</w:t>
            </w:r>
          </w:p>
        </w:tc>
        <w:tc>
          <w:tcPr>
            <w:tcW w:w="837" w:type="dxa"/>
            <w:tcBorders>
              <w:top w:val="single" w:sz="4" w:space="0" w:color="auto"/>
              <w:left w:val="single" w:sz="4" w:space="0" w:color="auto"/>
              <w:bottom w:val="single" w:sz="4" w:space="0" w:color="auto"/>
              <w:right w:val="single" w:sz="4" w:space="0" w:color="auto"/>
            </w:tcBorders>
            <w:hideMark/>
          </w:tcPr>
          <w:p w14:paraId="0D84798E"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76,5</w:t>
            </w:r>
          </w:p>
        </w:tc>
        <w:tc>
          <w:tcPr>
            <w:tcW w:w="876" w:type="dxa"/>
            <w:tcBorders>
              <w:top w:val="single" w:sz="4" w:space="0" w:color="auto"/>
              <w:left w:val="single" w:sz="4" w:space="0" w:color="auto"/>
              <w:bottom w:val="single" w:sz="4" w:space="0" w:color="auto"/>
              <w:right w:val="single" w:sz="4" w:space="0" w:color="auto"/>
            </w:tcBorders>
            <w:hideMark/>
          </w:tcPr>
          <w:p w14:paraId="2E37F5C2"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468,4</w:t>
            </w:r>
          </w:p>
        </w:tc>
        <w:tc>
          <w:tcPr>
            <w:tcW w:w="795" w:type="dxa"/>
            <w:tcBorders>
              <w:top w:val="single" w:sz="4" w:space="0" w:color="auto"/>
              <w:left w:val="single" w:sz="4" w:space="0" w:color="auto"/>
              <w:bottom w:val="single" w:sz="4" w:space="0" w:color="auto"/>
              <w:right w:val="single" w:sz="4" w:space="0" w:color="auto"/>
            </w:tcBorders>
            <w:hideMark/>
          </w:tcPr>
          <w:p w14:paraId="33DBDDA8"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200,6</w:t>
            </w:r>
          </w:p>
        </w:tc>
        <w:tc>
          <w:tcPr>
            <w:tcW w:w="956" w:type="dxa"/>
            <w:tcBorders>
              <w:top w:val="single" w:sz="4" w:space="0" w:color="auto"/>
              <w:left w:val="single" w:sz="4" w:space="0" w:color="auto"/>
              <w:bottom w:val="single" w:sz="4" w:space="0" w:color="auto"/>
              <w:right w:val="single" w:sz="4" w:space="0" w:color="auto"/>
            </w:tcBorders>
            <w:hideMark/>
          </w:tcPr>
          <w:p w14:paraId="14D34921"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76,5</w:t>
            </w:r>
          </w:p>
        </w:tc>
      </w:tr>
      <w:tr w:rsidR="00946DDD" w:rsidRPr="00457CE9" w14:paraId="69F036C2"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74ACD0B4" w14:textId="48F4634F" w:rsidR="00946DDD" w:rsidRPr="00457CE9" w:rsidRDefault="00946DDD" w:rsidP="00946DDD">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2021 </w:t>
            </w:r>
          </w:p>
        </w:tc>
        <w:tc>
          <w:tcPr>
            <w:tcW w:w="1542" w:type="dxa"/>
            <w:tcBorders>
              <w:top w:val="single" w:sz="4" w:space="0" w:color="auto"/>
              <w:left w:val="single" w:sz="4" w:space="0" w:color="auto"/>
              <w:bottom w:val="single" w:sz="4" w:space="0" w:color="auto"/>
              <w:right w:val="single" w:sz="4" w:space="0" w:color="auto"/>
            </w:tcBorders>
            <w:hideMark/>
          </w:tcPr>
          <w:p w14:paraId="24CF858C"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326,3</w:t>
            </w:r>
          </w:p>
        </w:tc>
        <w:tc>
          <w:tcPr>
            <w:tcW w:w="878" w:type="dxa"/>
            <w:tcBorders>
              <w:top w:val="single" w:sz="4" w:space="0" w:color="auto"/>
              <w:left w:val="single" w:sz="4" w:space="0" w:color="auto"/>
              <w:bottom w:val="single" w:sz="4" w:space="0" w:color="auto"/>
              <w:right w:val="single" w:sz="4" w:space="0" w:color="auto"/>
            </w:tcBorders>
            <w:hideMark/>
          </w:tcPr>
          <w:p w14:paraId="484324F3"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204,5</w:t>
            </w:r>
          </w:p>
        </w:tc>
        <w:tc>
          <w:tcPr>
            <w:tcW w:w="808" w:type="dxa"/>
            <w:tcBorders>
              <w:top w:val="single" w:sz="4" w:space="0" w:color="auto"/>
              <w:left w:val="single" w:sz="4" w:space="0" w:color="auto"/>
              <w:bottom w:val="single" w:sz="4" w:space="0" w:color="auto"/>
              <w:right w:val="single" w:sz="4" w:space="0" w:color="auto"/>
            </w:tcBorders>
            <w:hideMark/>
          </w:tcPr>
          <w:p w14:paraId="52ED56FE"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97,6</w:t>
            </w:r>
          </w:p>
        </w:tc>
        <w:tc>
          <w:tcPr>
            <w:tcW w:w="876" w:type="dxa"/>
            <w:tcBorders>
              <w:top w:val="single" w:sz="4" w:space="0" w:color="auto"/>
              <w:left w:val="single" w:sz="4" w:space="0" w:color="auto"/>
              <w:bottom w:val="single" w:sz="4" w:space="0" w:color="auto"/>
              <w:right w:val="single" w:sz="4" w:space="0" w:color="auto"/>
            </w:tcBorders>
            <w:hideMark/>
          </w:tcPr>
          <w:p w14:paraId="762F2A82"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531,8</w:t>
            </w:r>
          </w:p>
        </w:tc>
        <w:tc>
          <w:tcPr>
            <w:tcW w:w="795" w:type="dxa"/>
            <w:tcBorders>
              <w:top w:val="single" w:sz="4" w:space="0" w:color="auto"/>
              <w:left w:val="single" w:sz="4" w:space="0" w:color="auto"/>
              <w:bottom w:val="single" w:sz="4" w:space="0" w:color="auto"/>
              <w:right w:val="single" w:sz="4" w:space="0" w:color="auto"/>
            </w:tcBorders>
            <w:hideMark/>
          </w:tcPr>
          <w:p w14:paraId="0A7EAE12"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160,5</w:t>
            </w:r>
          </w:p>
        </w:tc>
        <w:tc>
          <w:tcPr>
            <w:tcW w:w="837" w:type="dxa"/>
            <w:tcBorders>
              <w:top w:val="single" w:sz="4" w:space="0" w:color="auto"/>
              <w:left w:val="single" w:sz="4" w:space="0" w:color="auto"/>
              <w:bottom w:val="single" w:sz="4" w:space="0" w:color="auto"/>
              <w:right w:val="single" w:sz="4" w:space="0" w:color="auto"/>
            </w:tcBorders>
            <w:hideMark/>
          </w:tcPr>
          <w:p w14:paraId="38E8B14C"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87,1</w:t>
            </w:r>
          </w:p>
        </w:tc>
        <w:tc>
          <w:tcPr>
            <w:tcW w:w="876" w:type="dxa"/>
            <w:tcBorders>
              <w:top w:val="single" w:sz="4" w:space="0" w:color="auto"/>
              <w:left w:val="single" w:sz="4" w:space="0" w:color="auto"/>
              <w:bottom w:val="single" w:sz="4" w:space="0" w:color="auto"/>
              <w:right w:val="single" w:sz="4" w:space="0" w:color="auto"/>
            </w:tcBorders>
            <w:hideMark/>
          </w:tcPr>
          <w:p w14:paraId="51E67265"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576,0</w:t>
            </w:r>
          </w:p>
        </w:tc>
        <w:tc>
          <w:tcPr>
            <w:tcW w:w="795" w:type="dxa"/>
            <w:tcBorders>
              <w:top w:val="single" w:sz="4" w:space="0" w:color="auto"/>
              <w:left w:val="single" w:sz="4" w:space="0" w:color="auto"/>
              <w:bottom w:val="single" w:sz="4" w:space="0" w:color="auto"/>
              <w:right w:val="single" w:sz="4" w:space="0" w:color="auto"/>
            </w:tcBorders>
            <w:hideMark/>
          </w:tcPr>
          <w:p w14:paraId="10BF78F7"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202,1</w:t>
            </w:r>
          </w:p>
        </w:tc>
        <w:tc>
          <w:tcPr>
            <w:tcW w:w="956" w:type="dxa"/>
            <w:tcBorders>
              <w:top w:val="single" w:sz="4" w:space="0" w:color="auto"/>
              <w:left w:val="single" w:sz="4" w:space="0" w:color="auto"/>
              <w:bottom w:val="single" w:sz="4" w:space="0" w:color="auto"/>
              <w:right w:val="single" w:sz="4" w:space="0" w:color="auto"/>
            </w:tcBorders>
            <w:hideMark/>
          </w:tcPr>
          <w:p w14:paraId="1C906144" w14:textId="77777777" w:rsidR="00946DDD" w:rsidRPr="00457CE9" w:rsidRDefault="00946DDD" w:rsidP="00457CE9">
            <w:pPr>
              <w:jc w:val="center"/>
              <w:rPr>
                <w:rFonts w:ascii="Times New Roman" w:hAnsi="Times New Roman" w:cs="Times New Roman"/>
                <w:sz w:val="24"/>
                <w:szCs w:val="24"/>
                <w:shd w:val="clear" w:color="auto" w:fill="FFFFFF"/>
                <w:lang w:val="en-US"/>
              </w:rPr>
            </w:pPr>
            <w:r w:rsidRPr="00457CE9">
              <w:rPr>
                <w:rFonts w:ascii="Times New Roman" w:hAnsi="Times New Roman" w:cs="Times New Roman"/>
                <w:sz w:val="24"/>
                <w:szCs w:val="24"/>
                <w:shd w:val="clear" w:color="auto" w:fill="FFFFFF"/>
                <w:lang w:val="en-US"/>
              </w:rPr>
              <w:t>88,6</w:t>
            </w:r>
          </w:p>
        </w:tc>
      </w:tr>
      <w:tr w:rsidR="00946DDD" w:rsidRPr="00457CE9" w14:paraId="7C65EDFF"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0266B082" w14:textId="77777777" w:rsidR="00946DDD" w:rsidRPr="00457CE9" w:rsidRDefault="00946DDD" w:rsidP="00457CE9">
            <w:pPr>
              <w:rPr>
                <w:rFonts w:ascii="Times New Roman" w:hAnsi="Times New Roman" w:cs="Times New Roman"/>
                <w:sz w:val="24"/>
                <w:szCs w:val="24"/>
                <w:shd w:val="clear" w:color="auto" w:fill="FFFFFF"/>
                <w:lang w:val="kk-KZ"/>
              </w:rPr>
            </w:pPr>
            <w:r w:rsidRPr="00457CE9">
              <w:rPr>
                <w:rFonts w:ascii="Times New Roman" w:hAnsi="Times New Roman" w:cs="Times New Roman"/>
                <w:sz w:val="24"/>
                <w:szCs w:val="24"/>
                <w:shd w:val="clear" w:color="auto" w:fill="FFFFFF"/>
                <w:lang w:val="kk-KZ"/>
              </w:rPr>
              <w:t xml:space="preserve">Жиыны </w:t>
            </w:r>
          </w:p>
        </w:tc>
        <w:tc>
          <w:tcPr>
            <w:tcW w:w="1542" w:type="dxa"/>
            <w:tcBorders>
              <w:top w:val="single" w:sz="4" w:space="0" w:color="auto"/>
              <w:left w:val="single" w:sz="4" w:space="0" w:color="auto"/>
              <w:bottom w:val="single" w:sz="4" w:space="0" w:color="auto"/>
              <w:right w:val="single" w:sz="4" w:space="0" w:color="auto"/>
            </w:tcBorders>
            <w:vAlign w:val="bottom"/>
            <w:hideMark/>
          </w:tcPr>
          <w:p w14:paraId="388E0BE5"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1216</w:t>
            </w:r>
          </w:p>
        </w:tc>
        <w:tc>
          <w:tcPr>
            <w:tcW w:w="878" w:type="dxa"/>
            <w:tcBorders>
              <w:top w:val="single" w:sz="4" w:space="0" w:color="auto"/>
              <w:left w:val="single" w:sz="4" w:space="0" w:color="auto"/>
              <w:bottom w:val="single" w:sz="4" w:space="0" w:color="auto"/>
              <w:right w:val="single" w:sz="4" w:space="0" w:color="auto"/>
            </w:tcBorders>
            <w:vAlign w:val="bottom"/>
            <w:hideMark/>
          </w:tcPr>
          <w:p w14:paraId="3C6B3187"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852</w:t>
            </w:r>
          </w:p>
        </w:tc>
        <w:tc>
          <w:tcPr>
            <w:tcW w:w="808" w:type="dxa"/>
            <w:tcBorders>
              <w:top w:val="single" w:sz="4" w:space="0" w:color="auto"/>
              <w:left w:val="single" w:sz="4" w:space="0" w:color="auto"/>
              <w:bottom w:val="single" w:sz="4" w:space="0" w:color="auto"/>
              <w:right w:val="single" w:sz="4" w:space="0" w:color="auto"/>
            </w:tcBorders>
            <w:vAlign w:val="bottom"/>
            <w:hideMark/>
          </w:tcPr>
          <w:p w14:paraId="7757D0A5"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306,2</w:t>
            </w:r>
          </w:p>
        </w:tc>
        <w:tc>
          <w:tcPr>
            <w:tcW w:w="876" w:type="dxa"/>
            <w:tcBorders>
              <w:top w:val="single" w:sz="4" w:space="0" w:color="auto"/>
              <w:left w:val="single" w:sz="4" w:space="0" w:color="auto"/>
              <w:bottom w:val="single" w:sz="4" w:space="0" w:color="auto"/>
              <w:right w:val="single" w:sz="4" w:space="0" w:color="auto"/>
            </w:tcBorders>
            <w:vAlign w:val="bottom"/>
            <w:hideMark/>
          </w:tcPr>
          <w:p w14:paraId="7EEC4A84"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1740,1</w:t>
            </w:r>
          </w:p>
        </w:tc>
        <w:tc>
          <w:tcPr>
            <w:tcW w:w="795" w:type="dxa"/>
            <w:tcBorders>
              <w:top w:val="single" w:sz="4" w:space="0" w:color="auto"/>
              <w:left w:val="single" w:sz="4" w:space="0" w:color="auto"/>
              <w:bottom w:val="single" w:sz="4" w:space="0" w:color="auto"/>
              <w:right w:val="single" w:sz="4" w:space="0" w:color="auto"/>
            </w:tcBorders>
            <w:vAlign w:val="bottom"/>
            <w:hideMark/>
          </w:tcPr>
          <w:p w14:paraId="49F39E77"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768</w:t>
            </w:r>
          </w:p>
        </w:tc>
        <w:tc>
          <w:tcPr>
            <w:tcW w:w="837" w:type="dxa"/>
            <w:tcBorders>
              <w:top w:val="single" w:sz="4" w:space="0" w:color="auto"/>
              <w:left w:val="single" w:sz="4" w:space="0" w:color="auto"/>
              <w:bottom w:val="single" w:sz="4" w:space="0" w:color="auto"/>
              <w:right w:val="single" w:sz="4" w:space="0" w:color="auto"/>
            </w:tcBorders>
            <w:vAlign w:val="bottom"/>
            <w:hideMark/>
          </w:tcPr>
          <w:p w14:paraId="22132674"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266,1</w:t>
            </w:r>
          </w:p>
        </w:tc>
        <w:tc>
          <w:tcPr>
            <w:tcW w:w="876" w:type="dxa"/>
            <w:tcBorders>
              <w:top w:val="single" w:sz="4" w:space="0" w:color="auto"/>
              <w:left w:val="single" w:sz="4" w:space="0" w:color="auto"/>
              <w:bottom w:val="single" w:sz="4" w:space="0" w:color="auto"/>
              <w:right w:val="single" w:sz="4" w:space="0" w:color="auto"/>
            </w:tcBorders>
            <w:vAlign w:val="bottom"/>
            <w:hideMark/>
          </w:tcPr>
          <w:p w14:paraId="53B70735"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1829,5</w:t>
            </w:r>
          </w:p>
        </w:tc>
        <w:tc>
          <w:tcPr>
            <w:tcW w:w="795" w:type="dxa"/>
            <w:tcBorders>
              <w:top w:val="single" w:sz="4" w:space="0" w:color="auto"/>
              <w:left w:val="single" w:sz="4" w:space="0" w:color="auto"/>
              <w:bottom w:val="single" w:sz="4" w:space="0" w:color="auto"/>
              <w:right w:val="single" w:sz="4" w:space="0" w:color="auto"/>
            </w:tcBorders>
            <w:vAlign w:val="bottom"/>
            <w:hideMark/>
          </w:tcPr>
          <w:p w14:paraId="2F9C58A4"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849,7</w:t>
            </w:r>
          </w:p>
        </w:tc>
        <w:tc>
          <w:tcPr>
            <w:tcW w:w="956" w:type="dxa"/>
            <w:tcBorders>
              <w:top w:val="single" w:sz="4" w:space="0" w:color="auto"/>
              <w:left w:val="single" w:sz="4" w:space="0" w:color="auto"/>
              <w:bottom w:val="single" w:sz="4" w:space="0" w:color="auto"/>
              <w:right w:val="single" w:sz="4" w:space="0" w:color="auto"/>
            </w:tcBorders>
            <w:vAlign w:val="bottom"/>
            <w:hideMark/>
          </w:tcPr>
          <w:p w14:paraId="1C0163FF" w14:textId="77777777"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267,6</w:t>
            </w:r>
          </w:p>
        </w:tc>
      </w:tr>
      <w:tr w:rsidR="00946DDD" w:rsidRPr="00457CE9" w14:paraId="20E88E86" w14:textId="77777777" w:rsidTr="00946DDD">
        <w:trPr>
          <w:jc w:val="center"/>
        </w:trPr>
        <w:tc>
          <w:tcPr>
            <w:tcW w:w="1202" w:type="dxa"/>
            <w:tcBorders>
              <w:top w:val="single" w:sz="4" w:space="0" w:color="auto"/>
              <w:left w:val="single" w:sz="4" w:space="0" w:color="auto"/>
              <w:bottom w:val="single" w:sz="4" w:space="0" w:color="auto"/>
              <w:right w:val="single" w:sz="4" w:space="0" w:color="auto"/>
            </w:tcBorders>
          </w:tcPr>
          <w:p w14:paraId="3D64626B" w14:textId="0B5977E4" w:rsidR="00946DDD" w:rsidRPr="00457CE9" w:rsidRDefault="00946DDD" w:rsidP="00457CE9">
            <w:pPr>
              <w:rPr>
                <w:rFonts w:ascii="Times New Roman" w:hAnsi="Times New Roman" w:cs="Times New Roman"/>
                <w:sz w:val="24"/>
                <w:szCs w:val="24"/>
                <w:shd w:val="clear" w:color="auto" w:fill="FFFFFF"/>
              </w:rPr>
            </w:pPr>
            <w:r w:rsidRPr="00457CE9">
              <w:rPr>
                <w:rFonts w:ascii="Times New Roman" w:hAnsi="Times New Roman" w:cs="Times New Roman"/>
                <w:sz w:val="24"/>
                <w:szCs w:val="24"/>
                <w:shd w:val="clear" w:color="auto" w:fill="FFFFFF"/>
                <w:lang w:val="kk-KZ"/>
              </w:rPr>
              <w:t xml:space="preserve">Үлесі, </w:t>
            </w:r>
            <w:r w:rsidRPr="00457CE9">
              <w:rPr>
                <w:rFonts w:ascii="Times New Roman" w:hAnsi="Times New Roman" w:cs="Times New Roman"/>
                <w:sz w:val="24"/>
                <w:szCs w:val="24"/>
                <w:shd w:val="clear" w:color="auto" w:fill="FFFFFF"/>
              </w:rPr>
              <w:t>%</w:t>
            </w:r>
          </w:p>
        </w:tc>
        <w:tc>
          <w:tcPr>
            <w:tcW w:w="1542" w:type="dxa"/>
            <w:tcBorders>
              <w:top w:val="single" w:sz="4" w:space="0" w:color="auto"/>
              <w:left w:val="single" w:sz="4" w:space="0" w:color="auto"/>
              <w:bottom w:val="single" w:sz="4" w:space="0" w:color="auto"/>
              <w:right w:val="single" w:sz="4" w:space="0" w:color="auto"/>
            </w:tcBorders>
            <w:vAlign w:val="bottom"/>
          </w:tcPr>
          <w:p w14:paraId="4F206E66" w14:textId="52038C24"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51,22</w:t>
            </w:r>
          </w:p>
        </w:tc>
        <w:tc>
          <w:tcPr>
            <w:tcW w:w="878" w:type="dxa"/>
            <w:tcBorders>
              <w:top w:val="single" w:sz="4" w:space="0" w:color="auto"/>
              <w:left w:val="single" w:sz="4" w:space="0" w:color="auto"/>
              <w:bottom w:val="single" w:sz="4" w:space="0" w:color="auto"/>
              <w:right w:val="single" w:sz="4" w:space="0" w:color="auto"/>
            </w:tcBorders>
            <w:vAlign w:val="bottom"/>
          </w:tcPr>
          <w:p w14:paraId="2A381C7E" w14:textId="6D24228F"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35,89</w:t>
            </w:r>
          </w:p>
        </w:tc>
        <w:tc>
          <w:tcPr>
            <w:tcW w:w="808" w:type="dxa"/>
            <w:tcBorders>
              <w:top w:val="single" w:sz="4" w:space="0" w:color="auto"/>
              <w:left w:val="single" w:sz="4" w:space="0" w:color="auto"/>
              <w:bottom w:val="single" w:sz="4" w:space="0" w:color="auto"/>
              <w:right w:val="single" w:sz="4" w:space="0" w:color="auto"/>
            </w:tcBorders>
            <w:vAlign w:val="bottom"/>
          </w:tcPr>
          <w:p w14:paraId="45A9D4A8" w14:textId="1E4EADDB"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12,9</w:t>
            </w:r>
          </w:p>
        </w:tc>
        <w:tc>
          <w:tcPr>
            <w:tcW w:w="876" w:type="dxa"/>
            <w:tcBorders>
              <w:top w:val="single" w:sz="4" w:space="0" w:color="auto"/>
              <w:left w:val="single" w:sz="4" w:space="0" w:color="auto"/>
              <w:bottom w:val="single" w:sz="4" w:space="0" w:color="auto"/>
              <w:right w:val="single" w:sz="4" w:space="0" w:color="auto"/>
            </w:tcBorders>
            <w:vAlign w:val="bottom"/>
          </w:tcPr>
          <w:p w14:paraId="1F50046E" w14:textId="4B705F3C"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62,72</w:t>
            </w:r>
          </w:p>
        </w:tc>
        <w:tc>
          <w:tcPr>
            <w:tcW w:w="795" w:type="dxa"/>
            <w:tcBorders>
              <w:top w:val="single" w:sz="4" w:space="0" w:color="auto"/>
              <w:left w:val="single" w:sz="4" w:space="0" w:color="auto"/>
              <w:bottom w:val="single" w:sz="4" w:space="0" w:color="auto"/>
              <w:right w:val="single" w:sz="4" w:space="0" w:color="auto"/>
            </w:tcBorders>
            <w:vAlign w:val="bottom"/>
          </w:tcPr>
          <w:p w14:paraId="5BC6A9CE" w14:textId="31024EE0"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27,7</w:t>
            </w:r>
          </w:p>
        </w:tc>
        <w:tc>
          <w:tcPr>
            <w:tcW w:w="837" w:type="dxa"/>
            <w:tcBorders>
              <w:top w:val="single" w:sz="4" w:space="0" w:color="auto"/>
              <w:left w:val="single" w:sz="4" w:space="0" w:color="auto"/>
              <w:bottom w:val="single" w:sz="4" w:space="0" w:color="auto"/>
              <w:right w:val="single" w:sz="4" w:space="0" w:color="auto"/>
            </w:tcBorders>
            <w:vAlign w:val="bottom"/>
          </w:tcPr>
          <w:p w14:paraId="6F6D265D" w14:textId="4098A531"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9,59</w:t>
            </w:r>
          </w:p>
        </w:tc>
        <w:tc>
          <w:tcPr>
            <w:tcW w:w="876" w:type="dxa"/>
            <w:tcBorders>
              <w:top w:val="single" w:sz="4" w:space="0" w:color="auto"/>
              <w:left w:val="single" w:sz="4" w:space="0" w:color="auto"/>
              <w:bottom w:val="single" w:sz="4" w:space="0" w:color="auto"/>
              <w:right w:val="single" w:sz="4" w:space="0" w:color="auto"/>
            </w:tcBorders>
            <w:vAlign w:val="bottom"/>
          </w:tcPr>
          <w:p w14:paraId="4965B884" w14:textId="3B061D05"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62,08</w:t>
            </w:r>
          </w:p>
        </w:tc>
        <w:tc>
          <w:tcPr>
            <w:tcW w:w="795" w:type="dxa"/>
            <w:tcBorders>
              <w:top w:val="single" w:sz="4" w:space="0" w:color="auto"/>
              <w:left w:val="single" w:sz="4" w:space="0" w:color="auto"/>
              <w:bottom w:val="single" w:sz="4" w:space="0" w:color="auto"/>
              <w:right w:val="single" w:sz="4" w:space="0" w:color="auto"/>
            </w:tcBorders>
            <w:vAlign w:val="bottom"/>
          </w:tcPr>
          <w:p w14:paraId="5E648E2C" w14:textId="749428F2"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28,83</w:t>
            </w:r>
          </w:p>
        </w:tc>
        <w:tc>
          <w:tcPr>
            <w:tcW w:w="956" w:type="dxa"/>
            <w:tcBorders>
              <w:top w:val="single" w:sz="4" w:space="0" w:color="auto"/>
              <w:left w:val="single" w:sz="4" w:space="0" w:color="auto"/>
              <w:bottom w:val="single" w:sz="4" w:space="0" w:color="auto"/>
              <w:right w:val="single" w:sz="4" w:space="0" w:color="auto"/>
            </w:tcBorders>
            <w:vAlign w:val="bottom"/>
          </w:tcPr>
          <w:p w14:paraId="52AF0F3E" w14:textId="72F3CDD6" w:rsidR="00946DDD" w:rsidRPr="00457CE9" w:rsidRDefault="00946DDD"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9,08</w:t>
            </w:r>
          </w:p>
        </w:tc>
      </w:tr>
      <w:tr w:rsidR="00E70D7B" w:rsidRPr="00457CE9" w14:paraId="55F6DAFC" w14:textId="77777777" w:rsidTr="00946DDD">
        <w:trPr>
          <w:jc w:val="center"/>
        </w:trPr>
        <w:tc>
          <w:tcPr>
            <w:tcW w:w="9565" w:type="dxa"/>
            <w:gridSpan w:val="10"/>
            <w:tcBorders>
              <w:top w:val="single" w:sz="4" w:space="0" w:color="auto"/>
              <w:left w:val="single" w:sz="4" w:space="0" w:color="auto"/>
              <w:bottom w:val="single" w:sz="4" w:space="0" w:color="auto"/>
              <w:right w:val="single" w:sz="4" w:space="0" w:color="auto"/>
            </w:tcBorders>
            <w:hideMark/>
          </w:tcPr>
          <w:p w14:paraId="6D6850F6" w14:textId="6E7CE97A" w:rsidR="00E70D7B" w:rsidRPr="00457CE9" w:rsidRDefault="00946DDD" w:rsidP="00946DDD">
            <w:pPr>
              <w:ind w:firstLine="567"/>
              <w:rPr>
                <w:rFonts w:ascii="Times New Roman" w:hAnsi="Times New Roman" w:cs="Times New Roman"/>
                <w:color w:val="000000"/>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E70D7B" w:rsidRPr="00457CE9">
              <w:rPr>
                <w:rFonts w:ascii="Times New Roman" w:hAnsi="Times New Roman" w:cs="Times New Roman"/>
                <w:kern w:val="36"/>
                <w:sz w:val="24"/>
                <w:szCs w:val="24"/>
                <w:lang w:val="kk-KZ" w:eastAsia="zh-CN"/>
              </w:rPr>
              <w:t xml:space="preserve"> </w:t>
            </w:r>
            <w:r w:rsidR="000B5B6F">
              <w:rPr>
                <w:rFonts w:ascii="Times New Roman" w:hAnsi="Times New Roman" w:cs="Times New Roman"/>
                <w:kern w:val="36"/>
                <w:sz w:val="24"/>
                <w:szCs w:val="24"/>
                <w:lang w:eastAsia="zh-CN"/>
              </w:rPr>
              <w:t>[52</w:t>
            </w:r>
            <w:r w:rsidR="00232EA1">
              <w:rPr>
                <w:rFonts w:ascii="Times New Roman" w:hAnsi="Times New Roman" w:cs="Times New Roman"/>
                <w:kern w:val="36"/>
                <w:sz w:val="24"/>
                <w:szCs w:val="24"/>
                <w:lang w:val="kk-KZ" w:eastAsia="zh-CN"/>
              </w:rPr>
              <w:t>,81</w:t>
            </w:r>
            <w:r w:rsidR="000B5B6F">
              <w:rPr>
                <w:rFonts w:ascii="Times New Roman" w:hAnsi="Times New Roman" w:cs="Times New Roman"/>
                <w:kern w:val="36"/>
                <w:sz w:val="24"/>
                <w:szCs w:val="24"/>
                <w:lang w:eastAsia="zh-CN"/>
              </w:rPr>
              <w:t>]</w:t>
            </w:r>
            <w:r w:rsidR="00B004CF" w:rsidRPr="00457CE9">
              <w:rPr>
                <w:rFonts w:ascii="Times New Roman" w:hAnsi="Times New Roman" w:cs="Times New Roman"/>
                <w:kern w:val="36"/>
                <w:sz w:val="24"/>
                <w:szCs w:val="24"/>
                <w:lang w:eastAsia="zh-CN"/>
              </w:rPr>
              <w:t xml:space="preserve"> </w:t>
            </w:r>
          </w:p>
        </w:tc>
      </w:tr>
    </w:tbl>
    <w:p w14:paraId="0813819A" w14:textId="77777777" w:rsidR="001E64ED" w:rsidRDefault="001E64ED" w:rsidP="00946DDD">
      <w:pPr>
        <w:spacing w:after="0" w:line="240" w:lineRule="auto"/>
        <w:ind w:firstLine="709"/>
        <w:jc w:val="both"/>
        <w:rPr>
          <w:rFonts w:ascii="Times New Roman" w:hAnsi="Times New Roman" w:cs="Times New Roman"/>
          <w:sz w:val="28"/>
          <w:szCs w:val="28"/>
          <w:shd w:val="clear" w:color="auto" w:fill="FFFFFF"/>
          <w:lang w:val="kk-KZ"/>
        </w:rPr>
      </w:pPr>
    </w:p>
    <w:p w14:paraId="0EAA43CB" w14:textId="120CBA40" w:rsidR="00EC13BA" w:rsidRPr="003D4F30" w:rsidRDefault="00EC13BA" w:rsidP="00946DDD">
      <w:pPr>
        <w:spacing w:after="0" w:line="240" w:lineRule="auto"/>
        <w:ind w:firstLine="709"/>
        <w:jc w:val="both"/>
        <w:rPr>
          <w:rFonts w:ascii="Times New Roman" w:hAnsi="Times New Roman" w:cs="Times New Roman"/>
          <w:sz w:val="28"/>
          <w:szCs w:val="28"/>
          <w:shd w:val="clear" w:color="auto" w:fill="FFFFFF"/>
          <w:lang w:val="kk-KZ" w:eastAsia="zh-CN"/>
        </w:rPr>
      </w:pPr>
      <w:r w:rsidRPr="00457CE9">
        <w:rPr>
          <w:rFonts w:ascii="Times New Roman" w:hAnsi="Times New Roman" w:cs="Times New Roman"/>
          <w:sz w:val="28"/>
          <w:szCs w:val="28"/>
          <w:shd w:val="clear" w:color="auto" w:fill="FFFFFF"/>
          <w:lang w:val="kk-KZ"/>
        </w:rPr>
        <w:t>1</w:t>
      </w:r>
      <w:r w:rsidR="00023296">
        <w:rPr>
          <w:rFonts w:ascii="Times New Roman" w:hAnsi="Times New Roman" w:cs="Times New Roman"/>
          <w:sz w:val="28"/>
          <w:szCs w:val="28"/>
          <w:shd w:val="clear" w:color="auto" w:fill="FFFFFF"/>
          <w:lang w:val="kk-KZ"/>
        </w:rPr>
        <w:t>5</w:t>
      </w:r>
      <w:r w:rsidRPr="00457CE9">
        <w:rPr>
          <w:rFonts w:ascii="Times New Roman" w:hAnsi="Times New Roman" w:cs="Times New Roman"/>
          <w:sz w:val="28"/>
          <w:szCs w:val="28"/>
          <w:shd w:val="clear" w:color="auto" w:fill="FFFFFF"/>
          <w:lang w:val="kk-KZ"/>
        </w:rPr>
        <w:t>-кестеден 2017-2021 жж. бағдарламаны іске асыру үшін қаржыландыру өзгеріске ұшырап отырған, жалпы 2017 жылғы жарлық бойынша жалпы 2374,2</w:t>
      </w:r>
      <w:r w:rsidR="00946DDD">
        <w:rPr>
          <w:rFonts w:ascii="Times New Roman" w:hAnsi="Times New Roman" w:cs="Times New Roman"/>
          <w:sz w:val="28"/>
          <w:szCs w:val="28"/>
          <w:shd w:val="clear" w:color="auto" w:fill="FFFFFF"/>
          <w:lang w:val="kk-KZ"/>
        </w:rPr>
        <w:t> </w:t>
      </w:r>
      <w:r w:rsidRPr="00457CE9">
        <w:rPr>
          <w:rFonts w:ascii="Times New Roman" w:hAnsi="Times New Roman" w:cs="Times New Roman"/>
          <w:sz w:val="28"/>
          <w:szCs w:val="28"/>
          <w:shd w:val="clear" w:color="auto" w:fill="FFFFFF"/>
          <w:lang w:val="kk-KZ"/>
        </w:rPr>
        <w:t>млрд. теңге, 2018 жылғы қаулы бойынша 2774,2 млрд. теңгеге өссе, 2020 жылғы енгізілген өзгерістер бойынша 2946,8 млрд. теңге көлемінде жоспарланған.</w:t>
      </w:r>
      <w:r w:rsidR="00E36A26" w:rsidRPr="00457CE9">
        <w:rPr>
          <w:rFonts w:ascii="Times New Roman" w:hAnsi="Times New Roman" w:cs="Times New Roman"/>
          <w:sz w:val="28"/>
          <w:szCs w:val="28"/>
          <w:shd w:val="clear" w:color="auto" w:fill="FFFFFF"/>
          <w:lang w:val="kk-KZ"/>
        </w:rPr>
        <w:t xml:space="preserve"> </w:t>
      </w:r>
      <w:r w:rsidR="00E70D7B" w:rsidRPr="00457CE9">
        <w:rPr>
          <w:rFonts w:ascii="Times New Roman" w:hAnsi="Times New Roman" w:cs="Times New Roman"/>
          <w:sz w:val="28"/>
          <w:szCs w:val="28"/>
          <w:shd w:val="clear" w:color="auto" w:fill="FFFFFF"/>
          <w:lang w:val="kk-KZ"/>
        </w:rPr>
        <w:t>Мәселен қаржыландыру негізінен республикалық бюджеттен</w:t>
      </w:r>
      <w:r w:rsidR="00EC5018" w:rsidRPr="00457CE9">
        <w:rPr>
          <w:rFonts w:ascii="Times New Roman" w:hAnsi="Times New Roman" w:cs="Times New Roman"/>
          <w:sz w:val="28"/>
          <w:szCs w:val="28"/>
          <w:shd w:val="clear" w:color="auto" w:fill="FFFFFF"/>
          <w:lang w:val="kk-KZ"/>
        </w:rPr>
        <w:t xml:space="preserve"> 2017 жылғы жарлық бойынша 51 пайыздан 2020 жылғы қаулы бойынша 62 пайызға дейін өссе</w:t>
      </w:r>
      <w:r w:rsidR="00E70D7B" w:rsidRPr="00457CE9">
        <w:rPr>
          <w:rFonts w:ascii="Times New Roman" w:hAnsi="Times New Roman" w:cs="Times New Roman"/>
          <w:sz w:val="28"/>
          <w:szCs w:val="28"/>
          <w:shd w:val="clear" w:color="auto" w:fill="FFFFFF"/>
          <w:lang w:val="kk-KZ"/>
        </w:rPr>
        <w:t>, жергілікті бюджеттен</w:t>
      </w:r>
      <w:r w:rsidR="00EC5018" w:rsidRPr="00457CE9">
        <w:rPr>
          <w:rFonts w:ascii="Times New Roman" w:hAnsi="Times New Roman" w:cs="Times New Roman"/>
          <w:sz w:val="28"/>
          <w:szCs w:val="28"/>
          <w:shd w:val="clear" w:color="auto" w:fill="FFFFFF"/>
          <w:lang w:val="kk-KZ"/>
        </w:rPr>
        <w:t xml:space="preserve"> 35 пайыздан 28 пайызға дейін төмендеу</w:t>
      </w:r>
      <w:r w:rsidR="00E70D7B" w:rsidRPr="00457CE9">
        <w:rPr>
          <w:rFonts w:ascii="Times New Roman" w:hAnsi="Times New Roman" w:cs="Times New Roman"/>
          <w:sz w:val="28"/>
          <w:szCs w:val="28"/>
          <w:shd w:val="clear" w:color="auto" w:fill="FFFFFF"/>
          <w:lang w:val="kk-KZ"/>
        </w:rPr>
        <w:t xml:space="preserve"> және басқа да көздер есебінен </w:t>
      </w:r>
      <w:r w:rsidR="00EC5018" w:rsidRPr="00457CE9">
        <w:rPr>
          <w:rFonts w:ascii="Times New Roman" w:hAnsi="Times New Roman" w:cs="Times New Roman"/>
          <w:sz w:val="28"/>
          <w:szCs w:val="28"/>
          <w:shd w:val="clear" w:color="auto" w:fill="FFFFFF"/>
          <w:lang w:val="kk-KZ"/>
        </w:rPr>
        <w:t xml:space="preserve">12 пайыздан 9 пайызға дейін қысқару </w:t>
      </w:r>
      <w:r w:rsidR="00E70D7B" w:rsidRPr="00457CE9">
        <w:rPr>
          <w:rFonts w:ascii="Times New Roman" w:hAnsi="Times New Roman" w:cs="Times New Roman"/>
          <w:sz w:val="28"/>
          <w:szCs w:val="28"/>
          <w:shd w:val="clear" w:color="auto" w:fill="FFFFFF"/>
          <w:lang w:val="kk-KZ"/>
        </w:rPr>
        <w:t xml:space="preserve"> жоспарланған. Құрамындағы өзгерістерге шолу жасаса, </w:t>
      </w:r>
      <w:r w:rsidR="00E70D7B" w:rsidRPr="00457CE9">
        <w:rPr>
          <w:rFonts w:ascii="Times New Roman" w:hAnsi="Times New Roman" w:cs="Times New Roman"/>
          <w:sz w:val="28"/>
          <w:szCs w:val="28"/>
          <w:shd w:val="clear" w:color="auto" w:fill="FFFFFF"/>
          <w:lang w:val="kk-KZ" w:eastAsia="zh-CN"/>
        </w:rPr>
        <w:t xml:space="preserve">2017 жылы басқа да көздерден 17 млрд. теңге тарту көзделсе, 2018 жылғы бекітілген редакцияда басқа да көздерден қаржыландыру алынып тасталған, бұл негізінен қаржыландыруды республикалық бюджеттен алуды қарастырғанын көрсетеді. </w:t>
      </w:r>
      <w:r w:rsidRPr="00457CE9">
        <w:rPr>
          <w:rFonts w:ascii="Times New Roman" w:hAnsi="Times New Roman" w:cs="Times New Roman"/>
          <w:sz w:val="28"/>
          <w:szCs w:val="28"/>
          <w:shd w:val="clear" w:color="auto" w:fill="FFFFFF"/>
          <w:lang w:val="kk-KZ" w:eastAsia="zh-CN"/>
        </w:rPr>
        <w:t xml:space="preserve">ҚР АӨК 2017-2021 жж. дамытуға бағытталған </w:t>
      </w:r>
      <w:r w:rsidR="001E2869">
        <w:rPr>
          <w:rFonts w:ascii="Times New Roman" w:hAnsi="Times New Roman" w:cs="Times New Roman"/>
          <w:sz w:val="28"/>
          <w:szCs w:val="28"/>
          <w:shd w:val="clear" w:color="auto" w:fill="FFFFFF"/>
          <w:lang w:val="kk-KZ" w:eastAsia="zh-CN"/>
        </w:rPr>
        <w:t xml:space="preserve">бюджет </w:t>
      </w:r>
      <w:r w:rsidRPr="00457CE9">
        <w:rPr>
          <w:rFonts w:ascii="Times New Roman" w:hAnsi="Times New Roman" w:cs="Times New Roman"/>
          <w:sz w:val="28"/>
          <w:szCs w:val="28"/>
          <w:shd w:val="clear" w:color="auto" w:fill="FFFFFF"/>
          <w:lang w:val="kk-KZ" w:eastAsia="zh-CN"/>
        </w:rPr>
        <w:t>қаражат</w:t>
      </w:r>
      <w:r w:rsidR="001E2869">
        <w:rPr>
          <w:rFonts w:ascii="Times New Roman" w:hAnsi="Times New Roman" w:cs="Times New Roman"/>
          <w:sz w:val="28"/>
          <w:szCs w:val="28"/>
          <w:shd w:val="clear" w:color="auto" w:fill="FFFFFF"/>
          <w:lang w:val="kk-KZ" w:eastAsia="zh-CN"/>
        </w:rPr>
        <w:t>ы, басқа да көздер</w:t>
      </w:r>
      <w:r w:rsidRPr="00457CE9">
        <w:rPr>
          <w:rFonts w:ascii="Times New Roman" w:hAnsi="Times New Roman" w:cs="Times New Roman"/>
          <w:sz w:val="28"/>
          <w:szCs w:val="28"/>
          <w:shd w:val="clear" w:color="auto" w:fill="FFFFFF"/>
          <w:lang w:val="kk-KZ" w:eastAsia="zh-CN"/>
        </w:rPr>
        <w:t xml:space="preserve"> динамикасының өзгерісі </w:t>
      </w:r>
      <w:r w:rsidR="009B4CC2" w:rsidRPr="003D4F30">
        <w:rPr>
          <w:rFonts w:ascii="Times New Roman" w:hAnsi="Times New Roman" w:cs="Times New Roman"/>
          <w:sz w:val="28"/>
          <w:szCs w:val="28"/>
          <w:shd w:val="clear" w:color="auto" w:fill="FFFFFF"/>
          <w:lang w:val="kk-KZ" w:eastAsia="zh-CN"/>
        </w:rPr>
        <w:t>1</w:t>
      </w:r>
      <w:r w:rsidR="00A23F7A" w:rsidRPr="003D4F30">
        <w:rPr>
          <w:rFonts w:ascii="Times New Roman" w:hAnsi="Times New Roman" w:cs="Times New Roman"/>
          <w:sz w:val="28"/>
          <w:szCs w:val="28"/>
          <w:shd w:val="clear" w:color="auto" w:fill="FFFFFF"/>
          <w:lang w:val="kk-KZ" w:eastAsia="zh-CN"/>
        </w:rPr>
        <w:t>1</w:t>
      </w:r>
      <w:r w:rsidRPr="003D4F30">
        <w:rPr>
          <w:rFonts w:ascii="Times New Roman" w:hAnsi="Times New Roman" w:cs="Times New Roman"/>
          <w:sz w:val="28"/>
          <w:szCs w:val="28"/>
          <w:shd w:val="clear" w:color="auto" w:fill="FFFFFF"/>
          <w:lang w:val="kk-KZ" w:eastAsia="zh-CN"/>
        </w:rPr>
        <w:t xml:space="preserve">-суретте келтірілген. </w:t>
      </w:r>
    </w:p>
    <w:p w14:paraId="765B7193" w14:textId="77777777" w:rsidR="00946DDD" w:rsidRPr="00457CE9" w:rsidRDefault="00946DDD" w:rsidP="00946DDD">
      <w:pPr>
        <w:spacing w:after="0" w:line="240" w:lineRule="auto"/>
        <w:ind w:firstLine="709"/>
        <w:jc w:val="both"/>
        <w:rPr>
          <w:rFonts w:ascii="Times New Roman" w:hAnsi="Times New Roman" w:cs="Times New Roman"/>
          <w:sz w:val="28"/>
          <w:szCs w:val="28"/>
          <w:shd w:val="clear" w:color="auto" w:fill="FFFFFF"/>
          <w:lang w:val="kk-KZ" w:eastAsia="zh-CN"/>
        </w:rPr>
      </w:pPr>
    </w:p>
    <w:p w14:paraId="5148A735" w14:textId="49E0E1AB" w:rsidR="00E70D7B" w:rsidRPr="00457CE9" w:rsidRDefault="00E70D7B" w:rsidP="00946DDD">
      <w:pPr>
        <w:spacing w:after="0" w:line="240" w:lineRule="auto"/>
        <w:jc w:val="center"/>
        <w:rPr>
          <w:rFonts w:ascii="Times New Roman" w:hAnsi="Times New Roman" w:cs="Times New Roman"/>
          <w:sz w:val="28"/>
          <w:szCs w:val="28"/>
          <w:shd w:val="clear" w:color="auto" w:fill="FFFFFF"/>
          <w:lang w:val="kk-KZ" w:eastAsia="zh-CN"/>
        </w:rPr>
      </w:pPr>
      <w:r w:rsidRPr="00457CE9">
        <w:rPr>
          <w:noProof/>
          <w:lang w:eastAsia="ru-RU"/>
        </w:rPr>
        <w:drawing>
          <wp:inline distT="0" distB="0" distL="0" distR="0" wp14:anchorId="00998582" wp14:editId="3A8EB4DE">
            <wp:extent cx="5509260" cy="2788920"/>
            <wp:effectExtent l="0" t="0" r="0" b="0"/>
            <wp:docPr id="128" name="Диаграмма 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0E0F92-2715-4F19-B1AD-7B1D4F1AC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64400E" w14:textId="77777777" w:rsidR="00946DDD" w:rsidRPr="00946DDD" w:rsidRDefault="00946DDD" w:rsidP="00457CE9">
      <w:pPr>
        <w:spacing w:after="0" w:line="240" w:lineRule="auto"/>
        <w:ind w:firstLine="567"/>
        <w:jc w:val="center"/>
        <w:rPr>
          <w:rFonts w:ascii="Times New Roman" w:hAnsi="Times New Roman" w:cs="Times New Roman"/>
          <w:sz w:val="16"/>
          <w:szCs w:val="16"/>
          <w:shd w:val="clear" w:color="auto" w:fill="FFFFFF"/>
          <w:lang w:val="kk-KZ" w:eastAsia="zh-CN"/>
        </w:rPr>
      </w:pPr>
    </w:p>
    <w:p w14:paraId="6B436D53" w14:textId="01FF57D3" w:rsidR="00E70D7B" w:rsidRPr="00457CE9" w:rsidRDefault="00E70D7B" w:rsidP="00946DDD">
      <w:pPr>
        <w:spacing w:after="0" w:line="240" w:lineRule="auto"/>
        <w:jc w:val="center"/>
        <w:rPr>
          <w:rFonts w:ascii="Times New Roman" w:hAnsi="Times New Roman" w:cs="Times New Roman"/>
          <w:sz w:val="28"/>
          <w:szCs w:val="28"/>
          <w:shd w:val="clear" w:color="auto" w:fill="FFFFFF"/>
          <w:lang w:val="kk-KZ" w:eastAsia="zh-CN"/>
        </w:rPr>
      </w:pPr>
      <w:r w:rsidRPr="00457CE9">
        <w:rPr>
          <w:rFonts w:ascii="Times New Roman" w:hAnsi="Times New Roman" w:cs="Times New Roman"/>
          <w:sz w:val="28"/>
          <w:szCs w:val="28"/>
          <w:shd w:val="clear" w:color="auto" w:fill="FFFFFF"/>
          <w:lang w:val="kk-KZ" w:eastAsia="zh-CN"/>
        </w:rPr>
        <w:t xml:space="preserve">Сурет </w:t>
      </w:r>
      <w:r w:rsidR="009B4CC2" w:rsidRPr="00457CE9">
        <w:rPr>
          <w:rFonts w:ascii="Times New Roman" w:hAnsi="Times New Roman" w:cs="Times New Roman"/>
          <w:sz w:val="28"/>
          <w:szCs w:val="28"/>
          <w:shd w:val="clear" w:color="auto" w:fill="FFFFFF"/>
          <w:lang w:val="kk-KZ" w:eastAsia="zh-CN"/>
        </w:rPr>
        <w:t>1</w:t>
      </w:r>
      <w:r w:rsidR="00A23F7A">
        <w:rPr>
          <w:rFonts w:ascii="Times New Roman" w:hAnsi="Times New Roman" w:cs="Times New Roman"/>
          <w:sz w:val="28"/>
          <w:szCs w:val="28"/>
          <w:shd w:val="clear" w:color="auto" w:fill="FFFFFF"/>
          <w:lang w:val="kk-KZ" w:eastAsia="zh-CN"/>
        </w:rPr>
        <w:t>1</w:t>
      </w:r>
      <w:r w:rsidRPr="00457CE9">
        <w:rPr>
          <w:rFonts w:ascii="Times New Roman" w:hAnsi="Times New Roman" w:cs="Times New Roman"/>
          <w:sz w:val="28"/>
          <w:szCs w:val="28"/>
          <w:shd w:val="clear" w:color="auto" w:fill="FFFFFF"/>
          <w:lang w:val="kk-KZ" w:eastAsia="zh-CN"/>
        </w:rPr>
        <w:t xml:space="preserve"> </w:t>
      </w:r>
      <w:r w:rsidR="001E64ED">
        <w:rPr>
          <w:rFonts w:ascii="Times New Roman" w:hAnsi="Times New Roman" w:cs="Times New Roman"/>
          <w:sz w:val="28"/>
          <w:szCs w:val="28"/>
          <w:shd w:val="clear" w:color="auto" w:fill="FFFFFF"/>
          <w:lang w:val="kk-KZ" w:eastAsia="zh-CN"/>
        </w:rPr>
        <w:t xml:space="preserve">– </w:t>
      </w:r>
      <w:r w:rsidRPr="00457CE9">
        <w:rPr>
          <w:rFonts w:ascii="Times New Roman" w:hAnsi="Times New Roman" w:cs="Times New Roman"/>
          <w:sz w:val="28"/>
          <w:szCs w:val="28"/>
          <w:shd w:val="clear" w:color="auto" w:fill="FFFFFF"/>
          <w:lang w:val="kk-KZ" w:eastAsia="zh-CN"/>
        </w:rPr>
        <w:t>ҚР АӨК 2017-2021 жж. дамытуға бағытталған қаражаттар динамикасының өзгерісі, млрд.</w:t>
      </w:r>
      <w:r w:rsidR="00946DDD">
        <w:rPr>
          <w:rFonts w:ascii="Times New Roman" w:hAnsi="Times New Roman" w:cs="Times New Roman"/>
          <w:sz w:val="28"/>
          <w:szCs w:val="28"/>
          <w:shd w:val="clear" w:color="auto" w:fill="FFFFFF"/>
          <w:lang w:val="kk-KZ" w:eastAsia="zh-CN"/>
        </w:rPr>
        <w:t xml:space="preserve"> </w:t>
      </w:r>
      <w:r w:rsidRPr="00457CE9">
        <w:rPr>
          <w:rFonts w:ascii="Times New Roman" w:hAnsi="Times New Roman" w:cs="Times New Roman"/>
          <w:sz w:val="28"/>
          <w:szCs w:val="28"/>
          <w:shd w:val="clear" w:color="auto" w:fill="FFFFFF"/>
          <w:lang w:val="kk-KZ" w:eastAsia="zh-CN"/>
        </w:rPr>
        <w:t>теңге</w:t>
      </w:r>
    </w:p>
    <w:p w14:paraId="61F0BAE4" w14:textId="77777777" w:rsidR="00946DDD" w:rsidRPr="00946DDD" w:rsidRDefault="00946DDD" w:rsidP="00457CE9">
      <w:pPr>
        <w:spacing w:after="0" w:line="240" w:lineRule="auto"/>
        <w:ind w:firstLine="567"/>
        <w:jc w:val="both"/>
        <w:rPr>
          <w:rFonts w:ascii="Times New Roman" w:eastAsia="Times New Roman" w:hAnsi="Times New Roman" w:cs="Times New Roman"/>
          <w:kern w:val="36"/>
          <w:sz w:val="16"/>
          <w:szCs w:val="16"/>
          <w:lang w:val="kk-KZ" w:eastAsia="ru-RU"/>
        </w:rPr>
      </w:pPr>
    </w:p>
    <w:p w14:paraId="14C5F786" w14:textId="67E74F34" w:rsidR="00E70D7B" w:rsidRPr="00457CE9" w:rsidRDefault="00946DDD" w:rsidP="00946DDD">
      <w:pPr>
        <w:spacing w:after="0" w:line="240" w:lineRule="auto"/>
        <w:ind w:firstLine="709"/>
        <w:jc w:val="both"/>
        <w:rPr>
          <w:rFonts w:ascii="Times New Roman" w:hAnsi="Times New Roman" w:cs="Times New Roman"/>
          <w:kern w:val="36"/>
          <w:sz w:val="24"/>
          <w:szCs w:val="24"/>
          <w:lang w:val="kk-KZ" w:eastAsia="zh-CN"/>
        </w:rPr>
      </w:pPr>
      <w:r w:rsidRPr="00EB67B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0F6D59" w:rsidRPr="00457CE9">
        <w:rPr>
          <w:rFonts w:ascii="Times New Roman" w:hAnsi="Times New Roman" w:cs="Times New Roman"/>
          <w:kern w:val="36"/>
          <w:sz w:val="24"/>
          <w:szCs w:val="24"/>
          <w:lang w:val="kk-KZ" w:eastAsia="zh-CN"/>
        </w:rPr>
        <w:t xml:space="preserve"> </w:t>
      </w:r>
      <w:r w:rsidR="00B004CF" w:rsidRPr="00457CE9">
        <w:rPr>
          <w:rFonts w:ascii="Times New Roman" w:hAnsi="Times New Roman" w:cs="Times New Roman"/>
          <w:kern w:val="36"/>
          <w:sz w:val="24"/>
          <w:szCs w:val="24"/>
          <w:lang w:val="kk-KZ" w:eastAsia="zh-CN"/>
        </w:rPr>
        <w:t>[</w:t>
      </w:r>
      <w:r w:rsidR="00D87119" w:rsidRPr="00457CE9">
        <w:rPr>
          <w:rFonts w:ascii="Times New Roman" w:hAnsi="Times New Roman" w:cs="Times New Roman"/>
          <w:kern w:val="36"/>
          <w:sz w:val="24"/>
          <w:szCs w:val="24"/>
          <w:lang w:val="kk-KZ" w:eastAsia="zh-CN"/>
        </w:rPr>
        <w:t>8</w:t>
      </w:r>
      <w:r w:rsidR="00232EA1">
        <w:rPr>
          <w:rFonts w:ascii="Times New Roman" w:hAnsi="Times New Roman" w:cs="Times New Roman"/>
          <w:kern w:val="36"/>
          <w:sz w:val="24"/>
          <w:szCs w:val="24"/>
          <w:lang w:val="kk-KZ" w:eastAsia="zh-CN"/>
        </w:rPr>
        <w:t>1</w:t>
      </w:r>
      <w:r w:rsidR="00B004CF" w:rsidRPr="00457CE9">
        <w:rPr>
          <w:rFonts w:ascii="Times New Roman" w:hAnsi="Times New Roman" w:cs="Times New Roman"/>
          <w:kern w:val="36"/>
          <w:sz w:val="24"/>
          <w:szCs w:val="24"/>
          <w:lang w:val="kk-KZ" w:eastAsia="zh-CN"/>
        </w:rPr>
        <w:t xml:space="preserve">] </w:t>
      </w:r>
    </w:p>
    <w:p w14:paraId="2DCB0B73" w14:textId="77777777" w:rsidR="00EC13BA" w:rsidRDefault="00EC13BA" w:rsidP="00457CE9">
      <w:pPr>
        <w:spacing w:after="0" w:line="240" w:lineRule="auto"/>
        <w:ind w:firstLine="709"/>
        <w:jc w:val="both"/>
        <w:rPr>
          <w:rFonts w:ascii="Times New Roman" w:hAnsi="Times New Roman" w:cs="Times New Roman"/>
          <w:sz w:val="28"/>
          <w:szCs w:val="28"/>
          <w:shd w:val="clear" w:color="auto" w:fill="FFFFFF"/>
          <w:lang w:val="kk-KZ" w:eastAsia="zh-CN"/>
        </w:rPr>
      </w:pPr>
    </w:p>
    <w:p w14:paraId="6A60CDDB" w14:textId="30F30711" w:rsidR="003D4F30" w:rsidRDefault="003D4F30" w:rsidP="003D4F30">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hAnsi="Times New Roman" w:cs="Times New Roman"/>
          <w:sz w:val="28"/>
          <w:szCs w:val="28"/>
          <w:shd w:val="clear" w:color="auto" w:fill="FFFFFF"/>
          <w:lang w:val="kk-KZ" w:eastAsia="zh-CN"/>
        </w:rPr>
        <w:t>Жалпы динамикадан 2017-2021 жж. аралығында басқа да көздер есебінен қаржыландыру көлемі 306,2 млрд. теңгеден 267,6 млрд. теңгеге дейін қысқартқанын байқауға болады. Қаржыландырудың әділ емес қарастырылғанын және барлық салмақ республикалық бюджетке түсетіндігін көруге болады.</w:t>
      </w:r>
      <w:r>
        <w:rPr>
          <w:rFonts w:ascii="Times New Roman" w:eastAsia="Times New Roman" w:hAnsi="Times New Roman" w:cs="Times New Roman"/>
          <w:kern w:val="36"/>
          <w:sz w:val="28"/>
          <w:szCs w:val="28"/>
          <w:lang w:val="kk-KZ" w:eastAsia="ru-RU"/>
        </w:rPr>
        <w:t xml:space="preserve"> Бағдарламаны жоспарлау кезінде  «Агроөнеркәсіптік кешенді және ауылдық аумақтарды дамытуды мемлекеттік реттеу туралы» 2005 жылғы 8 шілдедегі ҚР Заңына сәйкес азық-түлік тауарларының түрлері бойынша азық-түлік тәуелсіздігі егер олардың жылдық өндірісі халықтың қажеттілігінің 80%-ын қамтамасыз етсе, танылады </w:t>
      </w:r>
      <w:r w:rsidR="004D05DE">
        <w:rPr>
          <w:rFonts w:ascii="Times New Roman" w:eastAsia="Times New Roman" w:hAnsi="Times New Roman" w:cs="Times New Roman"/>
          <w:kern w:val="36"/>
          <w:sz w:val="28"/>
          <w:szCs w:val="28"/>
          <w:lang w:val="kk-KZ" w:eastAsia="ru-RU"/>
        </w:rPr>
        <w:t xml:space="preserve">деп анықталған </w:t>
      </w:r>
      <w:r>
        <w:rPr>
          <w:rFonts w:ascii="Times New Roman" w:eastAsia="Times New Roman" w:hAnsi="Times New Roman" w:cs="Times New Roman"/>
          <w:kern w:val="36"/>
          <w:sz w:val="28"/>
          <w:szCs w:val="28"/>
          <w:lang w:val="kk-KZ" w:eastAsia="ru-RU"/>
        </w:rPr>
        <w:t>[</w:t>
      </w:r>
      <w:r w:rsidR="004D05DE">
        <w:rPr>
          <w:rFonts w:ascii="Times New Roman" w:eastAsia="Times New Roman" w:hAnsi="Times New Roman" w:cs="Times New Roman"/>
          <w:kern w:val="36"/>
          <w:sz w:val="28"/>
          <w:szCs w:val="28"/>
          <w:lang w:val="kk-KZ" w:eastAsia="ru-RU"/>
        </w:rPr>
        <w:t>99</w:t>
      </w:r>
      <w:r>
        <w:rPr>
          <w:rFonts w:ascii="Times New Roman" w:eastAsia="Times New Roman" w:hAnsi="Times New Roman" w:cs="Times New Roman"/>
          <w:kern w:val="36"/>
          <w:sz w:val="28"/>
          <w:szCs w:val="28"/>
          <w:lang w:val="kk-KZ" w:eastAsia="ru-RU"/>
        </w:rPr>
        <w:t>]. Осы тізімге кіретін негізгі азық</w:t>
      </w:r>
      <w:r w:rsidR="004D05DE">
        <w:rPr>
          <w:rFonts w:ascii="Times New Roman" w:eastAsia="Times New Roman" w:hAnsi="Times New Roman" w:cs="Times New Roman"/>
          <w:kern w:val="36"/>
          <w:sz w:val="28"/>
          <w:szCs w:val="28"/>
          <w:lang w:val="kk-KZ" w:eastAsia="ru-RU"/>
        </w:rPr>
        <w:t>-</w:t>
      </w:r>
      <w:r>
        <w:rPr>
          <w:rFonts w:ascii="Times New Roman" w:eastAsia="Times New Roman" w:hAnsi="Times New Roman" w:cs="Times New Roman"/>
          <w:kern w:val="36"/>
          <w:sz w:val="28"/>
          <w:szCs w:val="28"/>
          <w:lang w:val="kk-KZ" w:eastAsia="ru-RU"/>
        </w:rPr>
        <w:t xml:space="preserve"> түлік өндірісінің соңғы жылдардағы динамикасына талдау жасалмаған, сондықтан Бағдарламаның негізгі мақсатына жетудің ең негізгі тапсырмасына жету үшін шаралар кешенді қарастырылмаған және нәтиже көрсеткіштерін жоспарлау сапасы төмен екендігін көрсетеді, оны 16-кестеден көруге болады.</w:t>
      </w:r>
    </w:p>
    <w:p w14:paraId="68F514AB" w14:textId="16D3EE93" w:rsidR="00473AA4" w:rsidRDefault="00473AA4" w:rsidP="00457CE9">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Нәтижелі көрсеткіштерге жету шаралары жалпылама түрде жоспарланған, яғни, әр нәтижелі көрсеткішке жетудің нақты шаралары келтірілмеген.</w:t>
      </w:r>
    </w:p>
    <w:p w14:paraId="57307891" w14:textId="2477F819" w:rsidR="004D05DE" w:rsidRDefault="004D05DE" w:rsidP="00457CE9">
      <w:pPr>
        <w:spacing w:after="0" w:line="240" w:lineRule="auto"/>
        <w:ind w:firstLine="709"/>
        <w:jc w:val="both"/>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16-кесте мәліметтерінен тиімділік аудитінің нәтижесінде анықталған отандық негізгі азық-түліктік өнімдермен 2015-2019 жж. қамтамасыз етілуінің нақты деңгейі келтірілген, 2017-2019 жж. АӨК дамыту мемлекеттік бағдарламасын іске асыру нәтижесінде сары маймен 2019 жылы 93,1 пайыз, өсімдік майымен 93,6 пайызға дейін қамтамасыз етілген. Ал алмалар 2015 жылы 48,4 пайыздан 2019 жылы 62,9 пайызға дейін, құс еті 2015 жылы 48,9 пайыздан 2019 жылы 58,3 пайызға дейін, шұжық өнімдері сәйкес жылдары 55,1 пайыздан 62,0 пайызға дейін өссе, ірімшік пен сүзбе 2015 жылы 60,6 пайызды құраса, 2019 жылы 57 пайызға дейін, қант 60,6 пайыздан 46,6 пайызға дейін төмендеу динамикасына ие болған</w:t>
      </w:r>
      <w:r w:rsidR="002A3CA3">
        <w:rPr>
          <w:rFonts w:ascii="Times New Roman" w:hAnsi="Times New Roman" w:cs="Times New Roman"/>
          <w:kern w:val="36"/>
          <w:sz w:val="28"/>
          <w:szCs w:val="28"/>
          <w:lang w:val="kk-KZ" w:eastAsia="zh-CN"/>
        </w:rPr>
        <w:t xml:space="preserve"> </w:t>
      </w:r>
      <w:r w:rsidR="002A3CA3" w:rsidRPr="002A3CA3">
        <w:rPr>
          <w:rFonts w:ascii="Times New Roman" w:hAnsi="Times New Roman" w:cs="Times New Roman"/>
          <w:kern w:val="36"/>
          <w:sz w:val="28"/>
          <w:szCs w:val="28"/>
          <w:lang w:val="kk-KZ" w:eastAsia="zh-CN"/>
        </w:rPr>
        <w:t>[99, p. 217]</w:t>
      </w:r>
      <w:r>
        <w:rPr>
          <w:rFonts w:ascii="Times New Roman" w:hAnsi="Times New Roman" w:cs="Times New Roman"/>
          <w:kern w:val="36"/>
          <w:sz w:val="28"/>
          <w:szCs w:val="28"/>
          <w:lang w:val="kk-KZ" w:eastAsia="zh-CN"/>
        </w:rPr>
        <w:t>.</w:t>
      </w:r>
    </w:p>
    <w:p w14:paraId="60964751" w14:textId="77777777" w:rsidR="004D05DE" w:rsidRPr="00457CE9" w:rsidRDefault="004D05DE" w:rsidP="00457CE9">
      <w:pPr>
        <w:spacing w:after="0" w:line="240" w:lineRule="auto"/>
        <w:ind w:firstLine="709"/>
        <w:jc w:val="both"/>
        <w:rPr>
          <w:rFonts w:ascii="Times New Roman" w:hAnsi="Times New Roman" w:cs="Times New Roman"/>
          <w:sz w:val="28"/>
          <w:szCs w:val="28"/>
          <w:shd w:val="clear" w:color="auto" w:fill="FFFFFF"/>
          <w:lang w:val="kk-KZ" w:eastAsia="zh-CN"/>
        </w:rPr>
      </w:pPr>
    </w:p>
    <w:p w14:paraId="6160294E" w14:textId="65BB78F8" w:rsidR="006A3C25" w:rsidRDefault="006A3C25" w:rsidP="00457CE9">
      <w:pPr>
        <w:spacing w:after="0" w:line="240" w:lineRule="auto"/>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Кесте</w:t>
      </w:r>
      <w:r w:rsidR="00EC13BA" w:rsidRPr="00457CE9">
        <w:rPr>
          <w:rFonts w:ascii="Times New Roman" w:eastAsia="Times New Roman" w:hAnsi="Times New Roman" w:cs="Times New Roman"/>
          <w:kern w:val="36"/>
          <w:sz w:val="28"/>
          <w:szCs w:val="28"/>
          <w:lang w:val="kk-KZ" w:eastAsia="ru-RU"/>
        </w:rPr>
        <w:t xml:space="preserve"> 1</w:t>
      </w:r>
      <w:r w:rsidR="00023296">
        <w:rPr>
          <w:rFonts w:ascii="Times New Roman" w:eastAsia="Times New Roman" w:hAnsi="Times New Roman" w:cs="Times New Roman"/>
          <w:kern w:val="36"/>
          <w:sz w:val="28"/>
          <w:szCs w:val="28"/>
          <w:lang w:val="kk-KZ" w:eastAsia="ru-RU"/>
        </w:rPr>
        <w:t>6</w:t>
      </w:r>
      <w:r w:rsidRPr="00457CE9">
        <w:rPr>
          <w:rFonts w:ascii="Times New Roman" w:eastAsia="Times New Roman" w:hAnsi="Times New Roman" w:cs="Times New Roman"/>
          <w:kern w:val="36"/>
          <w:sz w:val="28"/>
          <w:szCs w:val="28"/>
          <w:lang w:val="kk-KZ" w:eastAsia="ru-RU"/>
        </w:rPr>
        <w:t xml:space="preserve"> – ҚР-да отандық өндірушілермен негізгі азық түліктік өнімдермен 2015-2019 жж. қамтамасыз етілу </w:t>
      </w:r>
      <w:r w:rsidR="00B14A25" w:rsidRPr="00457CE9">
        <w:rPr>
          <w:rFonts w:ascii="Times New Roman" w:eastAsia="Times New Roman" w:hAnsi="Times New Roman" w:cs="Times New Roman"/>
          <w:kern w:val="36"/>
          <w:sz w:val="28"/>
          <w:szCs w:val="28"/>
          <w:lang w:val="kk-KZ" w:eastAsia="ru-RU"/>
        </w:rPr>
        <w:t xml:space="preserve">нақты </w:t>
      </w:r>
      <w:r w:rsidRPr="00457CE9">
        <w:rPr>
          <w:rFonts w:ascii="Times New Roman" w:eastAsia="Times New Roman" w:hAnsi="Times New Roman" w:cs="Times New Roman"/>
          <w:kern w:val="36"/>
          <w:sz w:val="28"/>
          <w:szCs w:val="28"/>
          <w:lang w:val="kk-KZ" w:eastAsia="ru-RU"/>
        </w:rPr>
        <w:t>деңгейі</w:t>
      </w:r>
      <w:r w:rsidR="00B14A25" w:rsidRPr="00457CE9">
        <w:rPr>
          <w:rFonts w:ascii="Times New Roman" w:eastAsia="Times New Roman" w:hAnsi="Times New Roman" w:cs="Times New Roman"/>
          <w:kern w:val="36"/>
          <w:sz w:val="28"/>
          <w:szCs w:val="28"/>
          <w:lang w:val="kk-KZ" w:eastAsia="ru-RU"/>
        </w:rPr>
        <w:t xml:space="preserve"> және 2021-2025 жж. жоспар,</w:t>
      </w:r>
      <w:r w:rsidR="00946DDD">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w:t>
      </w:r>
    </w:p>
    <w:p w14:paraId="7D046EA0" w14:textId="77777777" w:rsidR="00946DDD" w:rsidRPr="00996BD5" w:rsidRDefault="00946DDD" w:rsidP="00457CE9">
      <w:pPr>
        <w:spacing w:after="0" w:line="240" w:lineRule="auto"/>
        <w:jc w:val="both"/>
        <w:textAlignment w:val="baseline"/>
        <w:outlineLvl w:val="0"/>
        <w:rPr>
          <w:rFonts w:ascii="Times New Roman" w:eastAsia="Times New Roman" w:hAnsi="Times New Roman" w:cs="Times New Roman"/>
          <w:kern w:val="36"/>
          <w:sz w:val="16"/>
          <w:szCs w:val="16"/>
          <w:lang w:val="kk-KZ" w:eastAsia="ru-RU"/>
        </w:rPr>
      </w:pPr>
    </w:p>
    <w:tbl>
      <w:tblPr>
        <w:tblStyle w:val="a3"/>
        <w:tblW w:w="0" w:type="auto"/>
        <w:jc w:val="center"/>
        <w:tblLook w:val="04A0" w:firstRow="1" w:lastRow="0" w:firstColumn="1" w:lastColumn="0" w:noHBand="0" w:noVBand="1"/>
      </w:tblPr>
      <w:tblGrid>
        <w:gridCol w:w="2592"/>
        <w:gridCol w:w="703"/>
        <w:gridCol w:w="708"/>
        <w:gridCol w:w="708"/>
        <w:gridCol w:w="708"/>
        <w:gridCol w:w="696"/>
        <w:gridCol w:w="696"/>
        <w:gridCol w:w="696"/>
        <w:gridCol w:w="696"/>
        <w:gridCol w:w="696"/>
        <w:gridCol w:w="696"/>
      </w:tblGrid>
      <w:tr w:rsidR="00946DDD" w:rsidRPr="00996BD5" w14:paraId="69141F9D"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vAlign w:val="center"/>
          </w:tcPr>
          <w:p w14:paraId="216A0115" w14:textId="77777777"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eastAsia="ru-RU"/>
              </w:rPr>
            </w:pPr>
            <w:r w:rsidRPr="00996BD5">
              <w:rPr>
                <w:rFonts w:ascii="Times New Roman" w:eastAsia="Times New Roman" w:hAnsi="Times New Roman" w:cs="Times New Roman"/>
                <w:kern w:val="36"/>
                <w:sz w:val="24"/>
                <w:szCs w:val="24"/>
                <w:lang w:val="kk-KZ" w:eastAsia="ru-RU"/>
              </w:rPr>
              <w:t>Өнім атауы</w:t>
            </w:r>
          </w:p>
        </w:tc>
        <w:tc>
          <w:tcPr>
            <w:tcW w:w="703" w:type="dxa"/>
            <w:tcBorders>
              <w:top w:val="single" w:sz="4" w:space="0" w:color="auto"/>
              <w:left w:val="single" w:sz="4" w:space="0" w:color="auto"/>
              <w:bottom w:val="single" w:sz="4" w:space="0" w:color="auto"/>
              <w:right w:val="single" w:sz="4" w:space="0" w:color="auto"/>
            </w:tcBorders>
            <w:vAlign w:val="center"/>
            <w:hideMark/>
          </w:tcPr>
          <w:p w14:paraId="7AB84490" w14:textId="77777777"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2015 жыл</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2B4286" w14:textId="77777777"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2016 жыл</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A3CC0C" w14:textId="77777777"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2017 жыл</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D7B921" w14:textId="77777777"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2018 жыл</w:t>
            </w:r>
          </w:p>
        </w:tc>
        <w:tc>
          <w:tcPr>
            <w:tcW w:w="696" w:type="dxa"/>
            <w:tcBorders>
              <w:top w:val="single" w:sz="4" w:space="0" w:color="auto"/>
              <w:left w:val="single" w:sz="4" w:space="0" w:color="auto"/>
              <w:bottom w:val="single" w:sz="4" w:space="0" w:color="auto"/>
              <w:right w:val="single" w:sz="4" w:space="0" w:color="auto"/>
            </w:tcBorders>
            <w:vAlign w:val="center"/>
            <w:hideMark/>
          </w:tcPr>
          <w:p w14:paraId="34E61FD9" w14:textId="77777777"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2019 жыл</w:t>
            </w:r>
          </w:p>
        </w:tc>
        <w:tc>
          <w:tcPr>
            <w:tcW w:w="647" w:type="dxa"/>
            <w:tcBorders>
              <w:top w:val="single" w:sz="4" w:space="0" w:color="auto"/>
              <w:left w:val="single" w:sz="4" w:space="0" w:color="auto"/>
              <w:bottom w:val="single" w:sz="4" w:space="0" w:color="auto"/>
              <w:right w:val="single" w:sz="4" w:space="0" w:color="auto"/>
            </w:tcBorders>
            <w:vAlign w:val="center"/>
          </w:tcPr>
          <w:p w14:paraId="55AEAAF9" w14:textId="5A374820"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2021 жыл</w:t>
            </w:r>
          </w:p>
        </w:tc>
        <w:tc>
          <w:tcPr>
            <w:tcW w:w="647" w:type="dxa"/>
            <w:tcBorders>
              <w:top w:val="single" w:sz="4" w:space="0" w:color="auto"/>
              <w:left w:val="single" w:sz="4" w:space="0" w:color="auto"/>
              <w:bottom w:val="single" w:sz="4" w:space="0" w:color="auto"/>
              <w:right w:val="single" w:sz="4" w:space="0" w:color="auto"/>
            </w:tcBorders>
            <w:vAlign w:val="center"/>
          </w:tcPr>
          <w:p w14:paraId="28E1EE2C" w14:textId="15D6D82F"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2022 жыл</w:t>
            </w:r>
          </w:p>
        </w:tc>
        <w:tc>
          <w:tcPr>
            <w:tcW w:w="647" w:type="dxa"/>
            <w:tcBorders>
              <w:top w:val="single" w:sz="4" w:space="0" w:color="auto"/>
              <w:left w:val="single" w:sz="4" w:space="0" w:color="auto"/>
              <w:bottom w:val="single" w:sz="4" w:space="0" w:color="auto"/>
              <w:right w:val="single" w:sz="4" w:space="0" w:color="auto"/>
            </w:tcBorders>
            <w:vAlign w:val="center"/>
          </w:tcPr>
          <w:p w14:paraId="7E7ACE0B" w14:textId="6E302D68"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2023 жыл</w:t>
            </w:r>
          </w:p>
        </w:tc>
        <w:tc>
          <w:tcPr>
            <w:tcW w:w="647" w:type="dxa"/>
            <w:tcBorders>
              <w:top w:val="single" w:sz="4" w:space="0" w:color="auto"/>
              <w:left w:val="single" w:sz="4" w:space="0" w:color="auto"/>
              <w:bottom w:val="single" w:sz="4" w:space="0" w:color="auto"/>
              <w:right w:val="single" w:sz="4" w:space="0" w:color="auto"/>
            </w:tcBorders>
            <w:vAlign w:val="center"/>
          </w:tcPr>
          <w:p w14:paraId="483F87D0" w14:textId="494AE0AC"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2024 жыл</w:t>
            </w:r>
          </w:p>
        </w:tc>
        <w:tc>
          <w:tcPr>
            <w:tcW w:w="647" w:type="dxa"/>
            <w:tcBorders>
              <w:top w:val="single" w:sz="4" w:space="0" w:color="auto"/>
              <w:left w:val="single" w:sz="4" w:space="0" w:color="auto"/>
              <w:bottom w:val="single" w:sz="4" w:space="0" w:color="auto"/>
              <w:right w:val="single" w:sz="4" w:space="0" w:color="auto"/>
            </w:tcBorders>
            <w:vAlign w:val="center"/>
            <w:hideMark/>
          </w:tcPr>
          <w:p w14:paraId="7B60A138" w14:textId="2B9CB479" w:rsidR="00946DDD" w:rsidRPr="00996BD5" w:rsidRDefault="00946DDD" w:rsidP="00996BD5">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2025 жыл</w:t>
            </w:r>
          </w:p>
        </w:tc>
      </w:tr>
      <w:tr w:rsidR="00946DDD" w:rsidRPr="00996BD5" w14:paraId="2BC5BAC2"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5F428145" w14:textId="77777777" w:rsidR="00946DDD" w:rsidRPr="00996BD5" w:rsidRDefault="00946DDD"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 xml:space="preserve">Алмалар </w:t>
            </w:r>
          </w:p>
        </w:tc>
        <w:tc>
          <w:tcPr>
            <w:tcW w:w="703" w:type="dxa"/>
            <w:tcBorders>
              <w:top w:val="single" w:sz="4" w:space="0" w:color="auto"/>
              <w:left w:val="single" w:sz="4" w:space="0" w:color="auto"/>
              <w:bottom w:val="single" w:sz="4" w:space="0" w:color="auto"/>
              <w:right w:val="single" w:sz="4" w:space="0" w:color="auto"/>
            </w:tcBorders>
            <w:vAlign w:val="center"/>
            <w:hideMark/>
          </w:tcPr>
          <w:p w14:paraId="15662DC1"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48,4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F5F7FE"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378B8F"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59,4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F1E74F"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69,5</w:t>
            </w:r>
          </w:p>
        </w:tc>
        <w:tc>
          <w:tcPr>
            <w:tcW w:w="696" w:type="dxa"/>
            <w:tcBorders>
              <w:top w:val="single" w:sz="4" w:space="0" w:color="auto"/>
              <w:left w:val="single" w:sz="4" w:space="0" w:color="auto"/>
              <w:bottom w:val="single" w:sz="4" w:space="0" w:color="auto"/>
              <w:right w:val="single" w:sz="4" w:space="0" w:color="auto"/>
            </w:tcBorders>
            <w:vAlign w:val="center"/>
            <w:hideMark/>
          </w:tcPr>
          <w:p w14:paraId="1A438D01"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62,9</w:t>
            </w:r>
          </w:p>
        </w:tc>
        <w:tc>
          <w:tcPr>
            <w:tcW w:w="647" w:type="dxa"/>
            <w:tcBorders>
              <w:top w:val="single" w:sz="4" w:space="0" w:color="auto"/>
              <w:left w:val="single" w:sz="4" w:space="0" w:color="auto"/>
              <w:bottom w:val="single" w:sz="4" w:space="0" w:color="auto"/>
              <w:right w:val="single" w:sz="4" w:space="0" w:color="auto"/>
            </w:tcBorders>
          </w:tcPr>
          <w:p w14:paraId="5C1394B6" w14:textId="589A03EB"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w:t>
            </w:r>
          </w:p>
        </w:tc>
        <w:tc>
          <w:tcPr>
            <w:tcW w:w="647" w:type="dxa"/>
            <w:tcBorders>
              <w:top w:val="single" w:sz="4" w:space="0" w:color="auto"/>
              <w:left w:val="single" w:sz="4" w:space="0" w:color="auto"/>
              <w:bottom w:val="single" w:sz="4" w:space="0" w:color="auto"/>
              <w:right w:val="single" w:sz="4" w:space="0" w:color="auto"/>
            </w:tcBorders>
          </w:tcPr>
          <w:p w14:paraId="763CE3CE" w14:textId="27953B9E"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88</w:t>
            </w:r>
          </w:p>
        </w:tc>
        <w:tc>
          <w:tcPr>
            <w:tcW w:w="647" w:type="dxa"/>
            <w:tcBorders>
              <w:top w:val="single" w:sz="4" w:space="0" w:color="auto"/>
              <w:left w:val="single" w:sz="4" w:space="0" w:color="auto"/>
              <w:bottom w:val="single" w:sz="4" w:space="0" w:color="auto"/>
              <w:right w:val="single" w:sz="4" w:space="0" w:color="auto"/>
            </w:tcBorders>
          </w:tcPr>
          <w:p w14:paraId="18FC3FF0" w14:textId="231CEFCC"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202D9575" w14:textId="29C9F569"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2C8527E5" w14:textId="3067F2F6"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r>
      <w:tr w:rsidR="00946DDD" w:rsidRPr="00996BD5" w14:paraId="162EBEB2"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505FE16F" w14:textId="77777777" w:rsidR="00946DDD" w:rsidRPr="00996BD5" w:rsidRDefault="00946DDD"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Құс еті</w:t>
            </w:r>
          </w:p>
        </w:tc>
        <w:tc>
          <w:tcPr>
            <w:tcW w:w="703" w:type="dxa"/>
            <w:tcBorders>
              <w:top w:val="single" w:sz="4" w:space="0" w:color="auto"/>
              <w:left w:val="single" w:sz="4" w:space="0" w:color="auto"/>
              <w:bottom w:val="single" w:sz="4" w:space="0" w:color="auto"/>
              <w:right w:val="single" w:sz="4" w:space="0" w:color="auto"/>
            </w:tcBorders>
            <w:vAlign w:val="center"/>
            <w:hideMark/>
          </w:tcPr>
          <w:p w14:paraId="095842D5"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48,9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08A140"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49,4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1ECCBF"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A19394"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51,2</w:t>
            </w:r>
          </w:p>
        </w:tc>
        <w:tc>
          <w:tcPr>
            <w:tcW w:w="696" w:type="dxa"/>
            <w:tcBorders>
              <w:top w:val="single" w:sz="4" w:space="0" w:color="auto"/>
              <w:left w:val="single" w:sz="4" w:space="0" w:color="auto"/>
              <w:bottom w:val="single" w:sz="4" w:space="0" w:color="auto"/>
              <w:right w:val="single" w:sz="4" w:space="0" w:color="auto"/>
            </w:tcBorders>
            <w:vAlign w:val="center"/>
            <w:hideMark/>
          </w:tcPr>
          <w:p w14:paraId="41A76696"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58,3</w:t>
            </w:r>
          </w:p>
        </w:tc>
        <w:tc>
          <w:tcPr>
            <w:tcW w:w="647" w:type="dxa"/>
            <w:tcBorders>
              <w:top w:val="single" w:sz="4" w:space="0" w:color="auto"/>
              <w:left w:val="single" w:sz="4" w:space="0" w:color="auto"/>
              <w:bottom w:val="single" w:sz="4" w:space="0" w:color="auto"/>
              <w:right w:val="single" w:sz="4" w:space="0" w:color="auto"/>
            </w:tcBorders>
          </w:tcPr>
          <w:p w14:paraId="0BA04DFC" w14:textId="28281EF5"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75</w:t>
            </w:r>
          </w:p>
        </w:tc>
        <w:tc>
          <w:tcPr>
            <w:tcW w:w="647" w:type="dxa"/>
            <w:tcBorders>
              <w:top w:val="single" w:sz="4" w:space="0" w:color="auto"/>
              <w:left w:val="single" w:sz="4" w:space="0" w:color="auto"/>
              <w:bottom w:val="single" w:sz="4" w:space="0" w:color="auto"/>
              <w:right w:val="single" w:sz="4" w:space="0" w:color="auto"/>
            </w:tcBorders>
          </w:tcPr>
          <w:p w14:paraId="1FDC6503" w14:textId="2638592C"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89</w:t>
            </w:r>
          </w:p>
        </w:tc>
        <w:tc>
          <w:tcPr>
            <w:tcW w:w="647" w:type="dxa"/>
            <w:tcBorders>
              <w:top w:val="single" w:sz="4" w:space="0" w:color="auto"/>
              <w:left w:val="single" w:sz="4" w:space="0" w:color="auto"/>
              <w:bottom w:val="single" w:sz="4" w:space="0" w:color="auto"/>
              <w:right w:val="single" w:sz="4" w:space="0" w:color="auto"/>
            </w:tcBorders>
          </w:tcPr>
          <w:p w14:paraId="651BDADC" w14:textId="5AC1C15A"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78A821A7" w14:textId="43D87F3B"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4E176FD1" w14:textId="1EE095F8"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r>
      <w:tr w:rsidR="00946DDD" w:rsidRPr="00996BD5" w14:paraId="391BFD93"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7FECA0FF" w14:textId="77777777" w:rsidR="00946DDD" w:rsidRPr="00996BD5" w:rsidRDefault="00946DDD"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Шұжық өнімдері</w:t>
            </w:r>
          </w:p>
        </w:tc>
        <w:tc>
          <w:tcPr>
            <w:tcW w:w="703" w:type="dxa"/>
            <w:tcBorders>
              <w:top w:val="single" w:sz="4" w:space="0" w:color="auto"/>
              <w:left w:val="single" w:sz="4" w:space="0" w:color="auto"/>
              <w:bottom w:val="single" w:sz="4" w:space="0" w:color="auto"/>
              <w:right w:val="single" w:sz="4" w:space="0" w:color="auto"/>
            </w:tcBorders>
            <w:vAlign w:val="center"/>
            <w:hideMark/>
          </w:tcPr>
          <w:p w14:paraId="33E951F8"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55,1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FA7056"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59,5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B45388"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59,7</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F55C66"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61,1</w:t>
            </w:r>
          </w:p>
        </w:tc>
        <w:tc>
          <w:tcPr>
            <w:tcW w:w="696" w:type="dxa"/>
            <w:tcBorders>
              <w:top w:val="single" w:sz="4" w:space="0" w:color="auto"/>
              <w:left w:val="single" w:sz="4" w:space="0" w:color="auto"/>
              <w:bottom w:val="single" w:sz="4" w:space="0" w:color="auto"/>
              <w:right w:val="single" w:sz="4" w:space="0" w:color="auto"/>
            </w:tcBorders>
            <w:vAlign w:val="center"/>
            <w:hideMark/>
          </w:tcPr>
          <w:p w14:paraId="29E6A6A6" w14:textId="7777777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62,0</w:t>
            </w:r>
          </w:p>
        </w:tc>
        <w:tc>
          <w:tcPr>
            <w:tcW w:w="647" w:type="dxa"/>
            <w:tcBorders>
              <w:top w:val="single" w:sz="4" w:space="0" w:color="auto"/>
              <w:left w:val="single" w:sz="4" w:space="0" w:color="auto"/>
              <w:bottom w:val="single" w:sz="4" w:space="0" w:color="auto"/>
              <w:right w:val="single" w:sz="4" w:space="0" w:color="auto"/>
            </w:tcBorders>
          </w:tcPr>
          <w:p w14:paraId="19C2826E" w14:textId="562387C4"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70</w:t>
            </w:r>
          </w:p>
        </w:tc>
        <w:tc>
          <w:tcPr>
            <w:tcW w:w="647" w:type="dxa"/>
            <w:tcBorders>
              <w:top w:val="single" w:sz="4" w:space="0" w:color="auto"/>
              <w:left w:val="single" w:sz="4" w:space="0" w:color="auto"/>
              <w:bottom w:val="single" w:sz="4" w:space="0" w:color="auto"/>
              <w:right w:val="single" w:sz="4" w:space="0" w:color="auto"/>
            </w:tcBorders>
          </w:tcPr>
          <w:p w14:paraId="5612872F" w14:textId="2C1C3D86"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85</w:t>
            </w:r>
          </w:p>
        </w:tc>
        <w:tc>
          <w:tcPr>
            <w:tcW w:w="647" w:type="dxa"/>
            <w:tcBorders>
              <w:top w:val="single" w:sz="4" w:space="0" w:color="auto"/>
              <w:left w:val="single" w:sz="4" w:space="0" w:color="auto"/>
              <w:bottom w:val="single" w:sz="4" w:space="0" w:color="auto"/>
              <w:right w:val="single" w:sz="4" w:space="0" w:color="auto"/>
            </w:tcBorders>
          </w:tcPr>
          <w:p w14:paraId="1FD8EC05" w14:textId="527116EB"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5FE33C67" w14:textId="6395DC37"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1093EFDF" w14:textId="28E61354" w:rsidR="00946DDD" w:rsidRPr="00996BD5" w:rsidRDefault="00946DDD"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r>
      <w:tr w:rsidR="00996BD5" w:rsidRPr="00996BD5" w14:paraId="60AE7925"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6441685B" w14:textId="77777777" w:rsidR="00996BD5" w:rsidRPr="00996BD5" w:rsidRDefault="00996BD5"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Сары май</w:t>
            </w:r>
          </w:p>
        </w:tc>
        <w:tc>
          <w:tcPr>
            <w:tcW w:w="703" w:type="dxa"/>
            <w:tcBorders>
              <w:top w:val="single" w:sz="4" w:space="0" w:color="auto"/>
              <w:left w:val="single" w:sz="4" w:space="0" w:color="auto"/>
              <w:bottom w:val="single" w:sz="4" w:space="0" w:color="auto"/>
              <w:right w:val="single" w:sz="4" w:space="0" w:color="auto"/>
            </w:tcBorders>
            <w:vAlign w:val="center"/>
            <w:hideMark/>
          </w:tcPr>
          <w:p w14:paraId="3C4D4533"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78,7</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6493B5"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64,9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839351"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73,8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B78156"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78,8</w:t>
            </w:r>
          </w:p>
        </w:tc>
        <w:tc>
          <w:tcPr>
            <w:tcW w:w="696" w:type="dxa"/>
            <w:tcBorders>
              <w:top w:val="single" w:sz="4" w:space="0" w:color="auto"/>
              <w:left w:val="single" w:sz="4" w:space="0" w:color="auto"/>
              <w:bottom w:val="single" w:sz="4" w:space="0" w:color="auto"/>
              <w:right w:val="single" w:sz="4" w:space="0" w:color="auto"/>
            </w:tcBorders>
            <w:vAlign w:val="center"/>
            <w:hideMark/>
          </w:tcPr>
          <w:p w14:paraId="20E9A433"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93,1</w:t>
            </w:r>
          </w:p>
        </w:tc>
        <w:tc>
          <w:tcPr>
            <w:tcW w:w="647" w:type="dxa"/>
            <w:tcBorders>
              <w:top w:val="single" w:sz="4" w:space="0" w:color="auto"/>
              <w:left w:val="single" w:sz="4" w:space="0" w:color="auto"/>
              <w:bottom w:val="single" w:sz="4" w:space="0" w:color="auto"/>
              <w:right w:val="single" w:sz="4" w:space="0" w:color="auto"/>
            </w:tcBorders>
          </w:tcPr>
          <w:p w14:paraId="7B3670A0" w14:textId="57891C06"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728B938C" w14:textId="04CEEB1C"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6FA85193" w14:textId="111E3F42"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274E6E03" w14:textId="506D6F4A"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3E4CF7D8" w14:textId="11533916"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r>
      <w:tr w:rsidR="00996BD5" w:rsidRPr="00996BD5" w14:paraId="6A519990"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30409257" w14:textId="77777777" w:rsidR="00996BD5" w:rsidRPr="00996BD5" w:rsidRDefault="00996BD5"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Ірімшік және сүзбе</w:t>
            </w:r>
          </w:p>
        </w:tc>
        <w:tc>
          <w:tcPr>
            <w:tcW w:w="703" w:type="dxa"/>
            <w:tcBorders>
              <w:top w:val="single" w:sz="4" w:space="0" w:color="auto"/>
              <w:left w:val="single" w:sz="4" w:space="0" w:color="auto"/>
              <w:bottom w:val="single" w:sz="4" w:space="0" w:color="auto"/>
              <w:right w:val="single" w:sz="4" w:space="0" w:color="auto"/>
            </w:tcBorders>
            <w:vAlign w:val="center"/>
            <w:hideMark/>
          </w:tcPr>
          <w:p w14:paraId="383ADD1C"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415C47"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55,6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7DF937"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58,9</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CEA2A0"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58,4</w:t>
            </w:r>
          </w:p>
        </w:tc>
        <w:tc>
          <w:tcPr>
            <w:tcW w:w="696" w:type="dxa"/>
            <w:tcBorders>
              <w:top w:val="single" w:sz="4" w:space="0" w:color="auto"/>
              <w:left w:val="single" w:sz="4" w:space="0" w:color="auto"/>
              <w:bottom w:val="single" w:sz="4" w:space="0" w:color="auto"/>
              <w:right w:val="single" w:sz="4" w:space="0" w:color="auto"/>
            </w:tcBorders>
            <w:vAlign w:val="center"/>
            <w:hideMark/>
          </w:tcPr>
          <w:p w14:paraId="3041A07A"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57,0</w:t>
            </w:r>
          </w:p>
        </w:tc>
        <w:tc>
          <w:tcPr>
            <w:tcW w:w="647" w:type="dxa"/>
            <w:tcBorders>
              <w:top w:val="single" w:sz="4" w:space="0" w:color="auto"/>
              <w:left w:val="single" w:sz="4" w:space="0" w:color="auto"/>
              <w:bottom w:val="single" w:sz="4" w:space="0" w:color="auto"/>
              <w:right w:val="single" w:sz="4" w:space="0" w:color="auto"/>
            </w:tcBorders>
          </w:tcPr>
          <w:p w14:paraId="3CF80311" w14:textId="4204E62D"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70</w:t>
            </w:r>
          </w:p>
        </w:tc>
        <w:tc>
          <w:tcPr>
            <w:tcW w:w="647" w:type="dxa"/>
            <w:tcBorders>
              <w:top w:val="single" w:sz="4" w:space="0" w:color="auto"/>
              <w:left w:val="single" w:sz="4" w:space="0" w:color="auto"/>
              <w:bottom w:val="single" w:sz="4" w:space="0" w:color="auto"/>
              <w:right w:val="single" w:sz="4" w:space="0" w:color="auto"/>
            </w:tcBorders>
          </w:tcPr>
          <w:p w14:paraId="119A72AE" w14:textId="50FF1793"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w:t>
            </w:r>
          </w:p>
        </w:tc>
        <w:tc>
          <w:tcPr>
            <w:tcW w:w="647" w:type="dxa"/>
            <w:tcBorders>
              <w:top w:val="single" w:sz="4" w:space="0" w:color="auto"/>
              <w:left w:val="single" w:sz="4" w:space="0" w:color="auto"/>
              <w:bottom w:val="single" w:sz="4" w:space="0" w:color="auto"/>
              <w:right w:val="single" w:sz="4" w:space="0" w:color="auto"/>
            </w:tcBorders>
          </w:tcPr>
          <w:p w14:paraId="6D2E25F8" w14:textId="65384A53"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1E73941B" w14:textId="072E0566"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60B645AE" w14:textId="1D8034E4"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r>
      <w:tr w:rsidR="00996BD5" w:rsidRPr="00996BD5" w14:paraId="57A51883"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74AF0127" w14:textId="77777777" w:rsidR="00996BD5" w:rsidRPr="00996BD5" w:rsidRDefault="00996BD5"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Өсімдік майы</w:t>
            </w:r>
          </w:p>
        </w:tc>
        <w:tc>
          <w:tcPr>
            <w:tcW w:w="703" w:type="dxa"/>
            <w:tcBorders>
              <w:top w:val="single" w:sz="4" w:space="0" w:color="auto"/>
              <w:left w:val="single" w:sz="4" w:space="0" w:color="auto"/>
              <w:bottom w:val="single" w:sz="4" w:space="0" w:color="auto"/>
              <w:right w:val="single" w:sz="4" w:space="0" w:color="auto"/>
            </w:tcBorders>
            <w:vAlign w:val="center"/>
            <w:hideMark/>
          </w:tcPr>
          <w:p w14:paraId="78CC28B4"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71,2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428530"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FC6FC2"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88,8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583FD7"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94,8</w:t>
            </w:r>
          </w:p>
        </w:tc>
        <w:tc>
          <w:tcPr>
            <w:tcW w:w="696" w:type="dxa"/>
            <w:tcBorders>
              <w:top w:val="single" w:sz="4" w:space="0" w:color="auto"/>
              <w:left w:val="single" w:sz="4" w:space="0" w:color="auto"/>
              <w:bottom w:val="single" w:sz="4" w:space="0" w:color="auto"/>
              <w:right w:val="single" w:sz="4" w:space="0" w:color="auto"/>
            </w:tcBorders>
            <w:vAlign w:val="center"/>
            <w:hideMark/>
          </w:tcPr>
          <w:p w14:paraId="4095F731"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93,6</w:t>
            </w:r>
          </w:p>
        </w:tc>
        <w:tc>
          <w:tcPr>
            <w:tcW w:w="647" w:type="dxa"/>
            <w:tcBorders>
              <w:top w:val="single" w:sz="4" w:space="0" w:color="auto"/>
              <w:left w:val="single" w:sz="4" w:space="0" w:color="auto"/>
              <w:bottom w:val="single" w:sz="4" w:space="0" w:color="auto"/>
              <w:right w:val="single" w:sz="4" w:space="0" w:color="auto"/>
            </w:tcBorders>
          </w:tcPr>
          <w:p w14:paraId="178FC1EA" w14:textId="3B884FE2"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010EFA84" w14:textId="40C1B43E"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36AD3886" w14:textId="622C91A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2E5E4AB8" w14:textId="62DC996B"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47" w:type="dxa"/>
            <w:tcBorders>
              <w:top w:val="single" w:sz="4" w:space="0" w:color="auto"/>
              <w:left w:val="single" w:sz="4" w:space="0" w:color="auto"/>
              <w:bottom w:val="single" w:sz="4" w:space="0" w:color="auto"/>
              <w:right w:val="single" w:sz="4" w:space="0" w:color="auto"/>
            </w:tcBorders>
          </w:tcPr>
          <w:p w14:paraId="5438F5B5" w14:textId="43F69156"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r>
      <w:tr w:rsidR="00996BD5" w:rsidRPr="00996BD5" w14:paraId="7DFC4323"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640AEE8D" w14:textId="77777777" w:rsidR="00996BD5" w:rsidRPr="00996BD5" w:rsidRDefault="00996BD5" w:rsidP="00457CE9">
            <w:pP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 xml:space="preserve">Қант </w:t>
            </w:r>
          </w:p>
        </w:tc>
        <w:tc>
          <w:tcPr>
            <w:tcW w:w="703" w:type="dxa"/>
            <w:tcBorders>
              <w:top w:val="single" w:sz="4" w:space="0" w:color="auto"/>
              <w:left w:val="single" w:sz="4" w:space="0" w:color="auto"/>
              <w:bottom w:val="single" w:sz="4" w:space="0" w:color="auto"/>
              <w:right w:val="single" w:sz="4" w:space="0" w:color="auto"/>
            </w:tcBorders>
            <w:vAlign w:val="center"/>
            <w:hideMark/>
          </w:tcPr>
          <w:p w14:paraId="126E952E"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5DC626"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8781BD"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69,0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88F2A6"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54,4</w:t>
            </w:r>
          </w:p>
        </w:tc>
        <w:tc>
          <w:tcPr>
            <w:tcW w:w="696" w:type="dxa"/>
            <w:tcBorders>
              <w:top w:val="single" w:sz="4" w:space="0" w:color="auto"/>
              <w:left w:val="single" w:sz="4" w:space="0" w:color="auto"/>
              <w:bottom w:val="single" w:sz="4" w:space="0" w:color="auto"/>
              <w:right w:val="single" w:sz="4" w:space="0" w:color="auto"/>
            </w:tcBorders>
            <w:vAlign w:val="center"/>
            <w:hideMark/>
          </w:tcPr>
          <w:p w14:paraId="40D18C9E"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46,6</w:t>
            </w:r>
          </w:p>
        </w:tc>
        <w:tc>
          <w:tcPr>
            <w:tcW w:w="647" w:type="dxa"/>
            <w:tcBorders>
              <w:top w:val="single" w:sz="4" w:space="0" w:color="auto"/>
              <w:left w:val="single" w:sz="4" w:space="0" w:color="auto"/>
              <w:bottom w:val="single" w:sz="4" w:space="0" w:color="auto"/>
              <w:right w:val="single" w:sz="4" w:space="0" w:color="auto"/>
            </w:tcBorders>
          </w:tcPr>
          <w:p w14:paraId="2F441264" w14:textId="776D62FF"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65</w:t>
            </w:r>
          </w:p>
        </w:tc>
        <w:tc>
          <w:tcPr>
            <w:tcW w:w="647" w:type="dxa"/>
            <w:tcBorders>
              <w:top w:val="single" w:sz="4" w:space="0" w:color="auto"/>
              <w:left w:val="single" w:sz="4" w:space="0" w:color="auto"/>
              <w:bottom w:val="single" w:sz="4" w:space="0" w:color="auto"/>
              <w:right w:val="single" w:sz="4" w:space="0" w:color="auto"/>
            </w:tcBorders>
          </w:tcPr>
          <w:p w14:paraId="618258F9" w14:textId="3A7BBEEF"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70</w:t>
            </w:r>
          </w:p>
        </w:tc>
        <w:tc>
          <w:tcPr>
            <w:tcW w:w="647" w:type="dxa"/>
            <w:tcBorders>
              <w:top w:val="single" w:sz="4" w:space="0" w:color="auto"/>
              <w:left w:val="single" w:sz="4" w:space="0" w:color="auto"/>
              <w:bottom w:val="single" w:sz="4" w:space="0" w:color="auto"/>
              <w:right w:val="single" w:sz="4" w:space="0" w:color="auto"/>
            </w:tcBorders>
          </w:tcPr>
          <w:p w14:paraId="609C2FB5" w14:textId="385898B0"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w:t>
            </w:r>
          </w:p>
        </w:tc>
        <w:tc>
          <w:tcPr>
            <w:tcW w:w="647" w:type="dxa"/>
            <w:tcBorders>
              <w:top w:val="single" w:sz="4" w:space="0" w:color="auto"/>
              <w:left w:val="single" w:sz="4" w:space="0" w:color="auto"/>
              <w:bottom w:val="single" w:sz="4" w:space="0" w:color="auto"/>
              <w:right w:val="single" w:sz="4" w:space="0" w:color="auto"/>
            </w:tcBorders>
          </w:tcPr>
          <w:p w14:paraId="62DF1821" w14:textId="0B91BE40"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w:t>
            </w:r>
          </w:p>
        </w:tc>
        <w:tc>
          <w:tcPr>
            <w:tcW w:w="647" w:type="dxa"/>
            <w:tcBorders>
              <w:top w:val="single" w:sz="4" w:space="0" w:color="auto"/>
              <w:left w:val="single" w:sz="4" w:space="0" w:color="auto"/>
              <w:bottom w:val="single" w:sz="4" w:space="0" w:color="auto"/>
              <w:right w:val="single" w:sz="4" w:space="0" w:color="auto"/>
            </w:tcBorders>
          </w:tcPr>
          <w:p w14:paraId="420C59B9" w14:textId="5A79CB38"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w:t>
            </w:r>
          </w:p>
        </w:tc>
      </w:tr>
      <w:tr w:rsidR="00996BD5" w:rsidRPr="00996BD5" w14:paraId="0F871AAE" w14:textId="77777777" w:rsidTr="00996BD5">
        <w:trPr>
          <w:jc w:val="center"/>
        </w:trPr>
        <w:tc>
          <w:tcPr>
            <w:tcW w:w="2592" w:type="dxa"/>
            <w:tcBorders>
              <w:top w:val="single" w:sz="4" w:space="0" w:color="auto"/>
              <w:left w:val="single" w:sz="4" w:space="0" w:color="auto"/>
              <w:bottom w:val="single" w:sz="4" w:space="0" w:color="auto"/>
              <w:right w:val="single" w:sz="4" w:space="0" w:color="auto"/>
            </w:tcBorders>
          </w:tcPr>
          <w:p w14:paraId="4B91E9DC" w14:textId="77777777" w:rsidR="00996BD5" w:rsidRPr="00996BD5" w:rsidRDefault="00996BD5" w:rsidP="00457CE9">
            <w:pPr>
              <w:textAlignment w:val="baseline"/>
              <w:outlineLvl w:val="0"/>
              <w:rPr>
                <w:rFonts w:ascii="Times New Roman" w:eastAsia="Times New Roman" w:hAnsi="Times New Roman" w:cs="Times New Roman"/>
                <w:kern w:val="36"/>
                <w:sz w:val="24"/>
                <w:szCs w:val="24"/>
                <w:lang w:eastAsia="ru-RU"/>
              </w:rPr>
            </w:pPr>
            <w:r w:rsidRPr="00996BD5">
              <w:rPr>
                <w:rFonts w:ascii="Times New Roman" w:eastAsia="Times New Roman" w:hAnsi="Times New Roman" w:cs="Times New Roman"/>
                <w:kern w:val="36"/>
                <w:sz w:val="24"/>
                <w:szCs w:val="24"/>
                <w:lang w:val="kk-KZ" w:eastAsia="ru-RU"/>
              </w:rPr>
              <w:t xml:space="preserve">Балық </w:t>
            </w:r>
          </w:p>
        </w:tc>
        <w:tc>
          <w:tcPr>
            <w:tcW w:w="703" w:type="dxa"/>
            <w:tcBorders>
              <w:top w:val="single" w:sz="4" w:space="0" w:color="auto"/>
              <w:left w:val="single" w:sz="4" w:space="0" w:color="auto"/>
              <w:bottom w:val="single" w:sz="4" w:space="0" w:color="auto"/>
              <w:right w:val="single" w:sz="4" w:space="0" w:color="auto"/>
            </w:tcBorders>
            <w:vAlign w:val="center"/>
            <w:hideMark/>
          </w:tcPr>
          <w:p w14:paraId="37C5750A"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57,2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27CB7D"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62,4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B63F7E"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66,8</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AEB0BE"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w:t>
            </w:r>
          </w:p>
        </w:tc>
        <w:tc>
          <w:tcPr>
            <w:tcW w:w="696" w:type="dxa"/>
            <w:tcBorders>
              <w:top w:val="single" w:sz="4" w:space="0" w:color="auto"/>
              <w:left w:val="single" w:sz="4" w:space="0" w:color="auto"/>
              <w:bottom w:val="single" w:sz="4" w:space="0" w:color="auto"/>
              <w:right w:val="single" w:sz="4" w:space="0" w:color="auto"/>
            </w:tcBorders>
            <w:vAlign w:val="center"/>
            <w:hideMark/>
          </w:tcPr>
          <w:p w14:paraId="04BF5F6A" w14:textId="77777777"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60,8</w:t>
            </w:r>
          </w:p>
        </w:tc>
        <w:tc>
          <w:tcPr>
            <w:tcW w:w="647" w:type="dxa"/>
            <w:tcBorders>
              <w:top w:val="single" w:sz="4" w:space="0" w:color="auto"/>
              <w:left w:val="single" w:sz="4" w:space="0" w:color="auto"/>
              <w:bottom w:val="single" w:sz="4" w:space="0" w:color="auto"/>
              <w:right w:val="single" w:sz="4" w:space="0" w:color="auto"/>
            </w:tcBorders>
          </w:tcPr>
          <w:p w14:paraId="57055B61" w14:textId="39E664D1"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75</w:t>
            </w:r>
          </w:p>
        </w:tc>
        <w:tc>
          <w:tcPr>
            <w:tcW w:w="647" w:type="dxa"/>
            <w:tcBorders>
              <w:top w:val="single" w:sz="4" w:space="0" w:color="auto"/>
              <w:left w:val="single" w:sz="4" w:space="0" w:color="auto"/>
              <w:bottom w:val="single" w:sz="4" w:space="0" w:color="auto"/>
              <w:right w:val="single" w:sz="4" w:space="0" w:color="auto"/>
            </w:tcBorders>
          </w:tcPr>
          <w:p w14:paraId="038F79CD" w14:textId="56B66756"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80</w:t>
            </w:r>
          </w:p>
        </w:tc>
        <w:tc>
          <w:tcPr>
            <w:tcW w:w="647" w:type="dxa"/>
            <w:tcBorders>
              <w:top w:val="single" w:sz="4" w:space="0" w:color="auto"/>
              <w:left w:val="single" w:sz="4" w:space="0" w:color="auto"/>
              <w:bottom w:val="single" w:sz="4" w:space="0" w:color="auto"/>
              <w:right w:val="single" w:sz="4" w:space="0" w:color="auto"/>
            </w:tcBorders>
          </w:tcPr>
          <w:p w14:paraId="32404D9E" w14:textId="2EA73E09"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67EE7D50" w14:textId="713C4675"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c>
          <w:tcPr>
            <w:tcW w:w="647" w:type="dxa"/>
            <w:tcBorders>
              <w:top w:val="single" w:sz="4" w:space="0" w:color="auto"/>
              <w:left w:val="single" w:sz="4" w:space="0" w:color="auto"/>
              <w:bottom w:val="single" w:sz="4" w:space="0" w:color="auto"/>
              <w:right w:val="single" w:sz="4" w:space="0" w:color="auto"/>
            </w:tcBorders>
          </w:tcPr>
          <w:p w14:paraId="3CBC18AF" w14:textId="0D760C9F" w:rsidR="00996BD5" w:rsidRPr="00996BD5" w:rsidRDefault="00996BD5" w:rsidP="00457CE9">
            <w:pPr>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100</w:t>
            </w:r>
          </w:p>
        </w:tc>
      </w:tr>
      <w:tr w:rsidR="00E70D7B" w:rsidRPr="00996BD5" w14:paraId="7D4D060A" w14:textId="77777777" w:rsidTr="00996BD5">
        <w:trPr>
          <w:jc w:val="center"/>
        </w:trPr>
        <w:tc>
          <w:tcPr>
            <w:tcW w:w="9350" w:type="dxa"/>
            <w:gridSpan w:val="11"/>
            <w:tcBorders>
              <w:top w:val="single" w:sz="4" w:space="0" w:color="auto"/>
              <w:left w:val="single" w:sz="4" w:space="0" w:color="auto"/>
              <w:bottom w:val="single" w:sz="4" w:space="0" w:color="auto"/>
              <w:right w:val="single" w:sz="4" w:space="0" w:color="auto"/>
            </w:tcBorders>
          </w:tcPr>
          <w:p w14:paraId="0005E5C9" w14:textId="55A4DA37" w:rsidR="00E9641C" w:rsidRPr="00996BD5" w:rsidRDefault="00996BD5" w:rsidP="00996BD5">
            <w:pPr>
              <w:ind w:firstLine="567"/>
              <w:textAlignment w:val="baseline"/>
              <w:outlineLvl w:val="0"/>
              <w:rPr>
                <w:rFonts w:ascii="Times New Roman" w:eastAsia="Times New Roman" w:hAnsi="Times New Roman" w:cs="Times New Roman"/>
                <w:kern w:val="36"/>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B004CF" w:rsidRPr="00996BD5">
              <w:rPr>
                <w:rFonts w:ascii="Times New Roman" w:hAnsi="Times New Roman" w:cs="Times New Roman"/>
                <w:sz w:val="24"/>
                <w:szCs w:val="24"/>
                <w:shd w:val="clear" w:color="auto" w:fill="FFFFFF"/>
              </w:rPr>
              <w:t xml:space="preserve"> [</w:t>
            </w:r>
            <w:r w:rsidR="004D05DE">
              <w:rPr>
                <w:rFonts w:ascii="Times New Roman" w:hAnsi="Times New Roman" w:cs="Times New Roman"/>
                <w:sz w:val="24"/>
                <w:szCs w:val="24"/>
                <w:shd w:val="clear" w:color="auto" w:fill="FFFFFF"/>
                <w:lang w:val="kk-KZ"/>
              </w:rPr>
              <w:t>99</w:t>
            </w:r>
            <w:r w:rsidR="002A3CA3">
              <w:rPr>
                <w:rFonts w:ascii="Times New Roman" w:hAnsi="Times New Roman" w:cs="Times New Roman"/>
                <w:sz w:val="24"/>
                <w:szCs w:val="24"/>
                <w:shd w:val="clear" w:color="auto" w:fill="FFFFFF"/>
                <w:lang w:val="kk-KZ"/>
              </w:rPr>
              <w:t>, р. 215</w:t>
            </w:r>
            <w:r w:rsidR="00B004CF" w:rsidRPr="00996BD5">
              <w:rPr>
                <w:rFonts w:ascii="Times New Roman" w:hAnsi="Times New Roman" w:cs="Times New Roman"/>
                <w:sz w:val="24"/>
                <w:szCs w:val="24"/>
                <w:shd w:val="clear" w:color="auto" w:fill="FFFFFF"/>
              </w:rPr>
              <w:t>]</w:t>
            </w:r>
            <w:r w:rsidR="00E9641C" w:rsidRPr="00996BD5">
              <w:rPr>
                <w:rFonts w:ascii="Times New Roman" w:hAnsi="Times New Roman" w:cs="Times New Roman"/>
                <w:sz w:val="24"/>
                <w:szCs w:val="24"/>
                <w:shd w:val="clear" w:color="auto" w:fill="FFFFFF"/>
                <w:lang w:val="kk-KZ"/>
              </w:rPr>
              <w:t xml:space="preserve"> </w:t>
            </w:r>
          </w:p>
        </w:tc>
      </w:tr>
    </w:tbl>
    <w:p w14:paraId="4E9A7F6C" w14:textId="77777777" w:rsidR="00CF1C12" w:rsidRPr="00457CE9" w:rsidRDefault="00CF1C12" w:rsidP="00457CE9">
      <w:pPr>
        <w:spacing w:after="0" w:line="240" w:lineRule="auto"/>
        <w:ind w:firstLine="709"/>
        <w:jc w:val="both"/>
        <w:rPr>
          <w:rFonts w:ascii="Times New Roman" w:eastAsia="Times New Roman" w:hAnsi="Times New Roman" w:cs="Times New Roman"/>
          <w:kern w:val="36"/>
          <w:sz w:val="28"/>
          <w:szCs w:val="28"/>
          <w:lang w:val="kk-KZ" w:eastAsia="ru-RU"/>
        </w:rPr>
      </w:pPr>
    </w:p>
    <w:p w14:paraId="51543815" w14:textId="0F16794C" w:rsidR="00E9641C" w:rsidRPr="00457CE9" w:rsidRDefault="004D05DE" w:rsidP="00996BD5">
      <w:pPr>
        <w:spacing w:after="0" w:line="240" w:lineRule="auto"/>
        <w:ind w:firstLine="709"/>
        <w:jc w:val="both"/>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Б</w:t>
      </w:r>
      <w:r w:rsidR="007B0C86" w:rsidRPr="00457CE9">
        <w:rPr>
          <w:rFonts w:ascii="Times New Roman" w:hAnsi="Times New Roman" w:cs="Times New Roman"/>
          <w:kern w:val="36"/>
          <w:sz w:val="28"/>
          <w:szCs w:val="28"/>
          <w:lang w:val="kk-KZ" w:eastAsia="zh-CN"/>
        </w:rPr>
        <w:t xml:space="preserve">ұл бюджет қаражатының тиімсіз пайдаланылғанын, яғни, нәтижелі көрсеткіштердің орындалмағанын білдіреді, дегенмен тиімділік аудиті кезінде бұл нәтижелі көрсеткіштердің  қандай себептен орындалмағанын анықтау және әрі қарай ұлттық жобада жоспарланған шаралардың жеткіліктілігіне баға берген жөн. Балықпен қамтамасыз ету құбылмалы көрсеткіштерге ие, мәселен 2015 жылы 57,2 пайызға қамтамасыз етілсе, 2017 жылы 66,8 пайызға дейін өскен, ал 2019 жылы 60,8 пайызға төмендеген. АӨК дамытудың 2021-2025 жж. арналған ұлттық жобасында отандық негізгі азық түлікпен қамтамасыз ету 100 пайызға дейін деп, тек қантпен </w:t>
      </w:r>
      <w:r w:rsidR="007D7799" w:rsidRPr="00457CE9">
        <w:rPr>
          <w:rFonts w:ascii="Times New Roman" w:hAnsi="Times New Roman" w:cs="Times New Roman"/>
          <w:kern w:val="36"/>
          <w:sz w:val="28"/>
          <w:szCs w:val="28"/>
          <w:lang w:val="kk-KZ" w:eastAsia="zh-CN"/>
        </w:rPr>
        <w:t>қамтамасыз ету 80 пайызға дейін деп бекітілген</w:t>
      </w:r>
      <w:r w:rsidR="00B004CF" w:rsidRPr="00457CE9">
        <w:rPr>
          <w:rFonts w:ascii="Times New Roman" w:hAnsi="Times New Roman" w:cs="Times New Roman"/>
          <w:kern w:val="36"/>
          <w:sz w:val="28"/>
          <w:szCs w:val="28"/>
          <w:lang w:val="kk-KZ" w:eastAsia="zh-CN"/>
        </w:rPr>
        <w:t xml:space="preserve"> [</w:t>
      </w:r>
      <w:r>
        <w:rPr>
          <w:rFonts w:ascii="Times New Roman" w:hAnsi="Times New Roman" w:cs="Times New Roman"/>
          <w:kern w:val="36"/>
          <w:sz w:val="28"/>
          <w:szCs w:val="28"/>
          <w:lang w:val="kk-KZ" w:eastAsia="zh-CN"/>
        </w:rPr>
        <w:t>82</w:t>
      </w:r>
      <w:r w:rsidR="00B004CF" w:rsidRPr="00457CE9">
        <w:rPr>
          <w:rFonts w:ascii="Times New Roman" w:hAnsi="Times New Roman" w:cs="Times New Roman"/>
          <w:kern w:val="36"/>
          <w:sz w:val="28"/>
          <w:szCs w:val="28"/>
          <w:lang w:val="kk-KZ" w:eastAsia="zh-CN"/>
        </w:rPr>
        <w:t>]</w:t>
      </w:r>
      <w:r w:rsidR="007D7799" w:rsidRPr="00457CE9">
        <w:rPr>
          <w:rFonts w:ascii="Times New Roman" w:hAnsi="Times New Roman" w:cs="Times New Roman"/>
          <w:kern w:val="36"/>
          <w:sz w:val="28"/>
          <w:szCs w:val="28"/>
          <w:lang w:val="kk-KZ" w:eastAsia="zh-CN"/>
        </w:rPr>
        <w:t xml:space="preserve">. Алайда ұлттық жобада осы көрсеткіштерге жету үшін </w:t>
      </w:r>
      <w:r w:rsidRPr="00457CE9">
        <w:rPr>
          <w:rFonts w:ascii="Times New Roman" w:hAnsi="Times New Roman" w:cs="Times New Roman"/>
          <w:kern w:val="36"/>
          <w:sz w:val="28"/>
          <w:szCs w:val="28"/>
          <w:lang w:val="kk-KZ" w:eastAsia="zh-CN"/>
        </w:rPr>
        <w:t>қарастырылған</w:t>
      </w:r>
      <w:r>
        <w:rPr>
          <w:rFonts w:ascii="Times New Roman" w:hAnsi="Times New Roman" w:cs="Times New Roman"/>
          <w:kern w:val="36"/>
          <w:sz w:val="28"/>
          <w:szCs w:val="28"/>
          <w:lang w:val="kk-KZ" w:eastAsia="zh-CN"/>
        </w:rPr>
        <w:t xml:space="preserve"> </w:t>
      </w:r>
      <w:r w:rsidR="007D7799" w:rsidRPr="00457CE9">
        <w:rPr>
          <w:rFonts w:ascii="Times New Roman" w:hAnsi="Times New Roman" w:cs="Times New Roman"/>
          <w:kern w:val="36"/>
          <w:sz w:val="28"/>
          <w:szCs w:val="28"/>
          <w:lang w:val="kk-KZ" w:eastAsia="zh-CN"/>
        </w:rPr>
        <w:t xml:space="preserve">жеткілікті шараларына да баға берген дұрыс. </w:t>
      </w:r>
    </w:p>
    <w:p w14:paraId="0ED54A63" w14:textId="35961344" w:rsidR="006A3C25" w:rsidRPr="00457CE9" w:rsidRDefault="006A3C25" w:rsidP="00996BD5">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2018 ж. Үкіметтің бекіткен редакциясында 2017 ж. Президенттің </w:t>
      </w:r>
      <w:r w:rsidR="007B0C86" w:rsidRPr="00457CE9">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жарлығымен бекітілген редакциясымен салыстырғанда сандық нәтижелі көрсеткіштердің алынып тасталуы, Бағдарламаны іске асырушы ретінде Ауыл шаруашылығы министрлігі нәтижелі көрсеткіштердің орындалмауынан деген қорытынды жасауға болады, себебі осы нәтижелі көрсеткіштердің орындалу сапасына баға берілетіні белгілі</w:t>
      </w:r>
      <w:r w:rsidR="00CA01DE" w:rsidRPr="00457CE9">
        <w:rPr>
          <w:rFonts w:ascii="Times New Roman" w:hAnsi="Times New Roman" w:cs="Times New Roman"/>
          <w:kern w:val="36"/>
          <w:sz w:val="28"/>
          <w:szCs w:val="28"/>
          <w:lang w:val="kk-KZ" w:eastAsia="zh-CN"/>
        </w:rPr>
        <w:t xml:space="preserve"> [</w:t>
      </w:r>
      <w:r w:rsidR="00473AA4">
        <w:rPr>
          <w:rFonts w:ascii="Times New Roman" w:hAnsi="Times New Roman" w:cs="Times New Roman"/>
          <w:kern w:val="36"/>
          <w:sz w:val="28"/>
          <w:szCs w:val="28"/>
          <w:lang w:val="kk-KZ" w:eastAsia="zh-CN"/>
        </w:rPr>
        <w:t>5</w:t>
      </w:r>
      <w:r w:rsidR="00AA4EAE" w:rsidRPr="00AA4EAE">
        <w:rPr>
          <w:rFonts w:ascii="Times New Roman" w:hAnsi="Times New Roman" w:cs="Times New Roman"/>
          <w:kern w:val="36"/>
          <w:sz w:val="28"/>
          <w:szCs w:val="28"/>
          <w:lang w:val="kk-KZ" w:eastAsia="zh-CN"/>
        </w:rPr>
        <w:t>2</w:t>
      </w:r>
      <w:r w:rsidR="003F6E49">
        <w:rPr>
          <w:rFonts w:ascii="Times New Roman" w:hAnsi="Times New Roman" w:cs="Times New Roman"/>
          <w:kern w:val="36"/>
          <w:sz w:val="28"/>
          <w:szCs w:val="28"/>
          <w:lang w:val="kk-KZ" w:eastAsia="zh-CN"/>
        </w:rPr>
        <w:t>, с. 33</w:t>
      </w:r>
      <w:r w:rsidR="00CA01D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p>
    <w:p w14:paraId="72E6F9DB" w14:textId="6814E778" w:rsidR="00F30F21" w:rsidRPr="00457CE9" w:rsidRDefault="001753D7" w:rsidP="00996BD5">
      <w:pPr>
        <w:tabs>
          <w:tab w:val="left" w:pos="851"/>
        </w:tabs>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АӨК дамытуға пайдаланған бюджет қаражатының тиімділік аудиті кезінде ЖІӨ-гі ауыл шаруашылық өнімінің (қызметінің) </w:t>
      </w:r>
      <w:r w:rsidR="004E085C" w:rsidRPr="00457CE9">
        <w:rPr>
          <w:rFonts w:ascii="Times New Roman" w:hAnsi="Times New Roman" w:cs="Times New Roman"/>
          <w:color w:val="000000"/>
          <w:sz w:val="28"/>
          <w:szCs w:val="28"/>
          <w:shd w:val="clear" w:color="auto" w:fill="FFFFFF"/>
          <w:lang w:val="kk-KZ"/>
        </w:rPr>
        <w:t xml:space="preserve">жалпы </w:t>
      </w:r>
      <w:r w:rsidR="00F30F21" w:rsidRPr="00457CE9">
        <w:rPr>
          <w:rFonts w:ascii="Times New Roman" w:hAnsi="Times New Roman" w:cs="Times New Roman"/>
          <w:color w:val="000000"/>
          <w:sz w:val="28"/>
          <w:szCs w:val="28"/>
          <w:shd w:val="clear" w:color="auto" w:fill="FFFFFF"/>
          <w:lang w:val="kk-KZ"/>
        </w:rPr>
        <w:t>шығарылымы 1994 жылы 26,8 пайызды құраса, 2019 жылы 7,5 пайызға дейін төмендегенін атап өткен. 2017-2021 жж. АӨК дамытудың мемлекеттік бағдарламасында ЖІӨ-гі ауыл шаруашылық өнімі шығарылымының төмен деңгейі келесі жағдайлардан орын алған деп көрсеткен</w:t>
      </w:r>
      <w:r w:rsidR="00407BA6" w:rsidRPr="00457CE9">
        <w:rPr>
          <w:rFonts w:ascii="Times New Roman" w:hAnsi="Times New Roman" w:cs="Times New Roman"/>
          <w:color w:val="000000"/>
          <w:sz w:val="28"/>
          <w:szCs w:val="28"/>
          <w:shd w:val="clear" w:color="auto" w:fill="FFFFFF"/>
          <w:lang w:val="kk-KZ"/>
        </w:rPr>
        <w:t xml:space="preserve"> </w:t>
      </w:r>
      <w:r w:rsidR="00407BA6" w:rsidRPr="00457CE9">
        <w:rPr>
          <w:rFonts w:ascii="Times New Roman" w:hAnsi="Times New Roman"/>
          <w:color w:val="000000"/>
          <w:sz w:val="28"/>
          <w:szCs w:val="28"/>
          <w:shd w:val="clear" w:color="auto" w:fill="FFFFFF"/>
          <w:lang w:val="kk-KZ"/>
        </w:rPr>
        <w:t>[</w:t>
      </w:r>
      <w:r w:rsidR="003F6E49">
        <w:rPr>
          <w:rFonts w:ascii="Times New Roman" w:hAnsi="Times New Roman"/>
          <w:color w:val="000000"/>
          <w:sz w:val="28"/>
          <w:szCs w:val="28"/>
          <w:shd w:val="clear" w:color="auto" w:fill="FFFFFF"/>
          <w:lang w:val="kk-KZ"/>
        </w:rPr>
        <w:t>5</w:t>
      </w:r>
      <w:r w:rsidR="00AA4EAE" w:rsidRPr="00AA4EAE">
        <w:rPr>
          <w:rFonts w:ascii="Times New Roman" w:hAnsi="Times New Roman"/>
          <w:color w:val="000000"/>
          <w:sz w:val="28"/>
          <w:szCs w:val="28"/>
          <w:shd w:val="clear" w:color="auto" w:fill="FFFFFF"/>
          <w:lang w:val="kk-KZ"/>
        </w:rPr>
        <w:t>2</w:t>
      </w:r>
      <w:r w:rsidR="003F6E49">
        <w:rPr>
          <w:rFonts w:ascii="Times New Roman" w:hAnsi="Times New Roman"/>
          <w:color w:val="000000"/>
          <w:sz w:val="28"/>
          <w:szCs w:val="28"/>
          <w:shd w:val="clear" w:color="auto" w:fill="FFFFFF"/>
          <w:lang w:val="kk-KZ"/>
        </w:rPr>
        <w:t>, с. 125</w:t>
      </w:r>
      <w:r w:rsidR="00407BA6" w:rsidRPr="00457CE9">
        <w:rPr>
          <w:rFonts w:ascii="Times New Roman" w:hAnsi="Times New Roman"/>
          <w:color w:val="000000"/>
          <w:sz w:val="28"/>
          <w:szCs w:val="28"/>
          <w:shd w:val="clear" w:color="auto" w:fill="FFFFFF"/>
          <w:lang w:val="kk-KZ"/>
        </w:rPr>
        <w:t>]</w:t>
      </w:r>
      <w:r w:rsidR="00F30F21" w:rsidRPr="00457CE9">
        <w:rPr>
          <w:rFonts w:ascii="Times New Roman" w:hAnsi="Times New Roman" w:cs="Times New Roman"/>
          <w:color w:val="000000"/>
          <w:sz w:val="28"/>
          <w:szCs w:val="28"/>
          <w:shd w:val="clear" w:color="auto" w:fill="FFFFFF"/>
          <w:lang w:val="kk-KZ"/>
        </w:rPr>
        <w:t>:</w:t>
      </w:r>
    </w:p>
    <w:p w14:paraId="68E637F9" w14:textId="77777777" w:rsidR="006024E2" w:rsidRPr="00457CE9" w:rsidRDefault="006024E2"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 xml:space="preserve">төмен </w:t>
      </w:r>
      <w:r w:rsidR="00F30F21" w:rsidRPr="00457CE9">
        <w:rPr>
          <w:rFonts w:ascii="Times New Roman" w:hAnsi="Times New Roman"/>
          <w:color w:val="000000"/>
          <w:sz w:val="28"/>
          <w:szCs w:val="28"/>
          <w:shd w:val="clear" w:color="auto" w:fill="FFFFFF"/>
          <w:lang w:val="kk-KZ"/>
        </w:rPr>
        <w:t>еңбек өнімділігі</w:t>
      </w:r>
      <w:r w:rsidRPr="00457CE9">
        <w:rPr>
          <w:rFonts w:ascii="Times New Roman" w:hAnsi="Times New Roman"/>
          <w:color w:val="000000"/>
          <w:sz w:val="28"/>
          <w:szCs w:val="28"/>
          <w:shd w:val="clear" w:color="auto" w:fill="FFFFFF"/>
          <w:lang w:val="kk-KZ"/>
        </w:rPr>
        <w:t xml:space="preserve"> және жұмыспен қамтылғандардың жоғары үлесі, ауыл халқының көптігі;</w:t>
      </w:r>
    </w:p>
    <w:p w14:paraId="27195D37" w14:textId="77777777" w:rsidR="006024E2" w:rsidRPr="00457CE9" w:rsidRDefault="006024E2"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экспорттың төмен бөлігі;</w:t>
      </w:r>
    </w:p>
    <w:p w14:paraId="0E4FD13B" w14:textId="56F097A5" w:rsidR="006024E2" w:rsidRPr="00457CE9" w:rsidRDefault="006024E2" w:rsidP="0097172E">
      <w:pPr>
        <w:pStyle w:val="a5"/>
        <w:widowControl w:val="0"/>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сауда-логистикасы инфрақұрылымының дамымауы және электрондық сауд</w:t>
      </w:r>
      <w:r w:rsidR="00DF46E6" w:rsidRPr="00457CE9">
        <w:rPr>
          <w:rFonts w:ascii="Times New Roman" w:hAnsi="Times New Roman"/>
          <w:color w:val="000000"/>
          <w:sz w:val="28"/>
          <w:szCs w:val="28"/>
          <w:shd w:val="clear" w:color="auto" w:fill="FFFFFF"/>
          <w:lang w:val="kk-KZ"/>
        </w:rPr>
        <w:t>а</w:t>
      </w:r>
      <w:r w:rsidRPr="00457CE9">
        <w:rPr>
          <w:rFonts w:ascii="Times New Roman" w:hAnsi="Times New Roman"/>
          <w:color w:val="000000"/>
          <w:sz w:val="28"/>
          <w:szCs w:val="28"/>
          <w:shd w:val="clear" w:color="auto" w:fill="FFFFFF"/>
          <w:lang w:val="kk-KZ"/>
        </w:rPr>
        <w:t>ның болмауы;</w:t>
      </w:r>
    </w:p>
    <w:p w14:paraId="1031F3F0" w14:textId="77777777" w:rsidR="006024E2" w:rsidRPr="00457CE9" w:rsidRDefault="006024E2" w:rsidP="0097172E">
      <w:pPr>
        <w:pStyle w:val="a5"/>
        <w:widowControl w:val="0"/>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технологиялар трансферінің төмен деңгейі;</w:t>
      </w:r>
    </w:p>
    <w:p w14:paraId="167D1E3A" w14:textId="77777777" w:rsidR="006024E2" w:rsidRPr="00457CE9" w:rsidRDefault="006024E2" w:rsidP="0097172E">
      <w:pPr>
        <w:pStyle w:val="a5"/>
        <w:widowControl w:val="0"/>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ғылыми зерттемелердің ауылшаруашылық өндіріс қажеттілігіне әлсіз бағытталуы;</w:t>
      </w:r>
    </w:p>
    <w:p w14:paraId="0FA78374" w14:textId="77777777" w:rsidR="006024E2" w:rsidRPr="00457CE9" w:rsidRDefault="006024E2" w:rsidP="0097172E">
      <w:pPr>
        <w:pStyle w:val="a5"/>
        <w:widowControl w:val="0"/>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ғылыми зерттеулердің және технология трансферін жеке қаржыландырылуының тәжірибеде жоқтығы;</w:t>
      </w:r>
    </w:p>
    <w:p w14:paraId="5B7B9986" w14:textId="77777777" w:rsidR="006024E2" w:rsidRPr="00457CE9" w:rsidRDefault="006024E2"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ветеринарлық, фитосанитарлық және азықтық қауіпсіздігінің жеткіліксіз деңгейі;</w:t>
      </w:r>
    </w:p>
    <w:p w14:paraId="36E48A21" w14:textId="77777777" w:rsidR="005346D8" w:rsidRPr="00457CE9" w:rsidRDefault="005346D8"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жоғары капитал сыйымдылығы;</w:t>
      </w:r>
    </w:p>
    <w:p w14:paraId="0D0F00DC" w14:textId="77777777" w:rsidR="00CF08EB" w:rsidRPr="00457CE9" w:rsidRDefault="00CF08EB"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өтемділіктің ұзақ мерзімі;</w:t>
      </w:r>
    </w:p>
    <w:p w14:paraId="043998F0" w14:textId="77777777" w:rsidR="00CF08EB" w:rsidRPr="00457CE9" w:rsidRDefault="00CF08EB"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АӨК қаржыландырудың жеткіліксіздігі, арзан және ұзақ мерзімді қаражаттың жоқтығы;</w:t>
      </w:r>
    </w:p>
    <w:p w14:paraId="4973D1ED" w14:textId="43966456" w:rsidR="00981983" w:rsidRPr="00457CE9" w:rsidRDefault="00981983"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т</w:t>
      </w:r>
      <w:r w:rsidR="00CF08EB" w:rsidRPr="00457CE9">
        <w:rPr>
          <w:rFonts w:ascii="Times New Roman" w:hAnsi="Times New Roman"/>
          <w:color w:val="000000"/>
          <w:sz w:val="28"/>
          <w:szCs w:val="28"/>
          <w:shd w:val="clear" w:color="auto" w:fill="FFFFFF"/>
          <w:lang w:val="kk-KZ"/>
        </w:rPr>
        <w:t xml:space="preserve">абиғи-климат </w:t>
      </w:r>
      <w:r w:rsidRPr="00457CE9">
        <w:rPr>
          <w:rFonts w:ascii="Times New Roman" w:hAnsi="Times New Roman"/>
          <w:color w:val="000000"/>
          <w:sz w:val="28"/>
          <w:szCs w:val="28"/>
          <w:shd w:val="clear" w:color="auto" w:fill="FFFFFF"/>
          <w:lang w:val="kk-KZ"/>
        </w:rPr>
        <w:t>жағдайларынан тәуелділігі;</w:t>
      </w:r>
    </w:p>
    <w:p w14:paraId="7CD9474A" w14:textId="0C6D3CDD" w:rsidR="00981983" w:rsidRPr="00457CE9" w:rsidRDefault="00981983"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су ресурстарының шектеулілігі, 44 пайыз су ағыны көрші мемлекеттермен шекараласуы;</w:t>
      </w:r>
    </w:p>
    <w:p w14:paraId="1E518C7D" w14:textId="3B351DFC" w:rsidR="00494158" w:rsidRPr="00457CE9" w:rsidRDefault="00981983" w:rsidP="0097172E">
      <w:pPr>
        <w:pStyle w:val="a5"/>
        <w:numPr>
          <w:ilvl w:val="0"/>
          <w:numId w:val="20"/>
        </w:numPr>
        <w:tabs>
          <w:tab w:val="left" w:pos="952"/>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 xml:space="preserve">жалпы өндірістің көлеміндегі жеке қосалқы шаруашылықтарда өндірілген сапасы төмен бәсекеге қаблетсіз өнім үлесінің </w:t>
      </w:r>
      <w:r w:rsidR="00996BD5">
        <w:rPr>
          <w:rFonts w:ascii="Times New Roman" w:hAnsi="Times New Roman"/>
          <w:color w:val="000000"/>
          <w:sz w:val="28"/>
          <w:szCs w:val="28"/>
          <w:shd w:val="clear" w:color="auto" w:fill="FFFFFF"/>
          <w:lang w:val="kk-KZ"/>
        </w:rPr>
        <w:t xml:space="preserve">жоғары бөлігі. </w:t>
      </w:r>
    </w:p>
    <w:p w14:paraId="7CD2960B" w14:textId="42A9CD88" w:rsidR="005E1EE1" w:rsidRPr="00457CE9" w:rsidRDefault="00981983" w:rsidP="00996BD5">
      <w:pPr>
        <w:tabs>
          <w:tab w:val="left" w:pos="851"/>
        </w:tabs>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Сонымен қатар </w:t>
      </w:r>
      <w:r w:rsidR="003C56BE" w:rsidRPr="00457CE9">
        <w:rPr>
          <w:rFonts w:ascii="Times New Roman" w:hAnsi="Times New Roman" w:cs="Times New Roman"/>
          <w:color w:val="000000"/>
          <w:sz w:val="28"/>
          <w:szCs w:val="28"/>
          <w:shd w:val="clear" w:color="auto" w:fill="FFFFFF"/>
          <w:lang w:val="kk-KZ"/>
        </w:rPr>
        <w:t>«</w:t>
      </w:r>
      <w:r w:rsidR="000A220D" w:rsidRPr="00457CE9">
        <w:rPr>
          <w:rFonts w:ascii="Times New Roman" w:hAnsi="Times New Roman" w:cs="Times New Roman"/>
          <w:color w:val="000000"/>
          <w:sz w:val="28"/>
          <w:szCs w:val="28"/>
          <w:shd w:val="clear" w:color="auto" w:fill="FFFFFF"/>
          <w:lang w:val="kk-KZ"/>
        </w:rPr>
        <w:t>Қазақстан-Германия аграрлық-саяси диалогы</w:t>
      </w:r>
      <w:r w:rsidR="003C56BE" w:rsidRPr="00457CE9">
        <w:rPr>
          <w:rFonts w:ascii="Times New Roman" w:hAnsi="Times New Roman" w:cs="Times New Roman"/>
          <w:color w:val="000000"/>
          <w:sz w:val="28"/>
          <w:szCs w:val="28"/>
          <w:shd w:val="clear" w:color="auto" w:fill="FFFFFF"/>
          <w:lang w:val="kk-KZ"/>
        </w:rPr>
        <w:t>»</w:t>
      </w:r>
      <w:r w:rsidR="000A220D" w:rsidRPr="00457CE9">
        <w:rPr>
          <w:rFonts w:ascii="Times New Roman" w:hAnsi="Times New Roman" w:cs="Times New Roman"/>
          <w:color w:val="000000"/>
          <w:sz w:val="28"/>
          <w:szCs w:val="28"/>
          <w:shd w:val="clear" w:color="auto" w:fill="FFFFFF"/>
          <w:lang w:val="kk-KZ"/>
        </w:rPr>
        <w:t xml:space="preserve"> жобасы аясындағы сыртқы эксперттер соңғы онжылдықтарда ауыл шаруашылығы саласы жағдайының нашарлауының себептері келесідей деп атаған:</w:t>
      </w:r>
    </w:p>
    <w:p w14:paraId="6B03994A" w14:textId="09FCA670" w:rsidR="000A220D" w:rsidRPr="00457CE9" w:rsidRDefault="0012728D" w:rsidP="0097172E">
      <w:pPr>
        <w:pStyle w:val="a5"/>
        <w:numPr>
          <w:ilvl w:val="0"/>
          <w:numId w:val="20"/>
        </w:numPr>
        <w:tabs>
          <w:tab w:val="left" w:pos="910"/>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барлық өндіріс кезеңдерінде технологиялық жарақтандырылуының төмен деңгейі;</w:t>
      </w:r>
    </w:p>
    <w:p w14:paraId="3C89DF12" w14:textId="5CE8E6F5" w:rsidR="0012728D" w:rsidRPr="00457CE9" w:rsidRDefault="0012728D" w:rsidP="0097172E">
      <w:pPr>
        <w:pStyle w:val="a5"/>
        <w:numPr>
          <w:ilvl w:val="0"/>
          <w:numId w:val="20"/>
        </w:numPr>
        <w:tabs>
          <w:tab w:val="left" w:pos="910"/>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ауыл шаруашылық өнімді қайта өңдеу жүйесінің жеткіліксіз дамуы;</w:t>
      </w:r>
    </w:p>
    <w:p w14:paraId="6DF12CC7" w14:textId="0DCB5B7C" w:rsidR="0012728D" w:rsidRPr="00457CE9" w:rsidRDefault="0012728D" w:rsidP="0097172E">
      <w:pPr>
        <w:pStyle w:val="a5"/>
        <w:numPr>
          <w:ilvl w:val="0"/>
          <w:numId w:val="20"/>
        </w:numPr>
        <w:tabs>
          <w:tab w:val="left" w:pos="910"/>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нарықтық инфрақұрылымның, соның ішінде тасымалдау логистикасының әлсіз дамуы</w:t>
      </w:r>
      <w:r w:rsidR="00B004CF" w:rsidRPr="00457CE9">
        <w:rPr>
          <w:rFonts w:ascii="Times New Roman" w:hAnsi="Times New Roman"/>
          <w:color w:val="000000"/>
          <w:sz w:val="28"/>
          <w:szCs w:val="28"/>
          <w:shd w:val="clear" w:color="auto" w:fill="FFFFFF"/>
          <w:lang w:val="kk-KZ"/>
        </w:rPr>
        <w:t xml:space="preserve"> [</w:t>
      </w:r>
      <w:r w:rsidR="003F6E49">
        <w:rPr>
          <w:rFonts w:ascii="Times New Roman" w:hAnsi="Times New Roman"/>
          <w:color w:val="000000"/>
          <w:sz w:val="28"/>
          <w:szCs w:val="28"/>
          <w:shd w:val="clear" w:color="auto" w:fill="FFFFFF"/>
          <w:lang w:val="kk-KZ"/>
        </w:rPr>
        <w:t>5</w:t>
      </w:r>
      <w:r w:rsidR="00AA4EAE" w:rsidRPr="00AA4EAE">
        <w:rPr>
          <w:rFonts w:ascii="Times New Roman" w:hAnsi="Times New Roman"/>
          <w:color w:val="000000"/>
          <w:sz w:val="28"/>
          <w:szCs w:val="28"/>
          <w:shd w:val="clear" w:color="auto" w:fill="FFFFFF"/>
          <w:lang w:val="kk-KZ"/>
        </w:rPr>
        <w:t>2</w:t>
      </w:r>
      <w:r w:rsidR="003F6E49">
        <w:rPr>
          <w:rFonts w:ascii="Times New Roman" w:hAnsi="Times New Roman"/>
          <w:color w:val="000000"/>
          <w:sz w:val="28"/>
          <w:szCs w:val="28"/>
          <w:shd w:val="clear" w:color="auto" w:fill="FFFFFF"/>
          <w:lang w:val="kk-KZ"/>
        </w:rPr>
        <w:t>, с. 236</w:t>
      </w:r>
      <w:r w:rsidR="00B004CF" w:rsidRPr="00457CE9">
        <w:rPr>
          <w:rFonts w:ascii="Times New Roman" w:hAnsi="Times New Roman"/>
          <w:color w:val="000000"/>
          <w:sz w:val="28"/>
          <w:szCs w:val="28"/>
          <w:shd w:val="clear" w:color="auto" w:fill="FFFFFF"/>
          <w:lang w:val="kk-KZ"/>
        </w:rPr>
        <w:t>]</w:t>
      </w:r>
      <w:r w:rsidRPr="00457CE9">
        <w:rPr>
          <w:rFonts w:ascii="Times New Roman" w:hAnsi="Times New Roman"/>
          <w:color w:val="000000"/>
          <w:sz w:val="28"/>
          <w:szCs w:val="28"/>
          <w:shd w:val="clear" w:color="auto" w:fill="FFFFFF"/>
          <w:lang w:val="kk-KZ"/>
        </w:rPr>
        <w:t>.</w:t>
      </w:r>
    </w:p>
    <w:p w14:paraId="52124AA6" w14:textId="6C381214" w:rsidR="00385ED8" w:rsidRPr="00457CE9" w:rsidRDefault="00801CEB" w:rsidP="00996BD5">
      <w:pPr>
        <w:widowControl w:val="0"/>
        <w:tabs>
          <w:tab w:val="left" w:pos="851"/>
        </w:tabs>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Қазақстан 1997 жылдан бастап БҰҰ-ның Азық-түліктік және ауыл шаруашылық ұйымының мүшесі болып табылады. Аталған ұйым Қазақстан әлемдік нарыққа шығу және шетелдік инвесторларды тартудың кең мүмкіндігіне ие болуына қарамастан ауыл шаруашылық саласы әлсіз дамыған болып қалуда деп бағалайды. </w:t>
      </w:r>
      <w:r w:rsidR="00157D5F" w:rsidRPr="00457CE9">
        <w:rPr>
          <w:rFonts w:ascii="Times New Roman" w:hAnsi="Times New Roman" w:cs="Times New Roman"/>
          <w:color w:val="000000"/>
          <w:sz w:val="28"/>
          <w:szCs w:val="28"/>
          <w:shd w:val="clear" w:color="auto" w:fill="FFFFFF"/>
          <w:lang w:val="kk-KZ"/>
        </w:rPr>
        <w:t xml:space="preserve">Сонымен қатар сыртқы эксперттер </w:t>
      </w:r>
      <w:r w:rsidR="003C56BE"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мемлекеттік субсидиялардың төмен қайтарымдылығын</w:t>
      </w:r>
      <w:r w:rsidR="003C56BE"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 xml:space="preserve">, </w:t>
      </w:r>
      <w:r w:rsidR="003C56BE"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көптеген ауыл шаруашылық тауар өндірушілерде тиісті тәжірибенің болмауын</w:t>
      </w:r>
      <w:r w:rsidR="003C56BE"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 xml:space="preserve">, </w:t>
      </w:r>
      <w:r w:rsidR="003C56BE"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шетелден әкелінетін ірі қара малды бейімдеудің кешенді бағалаудың болмауын</w:t>
      </w:r>
      <w:r w:rsidR="003C56BE"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 xml:space="preserve"> атап өткен. </w:t>
      </w:r>
    </w:p>
    <w:p w14:paraId="189F5FB6" w14:textId="1A49D17E" w:rsidR="00157D5F" w:rsidRPr="00457CE9" w:rsidRDefault="00EC13BA" w:rsidP="00996BD5">
      <w:pPr>
        <w:widowControl w:val="0"/>
        <w:tabs>
          <w:tab w:val="left" w:pos="851"/>
        </w:tabs>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Жоғары аудит палатасының </w:t>
      </w:r>
      <w:r w:rsidR="00157D5F" w:rsidRPr="00457CE9">
        <w:rPr>
          <w:rFonts w:ascii="Times New Roman" w:hAnsi="Times New Roman" w:cs="Times New Roman"/>
          <w:color w:val="000000"/>
          <w:sz w:val="28"/>
          <w:szCs w:val="28"/>
          <w:shd w:val="clear" w:color="auto" w:fill="FFFFFF"/>
          <w:lang w:val="kk-KZ"/>
        </w:rPr>
        <w:t>мемлекеттік аудит қорытындысы бойынша АӨК-</w:t>
      </w:r>
      <w:r w:rsidR="004D05DE">
        <w:rPr>
          <w:rFonts w:ascii="Times New Roman" w:hAnsi="Times New Roman" w:cs="Times New Roman"/>
          <w:color w:val="000000"/>
          <w:sz w:val="28"/>
          <w:szCs w:val="28"/>
          <w:shd w:val="clear" w:color="auto" w:fill="FFFFFF"/>
          <w:lang w:val="kk-KZ"/>
        </w:rPr>
        <w:t>де</w:t>
      </w:r>
      <w:r w:rsidR="00157D5F" w:rsidRPr="00457CE9">
        <w:rPr>
          <w:rFonts w:ascii="Times New Roman" w:hAnsi="Times New Roman" w:cs="Times New Roman"/>
          <w:color w:val="000000"/>
          <w:sz w:val="28"/>
          <w:szCs w:val="28"/>
          <w:shd w:val="clear" w:color="auto" w:fill="FFFFFF"/>
          <w:lang w:val="kk-KZ"/>
        </w:rPr>
        <w:t>гі келесі субсидиялардың тиімсіздігін атап өткен</w:t>
      </w:r>
      <w:r w:rsidR="00DF0B1B" w:rsidRPr="00457CE9">
        <w:rPr>
          <w:rFonts w:ascii="Times New Roman" w:hAnsi="Times New Roman" w:cs="Times New Roman"/>
          <w:color w:val="000000"/>
          <w:sz w:val="28"/>
          <w:szCs w:val="28"/>
          <w:shd w:val="clear" w:color="auto" w:fill="FFFFFF"/>
          <w:lang w:val="kk-KZ"/>
        </w:rPr>
        <w:t xml:space="preserve"> [</w:t>
      </w:r>
      <w:r w:rsidR="003F6E49">
        <w:rPr>
          <w:rFonts w:ascii="Times New Roman" w:hAnsi="Times New Roman" w:cs="Times New Roman"/>
          <w:color w:val="000000"/>
          <w:sz w:val="28"/>
          <w:szCs w:val="28"/>
          <w:shd w:val="clear" w:color="auto" w:fill="FFFFFF"/>
          <w:lang w:val="kk-KZ"/>
        </w:rPr>
        <w:t>5</w:t>
      </w:r>
      <w:r w:rsidR="00AA4EAE" w:rsidRPr="00AA4EAE">
        <w:rPr>
          <w:rFonts w:ascii="Times New Roman" w:hAnsi="Times New Roman" w:cs="Times New Roman"/>
          <w:color w:val="000000"/>
          <w:sz w:val="28"/>
          <w:szCs w:val="28"/>
          <w:shd w:val="clear" w:color="auto" w:fill="FFFFFF"/>
          <w:lang w:val="kk-KZ"/>
        </w:rPr>
        <w:t>2</w:t>
      </w:r>
      <w:r w:rsidR="003F6E49">
        <w:rPr>
          <w:rFonts w:ascii="Times New Roman" w:hAnsi="Times New Roman" w:cs="Times New Roman"/>
          <w:color w:val="000000"/>
          <w:sz w:val="28"/>
          <w:szCs w:val="28"/>
          <w:shd w:val="clear" w:color="auto" w:fill="FFFFFF"/>
          <w:lang w:val="kk-KZ"/>
        </w:rPr>
        <w:t>, с. 96</w:t>
      </w:r>
      <w:r w:rsidR="00DF0B1B" w:rsidRPr="00457CE9">
        <w:rPr>
          <w:rFonts w:ascii="Times New Roman" w:hAnsi="Times New Roman" w:cs="Times New Roman"/>
          <w:color w:val="000000"/>
          <w:sz w:val="28"/>
          <w:szCs w:val="28"/>
          <w:shd w:val="clear" w:color="auto" w:fill="FFFFFF"/>
          <w:lang w:val="kk-KZ"/>
        </w:rPr>
        <w:t>]</w:t>
      </w:r>
      <w:r w:rsidR="00157D5F" w:rsidRPr="00457CE9">
        <w:rPr>
          <w:rFonts w:ascii="Times New Roman" w:hAnsi="Times New Roman" w:cs="Times New Roman"/>
          <w:color w:val="000000"/>
          <w:sz w:val="28"/>
          <w:szCs w:val="28"/>
          <w:shd w:val="clear" w:color="auto" w:fill="FFFFFF"/>
          <w:lang w:val="kk-KZ"/>
        </w:rPr>
        <w:t>:</w:t>
      </w:r>
    </w:p>
    <w:p w14:paraId="458482D3" w14:textId="38543E65" w:rsidR="00157D5F" w:rsidRPr="00457CE9" w:rsidRDefault="00FA44A8" w:rsidP="0097172E">
      <w:pPr>
        <w:pStyle w:val="a5"/>
        <w:widowControl w:val="0"/>
        <w:numPr>
          <w:ilvl w:val="0"/>
          <w:numId w:val="20"/>
        </w:numPr>
        <w:tabs>
          <w:tab w:val="left" w:pos="952"/>
          <w:tab w:val="left" w:pos="1036"/>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2013 жылдан бастап қаржылық сауықтандыруға бағытталған несиелік және лизингтік міндеттемелердің пайыздық мөлшерлемесін субсидиялау, не қарыз алушылардың не АӨК-</w:t>
      </w:r>
      <w:r w:rsidR="004D05DE">
        <w:rPr>
          <w:rFonts w:ascii="Times New Roman" w:hAnsi="Times New Roman"/>
          <w:color w:val="000000"/>
          <w:sz w:val="28"/>
          <w:szCs w:val="28"/>
          <w:shd w:val="clear" w:color="auto" w:fill="FFFFFF"/>
          <w:lang w:val="kk-KZ"/>
        </w:rPr>
        <w:t>де</w:t>
      </w:r>
      <w:r w:rsidRPr="00457CE9">
        <w:rPr>
          <w:rFonts w:ascii="Times New Roman" w:hAnsi="Times New Roman"/>
          <w:color w:val="000000"/>
          <w:sz w:val="28"/>
          <w:szCs w:val="28"/>
          <w:shd w:val="clear" w:color="auto" w:fill="FFFFFF"/>
          <w:lang w:val="kk-KZ"/>
        </w:rPr>
        <w:t>гі несиелік портфельдің жағдайын өзгертпеген;</w:t>
      </w:r>
    </w:p>
    <w:p w14:paraId="08260318" w14:textId="2FC255B4" w:rsidR="00FA44A8" w:rsidRPr="00457CE9" w:rsidRDefault="00FA44A8" w:rsidP="0097172E">
      <w:pPr>
        <w:pStyle w:val="a5"/>
        <w:numPr>
          <w:ilvl w:val="0"/>
          <w:numId w:val="20"/>
        </w:numPr>
        <w:tabs>
          <w:tab w:val="left" w:pos="952"/>
          <w:tab w:val="left" w:pos="1036"/>
        </w:tabs>
        <w:spacing w:after="0" w:line="240" w:lineRule="auto"/>
        <w:ind w:left="0"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АӨК субъектілерінің қарыздарын кепілдендіру және сақтандыруды субсидиялау, себебі, Ақмола, Қостанай, СҚО-да 2014-2016 жж. аталған мемлекеттік қолдау нәтижесі, қысқа мерзімдік несиелеу көлемінің өсуі болмаған, және кепіл бойынша сақтандыру сыйақы құнын субсидиялаудың бекітілген 14 бағыты</w:t>
      </w:r>
      <w:r w:rsidR="002F3016" w:rsidRPr="00457CE9">
        <w:rPr>
          <w:rFonts w:ascii="Times New Roman" w:hAnsi="Times New Roman"/>
          <w:color w:val="000000"/>
          <w:sz w:val="28"/>
          <w:szCs w:val="28"/>
          <w:shd w:val="clear" w:color="auto" w:fill="FFFFFF"/>
          <w:lang w:val="kk-KZ"/>
        </w:rPr>
        <w:t xml:space="preserve"> бойынша да жүзеге асырылмаған.</w:t>
      </w:r>
    </w:p>
    <w:p w14:paraId="44EE6029" w14:textId="61ECA693" w:rsidR="00934BD6" w:rsidRPr="00457CE9" w:rsidRDefault="00085340" w:rsidP="00996BD5">
      <w:pPr>
        <w:tabs>
          <w:tab w:val="left" w:pos="851"/>
        </w:tabs>
        <w:spacing w:after="0" w:line="240" w:lineRule="auto"/>
        <w:ind w:firstLine="709"/>
        <w:jc w:val="both"/>
        <w:rPr>
          <w:rFonts w:ascii="Times New Roman" w:hAnsi="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 xml:space="preserve">Жіберілген кемшіліктер 2017-2021 жж. АӨК дамытудың мемлекеттік бағдарламасында ескерілмегенін атап өткен. Яғни, бағдарламаны жасаушы Ауыл шаруашылық министрлігі </w:t>
      </w:r>
      <w:r w:rsidR="00F7700E" w:rsidRPr="00457CE9">
        <w:rPr>
          <w:rFonts w:ascii="Times New Roman" w:hAnsi="Times New Roman"/>
          <w:color w:val="000000"/>
          <w:sz w:val="28"/>
          <w:szCs w:val="28"/>
          <w:shd w:val="clear" w:color="auto" w:fill="FFFFFF"/>
          <w:lang w:val="kk-KZ"/>
        </w:rPr>
        <w:t xml:space="preserve">тәжірибеде </w:t>
      </w:r>
      <w:r w:rsidRPr="00457CE9">
        <w:rPr>
          <w:rFonts w:ascii="Times New Roman" w:hAnsi="Times New Roman"/>
          <w:color w:val="000000"/>
          <w:sz w:val="28"/>
          <w:szCs w:val="28"/>
          <w:shd w:val="clear" w:color="auto" w:fill="FFFFFF"/>
          <w:lang w:val="kk-KZ"/>
        </w:rPr>
        <w:t xml:space="preserve">АӨК сала ретінде дамыту не жақсарту ниетінің болмауын көрсетіп тұр. </w:t>
      </w:r>
      <w:r w:rsidR="004D05DE">
        <w:rPr>
          <w:rFonts w:ascii="Times New Roman" w:hAnsi="Times New Roman"/>
          <w:color w:val="000000"/>
          <w:sz w:val="28"/>
          <w:szCs w:val="28"/>
          <w:shd w:val="clear" w:color="auto" w:fill="FFFFFF"/>
          <w:lang w:val="kk-KZ"/>
        </w:rPr>
        <w:t>Б</w:t>
      </w:r>
      <w:r w:rsidR="00F7700E" w:rsidRPr="00457CE9">
        <w:rPr>
          <w:rFonts w:ascii="Times New Roman" w:hAnsi="Times New Roman"/>
          <w:color w:val="000000"/>
          <w:sz w:val="28"/>
          <w:szCs w:val="28"/>
          <w:shd w:val="clear" w:color="auto" w:fill="FFFFFF"/>
          <w:lang w:val="kk-KZ"/>
        </w:rPr>
        <w:t xml:space="preserve">ағдарламада фермерлерді өзінің шаруашылығын дамытуға ұзақ мерзімді салымдарды жасауға, сонымен қатар жер және басқа да табиғи ресурстардың жағдайын сапалы жақсартуға ынталандыратын механиздердің жеткіліксіздігі сияқты мәселені ескермегенін атап өткен. </w:t>
      </w:r>
      <w:r w:rsidR="0059494F" w:rsidRPr="00457CE9">
        <w:rPr>
          <w:rFonts w:ascii="Times New Roman" w:hAnsi="Times New Roman"/>
          <w:color w:val="000000"/>
          <w:sz w:val="28"/>
          <w:szCs w:val="28"/>
          <w:shd w:val="clear" w:color="auto" w:fill="FFFFFF"/>
          <w:lang w:val="kk-KZ"/>
        </w:rPr>
        <w:t xml:space="preserve">Бағдарламаны құру кезінде анықталған мәселелер толық қамтылмағаны және іс-шаралар мен көрсеткіштердің толық емес тізбесін бекіту, </w:t>
      </w:r>
      <w:r w:rsidR="00575788">
        <w:rPr>
          <w:rFonts w:ascii="Times New Roman" w:hAnsi="Times New Roman"/>
          <w:color w:val="000000"/>
          <w:sz w:val="28"/>
          <w:szCs w:val="28"/>
          <w:shd w:val="clear" w:color="auto" w:fill="FFFFFF"/>
          <w:lang w:val="kk-KZ"/>
        </w:rPr>
        <w:t>АӨК-н</w:t>
      </w:r>
      <w:r w:rsidR="0059494F" w:rsidRPr="00457CE9">
        <w:rPr>
          <w:rFonts w:ascii="Times New Roman" w:hAnsi="Times New Roman"/>
          <w:color w:val="000000"/>
          <w:sz w:val="28"/>
          <w:szCs w:val="28"/>
          <w:shd w:val="clear" w:color="auto" w:fill="FFFFFF"/>
          <w:lang w:val="kk-KZ"/>
        </w:rPr>
        <w:t xml:space="preserve"> дамытуға жеткіліксіз шаралар қабылданған деген қорытындыға келген. </w:t>
      </w:r>
      <w:r w:rsidR="00CD069F" w:rsidRPr="00457CE9">
        <w:rPr>
          <w:rFonts w:ascii="Times New Roman" w:hAnsi="Times New Roman"/>
          <w:color w:val="000000"/>
          <w:sz w:val="28"/>
          <w:szCs w:val="28"/>
          <w:shd w:val="clear" w:color="auto" w:fill="FFFFFF"/>
          <w:lang w:val="kk-KZ"/>
        </w:rPr>
        <w:t>Елдің азық-түліктік қауіпсіздігін қамтамасыз ету міндетін</w:t>
      </w:r>
      <w:r w:rsidR="00FA204F" w:rsidRPr="00457CE9">
        <w:rPr>
          <w:rFonts w:ascii="Times New Roman" w:hAnsi="Times New Roman"/>
          <w:color w:val="000000"/>
          <w:sz w:val="28"/>
          <w:szCs w:val="28"/>
          <w:shd w:val="clear" w:color="auto" w:fill="FFFFFF"/>
          <w:lang w:val="kk-KZ"/>
        </w:rPr>
        <w:t xml:space="preserve"> іске асыру аясында майлы дақылдар, азықтық шөптер, жүгері, қант қызылшасының дефициті және тұқымдар импортының жоғары үлесі аталған болса да, Бағдарламада оны шешу шаралары</w:t>
      </w:r>
      <w:r w:rsidR="00320F5A" w:rsidRPr="00457CE9">
        <w:rPr>
          <w:rFonts w:ascii="Times New Roman" w:hAnsi="Times New Roman"/>
          <w:color w:val="000000"/>
          <w:sz w:val="28"/>
          <w:szCs w:val="28"/>
          <w:shd w:val="clear" w:color="auto" w:fill="FFFFFF"/>
          <w:lang w:val="kk-KZ"/>
        </w:rPr>
        <w:t>нда</w:t>
      </w:r>
      <w:r w:rsidR="00FA204F" w:rsidRPr="00457CE9">
        <w:rPr>
          <w:rFonts w:ascii="Times New Roman" w:hAnsi="Times New Roman"/>
          <w:color w:val="000000"/>
          <w:sz w:val="28"/>
          <w:szCs w:val="28"/>
          <w:shd w:val="clear" w:color="auto" w:fill="FFFFFF"/>
          <w:lang w:val="kk-KZ"/>
        </w:rPr>
        <w:t xml:space="preserve"> тек тұқым шаруашылығын субсидиялау ғана қарастырылған бірақ оның нәтижесін көрсететін іс-шаралар жоспарында қарастырылмаған. </w:t>
      </w:r>
    </w:p>
    <w:p w14:paraId="4E61B195" w14:textId="1D61D5E2" w:rsidR="00EC368C" w:rsidRPr="00457CE9" w:rsidRDefault="00FA204F" w:rsidP="00996BD5">
      <w:pPr>
        <w:tabs>
          <w:tab w:val="left" w:pos="851"/>
        </w:tabs>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olor w:val="000000"/>
          <w:sz w:val="28"/>
          <w:szCs w:val="28"/>
          <w:shd w:val="clear" w:color="auto" w:fill="FFFFFF"/>
          <w:lang w:val="kk-KZ"/>
        </w:rPr>
        <w:t>Сонымен қатар қайта өңдеу кәсіпорындарын</w:t>
      </w:r>
      <w:r w:rsidR="00F205D6" w:rsidRPr="00457CE9">
        <w:rPr>
          <w:rFonts w:ascii="Times New Roman" w:hAnsi="Times New Roman"/>
          <w:color w:val="000000"/>
          <w:sz w:val="28"/>
          <w:szCs w:val="28"/>
          <w:shd w:val="clear" w:color="auto" w:fill="FFFFFF"/>
          <w:lang w:val="kk-KZ"/>
        </w:rPr>
        <w:t>да өндірістік қуаттардың толық жүктелмеу мәселесін шешу іс-шаралары қарастырылмаған. Өнім өндіру үлкен шоғырландырылған жеке қосалқы шаруашылықтарда экономикалық-тиімді интенсивті өндірісті және жаңа технологияларды ендіру мүмкін емес, бірақ бұл мәселені ұсақ және орташа АШТӨ</w:t>
      </w:r>
      <w:r w:rsidR="00812009" w:rsidRPr="00457CE9">
        <w:rPr>
          <w:rFonts w:ascii="Times New Roman" w:hAnsi="Times New Roman"/>
          <w:color w:val="000000"/>
          <w:sz w:val="28"/>
          <w:szCs w:val="28"/>
          <w:shd w:val="clear" w:color="auto" w:fill="FFFFFF"/>
          <w:lang w:val="kk-KZ"/>
        </w:rPr>
        <w:t xml:space="preserve">-ді горизонтальді және вертикальді шоғырландыру арқылы шешу ұсынылған. Алайда көрсетілген құралдар іс-шаралар жоспарында іс-шаралар мен көрсеткіштер түрінде орын алмаған. Қазіргі уақытта орын алып отырған қант тапшылығы бойынша </w:t>
      </w:r>
      <w:r w:rsidR="00AA5BFC" w:rsidRPr="00457CE9">
        <w:rPr>
          <w:rFonts w:ascii="Times New Roman" w:hAnsi="Times New Roman"/>
          <w:color w:val="000000"/>
          <w:sz w:val="28"/>
          <w:szCs w:val="28"/>
          <w:shd w:val="clear" w:color="auto" w:fill="FFFFFF"/>
          <w:lang w:val="kk-KZ"/>
        </w:rPr>
        <w:t xml:space="preserve">аталған </w:t>
      </w:r>
      <w:r w:rsidR="003C56BE" w:rsidRPr="00457CE9">
        <w:rPr>
          <w:rFonts w:ascii="Times New Roman" w:hAnsi="Times New Roman"/>
          <w:color w:val="000000"/>
          <w:sz w:val="28"/>
          <w:szCs w:val="28"/>
          <w:shd w:val="clear" w:color="auto" w:fill="FFFFFF"/>
          <w:lang w:val="kk-KZ"/>
        </w:rPr>
        <w:t>«</w:t>
      </w:r>
      <w:r w:rsidR="00AA5BFC" w:rsidRPr="00457CE9">
        <w:rPr>
          <w:rFonts w:ascii="Times New Roman" w:hAnsi="Times New Roman"/>
          <w:color w:val="000000"/>
          <w:sz w:val="28"/>
          <w:szCs w:val="28"/>
          <w:shd w:val="clear" w:color="auto" w:fill="FFFFFF"/>
          <w:lang w:val="kk-KZ"/>
        </w:rPr>
        <w:t>суарылатын жерлер ауданын кеңейту, тұқым, минералды тыңайтқыштар, өсімдіктерді қорғау құралдарды сатып алуды субсидиялау, АШТӨ-мен қайта өңдеуге тапсырылған қант қызылшасының көлемін субсидиялау</w:t>
      </w:r>
      <w:r w:rsidR="003C56BE" w:rsidRPr="00457CE9">
        <w:rPr>
          <w:rFonts w:ascii="Times New Roman" w:hAnsi="Times New Roman"/>
          <w:color w:val="000000"/>
          <w:sz w:val="28"/>
          <w:szCs w:val="28"/>
          <w:shd w:val="clear" w:color="auto" w:fill="FFFFFF"/>
          <w:lang w:val="kk-KZ"/>
        </w:rPr>
        <w:t>»</w:t>
      </w:r>
      <w:r w:rsidR="00AA5BFC" w:rsidRPr="00457CE9">
        <w:rPr>
          <w:rFonts w:ascii="Times New Roman" w:hAnsi="Times New Roman"/>
          <w:color w:val="000000"/>
          <w:sz w:val="28"/>
          <w:szCs w:val="28"/>
          <w:shd w:val="clear" w:color="auto" w:fill="FFFFFF"/>
          <w:lang w:val="kk-KZ"/>
        </w:rPr>
        <w:t xml:space="preserve"> сияқты </w:t>
      </w:r>
      <w:r w:rsidR="008316DD" w:rsidRPr="00457CE9">
        <w:rPr>
          <w:rFonts w:ascii="Times New Roman" w:hAnsi="Times New Roman"/>
          <w:color w:val="000000"/>
          <w:sz w:val="28"/>
          <w:szCs w:val="28"/>
          <w:shd w:val="clear" w:color="auto" w:fill="FFFFFF"/>
          <w:lang w:val="kk-KZ"/>
        </w:rPr>
        <w:t>кешенді шаралары</w:t>
      </w:r>
      <w:r w:rsidR="00AA5BFC" w:rsidRPr="00457CE9">
        <w:rPr>
          <w:rFonts w:ascii="Times New Roman" w:hAnsi="Times New Roman"/>
          <w:color w:val="000000"/>
          <w:sz w:val="28"/>
          <w:szCs w:val="28"/>
          <w:shd w:val="clear" w:color="auto" w:fill="FFFFFF"/>
          <w:lang w:val="kk-KZ"/>
        </w:rPr>
        <w:t>н қабылдау қарастырылғанымен, іс-шаралар жоспарына енгізілмеген</w:t>
      </w:r>
      <w:r w:rsidR="00B004CF" w:rsidRPr="00457CE9">
        <w:rPr>
          <w:rFonts w:ascii="Times New Roman" w:hAnsi="Times New Roman"/>
          <w:color w:val="000000"/>
          <w:sz w:val="28"/>
          <w:szCs w:val="28"/>
          <w:shd w:val="clear" w:color="auto" w:fill="FFFFFF"/>
          <w:lang w:val="kk-KZ"/>
        </w:rPr>
        <w:t xml:space="preserve"> [</w:t>
      </w:r>
      <w:r w:rsidR="003F6E49">
        <w:rPr>
          <w:rFonts w:ascii="Times New Roman" w:hAnsi="Times New Roman"/>
          <w:color w:val="000000"/>
          <w:sz w:val="28"/>
          <w:szCs w:val="28"/>
          <w:shd w:val="clear" w:color="auto" w:fill="FFFFFF"/>
          <w:lang w:val="kk-KZ"/>
        </w:rPr>
        <w:t>5</w:t>
      </w:r>
      <w:r w:rsidR="00AA4EAE" w:rsidRPr="00AA4EAE">
        <w:rPr>
          <w:rFonts w:ascii="Times New Roman" w:hAnsi="Times New Roman"/>
          <w:color w:val="000000"/>
          <w:sz w:val="28"/>
          <w:szCs w:val="28"/>
          <w:shd w:val="clear" w:color="auto" w:fill="FFFFFF"/>
          <w:lang w:val="kk-KZ"/>
        </w:rPr>
        <w:t>2</w:t>
      </w:r>
      <w:r w:rsidR="003F6E49">
        <w:rPr>
          <w:rFonts w:ascii="Times New Roman" w:hAnsi="Times New Roman"/>
          <w:color w:val="000000"/>
          <w:sz w:val="28"/>
          <w:szCs w:val="28"/>
          <w:shd w:val="clear" w:color="auto" w:fill="FFFFFF"/>
          <w:lang w:val="kk-KZ"/>
        </w:rPr>
        <w:t>, с. 98</w:t>
      </w:r>
      <w:r w:rsidR="00B004CF" w:rsidRPr="00457CE9">
        <w:rPr>
          <w:rFonts w:ascii="Times New Roman" w:hAnsi="Times New Roman"/>
          <w:color w:val="000000"/>
          <w:sz w:val="28"/>
          <w:szCs w:val="28"/>
          <w:shd w:val="clear" w:color="auto" w:fill="FFFFFF"/>
          <w:lang w:val="kk-KZ"/>
        </w:rPr>
        <w:t>]</w:t>
      </w:r>
      <w:r w:rsidR="00AA5BFC" w:rsidRPr="00457CE9">
        <w:rPr>
          <w:rFonts w:ascii="Times New Roman" w:hAnsi="Times New Roman"/>
          <w:color w:val="000000"/>
          <w:sz w:val="28"/>
          <w:szCs w:val="28"/>
          <w:shd w:val="clear" w:color="auto" w:fill="FFFFFF"/>
          <w:lang w:val="kk-KZ"/>
        </w:rPr>
        <w:t xml:space="preserve">. </w:t>
      </w:r>
    </w:p>
    <w:p w14:paraId="5A602CDD" w14:textId="0A9D14ED" w:rsidR="00516241" w:rsidRPr="00457CE9" w:rsidRDefault="00516241" w:rsidP="00996BD5">
      <w:pPr>
        <w:widowControl w:val="0"/>
        <w:tabs>
          <w:tab w:val="left" w:pos="851"/>
        </w:tabs>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ҚР Ауыл шаруашылығы министрлігінің қызметін бағалау мақсатында оның құзыреті шегінде басшылыққа алатын нормативті-құқықтық актілер</w:t>
      </w:r>
      <w:r w:rsidR="00DE517F" w:rsidRPr="00457CE9">
        <w:rPr>
          <w:rFonts w:ascii="Times New Roman" w:eastAsia="Times New Roman" w:hAnsi="Times New Roman" w:cs="Times New Roman"/>
          <w:kern w:val="36"/>
          <w:sz w:val="28"/>
          <w:szCs w:val="28"/>
          <w:lang w:val="kk-KZ" w:eastAsia="ru-RU"/>
        </w:rPr>
        <w:t>ді және қандай да іс-шараларды іске асырмағаны үшін жауапкершілік шегін</w:t>
      </w:r>
      <w:r w:rsidRPr="00457CE9">
        <w:rPr>
          <w:rFonts w:ascii="Times New Roman" w:eastAsia="Times New Roman" w:hAnsi="Times New Roman" w:cs="Times New Roman"/>
          <w:kern w:val="36"/>
          <w:sz w:val="28"/>
          <w:szCs w:val="28"/>
          <w:lang w:val="kk-KZ" w:eastAsia="ru-RU"/>
        </w:rPr>
        <w:t xml:space="preserve"> зертте</w:t>
      </w:r>
      <w:r w:rsidR="00DE517F" w:rsidRPr="00457CE9">
        <w:rPr>
          <w:rFonts w:ascii="Times New Roman" w:eastAsia="Times New Roman" w:hAnsi="Times New Roman" w:cs="Times New Roman"/>
          <w:kern w:val="36"/>
          <w:sz w:val="28"/>
          <w:szCs w:val="28"/>
          <w:lang w:val="kk-KZ" w:eastAsia="ru-RU"/>
        </w:rPr>
        <w:t>у қажет</w:t>
      </w:r>
      <w:r w:rsidR="00F55EB3" w:rsidRPr="00457CE9">
        <w:rPr>
          <w:rFonts w:ascii="Times New Roman" w:eastAsia="Times New Roman" w:hAnsi="Times New Roman" w:cs="Times New Roman"/>
          <w:kern w:val="36"/>
          <w:sz w:val="28"/>
          <w:szCs w:val="28"/>
          <w:lang w:val="kk-KZ" w:eastAsia="ru-RU"/>
        </w:rPr>
        <w:t xml:space="preserve"> [</w:t>
      </w:r>
      <w:r w:rsidR="00232EA1">
        <w:rPr>
          <w:rFonts w:ascii="Times New Roman" w:eastAsia="Times New Roman" w:hAnsi="Times New Roman" w:cs="Times New Roman"/>
          <w:kern w:val="36"/>
          <w:sz w:val="28"/>
          <w:szCs w:val="28"/>
          <w:lang w:val="kk-KZ" w:eastAsia="ru-RU"/>
        </w:rPr>
        <w:t>99</w:t>
      </w:r>
      <w:r w:rsidR="00F55EB3"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w:t>
      </w:r>
    </w:p>
    <w:p w14:paraId="11EB61F0" w14:textId="077F37FE" w:rsidR="00677838" w:rsidRPr="00457CE9" w:rsidRDefault="00662490"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Бағдарламаның үшінші бөлімінде </w:t>
      </w:r>
      <w:r w:rsidR="00535982" w:rsidRPr="00457CE9">
        <w:rPr>
          <w:rFonts w:ascii="Times New Roman" w:eastAsia="Times New Roman" w:hAnsi="Times New Roman" w:cs="Times New Roman"/>
          <w:kern w:val="36"/>
          <w:sz w:val="28"/>
          <w:szCs w:val="28"/>
          <w:lang w:val="kk-KZ" w:eastAsia="ru-RU"/>
        </w:rPr>
        <w:t xml:space="preserve">АӨК дамыту бойынша тоғыз бағыттары анықталған, әр бағыттың ағымдағы жағдайына талдау жасалып, </w:t>
      </w:r>
      <w:r w:rsidR="00315897" w:rsidRPr="00457CE9">
        <w:rPr>
          <w:rFonts w:ascii="Times New Roman" w:eastAsia="Times New Roman" w:hAnsi="Times New Roman" w:cs="Times New Roman"/>
          <w:kern w:val="36"/>
          <w:sz w:val="28"/>
          <w:szCs w:val="28"/>
          <w:lang w:val="kk-KZ" w:eastAsia="ru-RU"/>
        </w:rPr>
        <w:t xml:space="preserve">халықаралық деңгейде қабылданған стандартты, оңтайлы көрсеткіштерге шолу, </w:t>
      </w:r>
      <w:r w:rsidR="00535982" w:rsidRPr="00457CE9">
        <w:rPr>
          <w:rFonts w:ascii="Times New Roman" w:eastAsia="Times New Roman" w:hAnsi="Times New Roman" w:cs="Times New Roman"/>
          <w:kern w:val="36"/>
          <w:sz w:val="28"/>
          <w:szCs w:val="28"/>
          <w:lang w:val="kk-KZ" w:eastAsia="ru-RU"/>
        </w:rPr>
        <w:t xml:space="preserve">шетелдік көрсеткіштермен салыстыру жүргізіліп, </w:t>
      </w:r>
      <w:r w:rsidR="00315897" w:rsidRPr="00457CE9">
        <w:rPr>
          <w:rFonts w:ascii="Times New Roman" w:eastAsia="Times New Roman" w:hAnsi="Times New Roman" w:cs="Times New Roman"/>
          <w:kern w:val="36"/>
          <w:sz w:val="28"/>
          <w:szCs w:val="28"/>
          <w:lang w:val="kk-KZ" w:eastAsia="ru-RU"/>
        </w:rPr>
        <w:t xml:space="preserve">ҚР-да 2011 жылдан бастап, ауыл шаруашылығы өндірісінің негізгі көрсеткіштерінің динамикасы, республиканың өндіріс потенциалы, ағымдағы өзекті </w:t>
      </w:r>
      <w:r w:rsidR="00535982" w:rsidRPr="00457CE9">
        <w:rPr>
          <w:rFonts w:ascii="Times New Roman" w:eastAsia="Times New Roman" w:hAnsi="Times New Roman" w:cs="Times New Roman"/>
          <w:kern w:val="36"/>
          <w:sz w:val="28"/>
          <w:szCs w:val="28"/>
          <w:lang w:val="kk-KZ" w:eastAsia="ru-RU"/>
        </w:rPr>
        <w:t xml:space="preserve">мәселелері </w:t>
      </w:r>
      <w:r w:rsidR="00315897" w:rsidRPr="00457CE9">
        <w:rPr>
          <w:rFonts w:ascii="Times New Roman" w:eastAsia="Times New Roman" w:hAnsi="Times New Roman" w:cs="Times New Roman"/>
          <w:kern w:val="36"/>
          <w:sz w:val="28"/>
          <w:szCs w:val="28"/>
          <w:lang w:val="kk-KZ" w:eastAsia="ru-RU"/>
        </w:rPr>
        <w:t xml:space="preserve">мен оларды шешудің мүмкін жолдары жалпы түрде келтірілген. Дегенмен осы жерде АӨК барлық өзекті мәселелері толығымен қамтылған деуге болмайды. </w:t>
      </w:r>
    </w:p>
    <w:p w14:paraId="0E18ED5C" w14:textId="196ED2FA" w:rsidR="00677838" w:rsidRPr="00457CE9" w:rsidRDefault="00677838"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Қазақстан Республикасында АӨК саласын қаржылық қолдаудың келесі түрлері субсидиялау, лизинг, сақтандыру, жеңілдікті </w:t>
      </w:r>
      <w:r w:rsidR="00534FF4">
        <w:rPr>
          <w:rFonts w:ascii="Times New Roman" w:eastAsia="Times New Roman" w:hAnsi="Times New Roman" w:cs="Times New Roman"/>
          <w:kern w:val="36"/>
          <w:sz w:val="28"/>
          <w:szCs w:val="28"/>
          <w:lang w:val="kk-KZ" w:eastAsia="ru-RU"/>
        </w:rPr>
        <w:t>несиел</w:t>
      </w:r>
      <w:r w:rsidRPr="00457CE9">
        <w:rPr>
          <w:rFonts w:ascii="Times New Roman" w:eastAsia="Times New Roman" w:hAnsi="Times New Roman" w:cs="Times New Roman"/>
          <w:kern w:val="36"/>
          <w:sz w:val="28"/>
          <w:szCs w:val="28"/>
          <w:lang w:val="kk-KZ" w:eastAsia="ru-RU"/>
        </w:rPr>
        <w:t>еу және салық салу қолданылады. Бағдарламаның 3.2 бөлімінде қаржылық қолдаудың әр түріне талдау жасалған</w:t>
      </w:r>
      <w:r w:rsidR="00B004CF" w:rsidRPr="00457CE9">
        <w:rPr>
          <w:rFonts w:ascii="Times New Roman" w:eastAsia="Times New Roman" w:hAnsi="Times New Roman" w:cs="Times New Roman"/>
          <w:kern w:val="36"/>
          <w:sz w:val="28"/>
          <w:szCs w:val="28"/>
          <w:lang w:val="kk-KZ" w:eastAsia="ru-RU"/>
        </w:rPr>
        <w:t xml:space="preserve"> [</w:t>
      </w:r>
      <w:r w:rsidR="003F6E49" w:rsidRPr="003D4F30">
        <w:rPr>
          <w:rFonts w:ascii="Times New Roman" w:eastAsia="Times New Roman" w:hAnsi="Times New Roman" w:cs="Times New Roman"/>
          <w:kern w:val="36"/>
          <w:sz w:val="28"/>
          <w:szCs w:val="28"/>
          <w:lang w:val="kk-KZ" w:eastAsia="ru-RU"/>
        </w:rPr>
        <w:t>6</w:t>
      </w:r>
      <w:r w:rsidR="00232EA1">
        <w:rPr>
          <w:rFonts w:ascii="Times New Roman" w:eastAsia="Times New Roman" w:hAnsi="Times New Roman" w:cs="Times New Roman"/>
          <w:kern w:val="36"/>
          <w:sz w:val="28"/>
          <w:szCs w:val="28"/>
          <w:lang w:val="kk-KZ" w:eastAsia="ru-RU"/>
        </w:rPr>
        <w:t>2</w:t>
      </w:r>
      <w:r w:rsidR="00BB4895"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p>
    <w:p w14:paraId="6D56AC99" w14:textId="1144D24C" w:rsidR="000706AC" w:rsidRPr="00457CE9" w:rsidRDefault="00315897"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Мәселен </w:t>
      </w:r>
      <w:r w:rsidR="003C56BE" w:rsidRPr="00457CE9">
        <w:rPr>
          <w:rFonts w:ascii="Times New Roman" w:eastAsia="Times New Roman" w:hAnsi="Times New Roman" w:cs="Times New Roman"/>
          <w:kern w:val="36"/>
          <w:sz w:val="28"/>
          <w:szCs w:val="28"/>
          <w:lang w:val="kk-KZ" w:eastAsia="ru-RU"/>
        </w:rPr>
        <w:t>«</w:t>
      </w:r>
      <w:r w:rsidR="000706AC" w:rsidRPr="00457CE9">
        <w:rPr>
          <w:rFonts w:ascii="Times New Roman" w:eastAsia="Times New Roman" w:hAnsi="Times New Roman" w:cs="Times New Roman"/>
          <w:kern w:val="36"/>
          <w:sz w:val="28"/>
          <w:szCs w:val="28"/>
          <w:lang w:val="kk-KZ" w:eastAsia="ru-RU"/>
        </w:rPr>
        <w:t>қазіргі уақытта Қазақстанда АӨК субъектілеріне жеңілдікті салық салудың 5 режимі қолданылады және аграрлық сектор үшін жекелеген салық жеңілдіктері көзделген. Сонымен бірге, қолда бар әлеуетті тиімді пайдалануды ынталандыру үшін салық салу мәселелері туындайды</w:t>
      </w:r>
      <w:r w:rsidR="003C56BE" w:rsidRPr="00457CE9">
        <w:rPr>
          <w:rFonts w:ascii="Times New Roman" w:eastAsia="Times New Roman" w:hAnsi="Times New Roman" w:cs="Times New Roman"/>
          <w:kern w:val="36"/>
          <w:sz w:val="28"/>
          <w:szCs w:val="28"/>
          <w:lang w:val="kk-KZ" w:eastAsia="ru-RU"/>
        </w:rPr>
        <w:t>»</w:t>
      </w:r>
      <w:r w:rsidR="000706AC" w:rsidRPr="00457CE9">
        <w:rPr>
          <w:rFonts w:ascii="Times New Roman" w:eastAsia="Times New Roman" w:hAnsi="Times New Roman" w:cs="Times New Roman"/>
          <w:kern w:val="36"/>
          <w:sz w:val="28"/>
          <w:szCs w:val="28"/>
          <w:lang w:val="kk-KZ" w:eastAsia="ru-RU"/>
        </w:rPr>
        <w:t xml:space="preserve"> деп қана аталып өткен. Қазіргі уақытта ДСҰ шеңберінде ауыл шаруашылығын мемлекеттік қолдаудың тікелей шараларынан бас тарту үрдісі басым. ДСҰ-да және әлемдік аграрлық</w:t>
      </w:r>
      <w:r w:rsidR="00E42B2F">
        <w:rPr>
          <w:rFonts w:ascii="Times New Roman" w:eastAsia="Times New Roman" w:hAnsi="Times New Roman" w:cs="Times New Roman"/>
          <w:kern w:val="36"/>
          <w:sz w:val="28"/>
          <w:szCs w:val="28"/>
          <w:lang w:val="kk-KZ" w:eastAsia="ru-RU"/>
        </w:rPr>
        <w:t xml:space="preserve"> </w:t>
      </w:r>
      <w:r w:rsidR="000706AC" w:rsidRPr="00457CE9">
        <w:rPr>
          <w:rFonts w:ascii="Times New Roman" w:eastAsia="Times New Roman" w:hAnsi="Times New Roman" w:cs="Times New Roman"/>
          <w:kern w:val="36"/>
          <w:sz w:val="28"/>
          <w:szCs w:val="28"/>
          <w:lang w:val="kk-KZ" w:eastAsia="ru-RU"/>
        </w:rPr>
        <w:t xml:space="preserve">азық-түлік нарықтарында ауыл шаруашылығында тікелей субсидиялардың ең төменгі деңгейіне ие және бәсекеге қабілеттілік пен өндіріс тиімділігінің өсуі есебінен саланы дамытатын </w:t>
      </w:r>
      <w:r w:rsidR="003C56BE" w:rsidRPr="00457CE9">
        <w:rPr>
          <w:rFonts w:ascii="Times New Roman" w:eastAsia="Times New Roman" w:hAnsi="Times New Roman" w:cs="Times New Roman"/>
          <w:kern w:val="36"/>
          <w:sz w:val="28"/>
          <w:szCs w:val="28"/>
          <w:lang w:val="kk-KZ" w:eastAsia="ru-RU"/>
        </w:rPr>
        <w:t>«</w:t>
      </w:r>
      <w:r w:rsidR="000706AC" w:rsidRPr="00457CE9">
        <w:rPr>
          <w:rFonts w:ascii="Times New Roman" w:eastAsia="Times New Roman" w:hAnsi="Times New Roman" w:cs="Times New Roman"/>
          <w:kern w:val="36"/>
          <w:sz w:val="28"/>
          <w:szCs w:val="28"/>
          <w:lang w:val="kk-KZ" w:eastAsia="ru-RU"/>
        </w:rPr>
        <w:t>Керн тобы</w:t>
      </w:r>
      <w:r w:rsidR="003C56BE" w:rsidRPr="00457CE9">
        <w:rPr>
          <w:rFonts w:ascii="Times New Roman" w:eastAsia="Times New Roman" w:hAnsi="Times New Roman" w:cs="Times New Roman"/>
          <w:kern w:val="36"/>
          <w:sz w:val="28"/>
          <w:szCs w:val="28"/>
          <w:lang w:val="kk-KZ" w:eastAsia="ru-RU"/>
        </w:rPr>
        <w:t>»</w:t>
      </w:r>
      <w:r w:rsidR="000706AC" w:rsidRPr="00457CE9">
        <w:rPr>
          <w:rFonts w:ascii="Times New Roman" w:eastAsia="Times New Roman" w:hAnsi="Times New Roman" w:cs="Times New Roman"/>
          <w:kern w:val="36"/>
          <w:sz w:val="28"/>
          <w:szCs w:val="28"/>
          <w:lang w:val="kk-KZ" w:eastAsia="ru-RU"/>
        </w:rPr>
        <w:t xml:space="preserve"> елдері (Австралия, Аргентина, Жаңа Зеландия, Канада және т.б.) үлкен маңызға ие болуда. Ауыл шаруашылығы өндірісін тікелей қолдауды пайдаланбайтын </w:t>
      </w:r>
      <w:r w:rsidR="003C56BE" w:rsidRPr="00457CE9">
        <w:rPr>
          <w:rFonts w:ascii="Times New Roman" w:eastAsia="Times New Roman" w:hAnsi="Times New Roman" w:cs="Times New Roman"/>
          <w:kern w:val="36"/>
          <w:sz w:val="28"/>
          <w:szCs w:val="28"/>
          <w:lang w:val="kk-KZ" w:eastAsia="ru-RU"/>
        </w:rPr>
        <w:t>«</w:t>
      </w:r>
      <w:r w:rsidR="000706AC" w:rsidRPr="00457CE9">
        <w:rPr>
          <w:rFonts w:ascii="Times New Roman" w:eastAsia="Times New Roman" w:hAnsi="Times New Roman" w:cs="Times New Roman"/>
          <w:kern w:val="36"/>
          <w:sz w:val="28"/>
          <w:szCs w:val="28"/>
          <w:lang w:val="kk-KZ" w:eastAsia="ru-RU"/>
        </w:rPr>
        <w:t>Керн тобы</w:t>
      </w:r>
      <w:r w:rsidR="003C56BE" w:rsidRPr="00457CE9">
        <w:rPr>
          <w:rFonts w:ascii="Times New Roman" w:eastAsia="Times New Roman" w:hAnsi="Times New Roman" w:cs="Times New Roman"/>
          <w:kern w:val="36"/>
          <w:sz w:val="28"/>
          <w:szCs w:val="28"/>
          <w:lang w:val="kk-KZ" w:eastAsia="ru-RU"/>
        </w:rPr>
        <w:t>»</w:t>
      </w:r>
      <w:r w:rsidR="000706AC" w:rsidRPr="00457CE9">
        <w:rPr>
          <w:rFonts w:ascii="Times New Roman" w:eastAsia="Times New Roman" w:hAnsi="Times New Roman" w:cs="Times New Roman"/>
          <w:kern w:val="36"/>
          <w:sz w:val="28"/>
          <w:szCs w:val="28"/>
          <w:lang w:val="kk-KZ" w:eastAsia="ru-RU"/>
        </w:rPr>
        <w:t xml:space="preserve"> елдерінің тәжірибесі субсидиялар жойылғаннан кейінгі кезеңде өндіріс факторларының жиынтық өнімділігінің неғұрлым жоғары өсуін көрсетеді</w:t>
      </w:r>
      <w:r w:rsidR="002A3CA3" w:rsidRPr="002A3CA3">
        <w:rPr>
          <w:rFonts w:ascii="Times New Roman" w:eastAsia="Times New Roman" w:hAnsi="Times New Roman" w:cs="Times New Roman"/>
          <w:kern w:val="36"/>
          <w:sz w:val="28"/>
          <w:szCs w:val="28"/>
          <w:lang w:val="kk-KZ" w:eastAsia="ru-RU"/>
        </w:rPr>
        <w:t xml:space="preserve"> [99]</w:t>
      </w:r>
      <w:r w:rsidR="000706AC" w:rsidRPr="00457CE9">
        <w:rPr>
          <w:rFonts w:ascii="Times New Roman" w:eastAsia="Times New Roman" w:hAnsi="Times New Roman" w:cs="Times New Roman"/>
          <w:kern w:val="36"/>
          <w:sz w:val="28"/>
          <w:szCs w:val="28"/>
          <w:lang w:val="kk-KZ" w:eastAsia="ru-RU"/>
        </w:rPr>
        <w:t>.</w:t>
      </w:r>
    </w:p>
    <w:p w14:paraId="36BF7CAE" w14:textId="08A95BFC" w:rsidR="00EC13BA" w:rsidRPr="00457CE9" w:rsidRDefault="000706AC"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Қазақстанға қатысты бұл әрбір елдің ауыл шаруашылығы өндірісін қолдаудың өз жүйесін әзірлейтінін куәландырады, ең бастысы бұл қолдау өндірушілерді жер мен жануарлардың өнімділігін арттыруға ынталандыруы, экспортты ынталандыруы тиіс. Бұл жерде ауыл шаруашылығы дамыған шетелдік тәжірибе бойынша ауыл шаруашылығын мемлекет тек реттеуге қатысып, ауыл шаруашылық өндірушілердің бәсекеге қаблетті, әлемдік нарықта сұранысқа ие өнім өндіруді ынталандыруды жүзеге асырған жөн. Бұл жалпы АӨК дамыту үшін ғылыми негізделген әдістер арқылы қол жеткізуге болатынын АҚШ ауыл шаруашылығының даму тарихы растайды. Сондықтан ауыл шаруашылығы мемлекеттің азық түліктік қауіпсіздігін ғана қамтамасыз етіп те қоймай, мемлекетке салықтар түріндегі кірістерді де қамтамасыз ететінін атап өтуге болады</w:t>
      </w:r>
      <w:r w:rsidR="00B004CF" w:rsidRPr="00457CE9">
        <w:rPr>
          <w:rFonts w:ascii="Times New Roman" w:eastAsia="Times New Roman" w:hAnsi="Times New Roman" w:cs="Times New Roman"/>
          <w:kern w:val="36"/>
          <w:sz w:val="28"/>
          <w:szCs w:val="28"/>
          <w:lang w:val="kk-KZ" w:eastAsia="ru-RU"/>
        </w:rPr>
        <w:t xml:space="preserve"> [</w:t>
      </w:r>
      <w:r w:rsidR="00232EA1">
        <w:rPr>
          <w:rFonts w:ascii="Times New Roman" w:eastAsia="Times New Roman" w:hAnsi="Times New Roman" w:cs="Times New Roman"/>
          <w:kern w:val="36"/>
          <w:sz w:val="28"/>
          <w:szCs w:val="28"/>
          <w:lang w:val="kk-KZ" w:eastAsia="ru-RU"/>
        </w:rPr>
        <w:t>100</w:t>
      </w:r>
      <w:r w:rsidR="00B004CF"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p>
    <w:p w14:paraId="59E1A666" w14:textId="1AB1EC35" w:rsidR="002E1445" w:rsidRPr="00457CE9" w:rsidRDefault="00E56F0C"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Қазіргі таңда ауыл шаруашылығында экологиялық таза өніммен қамтамасыз етумен қатар, қолданыстағы өндіру технологияларын қоршаған ортаға зиянсыз не оны төмендету жақтарын да қарастырған жөн. </w:t>
      </w:r>
      <w:r w:rsidR="002E1445" w:rsidRPr="00457CE9">
        <w:rPr>
          <w:rFonts w:ascii="Times New Roman" w:eastAsia="Times New Roman" w:hAnsi="Times New Roman" w:cs="Times New Roman"/>
          <w:kern w:val="36"/>
          <w:sz w:val="28"/>
          <w:szCs w:val="28"/>
          <w:lang w:val="kk-KZ" w:eastAsia="ru-RU"/>
        </w:rPr>
        <w:t xml:space="preserve">Сонымен қатар АӨК саласындағы өсімдік және мал шаруашылықтарында осыған дейінгі субсидиялау құралдары ауыл шаруашылық өнімдерін өндірушілердің </w:t>
      </w:r>
      <w:r w:rsidR="00984FC3" w:rsidRPr="00457CE9">
        <w:rPr>
          <w:rFonts w:ascii="Times New Roman" w:eastAsia="Times New Roman" w:hAnsi="Times New Roman" w:cs="Times New Roman"/>
          <w:kern w:val="36"/>
          <w:sz w:val="28"/>
          <w:szCs w:val="28"/>
          <w:lang w:val="kk-KZ" w:eastAsia="ru-RU"/>
        </w:rPr>
        <w:t xml:space="preserve">меншікті өндірістерін ынталандырмайтынын, және тек субсидияларды алу жолдарын қарастыратынын көрсетеді. Субсидиялау құралдарын жетілдіру жолдарының қаншалықты қарастырылғанын Бағдарламаның төртінші және бесінші бөлімін </w:t>
      </w:r>
      <w:r w:rsidR="00677838" w:rsidRPr="00457CE9">
        <w:rPr>
          <w:rFonts w:ascii="Times New Roman" w:eastAsia="Times New Roman" w:hAnsi="Times New Roman" w:cs="Times New Roman"/>
          <w:kern w:val="36"/>
          <w:sz w:val="28"/>
          <w:szCs w:val="28"/>
          <w:lang w:val="kk-KZ" w:eastAsia="ru-RU"/>
        </w:rPr>
        <w:t>талда</w:t>
      </w:r>
      <w:r w:rsidR="00984FC3" w:rsidRPr="00457CE9">
        <w:rPr>
          <w:rFonts w:ascii="Times New Roman" w:eastAsia="Times New Roman" w:hAnsi="Times New Roman" w:cs="Times New Roman"/>
          <w:kern w:val="36"/>
          <w:sz w:val="28"/>
          <w:szCs w:val="28"/>
          <w:lang w:val="kk-KZ" w:eastAsia="ru-RU"/>
        </w:rPr>
        <w:t xml:space="preserve">у қажет. </w:t>
      </w:r>
      <w:r w:rsidR="002E1445" w:rsidRPr="00457CE9">
        <w:rPr>
          <w:rFonts w:ascii="Times New Roman" w:eastAsia="Times New Roman" w:hAnsi="Times New Roman" w:cs="Times New Roman"/>
          <w:kern w:val="36"/>
          <w:sz w:val="28"/>
          <w:szCs w:val="28"/>
          <w:lang w:val="kk-KZ" w:eastAsia="ru-RU"/>
        </w:rPr>
        <w:t xml:space="preserve"> </w:t>
      </w:r>
    </w:p>
    <w:p w14:paraId="40B98C2B" w14:textId="34C41F63" w:rsidR="00546BE5" w:rsidRPr="00457CE9" w:rsidRDefault="00315897"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Бағдарламаның төртінші бөлімінде </w:t>
      </w:r>
      <w:r w:rsidR="002E1445" w:rsidRPr="00457CE9">
        <w:rPr>
          <w:rFonts w:ascii="Times New Roman" w:eastAsia="Times New Roman" w:hAnsi="Times New Roman" w:cs="Times New Roman"/>
          <w:kern w:val="36"/>
          <w:sz w:val="28"/>
          <w:szCs w:val="28"/>
          <w:lang w:val="kk-KZ" w:eastAsia="ru-RU"/>
        </w:rPr>
        <w:t xml:space="preserve">үшінші бөлімде АӨК дамыту бағыттары бойынша </w:t>
      </w:r>
      <w:r w:rsidR="004B6625" w:rsidRPr="00457CE9">
        <w:rPr>
          <w:rFonts w:ascii="Times New Roman" w:eastAsia="Times New Roman" w:hAnsi="Times New Roman" w:cs="Times New Roman"/>
          <w:kern w:val="36"/>
          <w:sz w:val="28"/>
          <w:szCs w:val="28"/>
          <w:lang w:val="kk-KZ" w:eastAsia="ru-RU"/>
        </w:rPr>
        <w:t xml:space="preserve">Бағдарламаның мақсаттары, міндеттері, нысаналы индикаторлары </w:t>
      </w:r>
      <w:r w:rsidR="002E1445" w:rsidRPr="00457CE9">
        <w:rPr>
          <w:rFonts w:ascii="Times New Roman" w:eastAsia="Times New Roman" w:hAnsi="Times New Roman" w:cs="Times New Roman"/>
          <w:kern w:val="36"/>
          <w:sz w:val="28"/>
          <w:szCs w:val="28"/>
          <w:lang w:val="kk-KZ" w:eastAsia="ru-RU"/>
        </w:rPr>
        <w:t xml:space="preserve">сандық көрсеткіштерімен </w:t>
      </w:r>
      <w:r w:rsidR="004B6625" w:rsidRPr="00457CE9">
        <w:rPr>
          <w:rFonts w:ascii="Times New Roman" w:eastAsia="Times New Roman" w:hAnsi="Times New Roman" w:cs="Times New Roman"/>
          <w:kern w:val="36"/>
          <w:sz w:val="28"/>
          <w:szCs w:val="28"/>
          <w:lang w:val="kk-KZ" w:eastAsia="ru-RU"/>
        </w:rPr>
        <w:t xml:space="preserve">және іске асыру нәтижелерінің көрсеткіштері тоғыз </w:t>
      </w:r>
      <w:r w:rsidR="00546BE5" w:rsidRPr="00457CE9">
        <w:rPr>
          <w:rFonts w:ascii="Times New Roman" w:eastAsia="Times New Roman" w:hAnsi="Times New Roman" w:cs="Times New Roman"/>
          <w:kern w:val="36"/>
          <w:sz w:val="28"/>
          <w:szCs w:val="28"/>
          <w:lang w:val="kk-KZ" w:eastAsia="ru-RU"/>
        </w:rPr>
        <w:t>бағыттары бойынша</w:t>
      </w:r>
      <w:r w:rsidR="004B6625" w:rsidRPr="00457CE9">
        <w:rPr>
          <w:rFonts w:ascii="Times New Roman" w:eastAsia="Times New Roman" w:hAnsi="Times New Roman" w:cs="Times New Roman"/>
          <w:kern w:val="36"/>
          <w:sz w:val="28"/>
          <w:szCs w:val="28"/>
          <w:lang w:val="kk-KZ" w:eastAsia="ru-RU"/>
        </w:rPr>
        <w:t xml:space="preserve"> келтірілген</w:t>
      </w:r>
      <w:r w:rsidR="00B004CF" w:rsidRPr="00457CE9">
        <w:rPr>
          <w:rFonts w:ascii="Times New Roman" w:eastAsia="Times New Roman" w:hAnsi="Times New Roman" w:cs="Times New Roman"/>
          <w:kern w:val="36"/>
          <w:sz w:val="28"/>
          <w:szCs w:val="28"/>
          <w:lang w:val="kk-KZ" w:eastAsia="ru-RU"/>
        </w:rPr>
        <w:t xml:space="preserve"> [</w:t>
      </w:r>
      <w:r w:rsidR="007B64AC">
        <w:rPr>
          <w:rFonts w:ascii="Times New Roman" w:eastAsia="Times New Roman" w:hAnsi="Times New Roman" w:cs="Times New Roman"/>
          <w:kern w:val="36"/>
          <w:sz w:val="28"/>
          <w:szCs w:val="28"/>
          <w:lang w:val="kk-KZ" w:eastAsia="ru-RU"/>
        </w:rPr>
        <w:t>6</w:t>
      </w:r>
      <w:r w:rsidR="00232EA1">
        <w:rPr>
          <w:rFonts w:ascii="Times New Roman" w:eastAsia="Times New Roman" w:hAnsi="Times New Roman" w:cs="Times New Roman"/>
          <w:kern w:val="36"/>
          <w:sz w:val="28"/>
          <w:szCs w:val="28"/>
          <w:lang w:val="kk-KZ" w:eastAsia="ru-RU"/>
        </w:rPr>
        <w:t>2</w:t>
      </w:r>
      <w:r w:rsidR="00B004CF" w:rsidRPr="00457CE9">
        <w:rPr>
          <w:rFonts w:ascii="Times New Roman" w:eastAsia="Times New Roman" w:hAnsi="Times New Roman" w:cs="Times New Roman"/>
          <w:kern w:val="36"/>
          <w:sz w:val="28"/>
          <w:szCs w:val="28"/>
          <w:lang w:val="kk-KZ" w:eastAsia="ru-RU"/>
        </w:rPr>
        <w:t>]</w:t>
      </w:r>
      <w:r w:rsidR="004B6625" w:rsidRPr="00457CE9">
        <w:rPr>
          <w:rFonts w:ascii="Times New Roman" w:eastAsia="Times New Roman" w:hAnsi="Times New Roman" w:cs="Times New Roman"/>
          <w:kern w:val="36"/>
          <w:sz w:val="28"/>
          <w:szCs w:val="28"/>
          <w:lang w:val="kk-KZ" w:eastAsia="ru-RU"/>
        </w:rPr>
        <w:t>.</w:t>
      </w:r>
    </w:p>
    <w:p w14:paraId="294323CA" w14:textId="3E1D2BAC" w:rsidR="00AD62B2" w:rsidRPr="00457CE9" w:rsidRDefault="00546BE5"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Бағдарламаның мақсатына жетуге анықталған нысаналы индикатордың сандық көрсеткіштері қаншалықты ықпал еткенін анықтау тиімділік аудитінің мақсаты ретінде анықтау қажет. 2017-2021 жж. аралығына болжалды нысаналы индикаторлардың сандық көрсеткіштерін анықтау әдістемесі жоқ</w:t>
      </w:r>
      <w:r w:rsidR="00E42B2F">
        <w:rPr>
          <w:rFonts w:ascii="Times New Roman" w:eastAsia="Times New Roman" w:hAnsi="Times New Roman" w:cs="Times New Roman"/>
          <w:kern w:val="36"/>
          <w:sz w:val="28"/>
          <w:szCs w:val="28"/>
          <w:lang w:val="kk-KZ" w:eastAsia="ru-RU"/>
        </w:rPr>
        <w:t xml:space="preserve">тығын атауға </w:t>
      </w:r>
      <w:r w:rsidRPr="00457CE9">
        <w:rPr>
          <w:rFonts w:ascii="Times New Roman" w:eastAsia="Times New Roman" w:hAnsi="Times New Roman" w:cs="Times New Roman"/>
          <w:kern w:val="36"/>
          <w:sz w:val="28"/>
          <w:szCs w:val="28"/>
          <w:lang w:val="kk-KZ" w:eastAsia="ru-RU"/>
        </w:rPr>
        <w:t xml:space="preserve">болады. Бағдарламаны әзірлеген Ауыл шаруашылығы </w:t>
      </w:r>
      <w:r w:rsidR="00E42B2F">
        <w:rPr>
          <w:rFonts w:ascii="Times New Roman" w:eastAsia="Times New Roman" w:hAnsi="Times New Roman" w:cs="Times New Roman"/>
          <w:kern w:val="36"/>
          <w:sz w:val="28"/>
          <w:szCs w:val="28"/>
          <w:lang w:val="kk-KZ" w:eastAsia="ru-RU"/>
        </w:rPr>
        <w:t>м</w:t>
      </w:r>
      <w:r w:rsidRPr="00457CE9">
        <w:rPr>
          <w:rFonts w:ascii="Times New Roman" w:eastAsia="Times New Roman" w:hAnsi="Times New Roman" w:cs="Times New Roman"/>
          <w:kern w:val="36"/>
          <w:sz w:val="28"/>
          <w:szCs w:val="28"/>
          <w:lang w:val="kk-KZ" w:eastAsia="ru-RU"/>
        </w:rPr>
        <w:t xml:space="preserve">инистрлігі Бағдарламада оған сілтеме не негіз бермеген. Ал мұндай маңызды көрсеткіштерді болжаудың ғылыми негізделген әдістемесінсіз жүзеге асыру тиімсіз деуге болады. </w:t>
      </w:r>
      <w:r w:rsidR="00081228" w:rsidRPr="00457CE9">
        <w:rPr>
          <w:rFonts w:ascii="Times New Roman" w:eastAsia="Times New Roman" w:hAnsi="Times New Roman" w:cs="Times New Roman"/>
          <w:kern w:val="36"/>
          <w:sz w:val="28"/>
          <w:szCs w:val="28"/>
          <w:lang w:val="kk-KZ" w:eastAsia="ru-RU"/>
        </w:rPr>
        <w:t>Сондықтан теңдестірілген болжалды көрсеткіштерді анықтау әдістемесі қажет. Экономиканың даму бағыттарын, болашақта оның жекелеген элементтерін болжау немесе алға қойылған мақсаттарға жетудің оңтайлы жолдарын іздеу. Әдісті дұрыс таңдау болжамның сапасын анықтайды.</w:t>
      </w:r>
      <w:r w:rsidRPr="00457CE9">
        <w:rPr>
          <w:rFonts w:ascii="Times New Roman" w:eastAsia="Times New Roman" w:hAnsi="Times New Roman" w:cs="Times New Roman"/>
          <w:kern w:val="36"/>
          <w:sz w:val="28"/>
          <w:szCs w:val="28"/>
          <w:lang w:val="kk-KZ" w:eastAsia="ru-RU"/>
        </w:rPr>
        <w:t xml:space="preserve"> </w:t>
      </w:r>
      <w:r w:rsidR="00FE0756" w:rsidRPr="00457CE9">
        <w:rPr>
          <w:rFonts w:ascii="Times New Roman" w:eastAsia="Times New Roman" w:hAnsi="Times New Roman" w:cs="Times New Roman"/>
          <w:kern w:val="36"/>
          <w:sz w:val="28"/>
          <w:szCs w:val="28"/>
          <w:lang w:val="kk-KZ" w:eastAsia="ru-RU"/>
        </w:rPr>
        <w:t xml:space="preserve">Болашақты болжау және оған негізделген ұзақ мерзімді болжам ауыл шаруашылығын ұзақ мерзімді дамытудың стратегиясын және оның бәсекеге қабілеттілігін арттыруды қамтамасыз ететін ғылыми негізделген тиімді таңдаудың объективті қажетті шартына айналады. Жүйелі көзқарас тұрғысынан ауыл экономикасы өзара байланысты ішкі жүйелердің жиынтығы болып табылады. </w:t>
      </w:r>
    </w:p>
    <w:p w14:paraId="161FD8C7" w14:textId="08D667F8" w:rsidR="004C56CC" w:rsidRPr="00457CE9" w:rsidRDefault="004C56CC"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Бағдарламаның бесінші бөлімінде Бағдарламаның мақсатына жету үшін қойылған тапсырмаларды шешу жолдары келтірілген.</w:t>
      </w:r>
      <w:r w:rsidR="00E42B2F">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Бесінші бөлімде тоғыз тапсырма бойынша, оларды шешу бағыттары жалпы келтірілген. </w:t>
      </w:r>
    </w:p>
    <w:p w14:paraId="5ECC05C9" w14:textId="67C24073" w:rsidR="004C56CC" w:rsidRPr="00457CE9" w:rsidRDefault="004C56CC" w:rsidP="00996BD5">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АӨК субъектілері үшін қаржыландырудың қолжетімділігін арттыру және АӨК субъектілеріне салық салудың оңтайлы режимдерін қамтамасыз ету тапсырмасы бойынша Бағдарламаның үшінші бөлімінде қазіргі уақытта қаржылық қолдау шараларының мынадай түрлері: субсидиялау, лизинг, сақтандыру, жеңілдікті </w:t>
      </w:r>
      <w:r w:rsidR="00534FF4">
        <w:rPr>
          <w:rFonts w:ascii="Times New Roman" w:eastAsia="Times New Roman" w:hAnsi="Times New Roman" w:cs="Times New Roman"/>
          <w:kern w:val="36"/>
          <w:sz w:val="28"/>
          <w:szCs w:val="28"/>
          <w:lang w:val="kk-KZ" w:eastAsia="ru-RU"/>
        </w:rPr>
        <w:t>несие</w:t>
      </w:r>
      <w:r w:rsidRPr="00457CE9">
        <w:rPr>
          <w:rFonts w:ascii="Times New Roman" w:eastAsia="Times New Roman" w:hAnsi="Times New Roman" w:cs="Times New Roman"/>
          <w:kern w:val="36"/>
          <w:sz w:val="28"/>
          <w:szCs w:val="28"/>
          <w:lang w:val="kk-KZ" w:eastAsia="ru-RU"/>
        </w:rPr>
        <w:t xml:space="preserve"> беру және салық салу бар деп аталып өткен. 2015 жылы мемлекеттік қолдау субсидиялардың 65 түрін қамтыды. Бұл ретте тауарлық-ерекше субсидиялардың үлесі 47,3%–ды, қаржы құралдары – 20,4% -ды құрады делінген. Дегенмен Бағдарламаның үшінші бөлімінде қазіргі таңдағы тауарлық-ерекше субсидияларының тиімділігі төмендігін атап өткен.</w:t>
      </w:r>
    </w:p>
    <w:p w14:paraId="45B6E032" w14:textId="5618B923" w:rsidR="004C56CC" w:rsidRPr="00457CE9" w:rsidRDefault="004C56CC" w:rsidP="00996BD5">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eastAsia="Times New Roman" w:hAnsi="Times New Roman" w:cs="Times New Roman"/>
          <w:kern w:val="36"/>
          <w:sz w:val="28"/>
          <w:szCs w:val="28"/>
          <w:lang w:val="kk-KZ" w:eastAsia="ru-RU"/>
        </w:rPr>
        <w:t>АӨК субъектілерін қаржылық қолдауды «ҰБХ «Қазагро» АҚ</w:t>
      </w:r>
      <w:r w:rsidRPr="00457CE9">
        <w:rPr>
          <w:rFonts w:ascii="Times New Roman" w:hAnsi="Times New Roman" w:cs="Times New Roman"/>
          <w:kern w:val="36"/>
          <w:sz w:val="28"/>
          <w:szCs w:val="28"/>
          <w:lang w:val="kk-KZ" w:eastAsia="zh-CN"/>
        </w:rPr>
        <w:t>-ның еншілес ұйымдарына жүзеге асыру жүктелген</w:t>
      </w:r>
      <w:r w:rsidR="00B004CF" w:rsidRPr="00457CE9">
        <w:rPr>
          <w:rFonts w:ascii="Times New Roman" w:hAnsi="Times New Roman" w:cs="Times New Roman"/>
          <w:kern w:val="36"/>
          <w:sz w:val="28"/>
          <w:szCs w:val="28"/>
          <w:lang w:val="kk-KZ" w:eastAsia="zh-CN"/>
        </w:rPr>
        <w:t xml:space="preserve"> [</w:t>
      </w:r>
      <w:r w:rsidR="002A3CA3">
        <w:rPr>
          <w:rFonts w:ascii="Times New Roman" w:hAnsi="Times New Roman" w:cs="Times New Roman"/>
          <w:kern w:val="36"/>
          <w:sz w:val="28"/>
          <w:szCs w:val="28"/>
          <w:lang w:val="kk-KZ" w:eastAsia="zh-CN"/>
        </w:rPr>
        <w:t>99, р. 219</w:t>
      </w:r>
      <w:r w:rsidR="00B004CF"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w:t>
      </w:r>
    </w:p>
    <w:p w14:paraId="13C3B54F" w14:textId="52AD9AE2" w:rsidR="004C56CC" w:rsidRPr="00457CE9" w:rsidRDefault="004C56CC" w:rsidP="00996BD5">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«Аграрлық несиелік корпорация» АҚ – несиелендіру</w:t>
      </w:r>
      <w:r w:rsidR="00996BD5">
        <w:rPr>
          <w:rFonts w:ascii="Times New Roman" w:hAnsi="Times New Roman" w:cs="Times New Roman"/>
          <w:kern w:val="36"/>
          <w:sz w:val="28"/>
          <w:szCs w:val="28"/>
          <w:lang w:val="kk-KZ" w:eastAsia="zh-CN"/>
        </w:rPr>
        <w:t>.</w:t>
      </w:r>
    </w:p>
    <w:p w14:paraId="560F54B1" w14:textId="0583E61F" w:rsidR="004C56CC" w:rsidRPr="00457CE9" w:rsidRDefault="004C56CC" w:rsidP="00996BD5">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«ҚазАгро</w:t>
      </w:r>
      <w:r w:rsidR="00E42B2F">
        <w:rPr>
          <w:rFonts w:ascii="Times New Roman" w:hAnsi="Times New Roman" w:cs="Times New Roman"/>
          <w:kern w:val="36"/>
          <w:sz w:val="28"/>
          <w:szCs w:val="28"/>
          <w:lang w:val="kk-KZ" w:eastAsia="zh-CN"/>
        </w:rPr>
        <w:t>Қаржы</w:t>
      </w:r>
      <w:r w:rsidRPr="00457CE9">
        <w:rPr>
          <w:rFonts w:ascii="Times New Roman" w:hAnsi="Times New Roman" w:cs="Times New Roman"/>
          <w:kern w:val="36"/>
          <w:sz w:val="28"/>
          <w:szCs w:val="28"/>
          <w:lang w:val="kk-KZ" w:eastAsia="zh-CN"/>
        </w:rPr>
        <w:t>» АҚ – ауыл шаруашылық техникалар мен жабдықтарды жаңарту мақсатында лизингтік қызметтер көрсету</w:t>
      </w:r>
      <w:r w:rsidR="00996BD5">
        <w:rPr>
          <w:rFonts w:ascii="Times New Roman" w:hAnsi="Times New Roman" w:cs="Times New Roman"/>
          <w:kern w:val="36"/>
          <w:sz w:val="28"/>
          <w:szCs w:val="28"/>
          <w:lang w:val="kk-KZ" w:eastAsia="zh-CN"/>
        </w:rPr>
        <w:t>.</w:t>
      </w:r>
    </w:p>
    <w:p w14:paraId="2530DE99" w14:textId="50FDE830" w:rsidR="004C56CC" w:rsidRPr="00457CE9" w:rsidRDefault="004C56CC" w:rsidP="00996BD5">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«Ауыл шаруашылығын қаржылық қолдау қоры» АҚ – микронесиелендіру, міндеттемелерді кепілдендіру, АӨК саласы тәуекелдерін сақтандыру</w:t>
      </w:r>
      <w:r w:rsidR="00996BD5">
        <w:rPr>
          <w:rFonts w:ascii="Times New Roman" w:hAnsi="Times New Roman" w:cs="Times New Roman"/>
          <w:kern w:val="36"/>
          <w:sz w:val="28"/>
          <w:szCs w:val="28"/>
          <w:lang w:val="kk-KZ" w:eastAsia="zh-CN"/>
        </w:rPr>
        <w:t>.</w:t>
      </w:r>
    </w:p>
    <w:p w14:paraId="4396941D" w14:textId="5E4B32CA" w:rsidR="00E36A26" w:rsidRPr="00457CE9" w:rsidRDefault="004C56CC" w:rsidP="00996BD5">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w:t>
      </w:r>
      <w:r w:rsidRPr="00232EA1">
        <w:rPr>
          <w:rFonts w:ascii="Times New Roman" w:hAnsi="Times New Roman" w:cs="Times New Roman"/>
          <w:kern w:val="36"/>
          <w:sz w:val="28"/>
          <w:szCs w:val="28"/>
          <w:lang w:val="kk-KZ" w:eastAsia="zh-CN"/>
        </w:rPr>
        <w:t>Азық-түлік корпорация ҰК» АҚ – АШТӨ өнімдерін ішкі және сыртқы нарықтарда сатып алу, сақтауды және өткізуді ұйымдастыру, ішкі нарықты тұрақтандыру мақсатында кейбір азық</w:t>
      </w:r>
      <w:r w:rsidR="00E42B2F">
        <w:rPr>
          <w:rFonts w:ascii="Times New Roman" w:hAnsi="Times New Roman" w:cs="Times New Roman"/>
          <w:kern w:val="36"/>
          <w:sz w:val="28"/>
          <w:szCs w:val="28"/>
          <w:lang w:val="kk-KZ" w:eastAsia="zh-CN"/>
        </w:rPr>
        <w:t>-</w:t>
      </w:r>
      <w:r w:rsidRPr="00232EA1">
        <w:rPr>
          <w:rFonts w:ascii="Times New Roman" w:hAnsi="Times New Roman" w:cs="Times New Roman"/>
          <w:kern w:val="36"/>
          <w:sz w:val="28"/>
          <w:szCs w:val="28"/>
          <w:lang w:val="kk-KZ" w:eastAsia="zh-CN"/>
        </w:rPr>
        <w:t>түлікті сыртқы нарықтардан жеткізуді ұйымдастыру.</w:t>
      </w:r>
      <w:r w:rsidR="0082390D" w:rsidRPr="00232EA1">
        <w:rPr>
          <w:rFonts w:ascii="Times New Roman" w:hAnsi="Times New Roman" w:cs="Times New Roman"/>
          <w:kern w:val="36"/>
          <w:sz w:val="28"/>
          <w:szCs w:val="28"/>
          <w:lang w:val="kk-KZ" w:eastAsia="zh-CN"/>
        </w:rPr>
        <w:t xml:space="preserve"> </w:t>
      </w:r>
      <w:r w:rsidR="00E36A26" w:rsidRPr="00232EA1">
        <w:rPr>
          <w:rFonts w:ascii="Times New Roman" w:eastAsia="Times New Roman" w:hAnsi="Times New Roman" w:cs="Times New Roman"/>
          <w:kern w:val="36"/>
          <w:sz w:val="28"/>
          <w:szCs w:val="28"/>
          <w:lang w:val="kk-KZ" w:eastAsia="ru-RU"/>
        </w:rPr>
        <w:t xml:space="preserve">АӨК субъектілерін қаржылық қолдау құралдарының тиімсіздігін келтіре отырып, оларды шешуге бағытталған шаралар </w:t>
      </w:r>
      <w:r w:rsidR="00E36A26" w:rsidRPr="00457CE9">
        <w:rPr>
          <w:rFonts w:ascii="Times New Roman" w:eastAsia="Times New Roman" w:hAnsi="Times New Roman" w:cs="Times New Roman"/>
          <w:kern w:val="36"/>
          <w:sz w:val="28"/>
          <w:szCs w:val="28"/>
          <w:lang w:val="kk-KZ" w:eastAsia="ru-RU"/>
        </w:rPr>
        <w:t xml:space="preserve">«Шаралар жоспарында» сандық нәтижелі көрсеткіштер түрінде келтірілмеген. </w:t>
      </w:r>
    </w:p>
    <w:p w14:paraId="14F18FA7" w14:textId="4ECCA4C0" w:rsidR="001E64ED" w:rsidRDefault="00E36A26" w:rsidP="001E64ED">
      <w:pPr>
        <w:widowControl w:val="0"/>
        <w:tabs>
          <w:tab w:val="left" w:pos="851"/>
        </w:tabs>
        <w:spacing w:after="0" w:line="240" w:lineRule="auto"/>
        <w:ind w:firstLine="709"/>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АӨК субъектілерін қаржылық қолдау және салық салудың оңтайлы режимін қамтамасыз ету тапсырмасы бойынша не бәрі төрт нәтижелі көрсеткіштер жоспарланғанымен, соның ішінде «АӨК-ге тікелей шетелдік инвестицияларды тарту» және «АӨК субъектілеріне салық салудың оңтайлы режимін қамтамасыз ету» нәтижелі көрсеткіштерін шешудің нақты шаралары бесінші бөлімде келтірілмегенін көруге болады. </w:t>
      </w:r>
      <w:r w:rsidR="00CF1C12" w:rsidRPr="00457CE9">
        <w:rPr>
          <w:rFonts w:ascii="Times New Roman" w:eastAsia="Times New Roman" w:hAnsi="Times New Roman" w:cs="Times New Roman"/>
          <w:kern w:val="36"/>
          <w:sz w:val="28"/>
          <w:szCs w:val="28"/>
          <w:lang w:val="kk-KZ" w:eastAsia="ru-RU"/>
        </w:rPr>
        <w:t xml:space="preserve">Мәселен субсидиялау құралдарының тиімсіздігін атап өткенімен, оны тоқтату тек </w:t>
      </w:r>
      <w:r w:rsidR="00CF1C12" w:rsidRPr="00457CE9">
        <w:rPr>
          <w:rFonts w:ascii="Times New Roman" w:hAnsi="Times New Roman" w:cs="Times New Roman"/>
          <w:kern w:val="36"/>
          <w:sz w:val="28"/>
          <w:szCs w:val="28"/>
          <w:lang w:val="kk-KZ" w:eastAsia="zh-CN"/>
        </w:rPr>
        <w:t xml:space="preserve">2019 жылы өсімдік шаруашылығында, 2020 жылы мал шаруашылығында деп белгіленген, бұл шара бюджет қаражатын тиімсіз пайдалануды жалғастыру деген қорытынды жасауға болады. </w:t>
      </w:r>
      <w:r w:rsidR="00BF04D1" w:rsidRPr="00232EA1">
        <w:rPr>
          <w:rFonts w:ascii="Times New Roman" w:hAnsi="Times New Roman" w:cs="Times New Roman"/>
          <w:kern w:val="36"/>
          <w:sz w:val="28"/>
          <w:szCs w:val="28"/>
          <w:lang w:val="kk-KZ" w:eastAsia="zh-CN"/>
        </w:rPr>
        <w:t xml:space="preserve">АШТӨ-дің субсидия </w:t>
      </w:r>
      <w:r w:rsidR="00FB00CA">
        <w:rPr>
          <w:rFonts w:ascii="Times New Roman" w:hAnsi="Times New Roman" w:cs="Times New Roman"/>
          <w:kern w:val="36"/>
          <w:sz w:val="28"/>
          <w:szCs w:val="28"/>
          <w:lang w:val="kk-KZ" w:eastAsia="zh-CN"/>
        </w:rPr>
        <w:t>қолжетімсіздігі</w:t>
      </w:r>
      <w:r w:rsidR="00BF04D1" w:rsidRPr="00232EA1">
        <w:rPr>
          <w:rFonts w:ascii="Times New Roman" w:hAnsi="Times New Roman" w:cs="Times New Roman"/>
          <w:kern w:val="36"/>
          <w:sz w:val="28"/>
          <w:szCs w:val="28"/>
          <w:lang w:val="kk-KZ" w:eastAsia="zh-CN"/>
        </w:rPr>
        <w:t xml:space="preserve"> себептерінің бірі 41 (IAS) «Ауыл шаруашылығы», 20 (IAS) «Мемлекеттік субсидиялар есебі және мемлекеттік қолдау туралы ақпаратты ашу» деп аталатын ҚЕХС-на сәйкес дайындалған қаржылық есептіліктерінің болмауын атап өтуге болады [</w:t>
      </w:r>
      <w:r w:rsidR="00232EA1" w:rsidRPr="00232EA1">
        <w:rPr>
          <w:rFonts w:ascii="Times New Roman" w:hAnsi="Times New Roman" w:cs="Times New Roman"/>
          <w:kern w:val="36"/>
          <w:sz w:val="28"/>
          <w:szCs w:val="28"/>
          <w:lang w:val="kk-KZ" w:eastAsia="zh-CN"/>
        </w:rPr>
        <w:t>101</w:t>
      </w:r>
      <w:r w:rsidR="00BF04D1" w:rsidRPr="00232EA1">
        <w:rPr>
          <w:rFonts w:ascii="Times New Roman" w:hAnsi="Times New Roman" w:cs="Times New Roman"/>
          <w:kern w:val="36"/>
          <w:sz w:val="28"/>
          <w:szCs w:val="28"/>
          <w:lang w:val="kk-KZ" w:eastAsia="zh-CN"/>
        </w:rPr>
        <w:t xml:space="preserve">]. Осы бағытта атқарылатын жұмыстар да жеткілікті. </w:t>
      </w:r>
      <w:r w:rsidR="001E64ED" w:rsidRPr="00232EA1">
        <w:rPr>
          <w:rFonts w:ascii="Times New Roman" w:eastAsia="Times New Roman" w:hAnsi="Times New Roman" w:cs="Times New Roman"/>
          <w:kern w:val="36"/>
          <w:sz w:val="28"/>
          <w:szCs w:val="28"/>
          <w:lang w:val="kk-KZ" w:eastAsia="ru-RU"/>
        </w:rPr>
        <w:t>1</w:t>
      </w:r>
      <w:r w:rsidR="00023296" w:rsidRPr="00232EA1">
        <w:rPr>
          <w:rFonts w:ascii="Times New Roman" w:eastAsia="Times New Roman" w:hAnsi="Times New Roman" w:cs="Times New Roman"/>
          <w:kern w:val="36"/>
          <w:sz w:val="28"/>
          <w:szCs w:val="28"/>
          <w:lang w:val="kk-KZ" w:eastAsia="ru-RU"/>
        </w:rPr>
        <w:t>7</w:t>
      </w:r>
      <w:r w:rsidR="001E64ED" w:rsidRPr="00232EA1">
        <w:rPr>
          <w:rFonts w:ascii="Times New Roman" w:eastAsia="Times New Roman" w:hAnsi="Times New Roman" w:cs="Times New Roman"/>
          <w:kern w:val="36"/>
          <w:sz w:val="28"/>
          <w:szCs w:val="28"/>
          <w:lang w:val="kk-KZ" w:eastAsia="ru-RU"/>
        </w:rPr>
        <w:t xml:space="preserve">-кестеде, АӨК субъектілерін қаржылық қолдау және салық салудың оңтайлы </w:t>
      </w:r>
      <w:r w:rsidR="001E64ED" w:rsidRPr="00457CE9">
        <w:rPr>
          <w:rFonts w:ascii="Times New Roman" w:eastAsia="Times New Roman" w:hAnsi="Times New Roman" w:cs="Times New Roman"/>
          <w:kern w:val="36"/>
          <w:sz w:val="28"/>
          <w:szCs w:val="28"/>
          <w:lang w:val="kk-KZ" w:eastAsia="ru-RU"/>
        </w:rPr>
        <w:t>режимін қамтамасыз ету тапсырмасы бойынша жоспарлы нәтижелі көрсеткіштер мен оларды шешу шаралары келтірілген [</w:t>
      </w:r>
      <w:r w:rsidR="003D4F30">
        <w:rPr>
          <w:rFonts w:ascii="Times New Roman" w:eastAsia="Times New Roman" w:hAnsi="Times New Roman" w:cs="Times New Roman"/>
          <w:kern w:val="36"/>
          <w:sz w:val="28"/>
          <w:szCs w:val="28"/>
          <w:lang w:val="kk-KZ" w:eastAsia="ru-RU"/>
        </w:rPr>
        <w:t>6</w:t>
      </w:r>
      <w:r w:rsidR="00232EA1">
        <w:rPr>
          <w:rFonts w:ascii="Times New Roman" w:eastAsia="Times New Roman" w:hAnsi="Times New Roman" w:cs="Times New Roman"/>
          <w:kern w:val="36"/>
          <w:sz w:val="28"/>
          <w:szCs w:val="28"/>
          <w:lang w:val="kk-KZ" w:eastAsia="ru-RU"/>
        </w:rPr>
        <w:t>2</w:t>
      </w:r>
      <w:r w:rsidR="001E64ED" w:rsidRPr="00457CE9">
        <w:rPr>
          <w:rFonts w:ascii="Times New Roman" w:eastAsia="Times New Roman" w:hAnsi="Times New Roman" w:cs="Times New Roman"/>
          <w:kern w:val="36"/>
          <w:sz w:val="28"/>
          <w:szCs w:val="28"/>
          <w:lang w:val="kk-KZ" w:eastAsia="ru-RU"/>
        </w:rPr>
        <w:t>].</w:t>
      </w:r>
    </w:p>
    <w:p w14:paraId="0E148E49" w14:textId="77777777" w:rsidR="001E64ED" w:rsidRDefault="001E64ED" w:rsidP="00457CE9">
      <w:pPr>
        <w:widowControl w:val="0"/>
        <w:spacing w:after="0" w:line="240" w:lineRule="auto"/>
        <w:jc w:val="both"/>
        <w:textAlignment w:val="baseline"/>
        <w:outlineLvl w:val="0"/>
        <w:rPr>
          <w:rFonts w:ascii="Times New Roman" w:eastAsia="Times New Roman" w:hAnsi="Times New Roman" w:cs="Times New Roman"/>
          <w:kern w:val="36"/>
          <w:sz w:val="28"/>
          <w:szCs w:val="28"/>
          <w:lang w:val="kk-KZ" w:eastAsia="ru-RU"/>
        </w:rPr>
      </w:pPr>
    </w:p>
    <w:p w14:paraId="4E05C23B" w14:textId="6962209D" w:rsidR="00C60C41" w:rsidRDefault="00C60C41" w:rsidP="00457CE9">
      <w:pPr>
        <w:widowControl w:val="0"/>
        <w:spacing w:after="0" w:line="240" w:lineRule="auto"/>
        <w:jc w:val="both"/>
        <w:textAlignment w:val="baseline"/>
        <w:outlineLvl w:val="0"/>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Кесте </w:t>
      </w:r>
      <w:r w:rsidR="00EC13BA" w:rsidRPr="00457CE9">
        <w:rPr>
          <w:rFonts w:ascii="Times New Roman" w:eastAsia="Times New Roman" w:hAnsi="Times New Roman" w:cs="Times New Roman"/>
          <w:kern w:val="36"/>
          <w:sz w:val="28"/>
          <w:szCs w:val="28"/>
          <w:lang w:val="kk-KZ" w:eastAsia="ru-RU"/>
        </w:rPr>
        <w:t>1</w:t>
      </w:r>
      <w:r w:rsidR="00023296">
        <w:rPr>
          <w:rFonts w:ascii="Times New Roman" w:eastAsia="Times New Roman" w:hAnsi="Times New Roman" w:cs="Times New Roman"/>
          <w:kern w:val="36"/>
          <w:sz w:val="28"/>
          <w:szCs w:val="28"/>
          <w:lang w:val="kk-KZ" w:eastAsia="ru-RU"/>
        </w:rPr>
        <w:t>7</w:t>
      </w:r>
      <w:r w:rsidR="00EC13BA"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 АӨК субъектілерін қаржылық қолдау және салық салудың оңтайлы режимін қамтамасыз ету тапсырмасы бойынша жоспарлы нәтижелі көрсеткіштер мен оларды шешу шаралары</w:t>
      </w:r>
    </w:p>
    <w:p w14:paraId="640A0B6E" w14:textId="77777777" w:rsidR="00996BD5" w:rsidRPr="00996BD5" w:rsidRDefault="00996BD5" w:rsidP="00457CE9">
      <w:pPr>
        <w:widowControl w:val="0"/>
        <w:spacing w:after="0" w:line="240" w:lineRule="auto"/>
        <w:jc w:val="both"/>
        <w:textAlignment w:val="baseline"/>
        <w:outlineLvl w:val="0"/>
        <w:rPr>
          <w:rFonts w:ascii="Times New Roman" w:eastAsia="Times New Roman" w:hAnsi="Times New Roman" w:cs="Times New Roman"/>
          <w:kern w:val="36"/>
          <w:sz w:val="16"/>
          <w:szCs w:val="16"/>
          <w:lang w:val="kk-KZ" w:eastAsia="ru-RU"/>
        </w:rPr>
      </w:pPr>
    </w:p>
    <w:tbl>
      <w:tblPr>
        <w:tblStyle w:val="a3"/>
        <w:tblW w:w="9639" w:type="dxa"/>
        <w:tblInd w:w="-5" w:type="dxa"/>
        <w:tblLayout w:type="fixed"/>
        <w:tblLook w:val="04A0" w:firstRow="1" w:lastRow="0" w:firstColumn="1" w:lastColumn="0" w:noHBand="0" w:noVBand="1"/>
      </w:tblPr>
      <w:tblGrid>
        <w:gridCol w:w="3374"/>
        <w:gridCol w:w="4394"/>
        <w:gridCol w:w="1871"/>
      </w:tblGrid>
      <w:tr w:rsidR="00996BD5" w:rsidRPr="00996BD5" w14:paraId="3942DE2C" w14:textId="77777777" w:rsidTr="007B64AC">
        <w:tc>
          <w:tcPr>
            <w:tcW w:w="3374" w:type="dxa"/>
            <w:tcBorders>
              <w:top w:val="single" w:sz="4" w:space="0" w:color="auto"/>
              <w:left w:val="single" w:sz="4" w:space="0" w:color="auto"/>
              <w:bottom w:val="single" w:sz="4" w:space="0" w:color="auto"/>
              <w:right w:val="single" w:sz="4" w:space="0" w:color="auto"/>
            </w:tcBorders>
            <w:vAlign w:val="center"/>
          </w:tcPr>
          <w:p w14:paraId="6BAD4636" w14:textId="77777777" w:rsidR="00996BD5" w:rsidRPr="00996BD5" w:rsidRDefault="00996BD5" w:rsidP="00996BD5">
            <w:pPr>
              <w:widowControl w:val="0"/>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Төртінші бөлімде нәтиже көрсеткіштері</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16B702A" w14:textId="77777777" w:rsidR="00996BD5" w:rsidRPr="00996BD5" w:rsidRDefault="00996BD5" w:rsidP="00996BD5">
            <w:pPr>
              <w:widowControl w:val="0"/>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Бесінші бөлімде бағыттарды шешу шаралары</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1BAE07C" w14:textId="2B756DBB" w:rsidR="00996BD5" w:rsidRPr="00996BD5" w:rsidRDefault="00996BD5" w:rsidP="00996BD5">
            <w:pPr>
              <w:widowControl w:val="0"/>
              <w:jc w:val="center"/>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Ескерту</w:t>
            </w:r>
          </w:p>
        </w:tc>
      </w:tr>
      <w:tr w:rsidR="00996BD5" w:rsidRPr="00805B3E" w14:paraId="62EB8225" w14:textId="77777777" w:rsidTr="007B64AC">
        <w:tc>
          <w:tcPr>
            <w:tcW w:w="3374" w:type="dxa"/>
            <w:tcBorders>
              <w:top w:val="single" w:sz="4" w:space="0" w:color="auto"/>
              <w:left w:val="single" w:sz="4" w:space="0" w:color="auto"/>
              <w:bottom w:val="single" w:sz="4" w:space="0" w:color="auto"/>
              <w:right w:val="single" w:sz="4" w:space="0" w:color="auto"/>
            </w:tcBorders>
          </w:tcPr>
          <w:p w14:paraId="487FF5CD" w14:textId="3520FBDE"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Несиелер мен лизингтің қолжетімділігін арттыру жөніндегі шаралар есебінен АӨК-не тартылған мемлекет</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тік емес несие қаражатының көлемі</w:t>
            </w:r>
          </w:p>
        </w:tc>
        <w:tc>
          <w:tcPr>
            <w:tcW w:w="4394" w:type="dxa"/>
            <w:tcBorders>
              <w:top w:val="single" w:sz="4" w:space="0" w:color="auto"/>
              <w:left w:val="single" w:sz="4" w:space="0" w:color="auto"/>
              <w:bottom w:val="single" w:sz="4" w:space="0" w:color="auto"/>
              <w:right w:val="single" w:sz="4" w:space="0" w:color="auto"/>
            </w:tcBorders>
            <w:hideMark/>
          </w:tcPr>
          <w:p w14:paraId="70058765" w14:textId="2B3BBD23"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Тауарлық-ерекше субсидиялардың орнына несиелер мен лизинг бойынша пайыздық мөлшерлемені арзандатуға, сондай-ақ инвестициялық жобаны іске асыру кезінде АӨК субъектісі шеккен шығындардың бір бөлігін өтеуге арналған субсидиялардың үлесі кеңейтілетін болады</w:t>
            </w:r>
          </w:p>
        </w:tc>
        <w:tc>
          <w:tcPr>
            <w:tcW w:w="1871" w:type="dxa"/>
            <w:tcBorders>
              <w:top w:val="single" w:sz="4" w:space="0" w:color="auto"/>
              <w:left w:val="single" w:sz="4" w:space="0" w:color="auto"/>
              <w:bottom w:val="single" w:sz="4" w:space="0" w:color="auto"/>
              <w:right w:val="single" w:sz="4" w:space="0" w:color="auto"/>
            </w:tcBorders>
            <w:hideMark/>
          </w:tcPr>
          <w:p w14:paraId="1C6E5510" w14:textId="2DD3A1C9" w:rsid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 xml:space="preserve">Тауарлық-ерекше субсидияларды қысқарту </w:t>
            </w:r>
          </w:p>
          <w:p w14:paraId="1F282A4D" w14:textId="5F9D5B33" w:rsidR="00996BD5" w:rsidRPr="00996BD5" w:rsidRDefault="00996BD5" w:rsidP="00996BD5">
            <w:pPr>
              <w:widowControl w:val="0"/>
              <w:spacing w:line="228" w:lineRule="auto"/>
              <w:textAlignment w:val="baseline"/>
              <w:outlineLvl w:val="0"/>
              <w:rPr>
                <w:rFonts w:ascii="Times New Roman" w:hAnsi="Times New Roman" w:cs="Times New Roman"/>
                <w:kern w:val="36"/>
                <w:sz w:val="24"/>
                <w:szCs w:val="24"/>
                <w:lang w:val="kk-KZ" w:eastAsia="zh-CN"/>
              </w:rPr>
            </w:pPr>
            <w:r w:rsidRPr="00996BD5">
              <w:rPr>
                <w:rFonts w:ascii="Times New Roman" w:hAnsi="Times New Roman" w:cs="Times New Roman"/>
                <w:kern w:val="36"/>
                <w:sz w:val="24"/>
                <w:szCs w:val="24"/>
                <w:lang w:val="kk-KZ" w:eastAsia="zh-CN"/>
              </w:rPr>
              <w:t>2019-2020 жж. жоспарланған</w:t>
            </w:r>
          </w:p>
        </w:tc>
      </w:tr>
      <w:tr w:rsidR="00996BD5" w:rsidRPr="00805B3E" w14:paraId="52CB38FE" w14:textId="77777777" w:rsidTr="007B64AC">
        <w:tc>
          <w:tcPr>
            <w:tcW w:w="3374" w:type="dxa"/>
            <w:tcBorders>
              <w:top w:val="single" w:sz="4" w:space="0" w:color="auto"/>
              <w:left w:val="single" w:sz="4" w:space="0" w:color="auto"/>
              <w:bottom w:val="single" w:sz="4" w:space="0" w:color="auto"/>
              <w:right w:val="single" w:sz="4" w:space="0" w:color="auto"/>
            </w:tcBorders>
          </w:tcPr>
          <w:p w14:paraId="3587693B" w14:textId="2846690F"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Инвестициялық субсидиялар есебінен тартылған инвестициялар көлемі</w:t>
            </w:r>
          </w:p>
        </w:tc>
        <w:tc>
          <w:tcPr>
            <w:tcW w:w="4394" w:type="dxa"/>
            <w:tcBorders>
              <w:top w:val="single" w:sz="4" w:space="0" w:color="auto"/>
              <w:left w:val="single" w:sz="4" w:space="0" w:color="auto"/>
              <w:bottom w:val="single" w:sz="4" w:space="0" w:color="auto"/>
              <w:right w:val="single" w:sz="4" w:space="0" w:color="auto"/>
            </w:tcBorders>
            <w:hideMark/>
          </w:tcPr>
          <w:p w14:paraId="26DCD839" w14:textId="2AF26D18"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Инвестициялық субсидиялау бағдарла</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масын одан әрі жетілдіру шеңберінде мемлекеттік қолдау дамудың неғұрлым тиімді бағыттарына, сондай-ақ инвести</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циялық шығындарды арзандату және инвестициялық салымдар кезінде АӨК субъектісі шеккен шығыстардың бір бөлігін өтеу жолымен инвестициялық жобалардың өзін-өзі ақтау мерзімдерін төмендету арқылы ауыл шаруашылы</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ғының басым міндеттерін шешуге 25-тен 50%-ға дейінгі мөлшерде бағдар</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ланатын болады</w:t>
            </w:r>
          </w:p>
        </w:tc>
        <w:tc>
          <w:tcPr>
            <w:tcW w:w="1871" w:type="dxa"/>
            <w:tcBorders>
              <w:top w:val="single" w:sz="4" w:space="0" w:color="auto"/>
              <w:left w:val="single" w:sz="4" w:space="0" w:color="auto"/>
              <w:bottom w:val="single" w:sz="4" w:space="0" w:color="auto"/>
              <w:right w:val="single" w:sz="4" w:space="0" w:color="auto"/>
            </w:tcBorders>
            <w:hideMark/>
          </w:tcPr>
          <w:p w14:paraId="015FC9BE" w14:textId="218D7889"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hAnsi="Times New Roman" w:cs="Times New Roman"/>
                <w:kern w:val="36"/>
                <w:sz w:val="24"/>
                <w:szCs w:val="24"/>
                <w:lang w:val="kk-KZ" w:eastAsia="zh-CN"/>
              </w:rPr>
              <w:t xml:space="preserve">Сыйақы мөлшерлемесін субсидиялау бойынша </w:t>
            </w:r>
            <w:r w:rsidRPr="00996BD5">
              <w:rPr>
                <w:rFonts w:ascii="Times New Roman" w:eastAsia="Times New Roman" w:hAnsi="Times New Roman" w:cs="Times New Roman"/>
                <w:kern w:val="36"/>
                <w:sz w:val="24"/>
                <w:szCs w:val="24"/>
                <w:lang w:val="kk-KZ" w:eastAsia="ru-RU"/>
              </w:rPr>
              <w:t>АӨК субъектілерінің қарсы міндетте</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мелерінің тізілімі енгізу жоспарланған</w:t>
            </w:r>
          </w:p>
        </w:tc>
      </w:tr>
      <w:tr w:rsidR="00996BD5" w:rsidRPr="00996BD5" w14:paraId="2160DA2D" w14:textId="77777777" w:rsidTr="007B64AC">
        <w:tc>
          <w:tcPr>
            <w:tcW w:w="3374" w:type="dxa"/>
            <w:tcBorders>
              <w:top w:val="single" w:sz="4" w:space="0" w:color="auto"/>
              <w:left w:val="single" w:sz="4" w:space="0" w:color="auto"/>
              <w:bottom w:val="single" w:sz="4" w:space="0" w:color="auto"/>
              <w:right w:val="single" w:sz="4" w:space="0" w:color="auto"/>
            </w:tcBorders>
          </w:tcPr>
          <w:p w14:paraId="5CEB52E7" w14:textId="77777777"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АӨК-ге тікелей шетелдік инвестицияларды тарту</w:t>
            </w:r>
          </w:p>
        </w:tc>
        <w:tc>
          <w:tcPr>
            <w:tcW w:w="4394" w:type="dxa"/>
            <w:tcBorders>
              <w:top w:val="single" w:sz="4" w:space="0" w:color="auto"/>
              <w:left w:val="single" w:sz="4" w:space="0" w:color="auto"/>
              <w:bottom w:val="single" w:sz="4" w:space="0" w:color="auto"/>
              <w:right w:val="single" w:sz="4" w:space="0" w:color="auto"/>
            </w:tcBorders>
            <w:hideMark/>
          </w:tcPr>
          <w:p w14:paraId="4AD85397" w14:textId="314FF9BA"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Шетелдік инвестицияларды тарту үшін жаңа инвестициялық қорлар құру мәселелері пысықталатын болады</w:t>
            </w:r>
          </w:p>
        </w:tc>
        <w:tc>
          <w:tcPr>
            <w:tcW w:w="1871" w:type="dxa"/>
            <w:tcBorders>
              <w:top w:val="single" w:sz="4" w:space="0" w:color="auto"/>
              <w:left w:val="single" w:sz="4" w:space="0" w:color="auto"/>
              <w:bottom w:val="single" w:sz="4" w:space="0" w:color="auto"/>
              <w:right w:val="single" w:sz="4" w:space="0" w:color="auto"/>
            </w:tcBorders>
            <w:hideMark/>
          </w:tcPr>
          <w:p w14:paraId="680BA25E" w14:textId="77777777"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Нақты шаралар келтірілмеген</w:t>
            </w:r>
          </w:p>
        </w:tc>
      </w:tr>
      <w:tr w:rsidR="00996BD5" w:rsidRPr="00996BD5" w14:paraId="758B3404" w14:textId="77777777" w:rsidTr="007B64AC">
        <w:tc>
          <w:tcPr>
            <w:tcW w:w="3374" w:type="dxa"/>
            <w:tcBorders>
              <w:top w:val="single" w:sz="4" w:space="0" w:color="auto"/>
              <w:left w:val="single" w:sz="4" w:space="0" w:color="auto"/>
              <w:bottom w:val="single" w:sz="4" w:space="0" w:color="auto"/>
              <w:right w:val="single" w:sz="4" w:space="0" w:color="auto"/>
            </w:tcBorders>
          </w:tcPr>
          <w:p w14:paraId="301F45E7" w14:textId="77777777"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АӨК субъектілеріне салық салудың оңтайлы режимін қамтамасыз ету</w:t>
            </w:r>
          </w:p>
        </w:tc>
        <w:tc>
          <w:tcPr>
            <w:tcW w:w="4394" w:type="dxa"/>
            <w:tcBorders>
              <w:top w:val="single" w:sz="4" w:space="0" w:color="auto"/>
              <w:left w:val="single" w:sz="4" w:space="0" w:color="auto"/>
              <w:bottom w:val="single" w:sz="4" w:space="0" w:color="auto"/>
              <w:right w:val="single" w:sz="4" w:space="0" w:color="auto"/>
            </w:tcBorders>
            <w:hideMark/>
          </w:tcPr>
          <w:p w14:paraId="3AC98157" w14:textId="0B70C12D" w:rsidR="00996BD5" w:rsidRPr="00FB00CA"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Мәселелердің туындауына қарай АӨК-</w:t>
            </w:r>
            <w:r w:rsidR="00FB00CA">
              <w:rPr>
                <w:rFonts w:ascii="Times New Roman" w:eastAsia="Times New Roman" w:hAnsi="Times New Roman" w:cs="Times New Roman"/>
                <w:kern w:val="36"/>
                <w:sz w:val="24"/>
                <w:szCs w:val="24"/>
                <w:lang w:val="kk-KZ" w:eastAsia="ru-RU"/>
              </w:rPr>
              <w:t>н</w:t>
            </w:r>
            <w:r w:rsidRPr="00996BD5">
              <w:rPr>
                <w:rFonts w:ascii="Times New Roman" w:eastAsia="Times New Roman" w:hAnsi="Times New Roman" w:cs="Times New Roman"/>
                <w:kern w:val="36"/>
                <w:sz w:val="24"/>
                <w:szCs w:val="24"/>
                <w:lang w:val="kk-KZ" w:eastAsia="ru-RU"/>
              </w:rPr>
              <w:t>е салық салуды жетілдіру жөніндегі нормалар әзірленетін болады. Бұл ретте бірыңғай аграрлық салықты енгізу мәселесі пысықталатын болады</w:t>
            </w:r>
          </w:p>
        </w:tc>
        <w:tc>
          <w:tcPr>
            <w:tcW w:w="1871" w:type="dxa"/>
            <w:tcBorders>
              <w:top w:val="single" w:sz="4" w:space="0" w:color="auto"/>
              <w:left w:val="single" w:sz="4" w:space="0" w:color="auto"/>
              <w:bottom w:val="single" w:sz="4" w:space="0" w:color="auto"/>
              <w:right w:val="single" w:sz="4" w:space="0" w:color="auto"/>
            </w:tcBorders>
            <w:hideMark/>
          </w:tcPr>
          <w:p w14:paraId="5F73B8F3" w14:textId="4B55D57E" w:rsidR="00996BD5" w:rsidRPr="00996BD5" w:rsidRDefault="00996BD5" w:rsidP="00996BD5">
            <w:pPr>
              <w:widowControl w:val="0"/>
              <w:spacing w:line="228" w:lineRule="auto"/>
              <w:textAlignment w:val="baseline"/>
              <w:outlineLvl w:val="0"/>
              <w:rPr>
                <w:rFonts w:ascii="Times New Roman" w:eastAsia="Times New Roman" w:hAnsi="Times New Roman" w:cs="Times New Roman"/>
                <w:kern w:val="36"/>
                <w:sz w:val="24"/>
                <w:szCs w:val="24"/>
                <w:lang w:val="kk-KZ" w:eastAsia="ru-RU"/>
              </w:rPr>
            </w:pPr>
            <w:r w:rsidRPr="00996BD5">
              <w:rPr>
                <w:rFonts w:ascii="Times New Roman" w:eastAsia="Times New Roman" w:hAnsi="Times New Roman" w:cs="Times New Roman"/>
                <w:kern w:val="36"/>
                <w:sz w:val="24"/>
                <w:szCs w:val="24"/>
                <w:lang w:val="kk-KZ" w:eastAsia="ru-RU"/>
              </w:rPr>
              <w:t>Нақты шаралар қарасты</w:t>
            </w:r>
            <w:r>
              <w:rPr>
                <w:rFonts w:ascii="Times New Roman" w:eastAsia="Times New Roman" w:hAnsi="Times New Roman" w:cs="Times New Roman"/>
                <w:kern w:val="36"/>
                <w:sz w:val="24"/>
                <w:szCs w:val="24"/>
                <w:lang w:val="kk-KZ" w:eastAsia="ru-RU"/>
              </w:rPr>
              <w:t xml:space="preserve"> </w:t>
            </w:r>
            <w:r w:rsidRPr="00996BD5">
              <w:rPr>
                <w:rFonts w:ascii="Times New Roman" w:eastAsia="Times New Roman" w:hAnsi="Times New Roman" w:cs="Times New Roman"/>
                <w:kern w:val="36"/>
                <w:sz w:val="24"/>
                <w:szCs w:val="24"/>
                <w:lang w:val="kk-KZ" w:eastAsia="ru-RU"/>
              </w:rPr>
              <w:t>рылмаған</w:t>
            </w:r>
          </w:p>
        </w:tc>
      </w:tr>
      <w:tr w:rsidR="00C60C41" w:rsidRPr="00996BD5" w14:paraId="4DEFB9A0" w14:textId="77777777" w:rsidTr="007B64AC">
        <w:tc>
          <w:tcPr>
            <w:tcW w:w="9639" w:type="dxa"/>
            <w:gridSpan w:val="3"/>
            <w:tcBorders>
              <w:top w:val="single" w:sz="4" w:space="0" w:color="auto"/>
              <w:left w:val="single" w:sz="4" w:space="0" w:color="auto"/>
              <w:bottom w:val="single" w:sz="4" w:space="0" w:color="auto"/>
              <w:right w:val="single" w:sz="4" w:space="0" w:color="auto"/>
            </w:tcBorders>
            <w:hideMark/>
          </w:tcPr>
          <w:p w14:paraId="78577350" w14:textId="7761D52E" w:rsidR="00C60C41" w:rsidRPr="00996BD5" w:rsidRDefault="00996BD5" w:rsidP="00996BD5">
            <w:pPr>
              <w:widowControl w:val="0"/>
              <w:ind w:firstLine="567"/>
              <w:textAlignment w:val="baseline"/>
              <w:outlineLvl w:val="0"/>
              <w:rPr>
                <w:rFonts w:ascii="Times New Roman" w:hAnsi="Times New Roman" w:cs="Times New Roman"/>
                <w:kern w:val="36"/>
                <w:sz w:val="24"/>
                <w:szCs w:val="24"/>
                <w:lang w:val="kk-KZ" w:eastAsia="zh-CN"/>
              </w:rPr>
            </w:pPr>
            <w:r w:rsidRPr="00996BD5">
              <w:rPr>
                <w:rFonts w:ascii="Times New Roman" w:eastAsia="Calibri" w:hAnsi="Times New Roman" w:cs="Times New Roman"/>
                <w:sz w:val="24"/>
                <w:szCs w:val="24"/>
              </w:rPr>
              <w:t>Ескерту –</w:t>
            </w:r>
            <w:r w:rsidRPr="00996BD5">
              <w:rPr>
                <w:rFonts w:ascii="Times New Roman" w:eastAsia="Calibri" w:hAnsi="Times New Roman" w:cs="Times New Roman"/>
                <w:bCs/>
                <w:sz w:val="24"/>
                <w:szCs w:val="24"/>
                <w:lang w:val="kk-KZ"/>
              </w:rPr>
              <w:t xml:space="preserve"> Әдебиет негізінде құралған</w:t>
            </w:r>
            <w:r w:rsidR="00C60C41" w:rsidRPr="00996BD5">
              <w:rPr>
                <w:rFonts w:ascii="Times New Roman" w:hAnsi="Times New Roman" w:cs="Times New Roman"/>
                <w:kern w:val="36"/>
                <w:sz w:val="24"/>
                <w:szCs w:val="24"/>
                <w:lang w:val="kk-KZ" w:eastAsia="zh-CN"/>
              </w:rPr>
              <w:t xml:space="preserve"> </w:t>
            </w:r>
            <w:r w:rsidR="00B004CF" w:rsidRPr="00996BD5">
              <w:rPr>
                <w:rFonts w:ascii="Times New Roman" w:hAnsi="Times New Roman" w:cs="Times New Roman"/>
                <w:kern w:val="36"/>
                <w:sz w:val="24"/>
                <w:szCs w:val="24"/>
                <w:lang w:eastAsia="zh-CN"/>
              </w:rPr>
              <w:t>[</w:t>
            </w:r>
            <w:r w:rsidR="002A3CA3">
              <w:rPr>
                <w:rFonts w:ascii="Times New Roman" w:hAnsi="Times New Roman" w:cs="Times New Roman"/>
                <w:kern w:val="36"/>
                <w:sz w:val="24"/>
                <w:szCs w:val="24"/>
                <w:lang w:val="kk-KZ" w:eastAsia="zh-CN"/>
              </w:rPr>
              <w:t>99, р. 218</w:t>
            </w:r>
            <w:r w:rsidR="00B004CF" w:rsidRPr="00996BD5">
              <w:rPr>
                <w:rFonts w:ascii="Times New Roman" w:hAnsi="Times New Roman" w:cs="Times New Roman"/>
                <w:kern w:val="36"/>
                <w:sz w:val="24"/>
                <w:szCs w:val="24"/>
                <w:lang w:eastAsia="zh-CN"/>
              </w:rPr>
              <w:t xml:space="preserve">] </w:t>
            </w:r>
          </w:p>
        </w:tc>
      </w:tr>
    </w:tbl>
    <w:p w14:paraId="42211FF9" w14:textId="77777777" w:rsidR="00996BD5" w:rsidRPr="00232EA1" w:rsidRDefault="00996BD5" w:rsidP="00457CE9">
      <w:pPr>
        <w:spacing w:after="0" w:line="240" w:lineRule="auto"/>
        <w:jc w:val="both"/>
        <w:textAlignment w:val="baseline"/>
        <w:outlineLvl w:val="0"/>
        <w:rPr>
          <w:rFonts w:ascii="Times New Roman" w:hAnsi="Times New Roman" w:cs="Times New Roman"/>
          <w:kern w:val="36"/>
          <w:sz w:val="20"/>
          <w:szCs w:val="20"/>
          <w:lang w:val="kk-KZ" w:eastAsia="zh-CN"/>
        </w:rPr>
      </w:pPr>
    </w:p>
    <w:p w14:paraId="55BE926D" w14:textId="77777777" w:rsidR="007B64AC" w:rsidRDefault="007B64AC" w:rsidP="007B64AC">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Pr>
          <w:rFonts w:ascii="Times New Roman" w:eastAsia="Times New Roman" w:hAnsi="Times New Roman" w:cs="Times New Roman"/>
          <w:kern w:val="36"/>
          <w:sz w:val="28"/>
          <w:szCs w:val="28"/>
          <w:lang w:val="kk-KZ" w:eastAsia="ru-RU"/>
        </w:rPr>
        <w:t xml:space="preserve">АӨК субъектілерін қаржылық қолдау және салық салудың оңтайлы режимін қамтамасыз ету тапсырмасын шешу шаралары жалпы айтылып, бірақ сандық нәтижелі көрсеткіштер түрінде жоспарланбағандықтан, оның орындалуын не орындалып жатқанын тексеру қиын, формальді түрде ғана келтірілген шаралар және оны орындау жауапкершілігін анықтау қиын не мүмкін емес деуге болады. Бұл Бағдарламаның басты мақсатына АӨК дамытуға бағытталған шаралар жеткіліксіздігін білдіреді. </w:t>
      </w:r>
      <w:r>
        <w:rPr>
          <w:rFonts w:ascii="Times New Roman" w:hAnsi="Times New Roman" w:cs="Times New Roman"/>
          <w:kern w:val="36"/>
          <w:sz w:val="28"/>
          <w:szCs w:val="28"/>
          <w:lang w:val="kk-KZ" w:eastAsia="zh-CN"/>
        </w:rPr>
        <w:t>Әлемдік тәжірибені зерттеу барысында ауыл шаруашылығын тікелей субсидиялаудан бас тартып, тек мемлекеттік реттеу тиімді агротехнологияларды дамыту, ғылыми негізделген әдістерді ендіру арқылы ауыл шаруашылығы өнімдерін өндірушілер арасында бәсекені күшейту, сапалы өнімді экспорттауды қолдауға бағытталған.</w:t>
      </w:r>
    </w:p>
    <w:p w14:paraId="02E23070" w14:textId="72D0E3AD" w:rsidR="001E64ED" w:rsidRPr="00457CE9" w:rsidRDefault="001E64ED" w:rsidP="001E64ED">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1</w:t>
      </w:r>
      <w:r w:rsidR="00023296">
        <w:rPr>
          <w:rFonts w:ascii="Times New Roman" w:hAnsi="Times New Roman" w:cs="Times New Roman"/>
          <w:kern w:val="36"/>
          <w:sz w:val="28"/>
          <w:szCs w:val="28"/>
          <w:lang w:val="kk-KZ" w:eastAsia="zh-CN"/>
        </w:rPr>
        <w:t>8</w:t>
      </w:r>
      <w:r w:rsidRPr="00457CE9">
        <w:rPr>
          <w:rFonts w:ascii="Times New Roman" w:hAnsi="Times New Roman" w:cs="Times New Roman"/>
          <w:kern w:val="36"/>
          <w:sz w:val="28"/>
          <w:szCs w:val="28"/>
          <w:lang w:val="kk-KZ" w:eastAsia="zh-CN"/>
        </w:rPr>
        <w:t>-кестеде</w:t>
      </w:r>
      <w:r>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бағдарламаның </w:t>
      </w:r>
      <w:r w:rsidRPr="00457CE9">
        <w:rPr>
          <w:rFonts w:ascii="Times New Roman" w:hAnsi="Times New Roman" w:cs="Times New Roman" w:hint="eastAsia"/>
          <w:kern w:val="36"/>
          <w:sz w:val="28"/>
          <w:szCs w:val="28"/>
          <w:lang w:val="kk-KZ" w:eastAsia="zh-CN"/>
        </w:rPr>
        <w:t>14</w:t>
      </w:r>
      <w:r w:rsidRPr="00457CE9">
        <w:rPr>
          <w:rFonts w:ascii="Times New Roman" w:hAnsi="Times New Roman" w:cs="Times New Roman"/>
          <w:kern w:val="36"/>
          <w:sz w:val="28"/>
          <w:szCs w:val="28"/>
          <w:lang w:val="kk-KZ" w:eastAsia="zh-CN"/>
        </w:rPr>
        <w:t>.02.</w:t>
      </w:r>
      <w:r w:rsidRPr="00457CE9">
        <w:rPr>
          <w:rFonts w:ascii="Times New Roman" w:hAnsi="Times New Roman" w:cs="Times New Roman" w:hint="eastAsia"/>
          <w:kern w:val="36"/>
          <w:sz w:val="28"/>
          <w:szCs w:val="28"/>
          <w:lang w:val="kk-KZ" w:eastAsia="zh-CN"/>
        </w:rPr>
        <w:t>2017</w:t>
      </w:r>
      <w:r w:rsidRPr="00457CE9">
        <w:rPr>
          <w:rFonts w:ascii="Times New Roman" w:hAnsi="Times New Roman" w:cs="Times New Roman"/>
          <w:kern w:val="36"/>
          <w:sz w:val="28"/>
          <w:szCs w:val="28"/>
          <w:lang w:val="kk-KZ" w:eastAsia="zh-CN"/>
        </w:rPr>
        <w:t xml:space="preserve"> ж. Президент жарлығымен және 12.07.2018 ж. Үкімет қаулысымен қайта қарастырылып бекітілген бағдарламаларындағы «Жер ресурстарын тиімді пайдалану» </w:t>
      </w:r>
      <w:r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бойынша бекітілген нәтижелі көрсеткіштер өзгерісі келтірілген. </w:t>
      </w:r>
    </w:p>
    <w:p w14:paraId="53F1EB71" w14:textId="77777777" w:rsidR="001E64ED" w:rsidRDefault="001E64ED" w:rsidP="001E64ED">
      <w:pPr>
        <w:spacing w:after="0" w:line="240" w:lineRule="auto"/>
        <w:ind w:firstLine="709"/>
        <w:jc w:val="both"/>
        <w:textAlignment w:val="baseline"/>
        <w:outlineLvl w:val="0"/>
        <w:rPr>
          <w:rFonts w:ascii="Times New Roman" w:hAnsi="Times New Roman" w:cs="Times New Roman"/>
          <w:kern w:val="36"/>
          <w:sz w:val="28"/>
          <w:szCs w:val="28"/>
          <w:lang w:val="kk-KZ" w:eastAsia="zh-CN"/>
        </w:rPr>
      </w:pPr>
    </w:p>
    <w:p w14:paraId="62B627AE" w14:textId="763FC367" w:rsidR="00C60C41" w:rsidRDefault="00C60C41" w:rsidP="00457CE9">
      <w:pPr>
        <w:spacing w:after="0" w:line="240" w:lineRule="auto"/>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Кесте </w:t>
      </w:r>
      <w:r w:rsidR="00EC13BA" w:rsidRPr="00457CE9">
        <w:rPr>
          <w:rFonts w:ascii="Times New Roman" w:hAnsi="Times New Roman" w:cs="Times New Roman"/>
          <w:kern w:val="36"/>
          <w:sz w:val="28"/>
          <w:szCs w:val="28"/>
          <w:lang w:val="kk-KZ" w:eastAsia="zh-CN"/>
        </w:rPr>
        <w:t>1</w:t>
      </w:r>
      <w:r w:rsidR="00023296">
        <w:rPr>
          <w:rFonts w:ascii="Times New Roman" w:hAnsi="Times New Roman" w:cs="Times New Roman"/>
          <w:kern w:val="36"/>
          <w:sz w:val="28"/>
          <w:szCs w:val="28"/>
          <w:lang w:val="kk-KZ" w:eastAsia="zh-CN"/>
        </w:rPr>
        <w:t>8</w:t>
      </w:r>
      <w:r w:rsidR="00EC13BA" w:rsidRPr="00457CE9">
        <w:rPr>
          <w:rFonts w:ascii="Times New Roman" w:hAnsi="Times New Roman" w:cs="Times New Roman"/>
          <w:kern w:val="36"/>
          <w:sz w:val="28"/>
          <w:szCs w:val="28"/>
          <w:lang w:val="kk-KZ" w:eastAsia="zh-CN"/>
        </w:rPr>
        <w:t xml:space="preserve"> – </w:t>
      </w:r>
      <w:r w:rsidRPr="00457CE9">
        <w:rPr>
          <w:rFonts w:ascii="Times New Roman" w:hAnsi="Times New Roman" w:cs="Times New Roman"/>
          <w:kern w:val="36"/>
          <w:sz w:val="28"/>
          <w:szCs w:val="28"/>
          <w:lang w:val="kk-KZ" w:eastAsia="zh-CN"/>
        </w:rPr>
        <w:t xml:space="preserve">«Жер ресурстарын пайдалану тиімділігін жоғарылату» </w:t>
      </w:r>
      <w:r w:rsidRPr="00457CE9">
        <w:rPr>
          <w:rFonts w:ascii="Times New Roman" w:eastAsia="Times New Roman" w:hAnsi="Times New Roman" w:cs="Times New Roman"/>
          <w:kern w:val="36"/>
          <w:sz w:val="28"/>
          <w:szCs w:val="28"/>
          <w:lang w:val="kk-KZ" w:eastAsia="ru-RU"/>
        </w:rPr>
        <w:t xml:space="preserve">нысаналы индикаторы </w:t>
      </w:r>
      <w:r w:rsidRPr="00457CE9">
        <w:rPr>
          <w:rFonts w:ascii="Times New Roman" w:hAnsi="Times New Roman" w:cs="Times New Roman"/>
          <w:kern w:val="36"/>
          <w:sz w:val="28"/>
          <w:szCs w:val="28"/>
          <w:lang w:val="kk-KZ" w:eastAsia="zh-CN"/>
        </w:rPr>
        <w:t>бойынша бекітілген нәтижелі көрсеткіштер мен шешу шараларының өзгерісі</w:t>
      </w:r>
    </w:p>
    <w:p w14:paraId="1EB32B46" w14:textId="77777777" w:rsidR="00996BD5" w:rsidRPr="00996BD5" w:rsidRDefault="00996BD5" w:rsidP="00457CE9">
      <w:pPr>
        <w:spacing w:after="0" w:line="240" w:lineRule="auto"/>
        <w:jc w:val="both"/>
        <w:textAlignment w:val="baseline"/>
        <w:outlineLvl w:val="0"/>
        <w:rPr>
          <w:rFonts w:ascii="Times New Roman" w:hAnsi="Times New Roman" w:cs="Times New Roman"/>
          <w:kern w:val="36"/>
          <w:sz w:val="16"/>
          <w:szCs w:val="16"/>
          <w:lang w:val="kk-KZ" w:eastAsia="zh-CN"/>
        </w:rPr>
      </w:pPr>
    </w:p>
    <w:tbl>
      <w:tblPr>
        <w:tblStyle w:val="a3"/>
        <w:tblW w:w="0" w:type="auto"/>
        <w:jc w:val="center"/>
        <w:tblLook w:val="04A0" w:firstRow="1" w:lastRow="0" w:firstColumn="1" w:lastColumn="0" w:noHBand="0" w:noVBand="1"/>
      </w:tblPr>
      <w:tblGrid>
        <w:gridCol w:w="2316"/>
        <w:gridCol w:w="3373"/>
        <w:gridCol w:w="2184"/>
        <w:gridCol w:w="1755"/>
      </w:tblGrid>
      <w:tr w:rsidR="00996BD5" w:rsidRPr="00457CE9" w14:paraId="5C407C68" w14:textId="77777777" w:rsidTr="00D735D0">
        <w:trPr>
          <w:trHeight w:val="70"/>
          <w:jc w:val="center"/>
        </w:trPr>
        <w:tc>
          <w:tcPr>
            <w:tcW w:w="5709" w:type="dxa"/>
            <w:gridSpan w:val="2"/>
            <w:tcBorders>
              <w:top w:val="single" w:sz="4" w:space="0" w:color="auto"/>
              <w:left w:val="single" w:sz="4" w:space="0" w:color="auto"/>
              <w:bottom w:val="single" w:sz="4" w:space="0" w:color="auto"/>
              <w:right w:val="single" w:sz="4" w:space="0" w:color="auto"/>
            </w:tcBorders>
            <w:vAlign w:val="center"/>
            <w:hideMark/>
          </w:tcPr>
          <w:p w14:paraId="555B6EF2" w14:textId="77777777"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Нәтижелі көрсеткіштер</w:t>
            </w:r>
          </w:p>
        </w:tc>
        <w:tc>
          <w:tcPr>
            <w:tcW w:w="3948" w:type="dxa"/>
            <w:gridSpan w:val="2"/>
            <w:tcBorders>
              <w:top w:val="single" w:sz="4" w:space="0" w:color="auto"/>
              <w:left w:val="single" w:sz="4" w:space="0" w:color="auto"/>
              <w:bottom w:val="single" w:sz="4" w:space="0" w:color="auto"/>
              <w:right w:val="single" w:sz="4" w:space="0" w:color="auto"/>
            </w:tcBorders>
            <w:vAlign w:val="center"/>
            <w:hideMark/>
          </w:tcPr>
          <w:p w14:paraId="2FBC0CB6" w14:textId="781C9ADC"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Шешу шаралары</w:t>
            </w:r>
          </w:p>
        </w:tc>
      </w:tr>
      <w:tr w:rsidR="00996BD5" w:rsidRPr="00457CE9" w14:paraId="179BB41A" w14:textId="77777777" w:rsidTr="00996BD5">
        <w:trPr>
          <w:jc w:val="center"/>
        </w:trPr>
        <w:tc>
          <w:tcPr>
            <w:tcW w:w="2322" w:type="dxa"/>
            <w:tcBorders>
              <w:top w:val="single" w:sz="4" w:space="0" w:color="auto"/>
              <w:left w:val="single" w:sz="4" w:space="0" w:color="auto"/>
              <w:bottom w:val="single" w:sz="4" w:space="0" w:color="auto"/>
              <w:right w:val="single" w:sz="4" w:space="0" w:color="auto"/>
            </w:tcBorders>
            <w:vAlign w:val="center"/>
            <w:hideMark/>
          </w:tcPr>
          <w:p w14:paraId="3A6B3C95" w14:textId="77777777" w:rsidR="00996BD5" w:rsidRPr="00457CE9" w:rsidRDefault="00996BD5" w:rsidP="00996BD5">
            <w:pPr>
              <w:jc w:val="center"/>
              <w:textAlignment w:val="baseline"/>
              <w:outlineLvl w:val="0"/>
              <w:rPr>
                <w:rFonts w:ascii="Times New Roman" w:hAnsi="Times New Roman" w:cs="Times New Roman"/>
                <w:kern w:val="36"/>
                <w:sz w:val="24"/>
                <w:szCs w:val="24"/>
                <w:lang w:eastAsia="zh-CN"/>
              </w:rPr>
            </w:pPr>
            <w:r w:rsidRPr="00457CE9">
              <w:rPr>
                <w:rFonts w:ascii="Times New Roman" w:hAnsi="Times New Roman" w:cs="Times New Roman"/>
                <w:kern w:val="36"/>
                <w:sz w:val="24"/>
                <w:szCs w:val="24"/>
                <w:lang w:val="kk-KZ" w:eastAsia="zh-CN"/>
              </w:rPr>
              <w:t>14</w:t>
            </w:r>
            <w:r w:rsidRPr="00457CE9">
              <w:rPr>
                <w:rFonts w:ascii="Times New Roman" w:hAnsi="Times New Roman" w:cs="Times New Roman"/>
                <w:kern w:val="36"/>
                <w:sz w:val="24"/>
                <w:szCs w:val="24"/>
                <w:lang w:eastAsia="zh-CN"/>
              </w:rPr>
              <w:t>.02.2017 ж. редакциясы (алынып тасталды)</w:t>
            </w:r>
          </w:p>
        </w:tc>
        <w:tc>
          <w:tcPr>
            <w:tcW w:w="3387" w:type="dxa"/>
            <w:tcBorders>
              <w:top w:val="single" w:sz="4" w:space="0" w:color="auto"/>
              <w:left w:val="single" w:sz="4" w:space="0" w:color="auto"/>
              <w:bottom w:val="single" w:sz="4" w:space="0" w:color="auto"/>
              <w:right w:val="single" w:sz="4" w:space="0" w:color="auto"/>
            </w:tcBorders>
            <w:vAlign w:val="center"/>
            <w:hideMark/>
          </w:tcPr>
          <w:p w14:paraId="3EFFF09A" w14:textId="7C6DE33A"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12.07.2018</w:t>
            </w:r>
            <w:r>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ж. редакция (қосылған көрсеткіштер)</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BBE20EE" w14:textId="77777777" w:rsidR="00996BD5" w:rsidRPr="00457CE9" w:rsidRDefault="00996BD5" w:rsidP="00996BD5">
            <w:pPr>
              <w:jc w:val="center"/>
              <w:textAlignment w:val="baseline"/>
              <w:outlineLvl w:val="0"/>
              <w:rPr>
                <w:rFonts w:ascii="Times New Roman" w:hAnsi="Times New Roman" w:cs="Times New Roman"/>
                <w:kern w:val="36"/>
                <w:sz w:val="24"/>
                <w:szCs w:val="24"/>
                <w:lang w:eastAsia="zh-CN"/>
              </w:rPr>
            </w:pPr>
            <w:r w:rsidRPr="00457CE9">
              <w:rPr>
                <w:rFonts w:ascii="Times New Roman" w:hAnsi="Times New Roman" w:cs="Times New Roman"/>
                <w:kern w:val="36"/>
                <w:sz w:val="24"/>
                <w:szCs w:val="24"/>
                <w:lang w:val="kk-KZ" w:eastAsia="zh-CN"/>
              </w:rPr>
              <w:t>14</w:t>
            </w:r>
            <w:r w:rsidRPr="00457CE9">
              <w:rPr>
                <w:rFonts w:ascii="Times New Roman" w:hAnsi="Times New Roman" w:cs="Times New Roman"/>
                <w:kern w:val="36"/>
                <w:sz w:val="24"/>
                <w:szCs w:val="24"/>
                <w:lang w:eastAsia="zh-CN"/>
              </w:rPr>
              <w:t>.02.2017 ж. редакциясы (алынып тасталды)</w:t>
            </w:r>
          </w:p>
        </w:tc>
        <w:tc>
          <w:tcPr>
            <w:tcW w:w="1756" w:type="dxa"/>
            <w:tcBorders>
              <w:top w:val="single" w:sz="4" w:space="0" w:color="auto"/>
              <w:left w:val="single" w:sz="4" w:space="0" w:color="auto"/>
              <w:bottom w:val="single" w:sz="4" w:space="0" w:color="auto"/>
              <w:right w:val="single" w:sz="4" w:space="0" w:color="auto"/>
            </w:tcBorders>
            <w:vAlign w:val="center"/>
            <w:hideMark/>
          </w:tcPr>
          <w:p w14:paraId="48023442" w14:textId="5308A6F8"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12.07.2018</w:t>
            </w:r>
            <w:r>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ж. редакция (қосылған көрсеткіштер)</w:t>
            </w:r>
          </w:p>
        </w:tc>
      </w:tr>
      <w:tr w:rsidR="00996BD5" w:rsidRPr="00805B3E" w14:paraId="11CC04AB" w14:textId="77777777" w:rsidTr="00996BD5">
        <w:trPr>
          <w:jc w:val="center"/>
        </w:trPr>
        <w:tc>
          <w:tcPr>
            <w:tcW w:w="2322" w:type="dxa"/>
            <w:tcBorders>
              <w:top w:val="single" w:sz="4" w:space="0" w:color="auto"/>
              <w:left w:val="single" w:sz="4" w:space="0" w:color="auto"/>
              <w:bottom w:val="single" w:sz="4" w:space="0" w:color="auto"/>
              <w:right w:val="single" w:sz="4" w:space="0" w:color="auto"/>
            </w:tcBorders>
          </w:tcPr>
          <w:p w14:paraId="3089D44B"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Сапалы бағалаумен қамтылған ауыл шаруашылығы мақсатындағы жерлердің ауданы</w:t>
            </w:r>
          </w:p>
        </w:tc>
        <w:tc>
          <w:tcPr>
            <w:tcW w:w="3387" w:type="dxa"/>
            <w:tcBorders>
              <w:top w:val="single" w:sz="4" w:space="0" w:color="auto"/>
              <w:left w:val="single" w:sz="4" w:space="0" w:color="auto"/>
              <w:bottom w:val="single" w:sz="4" w:space="0" w:color="auto"/>
              <w:right w:val="single" w:sz="4" w:space="0" w:color="auto"/>
            </w:tcBorders>
            <w:hideMark/>
          </w:tcPr>
          <w:p w14:paraId="32A21E29"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Бонитет балын айқындаумен қамтылған ауыл шаруашылығы алқаптарының ауданы</w:t>
            </w:r>
          </w:p>
        </w:tc>
        <w:tc>
          <w:tcPr>
            <w:tcW w:w="3948" w:type="dxa"/>
            <w:gridSpan w:val="2"/>
            <w:vMerge w:val="restart"/>
            <w:tcBorders>
              <w:top w:val="single" w:sz="4" w:space="0" w:color="auto"/>
              <w:left w:val="single" w:sz="4" w:space="0" w:color="auto"/>
              <w:bottom w:val="single" w:sz="4" w:space="0" w:color="auto"/>
              <w:right w:val="single" w:sz="4" w:space="0" w:color="auto"/>
            </w:tcBorders>
            <w:hideMark/>
          </w:tcPr>
          <w:p w14:paraId="106BC75D" w14:textId="4D900EC6"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Жерге, жер иелеріне тексеру жүргізіледі. Жер учаскелерін және жер пайдаланушыларды сандық дұрыс есепке алу мақсатында туралы өзекті деректер алынады, сондай-ақ жер қолдану үшін ауыл шаруашылығы мақсатындағы жер</w:t>
            </w:r>
            <w:r>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лердің кезінде жер үшін төлема</w:t>
            </w:r>
            <w:r>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қының базалық ставкаларына түзету коэффициенттерін олардың кадастрлық (бағалау) құнын айқындау кезінде айқындалады. Сондай-ақ жерді су және жел эрозиясынан қорғау, микроклимат, топырақ құнарлылығын жақсарту, ұйқы және ылғал сақтау болады ағаш-бұта екпелерін жасау бойынша шаралар әзірленді</w:t>
            </w:r>
          </w:p>
        </w:tc>
      </w:tr>
      <w:tr w:rsidR="00996BD5" w:rsidRPr="00457CE9" w14:paraId="46005DE9" w14:textId="77777777" w:rsidTr="00463D68">
        <w:trPr>
          <w:jc w:val="center"/>
        </w:trPr>
        <w:tc>
          <w:tcPr>
            <w:tcW w:w="2322" w:type="dxa"/>
            <w:vMerge w:val="restart"/>
            <w:tcBorders>
              <w:top w:val="single" w:sz="4" w:space="0" w:color="auto"/>
              <w:left w:val="single" w:sz="4" w:space="0" w:color="auto"/>
              <w:right w:val="single" w:sz="4" w:space="0" w:color="auto"/>
            </w:tcBorders>
          </w:tcPr>
          <w:p w14:paraId="3D14C3CA"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Егістік жерлердің</w:t>
            </w:r>
          </w:p>
          <w:p w14:paraId="60A7E789"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агрохимиялық</w:t>
            </w:r>
          </w:p>
          <w:p w14:paraId="246A53BB"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тексерумен қамтылуы</w:t>
            </w:r>
          </w:p>
        </w:tc>
        <w:tc>
          <w:tcPr>
            <w:tcW w:w="3387" w:type="dxa"/>
            <w:tcBorders>
              <w:top w:val="single" w:sz="4" w:space="0" w:color="auto"/>
              <w:left w:val="single" w:sz="4" w:space="0" w:color="auto"/>
              <w:bottom w:val="single" w:sz="4" w:space="0" w:color="auto"/>
              <w:right w:val="single" w:sz="4" w:space="0" w:color="auto"/>
            </w:tcBorders>
            <w:hideMark/>
          </w:tcPr>
          <w:p w14:paraId="1E1AE20F"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Аэротүсіріліммен қамтылған жерлердің ауданы</w:t>
            </w:r>
          </w:p>
        </w:tc>
        <w:tc>
          <w:tcPr>
            <w:tcW w:w="3948" w:type="dxa"/>
            <w:gridSpan w:val="2"/>
            <w:vMerge/>
            <w:tcBorders>
              <w:top w:val="single" w:sz="4" w:space="0" w:color="auto"/>
              <w:left w:val="single" w:sz="4" w:space="0" w:color="auto"/>
              <w:bottom w:val="single" w:sz="4" w:space="0" w:color="auto"/>
              <w:right w:val="single" w:sz="4" w:space="0" w:color="auto"/>
            </w:tcBorders>
            <w:vAlign w:val="center"/>
            <w:hideMark/>
          </w:tcPr>
          <w:p w14:paraId="085F2AFA" w14:textId="77777777" w:rsidR="00996BD5" w:rsidRPr="00457CE9" w:rsidRDefault="00996BD5" w:rsidP="00457CE9">
            <w:pPr>
              <w:rPr>
                <w:rFonts w:ascii="Times New Roman" w:hAnsi="Times New Roman" w:cs="Times New Roman"/>
                <w:kern w:val="36"/>
                <w:sz w:val="24"/>
                <w:szCs w:val="24"/>
                <w:lang w:val="kk-KZ" w:eastAsia="zh-CN"/>
              </w:rPr>
            </w:pPr>
          </w:p>
        </w:tc>
      </w:tr>
      <w:tr w:rsidR="00996BD5" w:rsidRPr="00805B3E" w14:paraId="163DD955" w14:textId="77777777" w:rsidTr="00463D68">
        <w:trPr>
          <w:jc w:val="center"/>
        </w:trPr>
        <w:tc>
          <w:tcPr>
            <w:tcW w:w="2322" w:type="dxa"/>
            <w:vMerge/>
            <w:tcBorders>
              <w:left w:val="single" w:sz="4" w:space="0" w:color="auto"/>
              <w:right w:val="single" w:sz="4" w:space="0" w:color="auto"/>
            </w:tcBorders>
          </w:tcPr>
          <w:p w14:paraId="3002458A" w14:textId="77777777" w:rsidR="00996BD5" w:rsidRPr="00457CE9" w:rsidRDefault="00996BD5" w:rsidP="00457CE9">
            <w:pPr>
              <w:textAlignment w:val="baseline"/>
              <w:outlineLvl w:val="0"/>
              <w:rPr>
                <w:rFonts w:ascii="Times New Roman" w:hAnsi="Times New Roman" w:cs="Times New Roman"/>
                <w:kern w:val="36"/>
                <w:sz w:val="24"/>
                <w:szCs w:val="24"/>
                <w:lang w:val="kk-KZ" w:eastAsia="zh-CN"/>
              </w:rPr>
            </w:pPr>
          </w:p>
        </w:tc>
        <w:tc>
          <w:tcPr>
            <w:tcW w:w="3387" w:type="dxa"/>
            <w:tcBorders>
              <w:top w:val="single" w:sz="4" w:space="0" w:color="auto"/>
              <w:left w:val="single" w:sz="4" w:space="0" w:color="auto"/>
              <w:bottom w:val="single" w:sz="4" w:space="0" w:color="auto"/>
              <w:right w:val="single" w:sz="4" w:space="0" w:color="auto"/>
            </w:tcBorders>
            <w:hideMark/>
          </w:tcPr>
          <w:p w14:paraId="62329227" w14:textId="740D202A" w:rsidR="00996BD5" w:rsidRPr="00457CE9" w:rsidRDefault="00996BD5" w:rsidP="00457CE9">
            <w:pP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Аэротүсірілімдер мен фото жоспарлардағы ауыл шаруа</w:t>
            </w:r>
            <w:r>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шылығы контурлары мен объектілерін дешифрлаумен қамтылған жер ауданы</w:t>
            </w:r>
          </w:p>
        </w:tc>
        <w:tc>
          <w:tcPr>
            <w:tcW w:w="3948" w:type="dxa"/>
            <w:gridSpan w:val="2"/>
            <w:vMerge/>
            <w:tcBorders>
              <w:top w:val="single" w:sz="4" w:space="0" w:color="auto"/>
              <w:left w:val="single" w:sz="4" w:space="0" w:color="auto"/>
              <w:bottom w:val="single" w:sz="4" w:space="0" w:color="auto"/>
              <w:right w:val="single" w:sz="4" w:space="0" w:color="auto"/>
            </w:tcBorders>
            <w:vAlign w:val="center"/>
            <w:hideMark/>
          </w:tcPr>
          <w:p w14:paraId="491DC5E6" w14:textId="77777777" w:rsidR="00996BD5" w:rsidRPr="00457CE9" w:rsidRDefault="00996BD5" w:rsidP="00457CE9">
            <w:pPr>
              <w:rPr>
                <w:rFonts w:ascii="Times New Roman" w:hAnsi="Times New Roman" w:cs="Times New Roman"/>
                <w:kern w:val="36"/>
                <w:sz w:val="24"/>
                <w:szCs w:val="24"/>
                <w:lang w:val="kk-KZ" w:eastAsia="zh-CN"/>
              </w:rPr>
            </w:pPr>
          </w:p>
        </w:tc>
      </w:tr>
      <w:tr w:rsidR="00996BD5" w:rsidRPr="00805B3E" w14:paraId="343918D5" w14:textId="77777777" w:rsidTr="00463D68">
        <w:trPr>
          <w:jc w:val="center"/>
        </w:trPr>
        <w:tc>
          <w:tcPr>
            <w:tcW w:w="2322" w:type="dxa"/>
            <w:vMerge/>
            <w:tcBorders>
              <w:left w:val="single" w:sz="4" w:space="0" w:color="auto"/>
              <w:bottom w:val="single" w:sz="4" w:space="0" w:color="auto"/>
              <w:right w:val="single" w:sz="4" w:space="0" w:color="auto"/>
            </w:tcBorders>
          </w:tcPr>
          <w:p w14:paraId="3FA2D268" w14:textId="77777777" w:rsidR="00996BD5" w:rsidRPr="00457CE9" w:rsidRDefault="00996BD5" w:rsidP="00457CE9">
            <w:pPr>
              <w:widowControl w:val="0"/>
              <w:textAlignment w:val="baseline"/>
              <w:outlineLvl w:val="0"/>
              <w:rPr>
                <w:rFonts w:ascii="Times New Roman" w:hAnsi="Times New Roman" w:cs="Times New Roman"/>
                <w:kern w:val="36"/>
                <w:sz w:val="24"/>
                <w:szCs w:val="24"/>
                <w:lang w:val="kk-KZ" w:eastAsia="zh-CN"/>
              </w:rPr>
            </w:pPr>
          </w:p>
        </w:tc>
        <w:tc>
          <w:tcPr>
            <w:tcW w:w="3387" w:type="dxa"/>
            <w:tcBorders>
              <w:top w:val="single" w:sz="4" w:space="0" w:color="auto"/>
              <w:left w:val="single" w:sz="4" w:space="0" w:color="auto"/>
              <w:bottom w:val="single" w:sz="4" w:space="0" w:color="auto"/>
              <w:right w:val="single" w:sz="4" w:space="0" w:color="auto"/>
            </w:tcBorders>
            <w:hideMark/>
          </w:tcPr>
          <w:p w14:paraId="646EA709" w14:textId="3697DA3A" w:rsidR="00996BD5" w:rsidRPr="00457CE9" w:rsidRDefault="00996BD5" w:rsidP="00457CE9">
            <w:pPr>
              <w:widowControl w:val="0"/>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Аэротүсірілім негізінде жер</w:t>
            </w:r>
            <w:r>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гілікті жердің фотобейнесі бар ҚР аумағының цифрлық ауыл шаруашылығы карталарымен қамтылған жер алаңы</w:t>
            </w:r>
          </w:p>
        </w:tc>
        <w:tc>
          <w:tcPr>
            <w:tcW w:w="3948" w:type="dxa"/>
            <w:gridSpan w:val="2"/>
            <w:vMerge/>
            <w:tcBorders>
              <w:top w:val="single" w:sz="4" w:space="0" w:color="auto"/>
              <w:left w:val="single" w:sz="4" w:space="0" w:color="auto"/>
              <w:bottom w:val="single" w:sz="4" w:space="0" w:color="auto"/>
              <w:right w:val="single" w:sz="4" w:space="0" w:color="auto"/>
            </w:tcBorders>
            <w:vAlign w:val="center"/>
            <w:hideMark/>
          </w:tcPr>
          <w:p w14:paraId="040AFA83" w14:textId="77777777" w:rsidR="00996BD5" w:rsidRPr="00457CE9" w:rsidRDefault="00996BD5" w:rsidP="00457CE9">
            <w:pPr>
              <w:widowControl w:val="0"/>
              <w:rPr>
                <w:rFonts w:ascii="Times New Roman" w:hAnsi="Times New Roman" w:cs="Times New Roman"/>
                <w:kern w:val="36"/>
                <w:sz w:val="24"/>
                <w:szCs w:val="24"/>
                <w:lang w:val="kk-KZ" w:eastAsia="zh-CN"/>
              </w:rPr>
            </w:pPr>
          </w:p>
        </w:tc>
      </w:tr>
      <w:tr w:rsidR="00C60C41" w:rsidRPr="00457CE9" w14:paraId="2AF82EFF" w14:textId="77777777" w:rsidTr="00996BD5">
        <w:trPr>
          <w:jc w:val="center"/>
        </w:trPr>
        <w:tc>
          <w:tcPr>
            <w:tcW w:w="9657" w:type="dxa"/>
            <w:gridSpan w:val="4"/>
            <w:tcBorders>
              <w:top w:val="single" w:sz="4" w:space="0" w:color="auto"/>
              <w:left w:val="single" w:sz="4" w:space="0" w:color="auto"/>
              <w:bottom w:val="single" w:sz="4" w:space="0" w:color="auto"/>
              <w:right w:val="single" w:sz="4" w:space="0" w:color="auto"/>
            </w:tcBorders>
            <w:hideMark/>
          </w:tcPr>
          <w:p w14:paraId="0D7A616C" w14:textId="04153366" w:rsidR="00C60C41" w:rsidRPr="00457CE9" w:rsidRDefault="00996BD5" w:rsidP="00996BD5">
            <w:pPr>
              <w:widowControl w:val="0"/>
              <w:ind w:firstLine="567"/>
              <w:textAlignment w:val="baseline"/>
              <w:outlineLvl w:val="0"/>
              <w:rPr>
                <w:rFonts w:ascii="Times New Roman" w:hAnsi="Times New Roman" w:cs="Times New Roman"/>
                <w:kern w:val="36"/>
                <w:sz w:val="24"/>
                <w:szCs w:val="24"/>
                <w:lang w:val="kk-KZ" w:eastAsia="zh-CN"/>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C60C41" w:rsidRPr="00457CE9">
              <w:rPr>
                <w:rFonts w:ascii="Times New Roman" w:hAnsi="Times New Roman" w:cs="Times New Roman"/>
                <w:kern w:val="36"/>
                <w:sz w:val="24"/>
                <w:szCs w:val="24"/>
                <w:lang w:val="kk-KZ" w:eastAsia="zh-CN"/>
              </w:rPr>
              <w:t xml:space="preserve"> </w:t>
            </w:r>
            <w:r w:rsidR="00B004CF" w:rsidRPr="00457CE9">
              <w:rPr>
                <w:rFonts w:ascii="Times New Roman" w:hAnsi="Times New Roman" w:cs="Times New Roman"/>
                <w:kern w:val="36"/>
                <w:sz w:val="24"/>
                <w:szCs w:val="24"/>
                <w:lang w:val="kk-KZ" w:eastAsia="zh-CN"/>
              </w:rPr>
              <w:t>[</w:t>
            </w:r>
            <w:r w:rsidR="003D4F30">
              <w:rPr>
                <w:rFonts w:ascii="Times New Roman" w:hAnsi="Times New Roman" w:cs="Times New Roman"/>
                <w:kern w:val="36"/>
                <w:sz w:val="24"/>
                <w:szCs w:val="24"/>
                <w:lang w:val="kk-KZ" w:eastAsia="zh-CN"/>
              </w:rPr>
              <w:t>5</w:t>
            </w:r>
            <w:r w:rsidR="00AA4EAE">
              <w:rPr>
                <w:rFonts w:ascii="Times New Roman" w:hAnsi="Times New Roman" w:cs="Times New Roman"/>
                <w:kern w:val="36"/>
                <w:sz w:val="24"/>
                <w:szCs w:val="24"/>
                <w:lang w:val="en-US" w:eastAsia="zh-CN"/>
              </w:rPr>
              <w:t>2</w:t>
            </w:r>
            <w:r w:rsidR="003D4F30">
              <w:rPr>
                <w:rFonts w:ascii="Times New Roman" w:hAnsi="Times New Roman" w:cs="Times New Roman"/>
                <w:kern w:val="36"/>
                <w:sz w:val="24"/>
                <w:szCs w:val="24"/>
                <w:lang w:val="kk-KZ" w:eastAsia="zh-CN"/>
              </w:rPr>
              <w:t>, 6</w:t>
            </w:r>
            <w:r w:rsidR="004330E8">
              <w:rPr>
                <w:rFonts w:ascii="Times New Roman" w:hAnsi="Times New Roman" w:cs="Times New Roman"/>
                <w:kern w:val="36"/>
                <w:sz w:val="24"/>
                <w:szCs w:val="24"/>
                <w:lang w:val="kk-KZ" w:eastAsia="zh-CN"/>
              </w:rPr>
              <w:t>2</w:t>
            </w:r>
            <w:r w:rsidR="00B004CF" w:rsidRPr="00457CE9">
              <w:rPr>
                <w:rFonts w:ascii="Times New Roman" w:hAnsi="Times New Roman" w:cs="Times New Roman"/>
                <w:kern w:val="36"/>
                <w:sz w:val="24"/>
                <w:szCs w:val="24"/>
                <w:lang w:val="kk-KZ" w:eastAsia="zh-CN"/>
              </w:rPr>
              <w:t xml:space="preserve">] </w:t>
            </w:r>
          </w:p>
        </w:tc>
      </w:tr>
    </w:tbl>
    <w:p w14:paraId="5FF04F1C" w14:textId="77777777" w:rsidR="00D735D0" w:rsidRDefault="00D735D0" w:rsidP="00457CE9">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p>
    <w:p w14:paraId="74B3042C" w14:textId="77777777" w:rsidR="007B64AC" w:rsidRDefault="007B64AC" w:rsidP="00BF04D1">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 xml:space="preserve">Бағдарламаның тағы маңызды </w:t>
      </w:r>
      <w:r>
        <w:rPr>
          <w:rFonts w:ascii="Times New Roman" w:eastAsia="Times New Roman" w:hAnsi="Times New Roman" w:cs="Times New Roman"/>
          <w:kern w:val="36"/>
          <w:sz w:val="28"/>
          <w:szCs w:val="28"/>
          <w:lang w:val="kk-KZ" w:eastAsia="ru-RU"/>
        </w:rPr>
        <w:t>нысаналы индикаторы</w:t>
      </w:r>
      <w:r>
        <w:rPr>
          <w:rFonts w:ascii="Times New Roman" w:hAnsi="Times New Roman" w:cs="Times New Roman"/>
          <w:kern w:val="36"/>
          <w:sz w:val="28"/>
          <w:szCs w:val="28"/>
          <w:lang w:val="kk-KZ" w:eastAsia="zh-CN"/>
        </w:rPr>
        <w:t xml:space="preserve"> «Жер ресурстарын пайдалану тиімділігін жоғарылату» төртінші бөлімде 14 нәтижелі көрсеткіштер жоспарланған. «Жер ресурстарын пайдалану тиімділігін жоғарылату» </w:t>
      </w:r>
      <w:r>
        <w:rPr>
          <w:rFonts w:ascii="Times New Roman" w:eastAsia="Times New Roman" w:hAnsi="Times New Roman" w:cs="Times New Roman"/>
          <w:kern w:val="36"/>
          <w:sz w:val="28"/>
          <w:szCs w:val="28"/>
          <w:lang w:val="kk-KZ" w:eastAsia="ru-RU"/>
        </w:rPr>
        <w:t>нысаналы индикаторы</w:t>
      </w:r>
      <w:r>
        <w:rPr>
          <w:rFonts w:ascii="Times New Roman" w:hAnsi="Times New Roman" w:cs="Times New Roman"/>
          <w:kern w:val="36"/>
          <w:sz w:val="28"/>
          <w:szCs w:val="28"/>
          <w:lang w:val="kk-KZ" w:eastAsia="zh-CN"/>
        </w:rPr>
        <w:t xml:space="preserve"> бойынша Бағдарламаға өзгерістер енгізілген, мәселен 2017 жылғы бекітілген редакция бойынша 9 нәтижелі өзгеріс жоспарланса, 2018 жылғы редакцияда 12 нәтижелі көрсеткіш жоспарланған, яғни, бұл жер ресурстарын тиімді пайдалануда аэротүсірілімдерді қолдану мүмкіндігі пайда болғандықтан деуге болады. «Жер ресурстарын пайдалану тиімділігін жоғарылату» </w:t>
      </w:r>
      <w:r>
        <w:rPr>
          <w:rFonts w:ascii="Times New Roman" w:eastAsia="Times New Roman" w:hAnsi="Times New Roman" w:cs="Times New Roman"/>
          <w:kern w:val="36"/>
          <w:sz w:val="28"/>
          <w:szCs w:val="28"/>
          <w:lang w:val="kk-KZ" w:eastAsia="ru-RU"/>
        </w:rPr>
        <w:t xml:space="preserve">нысаналы индикаторы </w:t>
      </w:r>
      <w:r>
        <w:rPr>
          <w:rFonts w:ascii="Times New Roman" w:hAnsi="Times New Roman" w:cs="Times New Roman"/>
          <w:kern w:val="36"/>
          <w:sz w:val="28"/>
          <w:szCs w:val="28"/>
          <w:lang w:val="kk-KZ" w:eastAsia="zh-CN"/>
        </w:rPr>
        <w:t>бойынша нәтижелі көрсеткіштерге қол жеткізу шаралары өзгеріссіз қалдырылған, бұл жерде де айта кететін жәйт, шараларды сандық нәтижелі көрсеткіштермен байланыстырмауын көруге болады.</w:t>
      </w:r>
    </w:p>
    <w:p w14:paraId="258519FC" w14:textId="1405BE94" w:rsidR="00C60C41" w:rsidRDefault="00C60C41" w:rsidP="00457CE9">
      <w:pPr>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Бағдарламаның «Су ресурстарын пайдалану тиімділігін жоғарылату» </w:t>
      </w:r>
      <w:r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бойынша 2017 жылғы бекітілген редакция бойынша 4 нәтижелі өзгеріс жоспарланса, 2018 жылғы редакцияда 5 нәтижелі көрсеткіш жоспарланған, бұл өзгерістер </w:t>
      </w:r>
      <w:r w:rsidR="00CA7758" w:rsidRPr="00457CE9">
        <w:rPr>
          <w:rFonts w:ascii="Times New Roman" w:hAnsi="Times New Roman" w:cs="Times New Roman"/>
          <w:kern w:val="36"/>
          <w:sz w:val="28"/>
          <w:szCs w:val="28"/>
          <w:lang w:val="kk-KZ" w:eastAsia="zh-CN"/>
        </w:rPr>
        <w:t>1</w:t>
      </w:r>
      <w:r w:rsidR="00023296">
        <w:rPr>
          <w:rFonts w:ascii="Times New Roman" w:hAnsi="Times New Roman" w:cs="Times New Roman"/>
          <w:kern w:val="36"/>
          <w:sz w:val="28"/>
          <w:szCs w:val="28"/>
          <w:lang w:val="kk-KZ" w:eastAsia="zh-CN"/>
        </w:rPr>
        <w:t>9</w:t>
      </w:r>
      <w:r w:rsidR="00CA7758"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кестеде келтірілген.</w:t>
      </w:r>
    </w:p>
    <w:p w14:paraId="309936D5" w14:textId="77777777" w:rsidR="007B64AC" w:rsidRDefault="007B64AC" w:rsidP="00457CE9">
      <w:pPr>
        <w:spacing w:after="0" w:line="240" w:lineRule="auto"/>
        <w:ind w:firstLine="709"/>
        <w:jc w:val="both"/>
        <w:textAlignment w:val="baseline"/>
        <w:outlineLvl w:val="0"/>
        <w:rPr>
          <w:rFonts w:ascii="Times New Roman" w:hAnsi="Times New Roman" w:cs="Times New Roman"/>
          <w:kern w:val="36"/>
          <w:sz w:val="28"/>
          <w:szCs w:val="28"/>
          <w:lang w:val="kk-KZ" w:eastAsia="zh-CN"/>
        </w:rPr>
      </w:pPr>
    </w:p>
    <w:p w14:paraId="5ACEAAAB" w14:textId="5EB60740" w:rsidR="00C60C41" w:rsidRDefault="00C60C41" w:rsidP="00457CE9">
      <w:pPr>
        <w:spacing w:after="0" w:line="240" w:lineRule="auto"/>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Кесте </w:t>
      </w:r>
      <w:r w:rsidR="00CA7758" w:rsidRPr="00457CE9">
        <w:rPr>
          <w:rFonts w:ascii="Times New Roman" w:hAnsi="Times New Roman" w:cs="Times New Roman"/>
          <w:kern w:val="36"/>
          <w:sz w:val="28"/>
          <w:szCs w:val="28"/>
          <w:lang w:val="kk-KZ" w:eastAsia="zh-CN"/>
        </w:rPr>
        <w:t>1</w:t>
      </w:r>
      <w:r w:rsidR="00023296">
        <w:rPr>
          <w:rFonts w:ascii="Times New Roman" w:hAnsi="Times New Roman" w:cs="Times New Roman"/>
          <w:kern w:val="36"/>
          <w:sz w:val="28"/>
          <w:szCs w:val="28"/>
          <w:lang w:val="kk-KZ" w:eastAsia="zh-CN"/>
        </w:rPr>
        <w:t>9</w:t>
      </w:r>
      <w:r w:rsidR="00CA7758" w:rsidRPr="00457CE9">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 xml:space="preserve"> «Су ресурстарын пайдалану тиімділігін жоғарылату» </w:t>
      </w:r>
      <w:r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бойынша бекітілген нәтижелі көрсеткіштер мен шешу шараларының өзгерісі</w:t>
      </w:r>
    </w:p>
    <w:p w14:paraId="3E314E16" w14:textId="77777777" w:rsidR="00996BD5" w:rsidRPr="00996BD5" w:rsidRDefault="00996BD5" w:rsidP="00457CE9">
      <w:pPr>
        <w:spacing w:after="0" w:line="240" w:lineRule="auto"/>
        <w:jc w:val="both"/>
        <w:textAlignment w:val="baseline"/>
        <w:outlineLvl w:val="0"/>
        <w:rPr>
          <w:rFonts w:ascii="Times New Roman" w:hAnsi="Times New Roman" w:cs="Times New Roman"/>
          <w:kern w:val="36"/>
          <w:sz w:val="16"/>
          <w:szCs w:val="16"/>
          <w:lang w:val="kk-KZ" w:eastAsia="zh-CN"/>
        </w:rPr>
      </w:pPr>
    </w:p>
    <w:tbl>
      <w:tblPr>
        <w:tblStyle w:val="a3"/>
        <w:tblW w:w="0" w:type="auto"/>
        <w:jc w:val="center"/>
        <w:tblLook w:val="04A0" w:firstRow="1" w:lastRow="0" w:firstColumn="1" w:lastColumn="0" w:noHBand="0" w:noVBand="1"/>
      </w:tblPr>
      <w:tblGrid>
        <w:gridCol w:w="2378"/>
        <w:gridCol w:w="2956"/>
        <w:gridCol w:w="2032"/>
        <w:gridCol w:w="2207"/>
      </w:tblGrid>
      <w:tr w:rsidR="00996BD5" w:rsidRPr="00457CE9" w14:paraId="6988DD1E" w14:textId="77777777" w:rsidTr="00463D68">
        <w:trPr>
          <w:jc w:val="center"/>
        </w:trPr>
        <w:tc>
          <w:tcPr>
            <w:tcW w:w="5334" w:type="dxa"/>
            <w:gridSpan w:val="2"/>
            <w:tcBorders>
              <w:top w:val="single" w:sz="4" w:space="0" w:color="auto"/>
              <w:left w:val="single" w:sz="4" w:space="0" w:color="auto"/>
              <w:bottom w:val="single" w:sz="4" w:space="0" w:color="auto"/>
              <w:right w:val="single" w:sz="4" w:space="0" w:color="auto"/>
            </w:tcBorders>
            <w:vAlign w:val="center"/>
          </w:tcPr>
          <w:p w14:paraId="65FDC5FC" w14:textId="77777777"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Нәтижелі көрсеткіштер</w:t>
            </w:r>
          </w:p>
        </w:tc>
        <w:tc>
          <w:tcPr>
            <w:tcW w:w="4239" w:type="dxa"/>
            <w:gridSpan w:val="2"/>
            <w:tcBorders>
              <w:top w:val="single" w:sz="4" w:space="0" w:color="auto"/>
              <w:left w:val="single" w:sz="4" w:space="0" w:color="auto"/>
              <w:bottom w:val="single" w:sz="4" w:space="0" w:color="auto"/>
              <w:right w:val="single" w:sz="4" w:space="0" w:color="auto"/>
            </w:tcBorders>
            <w:vAlign w:val="center"/>
            <w:hideMark/>
          </w:tcPr>
          <w:p w14:paraId="53A12EAF" w14:textId="2BDD9ABA"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Шешу шаралары</w:t>
            </w:r>
          </w:p>
        </w:tc>
      </w:tr>
      <w:tr w:rsidR="00996BD5" w:rsidRPr="00457CE9" w14:paraId="2C383C4C" w14:textId="77777777" w:rsidTr="00D735D0">
        <w:trPr>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515ABC58" w14:textId="77777777" w:rsidR="00996BD5" w:rsidRPr="00457CE9" w:rsidRDefault="00996BD5" w:rsidP="00996BD5">
            <w:pPr>
              <w:jc w:val="center"/>
              <w:textAlignment w:val="baseline"/>
              <w:outlineLvl w:val="0"/>
              <w:rPr>
                <w:rFonts w:ascii="Times New Roman" w:hAnsi="Times New Roman" w:cs="Times New Roman"/>
                <w:kern w:val="36"/>
                <w:sz w:val="24"/>
                <w:szCs w:val="24"/>
                <w:lang w:eastAsia="zh-CN"/>
              </w:rPr>
            </w:pPr>
            <w:r w:rsidRPr="00457CE9">
              <w:rPr>
                <w:rFonts w:ascii="Times New Roman" w:hAnsi="Times New Roman" w:cs="Times New Roman"/>
                <w:kern w:val="36"/>
                <w:sz w:val="24"/>
                <w:szCs w:val="24"/>
                <w:lang w:val="kk-KZ" w:eastAsia="zh-CN"/>
              </w:rPr>
              <w:t>14</w:t>
            </w:r>
            <w:r w:rsidRPr="00457CE9">
              <w:rPr>
                <w:rFonts w:ascii="Times New Roman" w:hAnsi="Times New Roman" w:cs="Times New Roman"/>
                <w:kern w:val="36"/>
                <w:sz w:val="24"/>
                <w:szCs w:val="24"/>
                <w:lang w:eastAsia="zh-CN"/>
              </w:rPr>
              <w:t>.02.2017 ж. редакциясы (алынып тасталды)</w:t>
            </w:r>
          </w:p>
        </w:tc>
        <w:tc>
          <w:tcPr>
            <w:tcW w:w="2956" w:type="dxa"/>
            <w:tcBorders>
              <w:top w:val="single" w:sz="4" w:space="0" w:color="auto"/>
              <w:left w:val="single" w:sz="4" w:space="0" w:color="auto"/>
              <w:bottom w:val="single" w:sz="4" w:space="0" w:color="auto"/>
              <w:right w:val="single" w:sz="4" w:space="0" w:color="auto"/>
            </w:tcBorders>
            <w:vAlign w:val="center"/>
            <w:hideMark/>
          </w:tcPr>
          <w:p w14:paraId="20F86000" w14:textId="77777777"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12.07.2018ж. редакция (қосылған көрсеткіштер)</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387A648" w14:textId="517C85B0" w:rsidR="00996BD5" w:rsidRPr="00457CE9" w:rsidRDefault="00996BD5" w:rsidP="00996BD5">
            <w:pPr>
              <w:jc w:val="center"/>
              <w:textAlignment w:val="baseline"/>
              <w:outlineLvl w:val="0"/>
              <w:rPr>
                <w:rFonts w:ascii="Times New Roman" w:hAnsi="Times New Roman" w:cs="Times New Roman"/>
                <w:kern w:val="36"/>
                <w:sz w:val="24"/>
                <w:szCs w:val="24"/>
                <w:lang w:eastAsia="zh-CN"/>
              </w:rPr>
            </w:pPr>
            <w:r w:rsidRPr="00457CE9">
              <w:rPr>
                <w:rFonts w:ascii="Times New Roman" w:hAnsi="Times New Roman" w:cs="Times New Roman"/>
                <w:kern w:val="36"/>
                <w:sz w:val="24"/>
                <w:szCs w:val="24"/>
                <w:lang w:val="kk-KZ" w:eastAsia="zh-CN"/>
              </w:rPr>
              <w:t>14</w:t>
            </w:r>
            <w:r w:rsidRPr="00457CE9">
              <w:rPr>
                <w:rFonts w:ascii="Times New Roman" w:hAnsi="Times New Roman" w:cs="Times New Roman"/>
                <w:kern w:val="36"/>
                <w:sz w:val="24"/>
                <w:szCs w:val="24"/>
                <w:lang w:eastAsia="zh-CN"/>
              </w:rPr>
              <w:t>.02.2017 ж. редакциясы (алы</w:t>
            </w:r>
            <w:r w:rsidR="00D735D0">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eastAsia="zh-CN"/>
              </w:rPr>
              <w:t>нып тасталды)</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6030088" w14:textId="31218455" w:rsidR="00996BD5" w:rsidRPr="00457CE9" w:rsidRDefault="00996BD5" w:rsidP="00996BD5">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12.07.2018ж. редакция (қосыл</w:t>
            </w:r>
            <w:r w:rsidR="00D735D0">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ған көрсеткіштер)</w:t>
            </w:r>
          </w:p>
        </w:tc>
      </w:tr>
      <w:tr w:rsidR="00996BD5" w:rsidRPr="00805B3E" w14:paraId="6451838F" w14:textId="77777777" w:rsidTr="00D735D0">
        <w:trPr>
          <w:jc w:val="center"/>
        </w:trPr>
        <w:tc>
          <w:tcPr>
            <w:tcW w:w="2378" w:type="dxa"/>
            <w:tcBorders>
              <w:top w:val="single" w:sz="4" w:space="0" w:color="auto"/>
              <w:left w:val="single" w:sz="4" w:space="0" w:color="auto"/>
              <w:bottom w:val="single" w:sz="4" w:space="0" w:color="auto"/>
              <w:right w:val="single" w:sz="4" w:space="0" w:color="auto"/>
            </w:tcBorders>
            <w:vAlign w:val="center"/>
          </w:tcPr>
          <w:p w14:paraId="08935ED0" w14:textId="48EA41B1"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Су қоймаларының жалпы сыйымды</w:t>
            </w:r>
            <w:r w:rsidR="00463D68">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лығын 97,9-дан 99,8 куб км-ге дейін ұлғайту жоспарланған</w:t>
            </w:r>
          </w:p>
        </w:tc>
        <w:tc>
          <w:tcPr>
            <w:tcW w:w="2956" w:type="dxa"/>
            <w:tcBorders>
              <w:top w:val="single" w:sz="4" w:space="0" w:color="auto"/>
              <w:left w:val="single" w:sz="4" w:space="0" w:color="auto"/>
              <w:bottom w:val="single" w:sz="4" w:space="0" w:color="auto"/>
              <w:right w:val="single" w:sz="4" w:space="0" w:color="auto"/>
            </w:tcBorders>
            <w:vAlign w:val="center"/>
            <w:hideMark/>
          </w:tcPr>
          <w:p w14:paraId="18A8FEAC" w14:textId="6DDE9116"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Су үнемдеу технология</w:t>
            </w:r>
            <w:r w:rsidR="00463D68">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лары (тамшылатып суару, жаңбырлату) пайдала</w:t>
            </w:r>
            <w:r w:rsidR="00D735D0">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нылатын суармалы жерлердің ауданы) 2017 жылы 60 мың га-дан 2021 жылы 258 мың га-ға дейін ұлғайту қарастырылған</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63ECD4D" w14:textId="42797780"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Шешу шараларында қарастырылмаған</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256BB05" w14:textId="54A5B639"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22 шара жоспарлан</w:t>
            </w:r>
            <w:r w:rsidR="00463D68">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ған. Шаралар сан</w:t>
            </w:r>
            <w:r w:rsidR="00463D68">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дық көрсеткіштер</w:t>
            </w:r>
            <w:r w:rsidR="00463D68">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мен анықталмаған</w:t>
            </w:r>
            <w:r w:rsidR="00463D68">
              <w:rPr>
                <w:rFonts w:ascii="Times New Roman" w:hAnsi="Times New Roman" w:cs="Times New Roman"/>
                <w:kern w:val="36"/>
                <w:sz w:val="24"/>
                <w:szCs w:val="24"/>
                <w:lang w:val="kk-KZ" w:eastAsia="zh-CN"/>
              </w:rPr>
              <w:t xml:space="preserve"> </w:t>
            </w:r>
            <w:r w:rsidRPr="00457CE9">
              <w:rPr>
                <w:rFonts w:ascii="Times New Roman" w:hAnsi="Times New Roman" w:cs="Times New Roman"/>
                <w:kern w:val="36"/>
                <w:sz w:val="24"/>
                <w:szCs w:val="24"/>
                <w:lang w:val="kk-KZ" w:eastAsia="zh-CN"/>
              </w:rPr>
              <w:t>дықтан оның орында</w:t>
            </w:r>
            <w:r w:rsidR="00C14A7F">
              <w:rPr>
                <w:rFonts w:ascii="Times New Roman" w:hAnsi="Times New Roman" w:cs="Times New Roman"/>
                <w:kern w:val="36"/>
                <w:sz w:val="24"/>
                <w:szCs w:val="24"/>
                <w:lang w:val="kk-KZ" w:eastAsia="zh-CN"/>
              </w:rPr>
              <w:t>л</w:t>
            </w:r>
            <w:r w:rsidRPr="00457CE9">
              <w:rPr>
                <w:rFonts w:ascii="Times New Roman" w:hAnsi="Times New Roman" w:cs="Times New Roman"/>
                <w:kern w:val="36"/>
                <w:sz w:val="24"/>
                <w:szCs w:val="24"/>
                <w:lang w:val="kk-KZ" w:eastAsia="zh-CN"/>
              </w:rPr>
              <w:t>уын тексеру қиындық туғызады</w:t>
            </w:r>
          </w:p>
        </w:tc>
      </w:tr>
      <w:tr w:rsidR="00996BD5" w:rsidRPr="00457CE9" w14:paraId="6496D626" w14:textId="77777777" w:rsidTr="00D735D0">
        <w:trPr>
          <w:jc w:val="center"/>
        </w:trPr>
        <w:tc>
          <w:tcPr>
            <w:tcW w:w="2378" w:type="dxa"/>
            <w:tcBorders>
              <w:top w:val="single" w:sz="4" w:space="0" w:color="auto"/>
              <w:left w:val="single" w:sz="4" w:space="0" w:color="auto"/>
              <w:bottom w:val="single" w:sz="4" w:space="0" w:color="auto"/>
              <w:right w:val="single" w:sz="4" w:space="0" w:color="auto"/>
            </w:tcBorders>
            <w:vAlign w:val="center"/>
          </w:tcPr>
          <w:p w14:paraId="3E60C037" w14:textId="5DE6F51F" w:rsidR="00996BD5" w:rsidRPr="00457CE9" w:rsidRDefault="00463D68" w:rsidP="00463D68">
            <w:pPr>
              <w:jc w:val="center"/>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w:t>
            </w:r>
          </w:p>
        </w:tc>
        <w:tc>
          <w:tcPr>
            <w:tcW w:w="2956" w:type="dxa"/>
            <w:tcBorders>
              <w:top w:val="single" w:sz="4" w:space="0" w:color="auto"/>
              <w:left w:val="single" w:sz="4" w:space="0" w:color="auto"/>
              <w:bottom w:val="single" w:sz="4" w:space="0" w:color="auto"/>
              <w:right w:val="single" w:sz="4" w:space="0" w:color="auto"/>
            </w:tcBorders>
            <w:vAlign w:val="center"/>
            <w:hideMark/>
          </w:tcPr>
          <w:p w14:paraId="20BAD918" w14:textId="77777777"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Азықтық дақылдарға егілген алқаптар 2017 жылы 3897,5 мың га-дан 2021 жылы 4443,4 мың га-ға дейін ұлғайту қарастырылған</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B2742C3" w14:textId="77777777"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C3912E5" w14:textId="77777777" w:rsidR="00996BD5" w:rsidRPr="00457CE9" w:rsidRDefault="00996BD5" w:rsidP="00463D68">
            <w:pPr>
              <w:jc w:val="center"/>
              <w:textAlignment w:val="baseline"/>
              <w:outlineLvl w:val="0"/>
              <w:rPr>
                <w:rFonts w:ascii="Times New Roman" w:hAnsi="Times New Roman" w:cs="Times New Roman"/>
                <w:kern w:val="36"/>
                <w:sz w:val="24"/>
                <w:szCs w:val="24"/>
                <w:lang w:val="kk-KZ" w:eastAsia="zh-CN"/>
              </w:rPr>
            </w:pPr>
            <w:r w:rsidRPr="00457CE9">
              <w:rPr>
                <w:rFonts w:ascii="Times New Roman" w:hAnsi="Times New Roman" w:cs="Times New Roman"/>
                <w:kern w:val="36"/>
                <w:sz w:val="24"/>
                <w:szCs w:val="24"/>
                <w:lang w:val="kk-KZ" w:eastAsia="zh-CN"/>
              </w:rPr>
              <w:t>Нақты шаралар қарастырылмаған</w:t>
            </w:r>
          </w:p>
        </w:tc>
      </w:tr>
      <w:tr w:rsidR="00C60C41" w:rsidRPr="00457CE9" w14:paraId="325D4BB3" w14:textId="77777777" w:rsidTr="00463D68">
        <w:trPr>
          <w:jc w:val="center"/>
        </w:trPr>
        <w:tc>
          <w:tcPr>
            <w:tcW w:w="9573" w:type="dxa"/>
            <w:gridSpan w:val="4"/>
            <w:tcBorders>
              <w:top w:val="single" w:sz="4" w:space="0" w:color="auto"/>
              <w:left w:val="single" w:sz="4" w:space="0" w:color="auto"/>
              <w:bottom w:val="single" w:sz="4" w:space="0" w:color="auto"/>
              <w:right w:val="single" w:sz="4" w:space="0" w:color="auto"/>
            </w:tcBorders>
            <w:vAlign w:val="center"/>
            <w:hideMark/>
          </w:tcPr>
          <w:p w14:paraId="09A24C7F" w14:textId="0322740A" w:rsidR="00C60C41" w:rsidRPr="00457CE9" w:rsidRDefault="00996BD5" w:rsidP="00996BD5">
            <w:pPr>
              <w:ind w:firstLine="567"/>
              <w:textAlignment w:val="baseline"/>
              <w:outlineLvl w:val="0"/>
              <w:rPr>
                <w:rFonts w:ascii="Times New Roman" w:hAnsi="Times New Roman" w:cs="Times New Roman"/>
                <w:kern w:val="36"/>
                <w:sz w:val="24"/>
                <w:szCs w:val="24"/>
                <w:lang w:val="kk-KZ" w:eastAsia="zh-CN"/>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C60C41" w:rsidRPr="00457CE9">
              <w:rPr>
                <w:rFonts w:ascii="Times New Roman" w:hAnsi="Times New Roman" w:cs="Times New Roman"/>
                <w:kern w:val="36"/>
                <w:sz w:val="24"/>
                <w:szCs w:val="24"/>
                <w:lang w:val="kk-KZ" w:eastAsia="zh-CN"/>
              </w:rPr>
              <w:t xml:space="preserve"> </w:t>
            </w:r>
            <w:r w:rsidR="00B004CF" w:rsidRPr="00457CE9">
              <w:rPr>
                <w:rFonts w:ascii="Times New Roman" w:hAnsi="Times New Roman" w:cs="Times New Roman"/>
                <w:kern w:val="36"/>
                <w:sz w:val="24"/>
                <w:szCs w:val="24"/>
                <w:lang w:eastAsia="zh-CN"/>
              </w:rPr>
              <w:t>[</w:t>
            </w:r>
            <w:r w:rsidR="003D4F30">
              <w:rPr>
                <w:rFonts w:ascii="Times New Roman" w:hAnsi="Times New Roman" w:cs="Times New Roman"/>
                <w:kern w:val="36"/>
                <w:sz w:val="24"/>
                <w:szCs w:val="24"/>
                <w:lang w:val="kk-KZ" w:eastAsia="zh-CN"/>
              </w:rPr>
              <w:t>5</w:t>
            </w:r>
            <w:r w:rsidR="00AA4EAE">
              <w:rPr>
                <w:rFonts w:ascii="Times New Roman" w:hAnsi="Times New Roman" w:cs="Times New Roman"/>
                <w:kern w:val="36"/>
                <w:sz w:val="24"/>
                <w:szCs w:val="24"/>
                <w:lang w:val="en-US" w:eastAsia="zh-CN"/>
              </w:rPr>
              <w:t>2</w:t>
            </w:r>
            <w:r w:rsidR="003D4F30">
              <w:rPr>
                <w:rFonts w:ascii="Times New Roman" w:hAnsi="Times New Roman" w:cs="Times New Roman"/>
                <w:kern w:val="36"/>
                <w:sz w:val="24"/>
                <w:szCs w:val="24"/>
                <w:lang w:val="kk-KZ" w:eastAsia="zh-CN"/>
              </w:rPr>
              <w:t>, 6</w:t>
            </w:r>
            <w:r w:rsidR="004330E8">
              <w:rPr>
                <w:rFonts w:ascii="Times New Roman" w:hAnsi="Times New Roman" w:cs="Times New Roman"/>
                <w:kern w:val="36"/>
                <w:sz w:val="24"/>
                <w:szCs w:val="24"/>
                <w:lang w:val="kk-KZ" w:eastAsia="zh-CN"/>
              </w:rPr>
              <w:t>2</w:t>
            </w:r>
            <w:r w:rsidR="00B004CF" w:rsidRPr="00457CE9">
              <w:rPr>
                <w:rFonts w:ascii="Times New Roman" w:hAnsi="Times New Roman" w:cs="Times New Roman"/>
                <w:kern w:val="36"/>
                <w:sz w:val="24"/>
                <w:szCs w:val="24"/>
                <w:lang w:eastAsia="zh-CN"/>
              </w:rPr>
              <w:t xml:space="preserve">] </w:t>
            </w:r>
          </w:p>
        </w:tc>
      </w:tr>
    </w:tbl>
    <w:p w14:paraId="776E7E0F" w14:textId="77777777" w:rsidR="0082390D" w:rsidRPr="00457CE9" w:rsidRDefault="0082390D"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p>
    <w:p w14:paraId="6868A8AE" w14:textId="77777777" w:rsidR="007B64AC" w:rsidRDefault="007B64AC" w:rsidP="007B64AC">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 xml:space="preserve">Бағдарламаның «Су ресурстарын пайдалану тиімділігін жоғарылату» </w:t>
      </w:r>
      <w:r>
        <w:rPr>
          <w:rFonts w:ascii="Times New Roman" w:eastAsia="Times New Roman" w:hAnsi="Times New Roman" w:cs="Times New Roman"/>
          <w:kern w:val="36"/>
          <w:sz w:val="28"/>
          <w:szCs w:val="28"/>
          <w:lang w:val="kk-KZ" w:eastAsia="ru-RU"/>
        </w:rPr>
        <w:t>нысаналы индикаторы</w:t>
      </w:r>
      <w:r>
        <w:rPr>
          <w:rFonts w:ascii="Times New Roman" w:hAnsi="Times New Roman" w:cs="Times New Roman"/>
          <w:kern w:val="36"/>
          <w:sz w:val="28"/>
          <w:szCs w:val="28"/>
          <w:lang w:val="kk-KZ" w:eastAsia="zh-CN"/>
        </w:rPr>
        <w:t xml:space="preserve"> бойынша 2017 жылғы бекітілген редакция бойынша 4 нәтижелі өзгеріс жоспарланса, 2018 жылғы редакцияда 5 нәтижелі көрсеткіш жоспарланған, 2017 жылғы редакцияда 4 көрсеткіш жоспарланса, соның ішінде су қоймаларының жалпы сыйымдылығын 97,9-дан 99,8 куб км-ге дейін ұлғайту жоспарланғанымен, оны шешудің нақты шаралары Бағдарламаның бесінші бөлімінде келтірілмеген. </w:t>
      </w:r>
    </w:p>
    <w:p w14:paraId="121C1772" w14:textId="42B191E5" w:rsidR="007B64AC" w:rsidRDefault="007B64AC" w:rsidP="00BF04D1">
      <w:pPr>
        <w:widowControl w:val="0"/>
        <w:spacing w:after="0" w:line="240" w:lineRule="auto"/>
        <w:ind w:firstLine="709"/>
        <w:jc w:val="both"/>
        <w:textAlignment w:val="baseline"/>
        <w:outlineLvl w:val="0"/>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1</w:t>
      </w:r>
      <w:r w:rsidR="00023296">
        <w:rPr>
          <w:rFonts w:ascii="Times New Roman" w:hAnsi="Times New Roman" w:cs="Times New Roman"/>
          <w:kern w:val="36"/>
          <w:sz w:val="28"/>
          <w:szCs w:val="28"/>
          <w:lang w:val="kk-KZ" w:eastAsia="zh-CN"/>
        </w:rPr>
        <w:t>9</w:t>
      </w:r>
      <w:r>
        <w:rPr>
          <w:rFonts w:ascii="Times New Roman" w:hAnsi="Times New Roman" w:cs="Times New Roman"/>
          <w:kern w:val="36"/>
          <w:sz w:val="28"/>
          <w:szCs w:val="28"/>
          <w:lang w:val="kk-KZ" w:eastAsia="zh-CN"/>
        </w:rPr>
        <w:t xml:space="preserve">-кесте мәліметтері бойынша жоспарланған нәтижелі көрсеткіштер 2017 жылғы редакцияда 4 көрсеткіш жоспарланса, соның ішінде су қоймаларының жалпы сыйымдылығын 97,9-дан 99,8 куб км-ге дейін ұлғайту жоспарланғанымен, оны шешудің нақты шаралары Бағдарламаның бесінші бөлімінде келтірілмеген. </w:t>
      </w:r>
    </w:p>
    <w:p w14:paraId="56747C85" w14:textId="77777777" w:rsidR="002540F0" w:rsidRDefault="00CA7758" w:rsidP="00BF04D1">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Бағдарламаның 2018 жылға редакциясында 5 нәтижелі көрсеткіш жоспарланса, соның ішінде азықтық дақылдарға егілген алқаптар 2017 жылы 3897,5 мың га-дан 2021 жылы 4443,4 мың га-ға дейін ұлғайту қарастырылғанымен, осы көрсеткішке жетудің нақты шаралары келтірілмеген. </w:t>
      </w:r>
    </w:p>
    <w:p w14:paraId="2074CBD9" w14:textId="7403F254" w:rsidR="00CA7758" w:rsidRPr="00457CE9" w:rsidRDefault="00CA7758" w:rsidP="00BF04D1">
      <w:pPr>
        <w:widowControl w:val="0"/>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Жалпы «Су ресурстарын пайдалану тиімділігін жоғарылату» тапсырмасы бойынша қойылған нәтижелі көрсеткіштер мен оны шешудің бағыттары арасында байланыс байқалмайды, мәселен шешу бағыттарында келтірілген нақты шараларды сандық көрсеткіш түрінде жоспарланбағандықтан оның орындалуы күмән тудырады. Және осы шараларды іске асыру үшін күрделі қаражат қажет екендігі белгілі, дегенімен әр шараны іске асыруға қажет қаражаттар болжамы қарастырылмаған</w:t>
      </w:r>
      <w:r w:rsidR="00B004CF" w:rsidRPr="00457CE9">
        <w:rPr>
          <w:rFonts w:ascii="Times New Roman" w:hAnsi="Times New Roman" w:cs="Times New Roman"/>
          <w:kern w:val="36"/>
          <w:sz w:val="28"/>
          <w:szCs w:val="28"/>
          <w:lang w:val="kk-KZ" w:eastAsia="zh-CN"/>
        </w:rPr>
        <w:t xml:space="preserve"> [</w:t>
      </w:r>
      <w:r w:rsidR="007B64AC">
        <w:rPr>
          <w:rFonts w:ascii="Times New Roman" w:hAnsi="Times New Roman" w:cs="Times New Roman"/>
          <w:kern w:val="36"/>
          <w:sz w:val="28"/>
          <w:szCs w:val="28"/>
          <w:lang w:val="kk-KZ" w:eastAsia="zh-CN"/>
        </w:rPr>
        <w:t>6</w:t>
      </w:r>
      <w:r w:rsidR="004330E8">
        <w:rPr>
          <w:rFonts w:ascii="Times New Roman" w:hAnsi="Times New Roman" w:cs="Times New Roman"/>
          <w:kern w:val="36"/>
          <w:sz w:val="28"/>
          <w:szCs w:val="28"/>
          <w:lang w:val="kk-KZ" w:eastAsia="zh-CN"/>
        </w:rPr>
        <w:t>2</w:t>
      </w:r>
      <w:r w:rsidR="00B004CF"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w:t>
      </w:r>
    </w:p>
    <w:p w14:paraId="3BBD131B" w14:textId="77777777" w:rsidR="00CA7758" w:rsidRPr="00457CE9" w:rsidRDefault="00CA7758" w:rsidP="00463D68">
      <w:pPr>
        <w:tabs>
          <w:tab w:val="left" w:pos="851"/>
        </w:tabs>
        <w:spacing w:after="0" w:line="240" w:lineRule="auto"/>
        <w:ind w:firstLine="709"/>
        <w:jc w:val="both"/>
        <w:textAlignment w:val="baseline"/>
        <w:outlineLvl w:val="0"/>
        <w:rPr>
          <w:rFonts w:ascii="Times New Roman" w:hAnsi="Times New Roman" w:cs="Times New Roman"/>
          <w:color w:val="FF0000"/>
          <w:kern w:val="36"/>
          <w:sz w:val="28"/>
          <w:szCs w:val="28"/>
          <w:lang w:val="kk-KZ" w:eastAsia="zh-CN"/>
        </w:rPr>
      </w:pPr>
      <w:r w:rsidRPr="00457CE9">
        <w:rPr>
          <w:rFonts w:ascii="Times New Roman" w:hAnsi="Times New Roman" w:cs="Times New Roman"/>
          <w:kern w:val="36"/>
          <w:sz w:val="28"/>
          <w:szCs w:val="28"/>
          <w:lang w:val="kk-KZ" w:eastAsia="zh-CN"/>
        </w:rPr>
        <w:t xml:space="preserve">Бағдарламада «су ресурстарын басқару саласында жаңа технологияларды енгізуді барынша жеделдету үшін барлық әлеуетті пайдаланушылар үшін бастапқы деректердің қолжетімділігі қамтамасыз етілетін болады. ҚР мемлекеттік бюджеті қаражаты есебінен жиналған деректер ашық қолжетімділікте орналастырылатын болады» делінген. </w:t>
      </w:r>
    </w:p>
    <w:p w14:paraId="3C3EF319" w14:textId="77777777" w:rsidR="00B95F6B" w:rsidRPr="00457CE9" w:rsidRDefault="003B3DED" w:rsidP="00463D68">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Бағдарламада қ</w:t>
      </w:r>
      <w:r w:rsidR="00B95F6B" w:rsidRPr="00457CE9">
        <w:rPr>
          <w:rFonts w:ascii="Times New Roman" w:hAnsi="Times New Roman" w:cs="Times New Roman"/>
          <w:kern w:val="36"/>
          <w:sz w:val="28"/>
          <w:szCs w:val="28"/>
          <w:lang w:val="kk-KZ" w:eastAsia="zh-CN"/>
        </w:rPr>
        <w:t>ойылған нысаналы индикаторлар мен міндеттерді ескере отырып, тікелей нәтижелер көрсеткіштеріне қол жеткізу үшін қолда барларын қалпына келтіру және жаңа су шаруашылығы инфрақұрылымын құру үшін инвестициялар тарту талап етіледі.</w:t>
      </w:r>
      <w:r w:rsidRPr="00457CE9">
        <w:rPr>
          <w:rFonts w:ascii="Times New Roman" w:hAnsi="Times New Roman" w:cs="Times New Roman"/>
          <w:kern w:val="36"/>
          <w:sz w:val="28"/>
          <w:szCs w:val="28"/>
          <w:lang w:val="kk-KZ" w:eastAsia="zh-CN"/>
        </w:rPr>
        <w:t xml:space="preserve"> Қанша көлемде тартылатыны жоспарланбағандықтан осы шараның орындалу мүмкіндігі төмен.</w:t>
      </w:r>
    </w:p>
    <w:p w14:paraId="5600D3A2" w14:textId="7E628689" w:rsidR="00100F43" w:rsidRPr="00457CE9" w:rsidRDefault="00B95F6B" w:rsidP="00463D68">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Су шаруашылығы жүйелері мен құрылыстарын қалпына келтіру жөніндегі капиталды қажет ететін жобаларды қаржыландыру және саланың өзін-өзі ақтауы мен инвестициялық тартымдылығына біртіндеп көшу жөніндегі шараларды іске асыру үшін бюджеттік мүмкіндіктердің болмауына байланысты қайтарымды негізде қолайлы шарттарда, олардың өзін-өзі ақтауы ескеріле отырып, ХҚҰ қаражаты тартылатын және мемлекеттік-жекешелік әріптестік қағидаттарында жеке инвестицияларды (ірі АШТӨ, басқа да ұйымдар) тарту мүмкіндіктері зерделенетін болады.</w:t>
      </w:r>
      <w:r w:rsidR="003B3DED" w:rsidRPr="00457CE9">
        <w:rPr>
          <w:rFonts w:ascii="Times New Roman" w:hAnsi="Times New Roman" w:cs="Times New Roman"/>
          <w:kern w:val="36"/>
          <w:sz w:val="28"/>
          <w:szCs w:val="28"/>
          <w:lang w:val="kk-KZ" w:eastAsia="zh-CN"/>
        </w:rPr>
        <w:t xml:space="preserve"> ХҚҰ қаражат тарту мүмкіндіктері</w:t>
      </w:r>
      <w:r w:rsidR="00100F43" w:rsidRPr="00457CE9">
        <w:rPr>
          <w:rFonts w:ascii="Times New Roman" w:hAnsi="Times New Roman" w:cs="Times New Roman"/>
          <w:kern w:val="36"/>
          <w:sz w:val="28"/>
          <w:szCs w:val="28"/>
          <w:lang w:val="kk-KZ" w:eastAsia="zh-CN"/>
        </w:rPr>
        <w:t>, инвестициялық тартымдылығы, болжалды тарифтері</w:t>
      </w:r>
      <w:r w:rsidR="003B3DED" w:rsidRPr="00457CE9">
        <w:rPr>
          <w:rFonts w:ascii="Times New Roman" w:hAnsi="Times New Roman" w:cs="Times New Roman"/>
          <w:kern w:val="36"/>
          <w:sz w:val="28"/>
          <w:szCs w:val="28"/>
          <w:lang w:val="kk-KZ" w:eastAsia="zh-CN"/>
        </w:rPr>
        <w:t xml:space="preserve"> де </w:t>
      </w:r>
      <w:r w:rsidR="00100F43" w:rsidRPr="00457CE9">
        <w:rPr>
          <w:rFonts w:ascii="Times New Roman" w:hAnsi="Times New Roman" w:cs="Times New Roman"/>
          <w:kern w:val="36"/>
          <w:sz w:val="28"/>
          <w:szCs w:val="28"/>
          <w:lang w:val="kk-KZ" w:eastAsia="zh-CN"/>
        </w:rPr>
        <w:t>жобаланбаған</w:t>
      </w:r>
      <w:r w:rsidR="00B004CF" w:rsidRPr="00457CE9">
        <w:rPr>
          <w:rFonts w:ascii="Times New Roman" w:hAnsi="Times New Roman" w:cs="Times New Roman"/>
          <w:kern w:val="36"/>
          <w:sz w:val="28"/>
          <w:szCs w:val="28"/>
          <w:lang w:val="kk-KZ" w:eastAsia="zh-CN"/>
        </w:rPr>
        <w:t xml:space="preserve"> [</w:t>
      </w:r>
      <w:r w:rsidR="007B64AC">
        <w:rPr>
          <w:rFonts w:ascii="Times New Roman" w:hAnsi="Times New Roman" w:cs="Times New Roman"/>
          <w:kern w:val="36"/>
          <w:sz w:val="28"/>
          <w:szCs w:val="28"/>
          <w:lang w:val="kk-KZ" w:eastAsia="zh-CN"/>
        </w:rPr>
        <w:t>6</w:t>
      </w:r>
      <w:r w:rsidR="004330E8">
        <w:rPr>
          <w:rFonts w:ascii="Times New Roman" w:hAnsi="Times New Roman" w:cs="Times New Roman"/>
          <w:kern w:val="36"/>
          <w:sz w:val="28"/>
          <w:szCs w:val="28"/>
          <w:lang w:val="kk-KZ" w:eastAsia="zh-CN"/>
        </w:rPr>
        <w:t>2</w:t>
      </w:r>
      <w:r w:rsidR="00B004CF" w:rsidRPr="00457CE9">
        <w:rPr>
          <w:rFonts w:ascii="Times New Roman" w:hAnsi="Times New Roman" w:cs="Times New Roman"/>
          <w:kern w:val="36"/>
          <w:sz w:val="28"/>
          <w:szCs w:val="28"/>
          <w:lang w:val="kk-KZ" w:eastAsia="zh-CN"/>
        </w:rPr>
        <w:t>]</w:t>
      </w:r>
      <w:r w:rsidR="003B3DED" w:rsidRPr="00457CE9">
        <w:rPr>
          <w:rFonts w:ascii="Times New Roman" w:hAnsi="Times New Roman" w:cs="Times New Roman"/>
          <w:kern w:val="36"/>
          <w:sz w:val="28"/>
          <w:szCs w:val="28"/>
          <w:lang w:val="kk-KZ" w:eastAsia="zh-CN"/>
        </w:rPr>
        <w:t>.</w:t>
      </w:r>
      <w:r w:rsidR="00100F43" w:rsidRPr="00457CE9">
        <w:rPr>
          <w:rFonts w:ascii="Times New Roman" w:hAnsi="Times New Roman" w:cs="Times New Roman"/>
          <w:kern w:val="36"/>
          <w:sz w:val="28"/>
          <w:szCs w:val="28"/>
          <w:lang w:val="kk-KZ" w:eastAsia="zh-CN"/>
        </w:rPr>
        <w:t xml:space="preserve"> </w:t>
      </w:r>
    </w:p>
    <w:p w14:paraId="78C3C79D" w14:textId="77777777" w:rsidR="007042C9" w:rsidRPr="00457CE9" w:rsidRDefault="007042C9" w:rsidP="00463D68">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Әлемде су тапшылығы қазіргі таңдағы өте өзекті мәселе. Қазақстан су ресурстарына бай емес және олар оның аумағында біркелкі бөлінбейді. Республикада 85 мыңнан астам өзендер мен уақытша су қоймалары бар. (жылдың климаттық жағдайына байланысты мезгіл-мезгіл құрғап тұратын өзендер). Сондықтан Бағдарлама аясында су тапшылығын болдырмау мәселелерін қазірден бастап шешу қажеттілігі сөзсіз.</w:t>
      </w:r>
    </w:p>
    <w:p w14:paraId="511B747B" w14:textId="77777777" w:rsidR="002540F0" w:rsidRDefault="002A15CC" w:rsidP="00463D68">
      <w:pPr>
        <w:widowControl w:val="0"/>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Бағдарламаның 2018 жылғы редакциясында </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4.5. Өткізу нарықтарының қолжетімділігін қамтамасыз ету және экспортты дамыту</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деп аталатын </w:t>
      </w:r>
      <w:r w:rsidR="000D171F"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2017 жылғы редакцияда </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4.7. Сауда-логистикалық инфрақұрылымды дамыту</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r w:rsidR="000D171F"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мен сәйкес келеді деген қорытынды жасауға болады. </w:t>
      </w:r>
    </w:p>
    <w:p w14:paraId="1D0C1810" w14:textId="77777777" w:rsidR="002540F0" w:rsidRDefault="00E36A26" w:rsidP="00463D68">
      <w:pPr>
        <w:widowControl w:val="0"/>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Қазақстанда ауыл шаруашылығы сапалы өнімдерін өндіру арқылы мемлекеттің азық</w:t>
      </w:r>
      <w:r w:rsidR="00FB00CA">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түліктік қауіпсіздігін қамтамасыз етіп қана қоймай, шетелге экспорттау әлеуеті бар екендігі белгілі. </w:t>
      </w:r>
    </w:p>
    <w:p w14:paraId="5858A074" w14:textId="77777777" w:rsidR="002540F0" w:rsidRDefault="004177EC" w:rsidP="00463D68">
      <w:pPr>
        <w:widowControl w:val="0"/>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Дегенмен Бағдарламада осы орайда да өзгерістер бар екендігін </w:t>
      </w:r>
      <w:r w:rsidR="00023296">
        <w:rPr>
          <w:rFonts w:ascii="Times New Roman" w:hAnsi="Times New Roman" w:cs="Times New Roman"/>
          <w:kern w:val="36"/>
          <w:sz w:val="28"/>
          <w:szCs w:val="28"/>
          <w:lang w:val="kk-KZ" w:eastAsia="zh-CN"/>
        </w:rPr>
        <w:t>20</w:t>
      </w:r>
      <w:r w:rsidR="00CA7758"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кестеден көруге болады.</w:t>
      </w:r>
      <w:r w:rsidR="00E36A26" w:rsidRPr="00457CE9">
        <w:rPr>
          <w:rFonts w:ascii="Times New Roman" w:hAnsi="Times New Roman" w:cs="Times New Roman"/>
          <w:kern w:val="36"/>
          <w:sz w:val="28"/>
          <w:szCs w:val="28"/>
          <w:lang w:val="kk-KZ" w:eastAsia="zh-CN"/>
        </w:rPr>
        <w:t xml:space="preserve"> </w:t>
      </w:r>
      <w:r w:rsidR="002540F0" w:rsidRPr="00457CE9">
        <w:rPr>
          <w:rFonts w:ascii="Times New Roman" w:hAnsi="Times New Roman" w:cs="Times New Roman"/>
          <w:kern w:val="36"/>
          <w:sz w:val="28"/>
          <w:szCs w:val="28"/>
          <w:lang w:val="kk-KZ" w:eastAsia="zh-CN"/>
        </w:rPr>
        <w:t>О</w:t>
      </w:r>
      <w:r w:rsidR="00E36A26" w:rsidRPr="00457CE9">
        <w:rPr>
          <w:rFonts w:ascii="Times New Roman" w:hAnsi="Times New Roman" w:cs="Times New Roman"/>
          <w:kern w:val="36"/>
          <w:sz w:val="28"/>
          <w:szCs w:val="28"/>
          <w:lang w:val="kk-KZ" w:eastAsia="zh-CN"/>
        </w:rPr>
        <w:t xml:space="preserve">сы орайда оны өндірместен өткізу нарықтарын дамыту маңызды тапсырмалардың бірі деуге болады. </w:t>
      </w:r>
    </w:p>
    <w:p w14:paraId="132FFA92" w14:textId="78405DBA" w:rsidR="00E36A26" w:rsidRPr="00457CE9" w:rsidRDefault="00E36A26" w:rsidP="00463D68">
      <w:pPr>
        <w:widowControl w:val="0"/>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Бұдан басқа, дәнді дақылдар мен оларды қайта өңдеу өнімдерін экспорттау кезінде тасымалдау қуатының тапшылығы мәселесін шешу үшін АӨК логистикасы картасын және терминалдар, ауыстырып тиеу қоймаларын салу, техниканың мамандандырылған паркін жаңарту жөніндегі іс-шаралар жоспарын әзірлеу жоспарлануда. Бұл шараларды іске асырудың жобасы келтірілмеген</w:t>
      </w:r>
      <w:r w:rsidR="00B004CF" w:rsidRPr="00457CE9">
        <w:rPr>
          <w:rFonts w:ascii="Times New Roman" w:hAnsi="Times New Roman" w:cs="Times New Roman"/>
          <w:kern w:val="36"/>
          <w:sz w:val="28"/>
          <w:szCs w:val="28"/>
          <w:lang w:val="kk-KZ" w:eastAsia="zh-CN"/>
        </w:rPr>
        <w:t xml:space="preserve"> [</w:t>
      </w:r>
      <w:r w:rsidR="007B64AC">
        <w:rPr>
          <w:rFonts w:ascii="Times New Roman" w:hAnsi="Times New Roman" w:cs="Times New Roman"/>
          <w:kern w:val="36"/>
          <w:sz w:val="28"/>
          <w:szCs w:val="28"/>
          <w:lang w:val="kk-KZ" w:eastAsia="zh-CN"/>
        </w:rPr>
        <w:t>6</w:t>
      </w:r>
      <w:r w:rsidR="004330E8">
        <w:rPr>
          <w:rFonts w:ascii="Times New Roman" w:hAnsi="Times New Roman" w:cs="Times New Roman"/>
          <w:kern w:val="36"/>
          <w:sz w:val="28"/>
          <w:szCs w:val="28"/>
          <w:lang w:val="kk-KZ" w:eastAsia="zh-CN"/>
        </w:rPr>
        <w:t>2</w:t>
      </w:r>
      <w:r w:rsidR="00B004CF"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p>
    <w:p w14:paraId="6EB3ED32" w14:textId="77777777" w:rsidR="004177EC" w:rsidRDefault="004177EC" w:rsidP="00457CE9">
      <w:pPr>
        <w:spacing w:after="0" w:line="240" w:lineRule="auto"/>
        <w:jc w:val="both"/>
        <w:textAlignment w:val="baseline"/>
        <w:outlineLvl w:val="0"/>
        <w:rPr>
          <w:rFonts w:ascii="Times New Roman" w:hAnsi="Times New Roman" w:cs="Times New Roman"/>
          <w:kern w:val="36"/>
          <w:sz w:val="28"/>
          <w:szCs w:val="28"/>
          <w:lang w:val="kk-KZ" w:eastAsia="zh-CN"/>
        </w:rPr>
      </w:pPr>
    </w:p>
    <w:p w14:paraId="3C392B56" w14:textId="77777777" w:rsidR="002540F0" w:rsidRPr="00457CE9" w:rsidRDefault="002540F0" w:rsidP="00457CE9">
      <w:pPr>
        <w:spacing w:after="0" w:line="240" w:lineRule="auto"/>
        <w:jc w:val="both"/>
        <w:textAlignment w:val="baseline"/>
        <w:outlineLvl w:val="0"/>
        <w:rPr>
          <w:rFonts w:ascii="Times New Roman" w:hAnsi="Times New Roman" w:cs="Times New Roman"/>
          <w:kern w:val="36"/>
          <w:sz w:val="28"/>
          <w:szCs w:val="28"/>
          <w:lang w:val="kk-KZ" w:eastAsia="zh-CN"/>
        </w:rPr>
      </w:pPr>
    </w:p>
    <w:p w14:paraId="1BE00834" w14:textId="0D28DDC9" w:rsidR="004177EC" w:rsidRDefault="004177EC" w:rsidP="00457CE9">
      <w:pPr>
        <w:spacing w:after="0" w:line="240" w:lineRule="auto"/>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Кесте </w:t>
      </w:r>
      <w:r w:rsidR="00023296">
        <w:rPr>
          <w:rFonts w:ascii="Times New Roman" w:hAnsi="Times New Roman" w:cs="Times New Roman"/>
          <w:kern w:val="36"/>
          <w:sz w:val="28"/>
          <w:szCs w:val="28"/>
          <w:lang w:val="kk-KZ" w:eastAsia="zh-CN"/>
        </w:rPr>
        <w:t>20</w:t>
      </w:r>
      <w:r w:rsidR="00CA7758" w:rsidRPr="00457CE9">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 xml:space="preserve"> «4.5. Өткізу нарықтарының қолжетімділігін қамтамасыз ету және экспортты дамыту»/«4.7. Сауда-логистикалық инфрақұрылымды дамыту» </w:t>
      </w:r>
      <w:r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бойынша бекітілген нәтижелі көрсеткіштер мен шешу шаралар жоспарының өзгерісі</w:t>
      </w:r>
    </w:p>
    <w:p w14:paraId="5FFBF78B" w14:textId="77777777" w:rsidR="00463D68" w:rsidRPr="00463D68" w:rsidRDefault="00463D68" w:rsidP="00457CE9">
      <w:pPr>
        <w:spacing w:after="0" w:line="240" w:lineRule="auto"/>
        <w:jc w:val="both"/>
        <w:textAlignment w:val="baseline"/>
        <w:outlineLvl w:val="0"/>
        <w:rPr>
          <w:rFonts w:ascii="Times New Roman" w:hAnsi="Times New Roman" w:cs="Times New Roman"/>
          <w:kern w:val="36"/>
          <w:sz w:val="16"/>
          <w:szCs w:val="16"/>
          <w:lang w:val="kk-KZ" w:eastAsia="zh-CN"/>
        </w:rPr>
      </w:pPr>
    </w:p>
    <w:tbl>
      <w:tblPr>
        <w:tblStyle w:val="a3"/>
        <w:tblW w:w="0" w:type="auto"/>
        <w:tblInd w:w="-5" w:type="dxa"/>
        <w:tblLook w:val="04A0" w:firstRow="1" w:lastRow="0" w:firstColumn="1" w:lastColumn="0" w:noHBand="0" w:noVBand="1"/>
      </w:tblPr>
      <w:tblGrid>
        <w:gridCol w:w="2042"/>
        <w:gridCol w:w="2480"/>
        <w:gridCol w:w="2317"/>
        <w:gridCol w:w="2794"/>
      </w:tblGrid>
      <w:tr w:rsidR="00463D68" w:rsidRPr="00D735D0" w14:paraId="0CA36D6E" w14:textId="77777777" w:rsidTr="007B64AC">
        <w:tc>
          <w:tcPr>
            <w:tcW w:w="4522" w:type="dxa"/>
            <w:gridSpan w:val="2"/>
            <w:tcBorders>
              <w:top w:val="single" w:sz="4" w:space="0" w:color="auto"/>
              <w:left w:val="single" w:sz="4" w:space="0" w:color="auto"/>
              <w:bottom w:val="single" w:sz="4" w:space="0" w:color="auto"/>
              <w:right w:val="single" w:sz="4" w:space="0" w:color="auto"/>
            </w:tcBorders>
            <w:hideMark/>
          </w:tcPr>
          <w:p w14:paraId="419B2172" w14:textId="77777777" w:rsidR="00463D68" w:rsidRPr="00D735D0" w:rsidRDefault="00463D68" w:rsidP="00457CE9">
            <w:pPr>
              <w:jc w:val="center"/>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Нәтижелі көрсеткіштер</w:t>
            </w:r>
          </w:p>
        </w:tc>
        <w:tc>
          <w:tcPr>
            <w:tcW w:w="5111" w:type="dxa"/>
            <w:gridSpan w:val="2"/>
            <w:tcBorders>
              <w:top w:val="single" w:sz="4" w:space="0" w:color="auto"/>
              <w:left w:val="single" w:sz="4" w:space="0" w:color="auto"/>
              <w:bottom w:val="single" w:sz="4" w:space="0" w:color="auto"/>
              <w:right w:val="single" w:sz="4" w:space="0" w:color="auto"/>
            </w:tcBorders>
            <w:hideMark/>
          </w:tcPr>
          <w:p w14:paraId="775ED878" w14:textId="77777777" w:rsidR="00463D68" w:rsidRPr="00D735D0" w:rsidRDefault="00463D68" w:rsidP="00457CE9">
            <w:pPr>
              <w:jc w:val="center"/>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Шешу шаралары</w:t>
            </w:r>
          </w:p>
        </w:tc>
      </w:tr>
      <w:tr w:rsidR="00463D68" w:rsidRPr="00D735D0" w14:paraId="285C7042" w14:textId="77777777" w:rsidTr="007B64AC">
        <w:tc>
          <w:tcPr>
            <w:tcW w:w="2042" w:type="dxa"/>
            <w:tcBorders>
              <w:top w:val="single" w:sz="4" w:space="0" w:color="auto"/>
              <w:left w:val="single" w:sz="4" w:space="0" w:color="auto"/>
              <w:bottom w:val="single" w:sz="4" w:space="0" w:color="auto"/>
              <w:right w:val="single" w:sz="4" w:space="0" w:color="auto"/>
            </w:tcBorders>
            <w:vAlign w:val="center"/>
            <w:hideMark/>
          </w:tcPr>
          <w:p w14:paraId="3280AB15" w14:textId="1B9409FE" w:rsidR="00463D68" w:rsidRPr="00D735D0" w:rsidRDefault="00463D68" w:rsidP="00D735D0">
            <w:pPr>
              <w:ind w:left="-66"/>
              <w:jc w:val="center"/>
              <w:textAlignment w:val="baseline"/>
              <w:outlineLvl w:val="0"/>
              <w:rPr>
                <w:rFonts w:ascii="Times New Roman" w:hAnsi="Times New Roman" w:cs="Times New Roman"/>
                <w:kern w:val="36"/>
                <w:sz w:val="24"/>
                <w:szCs w:val="24"/>
                <w:lang w:eastAsia="zh-CN"/>
              </w:rPr>
            </w:pPr>
            <w:r w:rsidRPr="00D735D0">
              <w:rPr>
                <w:rFonts w:ascii="Times New Roman" w:hAnsi="Times New Roman" w:cs="Times New Roman"/>
                <w:kern w:val="36"/>
                <w:sz w:val="24"/>
                <w:szCs w:val="24"/>
                <w:lang w:val="kk-KZ" w:eastAsia="zh-CN"/>
              </w:rPr>
              <w:t>14</w:t>
            </w:r>
            <w:r w:rsidRPr="00D735D0">
              <w:rPr>
                <w:rFonts w:ascii="Times New Roman" w:hAnsi="Times New Roman" w:cs="Times New Roman"/>
                <w:kern w:val="36"/>
                <w:sz w:val="24"/>
                <w:szCs w:val="24"/>
                <w:lang w:eastAsia="zh-CN"/>
              </w:rPr>
              <w:t>.02.2017 ж. редакциясы (алы</w:t>
            </w:r>
            <w:r w:rsidR="00D735D0" w:rsidRP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eastAsia="zh-CN"/>
              </w:rPr>
              <w:t>нып тасталды)</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D301149" w14:textId="3FA3E1D1" w:rsidR="00463D68" w:rsidRPr="00D735D0" w:rsidRDefault="00463D68" w:rsidP="00D735D0">
            <w:pPr>
              <w:jc w:val="center"/>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12.07.2018</w:t>
            </w:r>
            <w:r w:rsidR="00630981">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ж. редакция (қосылған көрсеткіштер)</w:t>
            </w:r>
          </w:p>
        </w:tc>
        <w:tc>
          <w:tcPr>
            <w:tcW w:w="2317" w:type="dxa"/>
            <w:tcBorders>
              <w:top w:val="single" w:sz="4" w:space="0" w:color="auto"/>
              <w:left w:val="single" w:sz="4" w:space="0" w:color="auto"/>
              <w:bottom w:val="single" w:sz="4" w:space="0" w:color="auto"/>
              <w:right w:val="single" w:sz="4" w:space="0" w:color="auto"/>
            </w:tcBorders>
            <w:vAlign w:val="center"/>
            <w:hideMark/>
          </w:tcPr>
          <w:p w14:paraId="0813CA08" w14:textId="77777777" w:rsidR="00463D68" w:rsidRPr="00D735D0" w:rsidRDefault="00463D68" w:rsidP="00D735D0">
            <w:pPr>
              <w:jc w:val="center"/>
              <w:textAlignment w:val="baseline"/>
              <w:outlineLvl w:val="0"/>
              <w:rPr>
                <w:rFonts w:ascii="Times New Roman" w:hAnsi="Times New Roman" w:cs="Times New Roman"/>
                <w:kern w:val="36"/>
                <w:sz w:val="24"/>
                <w:szCs w:val="24"/>
                <w:lang w:eastAsia="zh-CN"/>
              </w:rPr>
            </w:pPr>
            <w:r w:rsidRPr="00D735D0">
              <w:rPr>
                <w:rFonts w:ascii="Times New Roman" w:hAnsi="Times New Roman" w:cs="Times New Roman"/>
                <w:kern w:val="36"/>
                <w:sz w:val="24"/>
                <w:szCs w:val="24"/>
                <w:lang w:val="kk-KZ" w:eastAsia="zh-CN"/>
              </w:rPr>
              <w:t>14</w:t>
            </w:r>
            <w:r w:rsidRPr="00D735D0">
              <w:rPr>
                <w:rFonts w:ascii="Times New Roman" w:hAnsi="Times New Roman" w:cs="Times New Roman"/>
                <w:kern w:val="36"/>
                <w:sz w:val="24"/>
                <w:szCs w:val="24"/>
                <w:lang w:eastAsia="zh-CN"/>
              </w:rPr>
              <w:t>.02.2017 ж. редакциясы (алынып тасталды)</w:t>
            </w:r>
          </w:p>
        </w:tc>
        <w:tc>
          <w:tcPr>
            <w:tcW w:w="2794" w:type="dxa"/>
            <w:tcBorders>
              <w:top w:val="single" w:sz="4" w:space="0" w:color="auto"/>
              <w:left w:val="single" w:sz="4" w:space="0" w:color="auto"/>
              <w:bottom w:val="single" w:sz="4" w:space="0" w:color="auto"/>
              <w:right w:val="single" w:sz="4" w:space="0" w:color="auto"/>
            </w:tcBorders>
            <w:vAlign w:val="center"/>
            <w:hideMark/>
          </w:tcPr>
          <w:p w14:paraId="7A3A4455" w14:textId="1C59CCCC" w:rsidR="00463D68" w:rsidRPr="00D735D0" w:rsidRDefault="00463D68" w:rsidP="00D735D0">
            <w:pPr>
              <w:jc w:val="center"/>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12.07.2018</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ж. редакция (қосылған көрсеткіштер)</w:t>
            </w:r>
          </w:p>
        </w:tc>
      </w:tr>
      <w:tr w:rsidR="00463D68" w:rsidRPr="00805B3E" w14:paraId="0AC79AF5" w14:textId="77777777" w:rsidTr="007B64AC">
        <w:tc>
          <w:tcPr>
            <w:tcW w:w="2042" w:type="dxa"/>
            <w:tcBorders>
              <w:top w:val="single" w:sz="4" w:space="0" w:color="auto"/>
              <w:left w:val="single" w:sz="4" w:space="0" w:color="auto"/>
              <w:bottom w:val="nil"/>
              <w:right w:val="single" w:sz="4" w:space="0" w:color="auto"/>
            </w:tcBorders>
            <w:vAlign w:val="center"/>
            <w:hideMark/>
          </w:tcPr>
          <w:p w14:paraId="508A4A90" w14:textId="77777777"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Көтерме-тарату</w:t>
            </w:r>
          </w:p>
          <w:p w14:paraId="645B66EE" w14:textId="77777777"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орталықтар құру</w:t>
            </w:r>
          </w:p>
          <w:p w14:paraId="2AA6D2CA" w14:textId="4635A28C" w:rsidR="002540F0" w:rsidRDefault="00463D68" w:rsidP="00D735D0">
            <w:pPr>
              <w:spacing w:line="228" w:lineRule="auto"/>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 xml:space="preserve">2017 ж. – 3 бірлік, 2018 ж. – </w:t>
            </w:r>
            <w:r w:rsidRPr="00D735D0">
              <w:rPr>
                <w:rFonts w:ascii="Times New Roman" w:hAnsi="Times New Roman" w:cs="Times New Roman"/>
                <w:kern w:val="36"/>
                <w:sz w:val="24"/>
                <w:szCs w:val="24"/>
                <w:lang w:val="kk-KZ" w:eastAsia="zh-CN"/>
              </w:rPr>
              <w:t xml:space="preserve">6 </w:t>
            </w:r>
            <w:r w:rsidRPr="00D735D0">
              <w:rPr>
                <w:rFonts w:ascii="Times New Roman" w:eastAsia="Times New Roman" w:hAnsi="Times New Roman" w:cs="Times New Roman"/>
                <w:kern w:val="36"/>
                <w:sz w:val="24"/>
                <w:szCs w:val="24"/>
                <w:lang w:val="kk-KZ" w:eastAsia="ru-RU"/>
              </w:rPr>
              <w:t>бірлік, 2019 ж.– 9 бірлік, 2020</w:t>
            </w:r>
            <w:r w:rsidR="002540F0">
              <w:rPr>
                <w:rFonts w:ascii="Times New Roman" w:eastAsia="Times New Roman" w:hAnsi="Times New Roman" w:cs="Times New Roman"/>
                <w:kern w:val="36"/>
                <w:sz w:val="24"/>
                <w:szCs w:val="24"/>
                <w:lang w:val="kk-KZ" w:eastAsia="ru-RU"/>
              </w:rPr>
              <w:t xml:space="preserve"> </w:t>
            </w:r>
            <w:r w:rsidRPr="00D735D0">
              <w:rPr>
                <w:rFonts w:ascii="Times New Roman" w:eastAsia="Times New Roman" w:hAnsi="Times New Roman" w:cs="Times New Roman"/>
                <w:kern w:val="36"/>
                <w:sz w:val="24"/>
                <w:szCs w:val="24"/>
                <w:lang w:val="kk-KZ" w:eastAsia="ru-RU"/>
              </w:rPr>
              <w:t>ж.</w:t>
            </w:r>
            <w:r w:rsidR="002540F0">
              <w:rPr>
                <w:rFonts w:ascii="Times New Roman" w:eastAsia="Times New Roman" w:hAnsi="Times New Roman" w:cs="Times New Roman"/>
                <w:kern w:val="36"/>
                <w:sz w:val="24"/>
                <w:szCs w:val="24"/>
                <w:lang w:val="kk-KZ" w:eastAsia="ru-RU"/>
              </w:rPr>
              <w:t xml:space="preserve"> </w:t>
            </w:r>
            <w:r w:rsidRPr="00D735D0">
              <w:rPr>
                <w:rFonts w:ascii="Times New Roman" w:eastAsia="Times New Roman" w:hAnsi="Times New Roman" w:cs="Times New Roman"/>
                <w:kern w:val="36"/>
                <w:sz w:val="24"/>
                <w:szCs w:val="24"/>
                <w:lang w:val="kk-KZ" w:eastAsia="ru-RU"/>
              </w:rPr>
              <w:t xml:space="preserve">–12 бірлік, </w:t>
            </w:r>
          </w:p>
          <w:p w14:paraId="21889287" w14:textId="12A9B898"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eastAsia="Times New Roman" w:hAnsi="Times New Roman" w:cs="Times New Roman"/>
                <w:kern w:val="36"/>
                <w:sz w:val="24"/>
                <w:szCs w:val="24"/>
                <w:lang w:val="kk-KZ" w:eastAsia="ru-RU"/>
              </w:rPr>
              <w:t>2021 ж.</w:t>
            </w:r>
            <w:r w:rsidR="002540F0">
              <w:rPr>
                <w:rFonts w:ascii="Times New Roman" w:eastAsia="Times New Roman" w:hAnsi="Times New Roman" w:cs="Times New Roman"/>
                <w:kern w:val="36"/>
                <w:sz w:val="24"/>
                <w:szCs w:val="24"/>
                <w:lang w:val="kk-KZ" w:eastAsia="ru-RU"/>
              </w:rPr>
              <w:t xml:space="preserve"> </w:t>
            </w:r>
            <w:r w:rsidRPr="00D735D0">
              <w:rPr>
                <w:rFonts w:ascii="Times New Roman" w:eastAsia="Times New Roman" w:hAnsi="Times New Roman" w:cs="Times New Roman"/>
                <w:kern w:val="36"/>
                <w:sz w:val="24"/>
                <w:szCs w:val="24"/>
                <w:lang w:val="kk-KZ" w:eastAsia="ru-RU"/>
              </w:rPr>
              <w:t>–16 бірлік.</w:t>
            </w:r>
          </w:p>
        </w:tc>
        <w:tc>
          <w:tcPr>
            <w:tcW w:w="2480" w:type="dxa"/>
            <w:tcBorders>
              <w:top w:val="single" w:sz="4" w:space="0" w:color="auto"/>
              <w:left w:val="single" w:sz="4" w:space="0" w:color="auto"/>
              <w:bottom w:val="nil"/>
              <w:right w:val="single" w:sz="4" w:space="0" w:color="auto"/>
            </w:tcBorders>
            <w:hideMark/>
          </w:tcPr>
          <w:p w14:paraId="0F6A0543" w14:textId="77777777"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Агроөнеркәсіптік кешен өнімдері экспортының көлемі, млн. АҚШ доллары:</w:t>
            </w:r>
          </w:p>
          <w:p w14:paraId="799F0F74" w14:textId="77777777" w:rsidR="002540F0" w:rsidRDefault="00463D68" w:rsidP="00D735D0">
            <w:pPr>
              <w:spacing w:line="228" w:lineRule="auto"/>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 xml:space="preserve">2017 ж. – 2388,5, </w:t>
            </w:r>
          </w:p>
          <w:p w14:paraId="1201E109" w14:textId="77777777" w:rsidR="002540F0" w:rsidRDefault="00463D68" w:rsidP="00D735D0">
            <w:pPr>
              <w:spacing w:line="228" w:lineRule="auto"/>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 xml:space="preserve">2018 ж. – 2450,1, </w:t>
            </w:r>
          </w:p>
          <w:p w14:paraId="6BF886AB" w14:textId="77777777" w:rsidR="002540F0" w:rsidRDefault="00463D68" w:rsidP="00D735D0">
            <w:pPr>
              <w:spacing w:line="228" w:lineRule="auto"/>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 xml:space="preserve">2019 ж. – 2650,1, </w:t>
            </w:r>
          </w:p>
          <w:p w14:paraId="6A618C67" w14:textId="77777777" w:rsidR="002540F0" w:rsidRDefault="00463D68" w:rsidP="00D735D0">
            <w:pPr>
              <w:spacing w:line="228" w:lineRule="auto"/>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 xml:space="preserve">2020 ж. – 3135,3, </w:t>
            </w:r>
          </w:p>
          <w:p w14:paraId="71588200" w14:textId="38532FE7"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eastAsia="Times New Roman" w:hAnsi="Times New Roman" w:cs="Times New Roman"/>
                <w:kern w:val="36"/>
                <w:sz w:val="24"/>
                <w:szCs w:val="24"/>
                <w:lang w:val="kk-KZ" w:eastAsia="ru-RU"/>
              </w:rPr>
              <w:t>2021 ж. – 3900.</w:t>
            </w:r>
          </w:p>
        </w:tc>
        <w:tc>
          <w:tcPr>
            <w:tcW w:w="2317" w:type="dxa"/>
            <w:tcBorders>
              <w:top w:val="single" w:sz="4" w:space="0" w:color="auto"/>
              <w:left w:val="single" w:sz="4" w:space="0" w:color="auto"/>
              <w:bottom w:val="nil"/>
              <w:right w:val="single" w:sz="4" w:space="0" w:color="auto"/>
            </w:tcBorders>
            <w:hideMark/>
          </w:tcPr>
          <w:p w14:paraId="6B802FB6" w14:textId="6EF4EE8A" w:rsidR="00630981"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Тапсырманы шешу шаралары ретінде 2017 жылы 3 көтер</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ме тарату орталықта</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рын Алматы, Нұр-Сұлтан, Шымкент қалаларында салу жоспарланған</w:t>
            </w:r>
            <w:r w:rsidR="00D735D0">
              <w:rPr>
                <w:rFonts w:ascii="Times New Roman" w:hAnsi="Times New Roman" w:cs="Times New Roman"/>
                <w:kern w:val="36"/>
                <w:sz w:val="24"/>
                <w:szCs w:val="24"/>
                <w:lang w:val="kk-KZ" w:eastAsia="zh-CN"/>
              </w:rPr>
              <w:t>. Бұл жерде</w:t>
            </w:r>
            <w:r w:rsidRPr="00D735D0">
              <w:rPr>
                <w:rFonts w:ascii="Times New Roman" w:hAnsi="Times New Roman" w:cs="Times New Roman"/>
                <w:kern w:val="36"/>
                <w:sz w:val="24"/>
                <w:szCs w:val="24"/>
                <w:lang w:val="kk-KZ" w:eastAsia="zh-CN"/>
              </w:rPr>
              <w:t>де оларды са</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лу үшін қажет қара</w:t>
            </w:r>
            <w:r w:rsidR="00D735D0">
              <w:rPr>
                <w:rFonts w:ascii="Times New Roman" w:hAnsi="Times New Roman" w:cs="Times New Roman"/>
                <w:kern w:val="36"/>
                <w:sz w:val="24"/>
                <w:szCs w:val="24"/>
                <w:lang w:val="kk-KZ" w:eastAsia="zh-CN"/>
              </w:rPr>
              <w:t xml:space="preserve"> </w:t>
            </w:r>
            <w:r w:rsidR="002540F0" w:rsidRPr="00D735D0">
              <w:rPr>
                <w:rFonts w:ascii="Times New Roman" w:hAnsi="Times New Roman" w:cs="Times New Roman"/>
                <w:kern w:val="36"/>
                <w:sz w:val="24"/>
                <w:szCs w:val="24"/>
                <w:lang w:val="kk-KZ" w:eastAsia="zh-CN"/>
              </w:rPr>
              <w:t>жат көлемі жоспар</w:t>
            </w:r>
            <w:r w:rsidR="002540F0">
              <w:rPr>
                <w:rFonts w:ascii="Times New Roman" w:hAnsi="Times New Roman" w:cs="Times New Roman"/>
                <w:kern w:val="36"/>
                <w:sz w:val="24"/>
                <w:szCs w:val="24"/>
                <w:lang w:val="kk-KZ" w:eastAsia="zh-CN"/>
              </w:rPr>
              <w:t xml:space="preserve"> </w:t>
            </w:r>
            <w:r w:rsidR="002540F0" w:rsidRPr="00D735D0">
              <w:rPr>
                <w:rFonts w:ascii="Times New Roman" w:hAnsi="Times New Roman" w:cs="Times New Roman"/>
                <w:kern w:val="36"/>
                <w:sz w:val="24"/>
                <w:szCs w:val="24"/>
                <w:lang w:val="kk-KZ" w:eastAsia="zh-CN"/>
              </w:rPr>
              <w:t>ланбаған</w:t>
            </w:r>
          </w:p>
        </w:tc>
        <w:tc>
          <w:tcPr>
            <w:tcW w:w="2794" w:type="dxa"/>
            <w:tcBorders>
              <w:top w:val="single" w:sz="4" w:space="0" w:color="auto"/>
              <w:left w:val="single" w:sz="4" w:space="0" w:color="auto"/>
              <w:bottom w:val="nil"/>
              <w:right w:val="single" w:sz="4" w:space="0" w:color="auto"/>
            </w:tcBorders>
            <w:hideMark/>
          </w:tcPr>
          <w:p w14:paraId="2FB340BF" w14:textId="141B49A2"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Берілген редакцияда кө</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терме тарату орталық</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тарын құрудың сандық көрсеткіштері алынып тасталған, бұл осы көр</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сеткіштің орындалмауы</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нан деуге болады, және оны шешу үшін қажет қаражат көлемі де жос</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парланбаған</w:t>
            </w:r>
          </w:p>
        </w:tc>
      </w:tr>
      <w:tr w:rsidR="00463D68" w:rsidRPr="00805B3E" w14:paraId="50BE603B" w14:textId="77777777" w:rsidTr="007B64AC">
        <w:tc>
          <w:tcPr>
            <w:tcW w:w="2042" w:type="dxa"/>
            <w:tcBorders>
              <w:top w:val="single" w:sz="4" w:space="0" w:color="auto"/>
              <w:left w:val="single" w:sz="4" w:space="0" w:color="auto"/>
              <w:bottom w:val="nil"/>
              <w:right w:val="single" w:sz="4" w:space="0" w:color="auto"/>
            </w:tcBorders>
            <w:vAlign w:val="center"/>
          </w:tcPr>
          <w:p w14:paraId="0D8BB197" w14:textId="77777777" w:rsidR="00463D68" w:rsidRPr="00D735D0" w:rsidRDefault="00463D68" w:rsidP="00D735D0">
            <w:pPr>
              <w:spacing w:line="228" w:lineRule="auto"/>
              <w:rPr>
                <w:rFonts w:ascii="Times New Roman" w:hAnsi="Times New Roman" w:cs="Times New Roman"/>
                <w:kern w:val="36"/>
                <w:sz w:val="24"/>
                <w:szCs w:val="24"/>
                <w:lang w:val="kk-KZ" w:eastAsia="zh-CN"/>
              </w:rPr>
            </w:pPr>
          </w:p>
        </w:tc>
        <w:tc>
          <w:tcPr>
            <w:tcW w:w="2480" w:type="dxa"/>
            <w:tcBorders>
              <w:top w:val="single" w:sz="4" w:space="0" w:color="auto"/>
              <w:left w:val="single" w:sz="4" w:space="0" w:color="auto"/>
              <w:bottom w:val="nil"/>
              <w:right w:val="single" w:sz="4" w:space="0" w:color="auto"/>
            </w:tcBorders>
            <w:hideMark/>
          </w:tcPr>
          <w:p w14:paraId="71632657" w14:textId="77777777" w:rsidR="00630981"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«Экспорттық сақтан</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 xml:space="preserve">дыру компаниясы» «Kazakh Export» </w:t>
            </w:r>
          </w:p>
          <w:p w14:paraId="432897D1" w14:textId="5B1073F5"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АҚ-ы қаржы құрал</w:t>
            </w:r>
            <w:r w:rsidR="00630981">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дарын пайдалана отырып қолдау алған АӨК кәсіпорын</w:t>
            </w:r>
            <w:r w:rsidR="00D735D0" w:rsidRP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дарының экспорттық түсімінің көлемі, млн. АҚШ доллары:</w:t>
            </w:r>
          </w:p>
          <w:p w14:paraId="0754FBFB" w14:textId="77777777"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eastAsia="Times New Roman" w:hAnsi="Times New Roman" w:cs="Times New Roman"/>
                <w:kern w:val="36"/>
                <w:sz w:val="24"/>
                <w:szCs w:val="24"/>
                <w:lang w:val="kk-KZ" w:eastAsia="ru-RU"/>
              </w:rPr>
              <w:t xml:space="preserve">2018ж. – </w:t>
            </w:r>
            <w:r w:rsidRPr="00D735D0">
              <w:rPr>
                <w:rFonts w:ascii="Times New Roman" w:hAnsi="Times New Roman" w:cs="Times New Roman"/>
                <w:kern w:val="36"/>
                <w:sz w:val="24"/>
                <w:szCs w:val="24"/>
                <w:lang w:val="kk-KZ" w:eastAsia="zh-CN"/>
              </w:rPr>
              <w:t>26,3</w:t>
            </w:r>
            <w:r w:rsidRPr="00D735D0">
              <w:rPr>
                <w:rFonts w:ascii="Times New Roman" w:eastAsia="Times New Roman" w:hAnsi="Times New Roman" w:cs="Times New Roman"/>
                <w:kern w:val="36"/>
                <w:sz w:val="24"/>
                <w:szCs w:val="24"/>
                <w:lang w:val="kk-KZ" w:eastAsia="ru-RU"/>
              </w:rPr>
              <w:t>, 2019ж. – 15,0, 2020ж. – 29,2, 2021ж. – 36,0.</w:t>
            </w:r>
          </w:p>
        </w:tc>
        <w:tc>
          <w:tcPr>
            <w:tcW w:w="2317" w:type="dxa"/>
            <w:tcBorders>
              <w:top w:val="single" w:sz="4" w:space="0" w:color="auto"/>
              <w:left w:val="single" w:sz="4" w:space="0" w:color="auto"/>
              <w:bottom w:val="nil"/>
              <w:right w:val="single" w:sz="4" w:space="0" w:color="auto"/>
            </w:tcBorders>
            <w:hideMark/>
          </w:tcPr>
          <w:p w14:paraId="6253717F" w14:textId="4FD9BB58" w:rsidR="00463D68" w:rsidRPr="00D735D0" w:rsidRDefault="00463D68" w:rsidP="00D735D0">
            <w:pPr>
              <w:spacing w:line="228" w:lineRule="auto"/>
              <w:rPr>
                <w:rFonts w:ascii="Times New Roman" w:hAnsi="Times New Roman" w:cs="Times New Roman"/>
                <w:kern w:val="36"/>
                <w:sz w:val="24"/>
                <w:szCs w:val="24"/>
                <w:lang w:val="kk-KZ" w:eastAsia="zh-CN"/>
              </w:rPr>
            </w:pPr>
          </w:p>
        </w:tc>
        <w:tc>
          <w:tcPr>
            <w:tcW w:w="2794" w:type="dxa"/>
            <w:tcBorders>
              <w:top w:val="single" w:sz="4" w:space="0" w:color="auto"/>
              <w:left w:val="single" w:sz="4" w:space="0" w:color="auto"/>
              <w:bottom w:val="nil"/>
              <w:right w:val="single" w:sz="4" w:space="0" w:color="auto"/>
            </w:tcBorders>
            <w:hideMark/>
          </w:tcPr>
          <w:p w14:paraId="36360083" w14:textId="75E477FB" w:rsidR="00463D68" w:rsidRPr="00D735D0" w:rsidRDefault="00463D68" w:rsidP="00D735D0">
            <w:pPr>
              <w:spacing w:line="228" w:lineRule="auto"/>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АӨК өнімдерімен элект</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рондық сауда жүйесін құру, сонымен қатар Бағдарламаның 5.2 бөлі</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мінде аграрлық қолхат енгізу қарастырылған болатын, аталған шара</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лар жаңа құралдар бол</w:t>
            </w:r>
            <w:r w:rsid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ғандықтан оларды іске асыру мерзімі ұзаққа созылуы мүмкін</w:t>
            </w:r>
          </w:p>
        </w:tc>
      </w:tr>
      <w:tr w:rsidR="00463D68" w:rsidRPr="00805B3E" w14:paraId="146FFDEC" w14:textId="77777777" w:rsidTr="007B64AC">
        <w:tc>
          <w:tcPr>
            <w:tcW w:w="2042" w:type="dxa"/>
            <w:tcBorders>
              <w:top w:val="single" w:sz="4" w:space="0" w:color="auto"/>
              <w:left w:val="single" w:sz="4" w:space="0" w:color="auto"/>
              <w:bottom w:val="single" w:sz="4" w:space="0" w:color="auto"/>
              <w:right w:val="single" w:sz="4" w:space="0" w:color="auto"/>
            </w:tcBorders>
            <w:vAlign w:val="center"/>
            <w:hideMark/>
          </w:tcPr>
          <w:p w14:paraId="3BBD85EE" w14:textId="77777777" w:rsidR="00463D68" w:rsidRPr="00D735D0" w:rsidRDefault="00463D68" w:rsidP="00457CE9">
            <w:pPr>
              <w:widowControl w:val="0"/>
              <w:rPr>
                <w:rFonts w:ascii="Times New Roman" w:hAnsi="Times New Roman" w:cs="Times New Roman"/>
                <w:kern w:val="36"/>
                <w:sz w:val="24"/>
                <w:szCs w:val="24"/>
                <w:lang w:val="kk-KZ" w:eastAsia="zh-CN"/>
              </w:rPr>
            </w:pPr>
          </w:p>
        </w:tc>
        <w:tc>
          <w:tcPr>
            <w:tcW w:w="2480" w:type="dxa"/>
            <w:tcBorders>
              <w:top w:val="single" w:sz="4" w:space="0" w:color="auto"/>
              <w:left w:val="single" w:sz="4" w:space="0" w:color="auto"/>
              <w:bottom w:val="single" w:sz="4" w:space="0" w:color="auto"/>
              <w:right w:val="single" w:sz="4" w:space="0" w:color="auto"/>
            </w:tcBorders>
            <w:hideMark/>
          </w:tcPr>
          <w:p w14:paraId="6B6BB309" w14:textId="77777777" w:rsidR="00630981" w:rsidRDefault="00463D68" w:rsidP="00457CE9">
            <w:pPr>
              <w:widowControl w:val="0"/>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Тұқымдық түрленді</w:t>
            </w:r>
            <w:r w:rsidR="00D735D0" w:rsidRPr="00D735D0">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 xml:space="preserve">румен қамтылған ІҚМ аналық басының үлесі: </w:t>
            </w:r>
          </w:p>
          <w:p w14:paraId="1819DAA9" w14:textId="5FA9747D" w:rsidR="00630981" w:rsidRDefault="00463D68" w:rsidP="00457CE9">
            <w:pPr>
              <w:widowControl w:val="0"/>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2017 ж. – 24,7%</w:t>
            </w:r>
            <w:r w:rsidR="00630981">
              <w:rPr>
                <w:rFonts w:ascii="Times New Roman" w:eastAsia="Times New Roman" w:hAnsi="Times New Roman" w:cs="Times New Roman"/>
                <w:kern w:val="36"/>
                <w:sz w:val="24"/>
                <w:szCs w:val="24"/>
                <w:lang w:val="kk-KZ" w:eastAsia="ru-RU"/>
              </w:rPr>
              <w:t>.</w:t>
            </w:r>
          </w:p>
          <w:p w14:paraId="0C7D903B" w14:textId="6BD8B5D4" w:rsidR="00630981" w:rsidRDefault="00463D68" w:rsidP="00457CE9">
            <w:pPr>
              <w:widowControl w:val="0"/>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2018 ж. – 29,5%</w:t>
            </w:r>
            <w:r w:rsidR="00630981">
              <w:rPr>
                <w:rFonts w:ascii="Times New Roman" w:eastAsia="Times New Roman" w:hAnsi="Times New Roman" w:cs="Times New Roman"/>
                <w:kern w:val="36"/>
                <w:sz w:val="24"/>
                <w:szCs w:val="24"/>
                <w:lang w:val="kk-KZ" w:eastAsia="ru-RU"/>
              </w:rPr>
              <w:t>.</w:t>
            </w:r>
            <w:r w:rsidRPr="00D735D0">
              <w:rPr>
                <w:rFonts w:ascii="Times New Roman" w:eastAsia="Times New Roman" w:hAnsi="Times New Roman" w:cs="Times New Roman"/>
                <w:kern w:val="36"/>
                <w:sz w:val="24"/>
                <w:szCs w:val="24"/>
                <w:lang w:val="kk-KZ" w:eastAsia="ru-RU"/>
              </w:rPr>
              <w:t xml:space="preserve"> </w:t>
            </w:r>
          </w:p>
          <w:p w14:paraId="75E06F1E" w14:textId="53920FB6" w:rsidR="00630981" w:rsidRDefault="00463D68" w:rsidP="00457CE9">
            <w:pPr>
              <w:widowControl w:val="0"/>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2019 ж. – 33,4%</w:t>
            </w:r>
            <w:r w:rsidR="00630981">
              <w:rPr>
                <w:rFonts w:ascii="Times New Roman" w:eastAsia="Times New Roman" w:hAnsi="Times New Roman" w:cs="Times New Roman"/>
                <w:kern w:val="36"/>
                <w:sz w:val="24"/>
                <w:szCs w:val="24"/>
                <w:lang w:val="kk-KZ" w:eastAsia="ru-RU"/>
              </w:rPr>
              <w:t>.</w:t>
            </w:r>
            <w:r w:rsidRPr="00D735D0">
              <w:rPr>
                <w:rFonts w:ascii="Times New Roman" w:eastAsia="Times New Roman" w:hAnsi="Times New Roman" w:cs="Times New Roman"/>
                <w:kern w:val="36"/>
                <w:sz w:val="24"/>
                <w:szCs w:val="24"/>
                <w:lang w:val="kk-KZ" w:eastAsia="ru-RU"/>
              </w:rPr>
              <w:t xml:space="preserve"> </w:t>
            </w:r>
          </w:p>
          <w:p w14:paraId="191CA4DF" w14:textId="10C9568F" w:rsidR="00630981" w:rsidRDefault="00463D68" w:rsidP="00457CE9">
            <w:pPr>
              <w:widowControl w:val="0"/>
              <w:textAlignment w:val="baseline"/>
              <w:outlineLvl w:val="0"/>
              <w:rPr>
                <w:rFonts w:ascii="Times New Roman" w:eastAsia="Times New Roman" w:hAnsi="Times New Roman" w:cs="Times New Roman"/>
                <w:kern w:val="36"/>
                <w:sz w:val="24"/>
                <w:szCs w:val="24"/>
                <w:lang w:val="kk-KZ" w:eastAsia="ru-RU"/>
              </w:rPr>
            </w:pPr>
            <w:r w:rsidRPr="00D735D0">
              <w:rPr>
                <w:rFonts w:ascii="Times New Roman" w:eastAsia="Times New Roman" w:hAnsi="Times New Roman" w:cs="Times New Roman"/>
                <w:kern w:val="36"/>
                <w:sz w:val="24"/>
                <w:szCs w:val="24"/>
                <w:lang w:val="kk-KZ" w:eastAsia="ru-RU"/>
              </w:rPr>
              <w:t>2020 ж. – 37,3%</w:t>
            </w:r>
            <w:r w:rsidR="00630981">
              <w:rPr>
                <w:rFonts w:ascii="Times New Roman" w:eastAsia="Times New Roman" w:hAnsi="Times New Roman" w:cs="Times New Roman"/>
                <w:kern w:val="36"/>
                <w:sz w:val="24"/>
                <w:szCs w:val="24"/>
                <w:lang w:val="kk-KZ" w:eastAsia="ru-RU"/>
              </w:rPr>
              <w:t>.</w:t>
            </w:r>
            <w:r w:rsidRPr="00D735D0">
              <w:rPr>
                <w:rFonts w:ascii="Times New Roman" w:eastAsia="Times New Roman" w:hAnsi="Times New Roman" w:cs="Times New Roman"/>
                <w:kern w:val="36"/>
                <w:sz w:val="24"/>
                <w:szCs w:val="24"/>
                <w:lang w:val="kk-KZ" w:eastAsia="ru-RU"/>
              </w:rPr>
              <w:t xml:space="preserve"> </w:t>
            </w:r>
          </w:p>
          <w:p w14:paraId="70C7DB24" w14:textId="05321C4E" w:rsidR="00463D68" w:rsidRPr="00D735D0" w:rsidRDefault="00630981" w:rsidP="00457CE9">
            <w:pPr>
              <w:widowControl w:val="0"/>
              <w:textAlignment w:val="baseline"/>
              <w:outlineLvl w:val="0"/>
              <w:rPr>
                <w:rFonts w:ascii="Times New Roman" w:hAnsi="Times New Roman" w:cs="Times New Roman"/>
                <w:kern w:val="36"/>
                <w:sz w:val="24"/>
                <w:szCs w:val="24"/>
                <w:lang w:val="kk-KZ" w:eastAsia="zh-CN"/>
              </w:rPr>
            </w:pPr>
            <w:r>
              <w:rPr>
                <w:rFonts w:ascii="Times New Roman" w:eastAsia="Times New Roman" w:hAnsi="Times New Roman" w:cs="Times New Roman"/>
                <w:kern w:val="36"/>
                <w:sz w:val="24"/>
                <w:szCs w:val="24"/>
                <w:lang w:val="kk-KZ" w:eastAsia="ru-RU"/>
              </w:rPr>
              <w:t>2021 ж. – 41,1%</w:t>
            </w:r>
          </w:p>
        </w:tc>
        <w:tc>
          <w:tcPr>
            <w:tcW w:w="2317" w:type="dxa"/>
            <w:tcBorders>
              <w:top w:val="single" w:sz="4" w:space="0" w:color="auto"/>
              <w:left w:val="single" w:sz="4" w:space="0" w:color="auto"/>
              <w:bottom w:val="single" w:sz="4" w:space="0" w:color="auto"/>
              <w:right w:val="single" w:sz="4" w:space="0" w:color="auto"/>
            </w:tcBorders>
            <w:hideMark/>
          </w:tcPr>
          <w:p w14:paraId="3E2EF28F" w14:textId="77777777" w:rsidR="00463D68" w:rsidRPr="00D735D0" w:rsidRDefault="00463D68" w:rsidP="00457CE9">
            <w:pPr>
              <w:widowControl w:val="0"/>
              <w:rPr>
                <w:rFonts w:ascii="Times New Roman" w:hAnsi="Times New Roman" w:cs="Times New Roman"/>
                <w:kern w:val="36"/>
                <w:sz w:val="24"/>
                <w:szCs w:val="24"/>
                <w:lang w:val="kk-KZ" w:eastAsia="zh-CN"/>
              </w:rPr>
            </w:pPr>
          </w:p>
        </w:tc>
        <w:tc>
          <w:tcPr>
            <w:tcW w:w="2794" w:type="dxa"/>
            <w:tcBorders>
              <w:top w:val="single" w:sz="4" w:space="0" w:color="auto"/>
              <w:left w:val="single" w:sz="4" w:space="0" w:color="auto"/>
              <w:bottom w:val="single" w:sz="4" w:space="0" w:color="auto"/>
              <w:right w:val="single" w:sz="4" w:space="0" w:color="auto"/>
            </w:tcBorders>
            <w:hideMark/>
          </w:tcPr>
          <w:p w14:paraId="2A1C22CE" w14:textId="58DBD7DC" w:rsidR="00463D68" w:rsidRPr="00D735D0" w:rsidRDefault="00463D68" w:rsidP="00457CE9">
            <w:pPr>
              <w:widowControl w:val="0"/>
              <w:textAlignment w:val="baseline"/>
              <w:outlineLvl w:val="0"/>
              <w:rPr>
                <w:rFonts w:ascii="Times New Roman" w:hAnsi="Times New Roman" w:cs="Times New Roman"/>
                <w:kern w:val="36"/>
                <w:sz w:val="24"/>
                <w:szCs w:val="24"/>
                <w:lang w:val="kk-KZ" w:eastAsia="zh-CN"/>
              </w:rPr>
            </w:pPr>
            <w:r w:rsidRPr="00D735D0">
              <w:rPr>
                <w:rFonts w:ascii="Times New Roman" w:hAnsi="Times New Roman" w:cs="Times New Roman"/>
                <w:kern w:val="36"/>
                <w:sz w:val="24"/>
                <w:szCs w:val="24"/>
                <w:lang w:val="kk-KZ" w:eastAsia="zh-CN"/>
              </w:rPr>
              <w:t>Нәтижелі көрсеткішке жету шаралары қарасты</w:t>
            </w:r>
            <w:r w:rsidR="00630981">
              <w:rPr>
                <w:rFonts w:ascii="Times New Roman" w:hAnsi="Times New Roman" w:cs="Times New Roman"/>
                <w:kern w:val="36"/>
                <w:sz w:val="24"/>
                <w:szCs w:val="24"/>
                <w:lang w:val="kk-KZ" w:eastAsia="zh-CN"/>
              </w:rPr>
              <w:t xml:space="preserve"> </w:t>
            </w:r>
            <w:r w:rsidRPr="00D735D0">
              <w:rPr>
                <w:rFonts w:ascii="Times New Roman" w:hAnsi="Times New Roman" w:cs="Times New Roman"/>
                <w:kern w:val="36"/>
                <w:sz w:val="24"/>
                <w:szCs w:val="24"/>
                <w:lang w:val="kk-KZ" w:eastAsia="zh-CN"/>
              </w:rPr>
              <w:t xml:space="preserve">рылмаған </w:t>
            </w:r>
          </w:p>
        </w:tc>
      </w:tr>
      <w:tr w:rsidR="004177EC" w:rsidRPr="00D735D0" w14:paraId="1D7F5BFF" w14:textId="77777777" w:rsidTr="007B64AC">
        <w:tc>
          <w:tcPr>
            <w:tcW w:w="9633" w:type="dxa"/>
            <w:gridSpan w:val="4"/>
            <w:tcBorders>
              <w:top w:val="single" w:sz="4" w:space="0" w:color="auto"/>
              <w:left w:val="single" w:sz="4" w:space="0" w:color="auto"/>
              <w:bottom w:val="single" w:sz="4" w:space="0" w:color="auto"/>
              <w:right w:val="single" w:sz="4" w:space="0" w:color="auto"/>
            </w:tcBorders>
            <w:vAlign w:val="center"/>
            <w:hideMark/>
          </w:tcPr>
          <w:p w14:paraId="276D0C58" w14:textId="051AE715" w:rsidR="004177EC" w:rsidRPr="00D735D0" w:rsidRDefault="00463D68" w:rsidP="00463D68">
            <w:pPr>
              <w:widowControl w:val="0"/>
              <w:ind w:firstLine="567"/>
              <w:textAlignment w:val="baseline"/>
              <w:outlineLvl w:val="0"/>
              <w:rPr>
                <w:rFonts w:ascii="Times New Roman" w:hAnsi="Times New Roman" w:cs="Times New Roman"/>
                <w:kern w:val="36"/>
                <w:sz w:val="24"/>
                <w:szCs w:val="24"/>
                <w:lang w:val="kk-KZ" w:eastAsia="zh-CN"/>
              </w:rPr>
            </w:pPr>
            <w:r w:rsidRPr="00D735D0">
              <w:rPr>
                <w:rFonts w:ascii="Times New Roman" w:eastAsia="Calibri" w:hAnsi="Times New Roman" w:cs="Times New Roman"/>
                <w:sz w:val="24"/>
                <w:szCs w:val="24"/>
                <w:lang w:val="kk-KZ"/>
              </w:rPr>
              <w:t>Ескерту –</w:t>
            </w:r>
            <w:r w:rsidRPr="00D735D0">
              <w:rPr>
                <w:rFonts w:ascii="Times New Roman" w:eastAsia="Calibri" w:hAnsi="Times New Roman" w:cs="Times New Roman"/>
                <w:bCs/>
                <w:sz w:val="24"/>
                <w:szCs w:val="24"/>
                <w:lang w:val="kk-KZ"/>
              </w:rPr>
              <w:t xml:space="preserve"> Әдебиет негізінде құралған</w:t>
            </w:r>
            <w:r w:rsidR="004177EC" w:rsidRPr="00D735D0">
              <w:rPr>
                <w:rFonts w:ascii="Times New Roman" w:hAnsi="Times New Roman" w:cs="Times New Roman"/>
                <w:kern w:val="36"/>
                <w:sz w:val="24"/>
                <w:szCs w:val="24"/>
                <w:lang w:val="kk-KZ" w:eastAsia="zh-CN"/>
              </w:rPr>
              <w:t xml:space="preserve"> </w:t>
            </w:r>
            <w:r w:rsidR="00B004CF" w:rsidRPr="00D735D0">
              <w:rPr>
                <w:rFonts w:ascii="Times New Roman" w:hAnsi="Times New Roman" w:cs="Times New Roman"/>
                <w:kern w:val="36"/>
                <w:sz w:val="24"/>
                <w:szCs w:val="24"/>
                <w:lang w:val="kk-KZ" w:eastAsia="zh-CN"/>
              </w:rPr>
              <w:t>[</w:t>
            </w:r>
            <w:r w:rsidR="003D4F30">
              <w:rPr>
                <w:rFonts w:ascii="Times New Roman" w:hAnsi="Times New Roman" w:cs="Times New Roman"/>
                <w:kern w:val="36"/>
                <w:sz w:val="24"/>
                <w:szCs w:val="24"/>
                <w:lang w:val="kk-KZ" w:eastAsia="zh-CN"/>
              </w:rPr>
              <w:t>5</w:t>
            </w:r>
            <w:r w:rsidR="00AA4EAE">
              <w:rPr>
                <w:rFonts w:ascii="Times New Roman" w:hAnsi="Times New Roman" w:cs="Times New Roman"/>
                <w:kern w:val="36"/>
                <w:sz w:val="24"/>
                <w:szCs w:val="24"/>
                <w:lang w:val="en-US" w:eastAsia="zh-CN"/>
              </w:rPr>
              <w:t>2</w:t>
            </w:r>
            <w:r w:rsidR="003D4F30">
              <w:rPr>
                <w:rFonts w:ascii="Times New Roman" w:hAnsi="Times New Roman" w:cs="Times New Roman"/>
                <w:kern w:val="36"/>
                <w:sz w:val="24"/>
                <w:szCs w:val="24"/>
                <w:lang w:val="kk-KZ" w:eastAsia="zh-CN"/>
              </w:rPr>
              <w:t>, 6</w:t>
            </w:r>
            <w:r w:rsidR="004330E8">
              <w:rPr>
                <w:rFonts w:ascii="Times New Roman" w:hAnsi="Times New Roman" w:cs="Times New Roman"/>
                <w:kern w:val="36"/>
                <w:sz w:val="24"/>
                <w:szCs w:val="24"/>
                <w:lang w:val="kk-KZ" w:eastAsia="zh-CN"/>
              </w:rPr>
              <w:t>2</w:t>
            </w:r>
            <w:r w:rsidR="00B004CF" w:rsidRPr="00D735D0">
              <w:rPr>
                <w:rFonts w:ascii="Times New Roman" w:hAnsi="Times New Roman" w:cs="Times New Roman"/>
                <w:kern w:val="36"/>
                <w:sz w:val="24"/>
                <w:szCs w:val="24"/>
                <w:lang w:val="kk-KZ" w:eastAsia="zh-CN"/>
              </w:rPr>
              <w:t xml:space="preserve">] </w:t>
            </w:r>
          </w:p>
        </w:tc>
      </w:tr>
    </w:tbl>
    <w:p w14:paraId="5453CDEF" w14:textId="77777777" w:rsidR="00E36A26" w:rsidRPr="00BF04D1" w:rsidRDefault="00E36A26" w:rsidP="00BF04D1">
      <w:pPr>
        <w:widowControl w:val="0"/>
        <w:spacing w:after="0" w:line="240" w:lineRule="auto"/>
        <w:ind w:firstLine="709"/>
        <w:jc w:val="both"/>
        <w:textAlignment w:val="baseline"/>
        <w:outlineLvl w:val="0"/>
        <w:rPr>
          <w:rFonts w:ascii="Times New Roman" w:hAnsi="Times New Roman" w:cs="Times New Roman"/>
          <w:kern w:val="36"/>
          <w:sz w:val="16"/>
          <w:szCs w:val="16"/>
          <w:lang w:val="kk-KZ" w:eastAsia="zh-CN"/>
        </w:rPr>
      </w:pPr>
    </w:p>
    <w:p w14:paraId="3BDE4A03" w14:textId="04F5008C" w:rsidR="004177EC" w:rsidRPr="00457CE9" w:rsidRDefault="00310871" w:rsidP="00BF04D1">
      <w:pPr>
        <w:widowControl w:val="0"/>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2018 жылы бекітілген редакциядағы Бағдарламаның </w:t>
      </w:r>
      <w:r w:rsidR="003C56BE" w:rsidRPr="00457CE9">
        <w:rPr>
          <w:rFonts w:ascii="Times New Roman" w:hAnsi="Times New Roman" w:cs="Times New Roman"/>
          <w:kern w:val="36"/>
          <w:sz w:val="28"/>
          <w:szCs w:val="28"/>
          <w:lang w:val="kk-KZ" w:eastAsia="zh-CN"/>
        </w:rPr>
        <w:t>«</w:t>
      </w:r>
      <w:r w:rsidRPr="00457CE9">
        <w:rPr>
          <w:rFonts w:ascii="Times New Roman" w:eastAsia="Times New Roman" w:hAnsi="Times New Roman" w:cs="Times New Roman"/>
          <w:kern w:val="36"/>
          <w:sz w:val="28"/>
          <w:szCs w:val="28"/>
          <w:lang w:val="kk-KZ" w:eastAsia="ru-RU"/>
        </w:rPr>
        <w:t>4.6.Аграрлық ғылымды, технологиялар трансфертін және АӨК субъектілері құзыретінің деңгейін дамытуды қамтамасыз ету</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r w:rsidR="000D171F"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eastAsia="Times New Roman" w:hAnsi="Times New Roman" w:cs="Times New Roman"/>
          <w:kern w:val="36"/>
          <w:sz w:val="28"/>
          <w:szCs w:val="28"/>
          <w:lang w:val="kk-KZ" w:eastAsia="ru-RU"/>
        </w:rPr>
        <w:t xml:space="preserve"> бойынша өзекті мәселелері ретінде </w:t>
      </w:r>
      <w:r w:rsidRPr="00457CE9">
        <w:rPr>
          <w:rFonts w:ascii="Times New Roman" w:eastAsiaTheme="minorEastAsia" w:hAnsi="Times New Roman" w:cs="Times New Roman"/>
          <w:kern w:val="36"/>
          <w:sz w:val="28"/>
          <w:szCs w:val="28"/>
          <w:lang w:val="kk-KZ" w:eastAsia="zh-CN"/>
        </w:rPr>
        <w:t>2017 жылы бекітілген редакцияда келесідей аталып өткен:</w:t>
      </w:r>
      <w:r w:rsidRPr="00457CE9">
        <w:rPr>
          <w:rFonts w:ascii="Times New Roman" w:hAnsi="Times New Roman" w:cs="Times New Roman"/>
          <w:kern w:val="36"/>
          <w:sz w:val="28"/>
          <w:szCs w:val="28"/>
          <w:lang w:val="kk-KZ" w:eastAsia="zh-CN"/>
        </w:rPr>
        <w:t xml:space="preserve"> тиімді шетелдік технологиялар трансфері жекелеген инвестициялық жобалар шеңберінде жүзеге асырылады. </w:t>
      </w:r>
      <w:r w:rsidR="004177EC" w:rsidRPr="00457CE9">
        <w:rPr>
          <w:rFonts w:ascii="Times New Roman" w:hAnsi="Times New Roman" w:cs="Times New Roman"/>
          <w:kern w:val="36"/>
          <w:sz w:val="28"/>
          <w:szCs w:val="28"/>
          <w:lang w:val="kk-KZ" w:eastAsia="zh-CN"/>
        </w:rPr>
        <w:t xml:space="preserve">Дегенмен Бағдарламада осы орайда да өзгерістер бар екендігін </w:t>
      </w:r>
      <w:r w:rsidR="005B6DA2" w:rsidRPr="00457CE9">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1</w:t>
      </w:r>
      <w:r w:rsidR="00CA7758" w:rsidRPr="00457CE9">
        <w:rPr>
          <w:rFonts w:ascii="Times New Roman" w:hAnsi="Times New Roman" w:cs="Times New Roman"/>
          <w:kern w:val="36"/>
          <w:sz w:val="28"/>
          <w:szCs w:val="28"/>
          <w:lang w:val="kk-KZ" w:eastAsia="zh-CN"/>
        </w:rPr>
        <w:t>-</w:t>
      </w:r>
      <w:r w:rsidR="004177EC" w:rsidRPr="00457CE9">
        <w:rPr>
          <w:rFonts w:ascii="Times New Roman" w:hAnsi="Times New Roman" w:cs="Times New Roman"/>
          <w:kern w:val="36"/>
          <w:sz w:val="28"/>
          <w:szCs w:val="28"/>
          <w:lang w:val="kk-KZ" w:eastAsia="zh-CN"/>
        </w:rPr>
        <w:t>кестеден көруге болады.</w:t>
      </w:r>
    </w:p>
    <w:p w14:paraId="38D99BC7" w14:textId="60C0F0BA" w:rsidR="004177EC" w:rsidRDefault="004177EC" w:rsidP="00457CE9">
      <w:pPr>
        <w:spacing w:after="0" w:line="240" w:lineRule="auto"/>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Кесте </w:t>
      </w:r>
      <w:r w:rsidR="005B6DA2" w:rsidRPr="00457CE9">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1</w:t>
      </w:r>
      <w:r w:rsidR="00441955">
        <w:rPr>
          <w:rFonts w:ascii="Times New Roman" w:hAnsi="Times New Roman" w:cs="Times New Roman"/>
          <w:kern w:val="36"/>
          <w:sz w:val="28"/>
          <w:szCs w:val="28"/>
          <w:lang w:val="kk-KZ" w:eastAsia="zh-CN"/>
        </w:rPr>
        <w:t xml:space="preserve"> </w:t>
      </w:r>
      <w:r w:rsidR="00CA7758"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r w:rsidRPr="00457CE9">
        <w:rPr>
          <w:rFonts w:ascii="Times New Roman" w:eastAsia="Times New Roman" w:hAnsi="Times New Roman" w:cs="Times New Roman"/>
          <w:kern w:val="36"/>
          <w:sz w:val="28"/>
          <w:szCs w:val="28"/>
          <w:lang w:val="kk-KZ" w:eastAsia="ru-RU"/>
        </w:rPr>
        <w:t>4.6.Аграрлық ғылымды, технологиялар трансфертін және АӨК субъектілері құзыретінің деңгейін дамытуды қамтамасыз ету</w:t>
      </w:r>
      <w:r w:rsidRPr="00457CE9">
        <w:rPr>
          <w:rFonts w:ascii="Times New Roman" w:hAnsi="Times New Roman" w:cs="Times New Roman"/>
          <w:kern w:val="36"/>
          <w:sz w:val="28"/>
          <w:szCs w:val="28"/>
          <w:lang w:val="kk-KZ" w:eastAsia="zh-CN"/>
        </w:rPr>
        <w:t xml:space="preserve">» / «4.8. АӨК ғылыми-технологиялық, кадрлық және ақпараттық-маркетингтік қамтамасыз ету» </w:t>
      </w:r>
      <w:r w:rsidRPr="00457CE9">
        <w:rPr>
          <w:rFonts w:ascii="Times New Roman" w:eastAsia="Times New Roman" w:hAnsi="Times New Roman" w:cs="Times New Roman"/>
          <w:kern w:val="36"/>
          <w:sz w:val="28"/>
          <w:szCs w:val="28"/>
          <w:lang w:val="kk-KZ" w:eastAsia="ru-RU"/>
        </w:rPr>
        <w:t xml:space="preserve">нысаналы индикаторы </w:t>
      </w:r>
      <w:r w:rsidRPr="00457CE9">
        <w:rPr>
          <w:rFonts w:ascii="Times New Roman" w:hAnsi="Times New Roman" w:cs="Times New Roman"/>
          <w:kern w:val="36"/>
          <w:sz w:val="28"/>
          <w:szCs w:val="28"/>
          <w:lang w:val="kk-KZ" w:eastAsia="zh-CN"/>
        </w:rPr>
        <w:t>бойынша бекітілген нәтижелі көрсеткіштер мен шешу шаралар жоспарының өзгерісі</w:t>
      </w:r>
    </w:p>
    <w:p w14:paraId="54794232" w14:textId="77777777" w:rsidR="00441955" w:rsidRPr="00441955" w:rsidRDefault="00441955" w:rsidP="00457CE9">
      <w:pPr>
        <w:spacing w:after="0" w:line="240" w:lineRule="auto"/>
        <w:jc w:val="both"/>
        <w:textAlignment w:val="baseline"/>
        <w:outlineLvl w:val="0"/>
        <w:rPr>
          <w:rFonts w:ascii="Times New Roman" w:hAnsi="Times New Roman" w:cs="Times New Roman"/>
          <w:kern w:val="36"/>
          <w:sz w:val="16"/>
          <w:szCs w:val="16"/>
          <w:lang w:val="kk-KZ" w:eastAsia="zh-CN"/>
        </w:rPr>
      </w:pPr>
    </w:p>
    <w:tbl>
      <w:tblPr>
        <w:tblStyle w:val="a3"/>
        <w:tblW w:w="0" w:type="auto"/>
        <w:tblInd w:w="-5" w:type="dxa"/>
        <w:tblLook w:val="04A0" w:firstRow="1" w:lastRow="0" w:firstColumn="1" w:lastColumn="0" w:noHBand="0" w:noVBand="1"/>
      </w:tblPr>
      <w:tblGrid>
        <w:gridCol w:w="2384"/>
        <w:gridCol w:w="2227"/>
        <w:gridCol w:w="2530"/>
        <w:gridCol w:w="2487"/>
      </w:tblGrid>
      <w:tr w:rsidR="00441955" w:rsidRPr="00441955" w14:paraId="432FF3C1" w14:textId="77777777" w:rsidTr="00023296">
        <w:trPr>
          <w:trHeight w:val="92"/>
        </w:trPr>
        <w:tc>
          <w:tcPr>
            <w:tcW w:w="4611" w:type="dxa"/>
            <w:gridSpan w:val="2"/>
          </w:tcPr>
          <w:p w14:paraId="26665C66" w14:textId="6BB1526E" w:rsidR="00441955" w:rsidRPr="00441955" w:rsidRDefault="00441955" w:rsidP="00441955">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Нәтижелі көрсеткіштер</w:t>
            </w:r>
          </w:p>
        </w:tc>
        <w:tc>
          <w:tcPr>
            <w:tcW w:w="5017" w:type="dxa"/>
            <w:gridSpan w:val="2"/>
          </w:tcPr>
          <w:p w14:paraId="7D871B51" w14:textId="38266B1F" w:rsidR="00441955" w:rsidRPr="00441955" w:rsidRDefault="00441955" w:rsidP="00441955">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Шешу шаралары</w:t>
            </w:r>
          </w:p>
        </w:tc>
      </w:tr>
      <w:tr w:rsidR="00441955" w:rsidRPr="00441955" w14:paraId="514D522C" w14:textId="77777777" w:rsidTr="00023296">
        <w:tc>
          <w:tcPr>
            <w:tcW w:w="2384" w:type="dxa"/>
            <w:vAlign w:val="center"/>
          </w:tcPr>
          <w:p w14:paraId="1DDFDE63" w14:textId="13559E46" w:rsidR="00441955" w:rsidRPr="00441955" w:rsidRDefault="00441955" w:rsidP="00D735D0">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14</w:t>
            </w:r>
            <w:r w:rsidRPr="00441955">
              <w:rPr>
                <w:rFonts w:ascii="Times New Roman" w:hAnsi="Times New Roman" w:cs="Times New Roman"/>
                <w:kern w:val="36"/>
                <w:sz w:val="24"/>
                <w:szCs w:val="24"/>
                <w:lang w:eastAsia="zh-CN"/>
              </w:rPr>
              <w:t>.02.2017 ж. редак</w:t>
            </w:r>
            <w:r w:rsidR="00D735D0">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eastAsia="zh-CN"/>
              </w:rPr>
              <w:t>циясы (алынып тасталды)</w:t>
            </w:r>
          </w:p>
        </w:tc>
        <w:tc>
          <w:tcPr>
            <w:tcW w:w="2227" w:type="dxa"/>
            <w:vAlign w:val="center"/>
          </w:tcPr>
          <w:p w14:paraId="30634792" w14:textId="6180A977" w:rsidR="00441955" w:rsidRPr="00441955" w:rsidRDefault="00441955" w:rsidP="00D735D0">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12.07.2018</w:t>
            </w:r>
            <w:r w:rsidR="00D735D0">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ж. редак</w:t>
            </w:r>
            <w:r w:rsidR="00D735D0">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ция (қосылған көрсеткіштер)</w:t>
            </w:r>
          </w:p>
        </w:tc>
        <w:tc>
          <w:tcPr>
            <w:tcW w:w="2530" w:type="dxa"/>
            <w:vAlign w:val="center"/>
          </w:tcPr>
          <w:p w14:paraId="6BBD6A14" w14:textId="1FF21798" w:rsidR="00441955" w:rsidRPr="00441955" w:rsidRDefault="00441955" w:rsidP="00D735D0">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14</w:t>
            </w:r>
            <w:r w:rsidRPr="00441955">
              <w:rPr>
                <w:rFonts w:ascii="Times New Roman" w:hAnsi="Times New Roman" w:cs="Times New Roman"/>
                <w:kern w:val="36"/>
                <w:sz w:val="24"/>
                <w:szCs w:val="24"/>
                <w:lang w:eastAsia="zh-CN"/>
              </w:rPr>
              <w:t>.02.2017 ж. редак</w:t>
            </w:r>
            <w:r w:rsidR="00D735D0">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eastAsia="zh-CN"/>
              </w:rPr>
              <w:t>циясы (алынып тасталды)</w:t>
            </w:r>
          </w:p>
        </w:tc>
        <w:tc>
          <w:tcPr>
            <w:tcW w:w="2487" w:type="dxa"/>
            <w:vAlign w:val="center"/>
          </w:tcPr>
          <w:p w14:paraId="5C9B6A63" w14:textId="4B7AD8E5" w:rsidR="00441955" w:rsidRPr="00441955" w:rsidRDefault="00441955" w:rsidP="00D735D0">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12.07.2018</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ж. редакция (қосылған көрсеткіштер)</w:t>
            </w:r>
          </w:p>
        </w:tc>
      </w:tr>
      <w:tr w:rsidR="00D735D0" w:rsidRPr="00441955" w14:paraId="79FBCC62" w14:textId="77777777" w:rsidTr="00023296">
        <w:tc>
          <w:tcPr>
            <w:tcW w:w="2384" w:type="dxa"/>
            <w:tcBorders>
              <w:bottom w:val="single" w:sz="4" w:space="0" w:color="auto"/>
            </w:tcBorders>
            <w:vAlign w:val="center"/>
          </w:tcPr>
          <w:p w14:paraId="1EAE3280" w14:textId="4BDCC8F5" w:rsidR="00D735D0" w:rsidRPr="00441955" w:rsidRDefault="00D735D0" w:rsidP="00D735D0">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1</w:t>
            </w:r>
          </w:p>
        </w:tc>
        <w:tc>
          <w:tcPr>
            <w:tcW w:w="2227" w:type="dxa"/>
            <w:tcBorders>
              <w:bottom w:val="single" w:sz="4" w:space="0" w:color="auto"/>
            </w:tcBorders>
            <w:vAlign w:val="center"/>
          </w:tcPr>
          <w:p w14:paraId="1BD4199D" w14:textId="7016347F" w:rsidR="00D735D0" w:rsidRPr="00441955" w:rsidRDefault="00D735D0" w:rsidP="00D735D0">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2</w:t>
            </w:r>
          </w:p>
        </w:tc>
        <w:tc>
          <w:tcPr>
            <w:tcW w:w="2530" w:type="dxa"/>
            <w:tcBorders>
              <w:bottom w:val="single" w:sz="4" w:space="0" w:color="auto"/>
            </w:tcBorders>
            <w:vAlign w:val="center"/>
          </w:tcPr>
          <w:p w14:paraId="32E76FF5" w14:textId="1EE8CFA5" w:rsidR="00D735D0" w:rsidRPr="00441955" w:rsidRDefault="00D735D0" w:rsidP="00D735D0">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3</w:t>
            </w:r>
          </w:p>
        </w:tc>
        <w:tc>
          <w:tcPr>
            <w:tcW w:w="2487" w:type="dxa"/>
            <w:tcBorders>
              <w:bottom w:val="single" w:sz="4" w:space="0" w:color="auto"/>
            </w:tcBorders>
            <w:vAlign w:val="center"/>
          </w:tcPr>
          <w:p w14:paraId="73BECE43" w14:textId="6472A8CF" w:rsidR="00D735D0" w:rsidRPr="00441955" w:rsidRDefault="00D735D0" w:rsidP="00D735D0">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4</w:t>
            </w:r>
          </w:p>
        </w:tc>
      </w:tr>
      <w:tr w:rsidR="00F631AC" w:rsidRPr="00805B3E" w14:paraId="0FDE9398" w14:textId="77777777" w:rsidTr="00023296">
        <w:tc>
          <w:tcPr>
            <w:tcW w:w="2384" w:type="dxa"/>
            <w:tcBorders>
              <w:bottom w:val="nil"/>
            </w:tcBorders>
          </w:tcPr>
          <w:p w14:paraId="6EBA6E61" w14:textId="636D0F01" w:rsidR="00F631AC" w:rsidRPr="00441955" w:rsidRDefault="00F631AC" w:rsidP="00457CE9">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Қарастырылмаған </w:t>
            </w:r>
          </w:p>
        </w:tc>
        <w:tc>
          <w:tcPr>
            <w:tcW w:w="2227" w:type="dxa"/>
            <w:tcBorders>
              <w:bottom w:val="nil"/>
            </w:tcBorders>
          </w:tcPr>
          <w:p w14:paraId="01297C39" w14:textId="7759E8F0" w:rsidR="00F631AC" w:rsidRPr="00441955" w:rsidRDefault="00F631AC" w:rsidP="00630981">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Ғылыми зерттеу</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лерді және жаңа технологияларды енгізуді қаржылан</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дырудың жалпы көлеміне жеке қар</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жыландыру үлесі, %: 2018 ж. – 0; </w:t>
            </w:r>
            <w:r w:rsidRPr="005A4468">
              <w:rPr>
                <w:rFonts w:ascii="Times New Roman" w:hAnsi="Times New Roman" w:cs="Times New Roman"/>
                <w:spacing w:val="-4"/>
                <w:kern w:val="36"/>
                <w:sz w:val="24"/>
                <w:szCs w:val="24"/>
                <w:lang w:val="kk-KZ" w:eastAsia="zh-CN"/>
              </w:rPr>
              <w:t>2019 ж. – 2; 2020 ж.</w:t>
            </w:r>
            <w:r w:rsidRPr="00441955">
              <w:rPr>
                <w:rFonts w:ascii="Times New Roman" w:hAnsi="Times New Roman" w:cs="Times New Roman"/>
                <w:kern w:val="36"/>
                <w:sz w:val="24"/>
                <w:szCs w:val="24"/>
                <w:lang w:val="kk-KZ" w:eastAsia="zh-CN"/>
              </w:rPr>
              <w:t xml:space="preserve"> –4; 2021 ж. – 6.</w:t>
            </w:r>
          </w:p>
        </w:tc>
        <w:tc>
          <w:tcPr>
            <w:tcW w:w="2530" w:type="dxa"/>
            <w:tcBorders>
              <w:bottom w:val="nil"/>
            </w:tcBorders>
          </w:tcPr>
          <w:p w14:paraId="2F8F4949" w14:textId="2EA2CCA5" w:rsidR="00F631AC" w:rsidRPr="00441955" w:rsidRDefault="00F631AC" w:rsidP="00457CE9">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Қарастырылмаған</w:t>
            </w:r>
          </w:p>
        </w:tc>
        <w:tc>
          <w:tcPr>
            <w:tcW w:w="2487" w:type="dxa"/>
            <w:vMerge w:val="restart"/>
          </w:tcPr>
          <w:p w14:paraId="4AF626D7" w14:textId="27E6249D" w:rsidR="00F631AC"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«ҰАҒББО» КЕАҚ еншілес ұйымда</w:t>
            </w:r>
            <w:r w:rsidR="002540F0">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рының санын қысқарту көзделген. Сондай-ақ, кейбір ғылыми-зерттеу инсти</w:t>
            </w:r>
            <w:r>
              <w:rPr>
                <w:rFonts w:ascii="Times New Roman" w:hAnsi="Times New Roman" w:cs="Times New Roman"/>
                <w:kern w:val="36"/>
                <w:sz w:val="24"/>
                <w:szCs w:val="24"/>
                <w:lang w:val="kk-KZ" w:eastAsia="zh-CN"/>
              </w:rPr>
              <w:t>туттарын ғылыми-өндірістік орталықтар мен ауылшаруашылық тә жірибе станцияла</w:t>
            </w:r>
            <w:r w:rsidR="002540F0">
              <w:rPr>
                <w:rFonts w:ascii="Times New Roman" w:hAnsi="Times New Roman" w:cs="Times New Roman"/>
                <w:kern w:val="36"/>
                <w:sz w:val="24"/>
                <w:szCs w:val="24"/>
                <w:lang w:val="kk-KZ" w:eastAsia="zh-CN"/>
              </w:rPr>
              <w:t xml:space="preserve"> </w:t>
            </w:r>
            <w:r>
              <w:rPr>
                <w:rFonts w:ascii="Times New Roman" w:hAnsi="Times New Roman" w:cs="Times New Roman"/>
                <w:kern w:val="36"/>
                <w:sz w:val="24"/>
                <w:szCs w:val="24"/>
                <w:lang w:val="kk-KZ" w:eastAsia="zh-CN"/>
              </w:rPr>
              <w:t xml:space="preserve">рына </w:t>
            </w:r>
            <w:r w:rsidR="002540F0">
              <w:rPr>
                <w:rFonts w:ascii="Times New Roman" w:hAnsi="Times New Roman" w:cs="Times New Roman"/>
                <w:kern w:val="36"/>
                <w:sz w:val="24"/>
                <w:szCs w:val="24"/>
                <w:lang w:val="kk-KZ" w:eastAsia="zh-CN"/>
              </w:rPr>
              <w:t>а</w:t>
            </w:r>
            <w:r>
              <w:rPr>
                <w:rFonts w:ascii="Times New Roman" w:hAnsi="Times New Roman" w:cs="Times New Roman"/>
                <w:kern w:val="36"/>
                <w:sz w:val="24"/>
                <w:szCs w:val="24"/>
                <w:lang w:val="kk-KZ" w:eastAsia="zh-CN"/>
              </w:rPr>
              <w:t>йналдыру жоспарлануда. Аграрлық ғылымды қаржыландыру 2030 жылы  ауыл</w:t>
            </w:r>
          </w:p>
          <w:p w14:paraId="53738CAE" w14:textId="45618F01" w:rsidR="00F631AC" w:rsidRPr="00441955" w:rsidRDefault="00F631AC" w:rsidP="007B64AC">
            <w:pP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 xml:space="preserve">шаруашылығының жалпы өнімі көлемінің 1%-на дейін, оның ішінде 2021 жылы 0,5%-ға дейін жеткізілетін болады. Универ ситетті реформалау </w:t>
            </w:r>
          </w:p>
          <w:p w14:paraId="26FB404D" w14:textId="3C399051" w:rsidR="00F631AC" w:rsidRPr="00441955" w:rsidRDefault="00F631AC" w:rsidP="00F631AC">
            <w:pP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 xml:space="preserve">білім беру бағдарлама ларын жаңғырту және оқыту үшін шетелдік профессорларды ша қыра отырып, әлем дегі жетекші аграрлық бейіндегі зерттеу университет терімен (Дэвистегі Калифорния </w:t>
            </w:r>
            <w:r w:rsidR="002540F0">
              <w:rPr>
                <w:rFonts w:ascii="Times New Roman" w:hAnsi="Times New Roman" w:cs="Times New Roman"/>
                <w:kern w:val="36"/>
                <w:sz w:val="24"/>
                <w:szCs w:val="24"/>
                <w:lang w:val="kk-KZ" w:eastAsia="zh-CN"/>
              </w:rPr>
              <w:t>университеті (UC Davis, АҚШ), Ваген нинген университеті (Голлан дия), Agropa ristech институты (Франция)  agreenium корпорациясының</w:t>
            </w:r>
          </w:p>
        </w:tc>
      </w:tr>
      <w:tr w:rsidR="00F631AC" w:rsidRPr="00805B3E" w14:paraId="0601713C" w14:textId="77777777" w:rsidTr="00023296">
        <w:tc>
          <w:tcPr>
            <w:tcW w:w="2384" w:type="dxa"/>
          </w:tcPr>
          <w:p w14:paraId="5C77DF99" w14:textId="77777777" w:rsidR="00F631AC"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Әзірленген үлгілік технологиялық жобалардың саны 2020 ж. – 4 бірлік, 2021 ж. – 4 бірлік</w:t>
            </w:r>
          </w:p>
          <w:p w14:paraId="7DC9CB18"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Білім тарату жүйе</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сінің қызметтерімен АӨК субъектілерін қамту, %: </w:t>
            </w:r>
          </w:p>
          <w:p w14:paraId="418141BE"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2017 ж. – 2,5; </w:t>
            </w:r>
          </w:p>
          <w:p w14:paraId="16C3F0C4"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2018 ж. – 2,5; </w:t>
            </w:r>
          </w:p>
          <w:p w14:paraId="75F84167"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2019 ж. – 2,5; </w:t>
            </w:r>
          </w:p>
          <w:p w14:paraId="4FF20115"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2020 ж. – 5,0; </w:t>
            </w:r>
          </w:p>
          <w:p w14:paraId="2800E83F" w14:textId="1220556E" w:rsidR="00F631AC" w:rsidRDefault="00F631AC" w:rsidP="002A3CA3">
            <w:pPr>
              <w:jc w:val="left"/>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2021 ж. – 5,5.</w:t>
            </w:r>
          </w:p>
        </w:tc>
        <w:tc>
          <w:tcPr>
            <w:tcW w:w="2227" w:type="dxa"/>
          </w:tcPr>
          <w:p w14:paraId="7D7A056B" w14:textId="77777777" w:rsidR="00F631AC" w:rsidRDefault="00F631AC" w:rsidP="007B64AC">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Әзірленген үлгілік технологиялық жобалардың саны 2020 ж. – 4 бірлік, 2021 ж. – 4 бірлік</w:t>
            </w:r>
          </w:p>
          <w:p w14:paraId="4D2EDD5F"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Білім тарату жүйе</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сінің қызметтерімен АӨК субъектілерін қамту, %: </w:t>
            </w:r>
          </w:p>
          <w:p w14:paraId="19EF56F6"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2017 ж. – 2,5; </w:t>
            </w:r>
          </w:p>
          <w:p w14:paraId="0DE7DFDB"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2018 ж. – 5,0;. </w:t>
            </w:r>
          </w:p>
          <w:p w14:paraId="138388C9"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2019 ж. – 10; </w:t>
            </w:r>
          </w:p>
          <w:p w14:paraId="382351A6"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2020 ж. – 15; </w:t>
            </w:r>
          </w:p>
          <w:p w14:paraId="45DA7235" w14:textId="3E0023D9" w:rsidR="00F631AC"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2021 ж. – 25</w:t>
            </w:r>
          </w:p>
        </w:tc>
        <w:tc>
          <w:tcPr>
            <w:tcW w:w="2530" w:type="dxa"/>
            <w:vMerge w:val="restart"/>
          </w:tcPr>
          <w:p w14:paraId="266C0DCE" w14:textId="77777777" w:rsidR="00F631AC" w:rsidRPr="00441955"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Қолданыстағы «Агро</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технологияларды трансферттеу және коммерцияландыру орталығының» (бұдан</w:t>
            </w:r>
          </w:p>
          <w:p w14:paraId="1A5A66BD" w14:textId="77777777" w:rsidR="00F631AC" w:rsidRDefault="00F631AC" w:rsidP="007B64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әрі - АТКО) базасында АӨК-е технологиялық</w:t>
            </w:r>
          </w:p>
          <w:p w14:paraId="663AD5CC" w14:textId="77777777" w:rsidR="00F631AC" w:rsidRDefault="00F631AC" w:rsidP="002540F0">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міндеттерді монито</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рингтеу, болжау және технологиялар транс</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фертін ұйымдастыру жөніндегі функционал өрістетілу. Өндірістің, білім менғылымның </w:t>
            </w:r>
          </w:p>
          <w:p w14:paraId="685C335E" w14:textId="099712EE" w:rsidR="00F631AC" w:rsidRDefault="00F631AC"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тығыз интеграциясы, отандық ғылыми зерт</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теулерді әзірлеу мен енгізу, шетелдік тиімді технологиялар трансфері, елдің аграрлық нарығында талап етілетін кадрларды даярлау мен қайта даярлау </w:t>
            </w:r>
            <w:r w:rsidR="002540F0" w:rsidRPr="00441955">
              <w:rPr>
                <w:rFonts w:ascii="Times New Roman" w:hAnsi="Times New Roman" w:cs="Times New Roman"/>
                <w:kern w:val="36"/>
                <w:sz w:val="24"/>
                <w:szCs w:val="24"/>
                <w:lang w:val="kk-KZ" w:eastAsia="zh-CN"/>
              </w:rPr>
              <w:t>негізінде АӨК-нің же</w:t>
            </w:r>
            <w:r w:rsidR="002540F0">
              <w:rPr>
                <w:rFonts w:ascii="Times New Roman" w:hAnsi="Times New Roman" w:cs="Times New Roman"/>
                <w:kern w:val="36"/>
                <w:sz w:val="24"/>
                <w:szCs w:val="24"/>
                <w:lang w:val="kk-KZ" w:eastAsia="zh-CN"/>
              </w:rPr>
              <w:t xml:space="preserve"> </w:t>
            </w:r>
            <w:r w:rsidR="002540F0" w:rsidRPr="00441955">
              <w:rPr>
                <w:rFonts w:ascii="Times New Roman" w:hAnsi="Times New Roman" w:cs="Times New Roman"/>
                <w:kern w:val="36"/>
                <w:sz w:val="24"/>
                <w:szCs w:val="24"/>
                <w:lang w:val="kk-KZ" w:eastAsia="zh-CN"/>
              </w:rPr>
              <w:t>делдетілген иннова</w:t>
            </w:r>
            <w:r w:rsidR="002540F0">
              <w:rPr>
                <w:rFonts w:ascii="Times New Roman" w:hAnsi="Times New Roman" w:cs="Times New Roman"/>
                <w:kern w:val="36"/>
                <w:sz w:val="24"/>
                <w:szCs w:val="24"/>
                <w:lang w:val="kk-KZ" w:eastAsia="zh-CN"/>
              </w:rPr>
              <w:t xml:space="preserve"> </w:t>
            </w:r>
            <w:r w:rsidR="002540F0" w:rsidRPr="00441955">
              <w:rPr>
                <w:rFonts w:ascii="Times New Roman" w:hAnsi="Times New Roman" w:cs="Times New Roman"/>
                <w:kern w:val="36"/>
                <w:sz w:val="24"/>
                <w:szCs w:val="24"/>
                <w:lang w:val="kk-KZ" w:eastAsia="zh-CN"/>
              </w:rPr>
              <w:t>циялық дамуын қамтамасыз ету</w:t>
            </w:r>
          </w:p>
        </w:tc>
        <w:tc>
          <w:tcPr>
            <w:tcW w:w="2487" w:type="dxa"/>
            <w:vMerge/>
          </w:tcPr>
          <w:p w14:paraId="342B8E5E" w14:textId="3600B02D" w:rsidR="00F631AC" w:rsidRDefault="00F631AC" w:rsidP="00F631AC">
            <w:pPr>
              <w:textAlignment w:val="baseline"/>
              <w:outlineLvl w:val="0"/>
              <w:rPr>
                <w:rFonts w:ascii="Times New Roman" w:hAnsi="Times New Roman" w:cs="Times New Roman"/>
                <w:kern w:val="36"/>
                <w:sz w:val="24"/>
                <w:szCs w:val="24"/>
                <w:lang w:val="kk-KZ" w:eastAsia="zh-CN"/>
              </w:rPr>
            </w:pPr>
          </w:p>
        </w:tc>
      </w:tr>
      <w:tr w:rsidR="00F631AC" w:rsidRPr="00B50D5C" w14:paraId="4BAEDF1F" w14:textId="77777777" w:rsidTr="00023296">
        <w:trPr>
          <w:trHeight w:val="58"/>
        </w:trPr>
        <w:tc>
          <w:tcPr>
            <w:tcW w:w="2384" w:type="dxa"/>
          </w:tcPr>
          <w:p w14:paraId="15EDD0E5" w14:textId="77777777" w:rsidR="002A3CA3" w:rsidRDefault="00F631AC"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Қаржыландырудың жалпы көлемінен ғылыми-зерттеу және тәжірибелік-конструкторлық жұмыстардың (бұ</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дан әрі – ҒЗТКЖ) бағдарламалары мен жобаларын биз</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нестің  қаржылан</w:t>
            </w:r>
            <w:r>
              <w:rPr>
                <w:rFonts w:ascii="Times New Roman" w:hAnsi="Times New Roman" w:cs="Times New Roman"/>
                <w:kern w:val="36"/>
                <w:sz w:val="24"/>
                <w:szCs w:val="24"/>
                <w:lang w:val="kk-KZ" w:eastAsia="zh-CN"/>
              </w:rPr>
              <w:t xml:space="preserve"> </w:t>
            </w:r>
            <w:r w:rsidR="002540F0" w:rsidRPr="00441955">
              <w:rPr>
                <w:rFonts w:ascii="Times New Roman" w:hAnsi="Times New Roman" w:cs="Times New Roman"/>
                <w:kern w:val="36"/>
                <w:sz w:val="24"/>
                <w:szCs w:val="24"/>
                <w:lang w:val="kk-KZ" w:eastAsia="zh-CN"/>
              </w:rPr>
              <w:t xml:space="preserve">дыру үлесі, %: </w:t>
            </w:r>
          </w:p>
          <w:p w14:paraId="71C78285" w14:textId="77777777" w:rsidR="002A3CA3" w:rsidRDefault="002540F0"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2018 ж. – 2; </w:t>
            </w:r>
          </w:p>
          <w:p w14:paraId="77F0694D" w14:textId="77777777" w:rsidR="002A3CA3" w:rsidRDefault="002540F0"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2019 ж. – 4; </w:t>
            </w:r>
          </w:p>
          <w:p w14:paraId="13D5F04F" w14:textId="77777777" w:rsidR="002A3CA3" w:rsidRDefault="002540F0"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2020 ж. – 6; </w:t>
            </w:r>
          </w:p>
          <w:p w14:paraId="6CD220EB" w14:textId="5D049506" w:rsidR="00F631AC" w:rsidRDefault="002540F0"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2021 ж.–10</w:t>
            </w:r>
          </w:p>
        </w:tc>
        <w:tc>
          <w:tcPr>
            <w:tcW w:w="2227" w:type="dxa"/>
          </w:tcPr>
          <w:p w14:paraId="69FE54B4" w14:textId="77777777" w:rsidR="002540F0" w:rsidRDefault="00F631AC" w:rsidP="002540F0">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Қаржыландырудың жалпы көлемінен ғылыми-зерттеу және тәжірибелік-конструкторлық жұмыстардың (бұдан әрі – ҒЗТКЖ) бағдарла</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малары мен жоба</w:t>
            </w:r>
            <w:r>
              <w:rPr>
                <w:rFonts w:ascii="Times New Roman" w:hAnsi="Times New Roman" w:cs="Times New Roman"/>
                <w:kern w:val="36"/>
                <w:sz w:val="24"/>
                <w:szCs w:val="24"/>
                <w:lang w:val="kk-KZ" w:eastAsia="zh-CN"/>
              </w:rPr>
              <w:t xml:space="preserve"> </w:t>
            </w:r>
            <w:r w:rsidR="002540F0" w:rsidRPr="00441955">
              <w:rPr>
                <w:rFonts w:ascii="Times New Roman" w:hAnsi="Times New Roman" w:cs="Times New Roman"/>
                <w:kern w:val="36"/>
                <w:sz w:val="24"/>
                <w:szCs w:val="24"/>
                <w:lang w:val="kk-KZ" w:eastAsia="zh-CN"/>
              </w:rPr>
              <w:t xml:space="preserve">ларын бизнестің  қаржыландыру </w:t>
            </w:r>
          </w:p>
          <w:p w14:paraId="2BBA4C7F" w14:textId="77777777" w:rsidR="002A3CA3" w:rsidRDefault="002540F0" w:rsidP="002540F0">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үлесі, %: </w:t>
            </w:r>
          </w:p>
          <w:p w14:paraId="42C5A60E" w14:textId="77777777" w:rsidR="002A3CA3" w:rsidRDefault="002540F0" w:rsidP="002540F0">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2018 ж. –2; </w:t>
            </w:r>
          </w:p>
          <w:p w14:paraId="5D0479FF" w14:textId="25157210" w:rsidR="002540F0" w:rsidRDefault="002540F0" w:rsidP="002540F0">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2019 ж. – 4; </w:t>
            </w:r>
          </w:p>
          <w:p w14:paraId="0FC9081A" w14:textId="77777777" w:rsidR="002540F0" w:rsidRDefault="002540F0" w:rsidP="002540F0">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2020 ж. – 6; </w:t>
            </w:r>
          </w:p>
          <w:p w14:paraId="5445DBEB" w14:textId="3380438C" w:rsidR="00F631AC" w:rsidRDefault="002540F0"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2021 ж.–10</w:t>
            </w:r>
          </w:p>
        </w:tc>
        <w:tc>
          <w:tcPr>
            <w:tcW w:w="2530" w:type="dxa"/>
            <w:vMerge/>
          </w:tcPr>
          <w:p w14:paraId="1712ACA7" w14:textId="22991802" w:rsidR="00F631AC" w:rsidRDefault="00F631AC" w:rsidP="00F631AC">
            <w:pPr>
              <w:textAlignment w:val="baseline"/>
              <w:outlineLvl w:val="0"/>
              <w:rPr>
                <w:rFonts w:ascii="Times New Roman" w:hAnsi="Times New Roman" w:cs="Times New Roman"/>
                <w:kern w:val="36"/>
                <w:sz w:val="24"/>
                <w:szCs w:val="24"/>
                <w:lang w:val="kk-KZ" w:eastAsia="zh-CN"/>
              </w:rPr>
            </w:pPr>
          </w:p>
        </w:tc>
        <w:tc>
          <w:tcPr>
            <w:tcW w:w="2487" w:type="dxa"/>
            <w:vMerge/>
          </w:tcPr>
          <w:p w14:paraId="427633D2" w14:textId="264058B4" w:rsidR="00F631AC" w:rsidRDefault="00F631AC" w:rsidP="00F631AC">
            <w:pPr>
              <w:textAlignment w:val="baseline"/>
              <w:outlineLvl w:val="0"/>
              <w:rPr>
                <w:rFonts w:ascii="Times New Roman" w:hAnsi="Times New Roman" w:cs="Times New Roman"/>
                <w:kern w:val="36"/>
                <w:sz w:val="24"/>
                <w:szCs w:val="24"/>
                <w:lang w:val="kk-KZ" w:eastAsia="zh-CN"/>
              </w:rPr>
            </w:pPr>
          </w:p>
        </w:tc>
      </w:tr>
      <w:tr w:rsidR="00F631AC" w14:paraId="3BF000D1" w14:textId="77777777" w:rsidTr="00023296">
        <w:tc>
          <w:tcPr>
            <w:tcW w:w="9628" w:type="dxa"/>
            <w:gridSpan w:val="4"/>
            <w:tcBorders>
              <w:top w:val="nil"/>
              <w:left w:val="nil"/>
              <w:bottom w:val="single" w:sz="4" w:space="0" w:color="auto"/>
              <w:right w:val="nil"/>
            </w:tcBorders>
          </w:tcPr>
          <w:p w14:paraId="40ABA97D" w14:textId="1840BBFA" w:rsidR="00F631AC" w:rsidRDefault="00F631AC">
            <w:pPr>
              <w:ind w:hanging="108"/>
              <w:textAlignment w:val="baseline"/>
              <w:outlineLvl w:val="0"/>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1</w:t>
            </w:r>
            <w:r>
              <w:rPr>
                <w:rFonts w:ascii="Times New Roman" w:hAnsi="Times New Roman" w:cs="Times New Roman"/>
                <w:kern w:val="36"/>
                <w:sz w:val="28"/>
                <w:szCs w:val="28"/>
                <w:lang w:val="kk-KZ" w:eastAsia="zh-CN"/>
              </w:rPr>
              <w:t>-кестенің жалғасы</w:t>
            </w:r>
          </w:p>
          <w:p w14:paraId="1491E44C" w14:textId="77777777" w:rsidR="00F631AC" w:rsidRDefault="00F631AC">
            <w:pPr>
              <w:textAlignment w:val="baseline"/>
              <w:outlineLvl w:val="0"/>
              <w:rPr>
                <w:rFonts w:ascii="Times New Roman" w:hAnsi="Times New Roman" w:cs="Times New Roman"/>
                <w:kern w:val="36"/>
                <w:sz w:val="16"/>
                <w:szCs w:val="16"/>
                <w:lang w:val="kk-KZ" w:eastAsia="zh-CN"/>
              </w:rPr>
            </w:pPr>
          </w:p>
        </w:tc>
      </w:tr>
      <w:tr w:rsidR="00F631AC" w14:paraId="6FA0579A" w14:textId="77777777" w:rsidTr="00023296">
        <w:tc>
          <w:tcPr>
            <w:tcW w:w="2384" w:type="dxa"/>
            <w:tcBorders>
              <w:top w:val="single" w:sz="4" w:space="0" w:color="auto"/>
              <w:left w:val="single" w:sz="4" w:space="0" w:color="auto"/>
              <w:bottom w:val="single" w:sz="4" w:space="0" w:color="auto"/>
              <w:right w:val="single" w:sz="4" w:space="0" w:color="auto"/>
            </w:tcBorders>
            <w:hideMark/>
          </w:tcPr>
          <w:p w14:paraId="015C172A" w14:textId="77777777" w:rsidR="00F631AC" w:rsidRDefault="00F631AC">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1</w:t>
            </w:r>
          </w:p>
        </w:tc>
        <w:tc>
          <w:tcPr>
            <w:tcW w:w="2227" w:type="dxa"/>
            <w:tcBorders>
              <w:top w:val="single" w:sz="4" w:space="0" w:color="auto"/>
              <w:left w:val="single" w:sz="4" w:space="0" w:color="auto"/>
              <w:bottom w:val="single" w:sz="4" w:space="0" w:color="auto"/>
              <w:right w:val="single" w:sz="4" w:space="0" w:color="auto"/>
            </w:tcBorders>
            <w:hideMark/>
          </w:tcPr>
          <w:p w14:paraId="44F15371" w14:textId="77777777" w:rsidR="00F631AC" w:rsidRDefault="00F631AC">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2</w:t>
            </w:r>
          </w:p>
        </w:tc>
        <w:tc>
          <w:tcPr>
            <w:tcW w:w="2530" w:type="dxa"/>
            <w:tcBorders>
              <w:top w:val="single" w:sz="4" w:space="0" w:color="auto"/>
              <w:left w:val="single" w:sz="4" w:space="0" w:color="auto"/>
              <w:bottom w:val="single" w:sz="4" w:space="0" w:color="auto"/>
              <w:right w:val="single" w:sz="4" w:space="0" w:color="auto"/>
            </w:tcBorders>
            <w:hideMark/>
          </w:tcPr>
          <w:p w14:paraId="791ADDD5" w14:textId="77777777" w:rsidR="00F631AC" w:rsidRDefault="00F631AC">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3</w:t>
            </w:r>
          </w:p>
        </w:tc>
        <w:tc>
          <w:tcPr>
            <w:tcW w:w="2487" w:type="dxa"/>
            <w:tcBorders>
              <w:top w:val="single" w:sz="4" w:space="0" w:color="auto"/>
              <w:left w:val="single" w:sz="4" w:space="0" w:color="auto"/>
              <w:bottom w:val="single" w:sz="4" w:space="0" w:color="auto"/>
              <w:right w:val="single" w:sz="4" w:space="0" w:color="auto"/>
            </w:tcBorders>
            <w:hideMark/>
          </w:tcPr>
          <w:p w14:paraId="16BD1A22" w14:textId="77777777" w:rsidR="00F631AC" w:rsidRDefault="00F631AC">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4</w:t>
            </w:r>
          </w:p>
        </w:tc>
      </w:tr>
      <w:tr w:rsidR="008575D9" w:rsidRPr="00805B3E" w14:paraId="2EEA13E9" w14:textId="77777777" w:rsidTr="00023296">
        <w:tc>
          <w:tcPr>
            <w:tcW w:w="2384" w:type="dxa"/>
            <w:tcBorders>
              <w:bottom w:val="nil"/>
            </w:tcBorders>
          </w:tcPr>
          <w:p w14:paraId="15304D0C" w14:textId="1BA622D2" w:rsidR="008575D9" w:rsidRPr="00441955" w:rsidRDefault="008575D9"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Қарастырылмаған </w:t>
            </w:r>
          </w:p>
        </w:tc>
        <w:tc>
          <w:tcPr>
            <w:tcW w:w="2227" w:type="dxa"/>
            <w:tcBorders>
              <w:bottom w:val="nil"/>
            </w:tcBorders>
          </w:tcPr>
          <w:p w14:paraId="4F9294E6" w14:textId="77777777" w:rsidR="008575D9" w:rsidRDefault="008575D9"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Аграрлық техноло</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гияларды коммер</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цияландыру және трансферттеу жө</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ніндегі қолданы</w:t>
            </w:r>
            <w:r>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стағы лицензиялық шарттардың саны: 2017 ж. – 30; </w:t>
            </w:r>
          </w:p>
          <w:p w14:paraId="456727C0" w14:textId="77777777" w:rsidR="008575D9" w:rsidRDefault="008575D9"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2018 ж. – 35; </w:t>
            </w:r>
          </w:p>
          <w:p w14:paraId="216CD5AE" w14:textId="77777777" w:rsidR="008575D9" w:rsidRDefault="008575D9"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2019 ж. – 50; </w:t>
            </w:r>
          </w:p>
          <w:p w14:paraId="674E4163" w14:textId="77777777" w:rsidR="008575D9" w:rsidRDefault="008575D9"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2020 ж. – 65; </w:t>
            </w:r>
          </w:p>
          <w:p w14:paraId="7908717D" w14:textId="402F5040" w:rsidR="008575D9" w:rsidRPr="00441955" w:rsidRDefault="008575D9" w:rsidP="00F631AC">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2021 ж. – 80.</w:t>
            </w:r>
          </w:p>
        </w:tc>
        <w:tc>
          <w:tcPr>
            <w:tcW w:w="2530" w:type="dxa"/>
            <w:tcBorders>
              <w:bottom w:val="nil"/>
            </w:tcBorders>
          </w:tcPr>
          <w:p w14:paraId="53F6C816" w14:textId="153AC88B" w:rsidR="008575D9" w:rsidRPr="00441955" w:rsidRDefault="008575D9" w:rsidP="00F631AC">
            <w:pPr>
              <w:textAlignment w:val="baseline"/>
              <w:outlineLvl w:val="0"/>
              <w:rPr>
                <w:rFonts w:ascii="Times New Roman" w:hAnsi="Times New Roman" w:cs="Times New Roman"/>
                <w:kern w:val="36"/>
                <w:sz w:val="24"/>
                <w:szCs w:val="24"/>
                <w:lang w:val="kk-KZ" w:eastAsia="zh-CN"/>
              </w:rPr>
            </w:pPr>
          </w:p>
        </w:tc>
        <w:tc>
          <w:tcPr>
            <w:tcW w:w="2487" w:type="dxa"/>
          </w:tcPr>
          <w:p w14:paraId="3D66E19D" w14:textId="38455399" w:rsidR="008575D9" w:rsidRPr="00441955" w:rsidRDefault="008575D9" w:rsidP="00F631AC">
            <w:pP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өкілдерімен ғылыми және академиялық мәселелер бойынша, солтүстік-батыс ауыл және орман шаруашы лығы университеті (ҚХР) және басқала ры) әріптестікте жүзе ге асырылатын болады</w:t>
            </w:r>
          </w:p>
        </w:tc>
      </w:tr>
      <w:tr w:rsidR="00F631AC" w:rsidRPr="00441955" w14:paraId="0826FE10" w14:textId="77777777" w:rsidTr="00023296">
        <w:tc>
          <w:tcPr>
            <w:tcW w:w="9628" w:type="dxa"/>
            <w:gridSpan w:val="4"/>
          </w:tcPr>
          <w:p w14:paraId="039F0F9F" w14:textId="00AD7D41" w:rsidR="00F631AC" w:rsidRPr="00441955" w:rsidRDefault="00F631AC" w:rsidP="00F631AC">
            <w:pPr>
              <w:ind w:firstLine="598"/>
              <w:textAlignment w:val="baseline"/>
              <w:outlineLvl w:val="0"/>
              <w:rPr>
                <w:rFonts w:ascii="Times New Roman" w:hAnsi="Times New Roman" w:cs="Times New Roman"/>
                <w:kern w:val="36"/>
                <w:sz w:val="24"/>
                <w:szCs w:val="24"/>
                <w:lang w:val="kk-KZ" w:eastAsia="zh-CN"/>
              </w:rPr>
            </w:pPr>
            <w:r w:rsidRPr="00441955">
              <w:rPr>
                <w:rFonts w:ascii="Times New Roman" w:eastAsia="Calibri" w:hAnsi="Times New Roman" w:cs="Times New Roman"/>
                <w:sz w:val="24"/>
                <w:szCs w:val="24"/>
                <w:lang w:val="kk-KZ"/>
              </w:rPr>
              <w:t>Ескерту –</w:t>
            </w:r>
            <w:r w:rsidRPr="00441955">
              <w:rPr>
                <w:rFonts w:ascii="Times New Roman" w:eastAsia="Calibri" w:hAnsi="Times New Roman" w:cs="Times New Roman"/>
                <w:bCs/>
                <w:sz w:val="24"/>
                <w:szCs w:val="24"/>
                <w:lang w:val="kk-KZ"/>
              </w:rPr>
              <w:t xml:space="preserve"> Әдебиет негізінде құралған</w:t>
            </w:r>
            <w:r w:rsidRPr="00441955">
              <w:rPr>
                <w:rFonts w:ascii="Times New Roman" w:hAnsi="Times New Roman" w:cs="Times New Roman"/>
                <w:kern w:val="36"/>
                <w:sz w:val="24"/>
                <w:szCs w:val="24"/>
                <w:lang w:val="kk-KZ" w:eastAsia="zh-CN"/>
              </w:rPr>
              <w:t xml:space="preserve"> [</w:t>
            </w:r>
            <w:r>
              <w:rPr>
                <w:rFonts w:ascii="Times New Roman" w:hAnsi="Times New Roman" w:cs="Times New Roman"/>
                <w:kern w:val="36"/>
                <w:sz w:val="24"/>
                <w:szCs w:val="24"/>
                <w:lang w:val="kk-KZ" w:eastAsia="zh-CN"/>
              </w:rPr>
              <w:t>6</w:t>
            </w:r>
            <w:r w:rsidR="004330E8">
              <w:rPr>
                <w:rFonts w:ascii="Times New Roman" w:hAnsi="Times New Roman" w:cs="Times New Roman"/>
                <w:kern w:val="36"/>
                <w:sz w:val="24"/>
                <w:szCs w:val="24"/>
                <w:lang w:val="kk-KZ" w:eastAsia="zh-CN"/>
              </w:rPr>
              <w:t>2</w:t>
            </w:r>
            <w:r w:rsidRPr="00441955">
              <w:rPr>
                <w:rFonts w:ascii="Times New Roman" w:hAnsi="Times New Roman" w:cs="Times New Roman"/>
                <w:kern w:val="36"/>
                <w:sz w:val="24"/>
                <w:szCs w:val="24"/>
                <w:lang w:val="kk-KZ" w:eastAsia="zh-CN"/>
              </w:rPr>
              <w:t xml:space="preserve">] </w:t>
            </w:r>
          </w:p>
        </w:tc>
      </w:tr>
    </w:tbl>
    <w:p w14:paraId="652D8B99" w14:textId="77777777" w:rsidR="00864485" w:rsidRPr="00457CE9" w:rsidRDefault="00864485" w:rsidP="00457CE9">
      <w:pPr>
        <w:spacing w:after="0" w:line="240" w:lineRule="auto"/>
        <w:jc w:val="both"/>
        <w:textAlignment w:val="baseline"/>
        <w:outlineLvl w:val="0"/>
        <w:rPr>
          <w:rFonts w:ascii="Times New Roman" w:hAnsi="Times New Roman" w:cs="Times New Roman"/>
          <w:kern w:val="36"/>
          <w:sz w:val="28"/>
          <w:szCs w:val="28"/>
          <w:lang w:val="kk-KZ" w:eastAsia="zh-CN"/>
        </w:rPr>
      </w:pPr>
    </w:p>
    <w:p w14:paraId="6731839D" w14:textId="02443525" w:rsidR="00310871" w:rsidRPr="00457CE9" w:rsidRDefault="00310871"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Оңтайлы технологиялық шешімдерді таңдауға жүйелі көзқарас, олардың апробация, бейімделу және таралу жоқ.</w:t>
      </w:r>
      <w:r w:rsidR="0082390D" w:rsidRPr="00457CE9">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Технологиялар трансферті саласындағы негізгі проблемалар:</w:t>
      </w:r>
    </w:p>
    <w:p w14:paraId="7193074F" w14:textId="3E33D168" w:rsidR="00310871" w:rsidRPr="00457CE9" w:rsidRDefault="00310871" w:rsidP="0097172E">
      <w:pPr>
        <w:pStyle w:val="a5"/>
        <w:numPr>
          <w:ilvl w:val="0"/>
          <w:numId w:val="18"/>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sidRPr="00457CE9">
        <w:rPr>
          <w:rFonts w:ascii="Times New Roman" w:hAnsi="Times New Roman"/>
          <w:kern w:val="36"/>
          <w:sz w:val="28"/>
          <w:szCs w:val="28"/>
          <w:lang w:val="kk-KZ" w:eastAsia="zh-CN"/>
        </w:rPr>
        <w:t>Құрылымдық, объективті ақпараттың болмауы</w:t>
      </w:r>
      <w:r w:rsidR="008575D9">
        <w:rPr>
          <w:rFonts w:ascii="Times New Roman" w:hAnsi="Times New Roman"/>
          <w:kern w:val="36"/>
          <w:sz w:val="28"/>
          <w:szCs w:val="28"/>
          <w:lang w:val="kk-KZ" w:eastAsia="zh-CN"/>
        </w:rPr>
        <w:t>:</w:t>
      </w:r>
      <w:r w:rsidRPr="00457CE9">
        <w:rPr>
          <w:rFonts w:ascii="Times New Roman" w:hAnsi="Times New Roman"/>
          <w:kern w:val="36"/>
          <w:sz w:val="28"/>
          <w:szCs w:val="28"/>
          <w:lang w:val="kk-KZ" w:eastAsia="zh-CN"/>
        </w:rPr>
        <w:t xml:space="preserve"> </w:t>
      </w:r>
      <w:r w:rsidR="008575D9">
        <w:rPr>
          <w:rFonts w:ascii="Times New Roman" w:hAnsi="Times New Roman"/>
          <w:kern w:val="36"/>
          <w:sz w:val="28"/>
          <w:szCs w:val="28"/>
          <w:lang w:val="kk-KZ" w:eastAsia="zh-CN"/>
        </w:rPr>
        <w:t>а</w:t>
      </w:r>
      <w:r w:rsidRPr="00457CE9">
        <w:rPr>
          <w:rFonts w:ascii="Times New Roman" w:hAnsi="Times New Roman"/>
          <w:kern w:val="36"/>
          <w:sz w:val="28"/>
          <w:szCs w:val="28"/>
          <w:lang w:val="kk-KZ" w:eastAsia="zh-CN"/>
        </w:rPr>
        <w:t xml:space="preserve">уыл шаруашылығын жүргізу үшін салыстырмалы жағдайлары бар технологиялық көшбасшы елдердегі өзекті технологиялық міндеттер, технологиялар, оларды шешу тәсілдері. </w:t>
      </w:r>
    </w:p>
    <w:p w14:paraId="308C4368" w14:textId="77777777" w:rsidR="00310871" w:rsidRPr="00457CE9" w:rsidRDefault="00310871" w:rsidP="0097172E">
      <w:pPr>
        <w:pStyle w:val="a5"/>
        <w:numPr>
          <w:ilvl w:val="0"/>
          <w:numId w:val="18"/>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sidRPr="00457CE9">
        <w:rPr>
          <w:rFonts w:ascii="Times New Roman" w:hAnsi="Times New Roman"/>
          <w:kern w:val="36"/>
          <w:sz w:val="28"/>
          <w:szCs w:val="28"/>
          <w:lang w:val="kk-KZ" w:eastAsia="zh-CN"/>
        </w:rPr>
        <w:t xml:space="preserve">АӨК-де технологиялық болжау жүзеге асырылмайды, ол ресурстарды перспективалық міндеттерге шоғырландыруға және алдын-ала құзыреттерді тасымалдаушы шетелдік ұйымдармен – қажетті серіктестікте оларды шешуді кірісуге мүмкіндік берер еді. </w:t>
      </w:r>
    </w:p>
    <w:p w14:paraId="7945938C" w14:textId="0544F36E" w:rsidR="009D0546" w:rsidRPr="00457CE9" w:rsidRDefault="00310871"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Дегенмен 2017 жылғы редакцияда </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4.8. АӨК ғылыми-технологиялық, кадрлық және ақпараттық-маркетингтік қамтамасыз ету</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r w:rsidR="000D171F" w:rsidRPr="00457CE9">
        <w:rPr>
          <w:rFonts w:ascii="Times New Roman" w:eastAsia="Times New Roman" w:hAnsi="Times New Roman" w:cs="Times New Roman"/>
          <w:kern w:val="36"/>
          <w:sz w:val="28"/>
          <w:szCs w:val="28"/>
          <w:lang w:val="kk-KZ" w:eastAsia="ru-RU"/>
        </w:rPr>
        <w:t xml:space="preserve">нысаналы индикаторында </w:t>
      </w:r>
      <w:r w:rsidRPr="00457CE9">
        <w:rPr>
          <w:rFonts w:ascii="Times New Roman" w:hAnsi="Times New Roman" w:cs="Times New Roman"/>
          <w:kern w:val="36"/>
          <w:sz w:val="28"/>
          <w:szCs w:val="28"/>
          <w:lang w:val="kk-KZ" w:eastAsia="zh-CN"/>
        </w:rPr>
        <w:t>нәтижелі көрсеткіштерді анықтаған</w:t>
      </w:r>
      <w:r w:rsidR="00AD1E80" w:rsidRPr="00457CE9">
        <w:rPr>
          <w:rFonts w:ascii="Times New Roman" w:hAnsi="Times New Roman" w:cs="Times New Roman"/>
          <w:kern w:val="36"/>
          <w:sz w:val="28"/>
          <w:szCs w:val="28"/>
          <w:lang w:val="kk-KZ" w:eastAsia="zh-CN"/>
        </w:rPr>
        <w:t>.</w:t>
      </w:r>
      <w:r w:rsidR="002A15CC" w:rsidRPr="00457CE9">
        <w:rPr>
          <w:rFonts w:ascii="Times New Roman" w:hAnsi="Times New Roman" w:cs="Times New Roman"/>
          <w:kern w:val="36"/>
          <w:sz w:val="28"/>
          <w:szCs w:val="28"/>
          <w:lang w:val="kk-KZ" w:eastAsia="zh-CN"/>
        </w:rPr>
        <w:t xml:space="preserve"> </w:t>
      </w:r>
    </w:p>
    <w:p w14:paraId="7D3A4DC1" w14:textId="55D775BF" w:rsidR="00C77746" w:rsidRPr="00457CE9" w:rsidRDefault="002930B0"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2017 жылғы редакцияда </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4.8. АӨК ғылыми-технологиялық, кадрлық және ақпараттық-маркетингтік қамтамасыз ету</w:t>
      </w:r>
      <w:r w:rsidR="003C56BE" w:rsidRPr="00457CE9">
        <w:rPr>
          <w:rFonts w:ascii="Times New Roman" w:hAnsi="Times New Roman" w:cs="Times New Roman"/>
          <w:kern w:val="36"/>
          <w:sz w:val="28"/>
          <w:szCs w:val="28"/>
          <w:lang w:val="kk-KZ" w:eastAsia="zh-CN"/>
        </w:rPr>
        <w:t>»</w:t>
      </w:r>
      <w:r w:rsidRPr="00457CE9">
        <w:rPr>
          <w:rFonts w:ascii="Times New Roman" w:hAnsi="Times New Roman" w:cs="Times New Roman"/>
          <w:kern w:val="36"/>
          <w:sz w:val="28"/>
          <w:szCs w:val="28"/>
          <w:lang w:val="kk-KZ" w:eastAsia="zh-CN"/>
        </w:rPr>
        <w:t xml:space="preserve"> </w:t>
      </w:r>
      <w:r w:rsidR="000D171F"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бойынша қаржыландыру көлемі 2017 жылы </w:t>
      </w:r>
      <w:r w:rsidRPr="00457CE9">
        <w:rPr>
          <w:rFonts w:ascii="Times New Roman" w:hAnsi="Times New Roman" w:cs="Times New Roman"/>
          <w:sz w:val="28"/>
          <w:szCs w:val="28"/>
          <w:lang w:val="kk-KZ"/>
        </w:rPr>
        <w:t>359697,2 млн.</w:t>
      </w:r>
      <w:r w:rsidRPr="00457CE9">
        <w:rPr>
          <w:rFonts w:ascii="Times New Roman" w:hAnsi="Times New Roman" w:cs="Times New Roman"/>
          <w:sz w:val="28"/>
          <w:szCs w:val="28"/>
          <w:lang w:val="kk-KZ" w:eastAsia="zh-CN"/>
        </w:rPr>
        <w:t xml:space="preserve"> теңге, 2018 жылы 397856 млн. тг, 2019 жылы 429359 млн. тг, 2020 жылы 558842 млн. тг, 2021 жылы 628405 млн. тг. қарастырылған, соның ішінде республикалық, жергілікті бюджеттерден және басқа да көздерден қаржы тарту жоспарланған. </w:t>
      </w:r>
    </w:p>
    <w:p w14:paraId="3FB16482" w14:textId="2624858D" w:rsidR="00F631AC" w:rsidRDefault="005E52D0" w:rsidP="00457CE9">
      <w:pPr>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Мемлекеттік қаражатты пайдаланудың тиімділігін және өз қарыз алушылары қызметінің тұрақтылығын арттыру мақсатында </w:t>
      </w:r>
      <w:r w:rsidRPr="0064183D">
        <w:rPr>
          <w:rFonts w:ascii="Times New Roman" w:hAnsi="Times New Roman" w:cs="Times New Roman"/>
          <w:color w:val="FF0000"/>
          <w:kern w:val="36"/>
          <w:sz w:val="28"/>
          <w:szCs w:val="28"/>
          <w:lang w:val="kk-KZ" w:eastAsia="zh-CN"/>
        </w:rPr>
        <w:t>АКК</w:t>
      </w:r>
      <w:r w:rsidRPr="00457CE9">
        <w:rPr>
          <w:rFonts w:ascii="Times New Roman" w:hAnsi="Times New Roman" w:cs="Times New Roman"/>
          <w:kern w:val="36"/>
          <w:sz w:val="28"/>
          <w:szCs w:val="28"/>
          <w:lang w:val="kk-KZ" w:eastAsia="zh-CN"/>
        </w:rPr>
        <w:t xml:space="preserve"> қаржылық емес қолдау шаралары шеңберінде АӨК субъектілері мен қаржы институттарына қаржы институттары мен АӨК субъектілерінің институционалдық жетілуін арттыру жөніндегі шаралардың бір бөлігі ретінде ақпараттық, консультациялық, әдіснамалық және білім </w:t>
      </w:r>
      <w:r w:rsidR="003A7A03" w:rsidRPr="00457CE9">
        <w:rPr>
          <w:rFonts w:ascii="Times New Roman" w:hAnsi="Times New Roman" w:cs="Times New Roman"/>
          <w:kern w:val="36"/>
          <w:sz w:val="28"/>
          <w:szCs w:val="28"/>
          <w:lang w:val="kk-KZ" w:eastAsia="zh-CN"/>
        </w:rPr>
        <w:t>беру қолдауын көрсететін болады деп анықталған</w:t>
      </w:r>
      <w:r w:rsidR="00B004CF" w:rsidRPr="00457CE9">
        <w:rPr>
          <w:rFonts w:ascii="Times New Roman" w:hAnsi="Times New Roman" w:cs="Times New Roman"/>
          <w:kern w:val="36"/>
          <w:sz w:val="28"/>
          <w:szCs w:val="28"/>
          <w:lang w:val="kk-KZ" w:eastAsia="zh-CN"/>
        </w:rPr>
        <w:t xml:space="preserve"> [</w:t>
      </w:r>
      <w:r w:rsidR="00F631AC">
        <w:rPr>
          <w:rFonts w:ascii="Times New Roman" w:hAnsi="Times New Roman" w:cs="Times New Roman"/>
          <w:kern w:val="36"/>
          <w:sz w:val="28"/>
          <w:szCs w:val="28"/>
          <w:lang w:val="kk-KZ" w:eastAsia="zh-CN"/>
        </w:rPr>
        <w:t>6</w:t>
      </w:r>
      <w:r w:rsidR="004330E8">
        <w:rPr>
          <w:rFonts w:ascii="Times New Roman" w:hAnsi="Times New Roman" w:cs="Times New Roman"/>
          <w:kern w:val="36"/>
          <w:sz w:val="28"/>
          <w:szCs w:val="28"/>
          <w:lang w:val="kk-KZ" w:eastAsia="zh-CN"/>
        </w:rPr>
        <w:t>2</w:t>
      </w:r>
      <w:r w:rsidR="00B004CF" w:rsidRPr="00457CE9">
        <w:rPr>
          <w:rFonts w:ascii="Times New Roman" w:hAnsi="Times New Roman" w:cs="Times New Roman"/>
          <w:kern w:val="36"/>
          <w:sz w:val="28"/>
          <w:szCs w:val="28"/>
          <w:lang w:val="kk-KZ" w:eastAsia="zh-CN"/>
        </w:rPr>
        <w:t>]</w:t>
      </w:r>
      <w:r w:rsidR="003A7A03" w:rsidRPr="00457CE9">
        <w:rPr>
          <w:rFonts w:ascii="Times New Roman" w:hAnsi="Times New Roman" w:cs="Times New Roman"/>
          <w:kern w:val="36"/>
          <w:sz w:val="28"/>
          <w:szCs w:val="28"/>
          <w:lang w:val="kk-KZ" w:eastAsia="zh-CN"/>
        </w:rPr>
        <w:t xml:space="preserve">. </w:t>
      </w:r>
    </w:p>
    <w:p w14:paraId="5A1DDEA2" w14:textId="492FE19E" w:rsidR="004177EC" w:rsidRDefault="00311533" w:rsidP="00457CE9">
      <w:pPr>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2</w:t>
      </w:r>
      <w:r w:rsidRPr="00457CE9">
        <w:rPr>
          <w:rFonts w:ascii="Times New Roman" w:hAnsi="Times New Roman" w:cs="Times New Roman"/>
          <w:kern w:val="36"/>
          <w:sz w:val="28"/>
          <w:szCs w:val="28"/>
          <w:lang w:val="kk-KZ" w:eastAsia="zh-CN"/>
        </w:rPr>
        <w:t>-кестеде АӨК-дегі өндірістің техникалық жарақтандырылуы мен қарқындылығының деңгейін арттыру бойынша енгізілген өзгерістері келтірілген.</w:t>
      </w:r>
    </w:p>
    <w:p w14:paraId="6ADCE48C" w14:textId="77777777" w:rsidR="004177EC" w:rsidRPr="00457CE9" w:rsidRDefault="004177EC" w:rsidP="00457CE9">
      <w:pPr>
        <w:spacing w:after="0" w:line="240" w:lineRule="auto"/>
        <w:jc w:val="both"/>
        <w:textAlignment w:val="baseline"/>
        <w:outlineLvl w:val="0"/>
        <w:rPr>
          <w:rFonts w:ascii="Times New Roman" w:hAnsi="Times New Roman" w:cs="Times New Roman"/>
          <w:kern w:val="36"/>
          <w:sz w:val="28"/>
          <w:szCs w:val="28"/>
          <w:lang w:val="kk-KZ" w:eastAsia="zh-CN"/>
        </w:rPr>
      </w:pPr>
    </w:p>
    <w:p w14:paraId="53F5ECB2" w14:textId="10E617AC" w:rsidR="004177EC" w:rsidRDefault="004177EC" w:rsidP="00457CE9">
      <w:pPr>
        <w:spacing w:after="0" w:line="240" w:lineRule="auto"/>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Кесте </w:t>
      </w:r>
      <w:r w:rsidR="00311533" w:rsidRPr="00457CE9">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2</w:t>
      </w:r>
      <w:r w:rsidR="00311533" w:rsidRPr="00457CE9">
        <w:rPr>
          <w:rFonts w:ascii="Times New Roman" w:hAnsi="Times New Roman" w:cs="Times New Roman"/>
          <w:kern w:val="36"/>
          <w:sz w:val="28"/>
          <w:szCs w:val="28"/>
          <w:lang w:val="kk-KZ" w:eastAsia="zh-CN"/>
        </w:rPr>
        <w:t xml:space="preserve"> –</w:t>
      </w:r>
      <w:r w:rsidRPr="00457CE9">
        <w:rPr>
          <w:rFonts w:ascii="Times New Roman" w:hAnsi="Times New Roman" w:cs="Times New Roman"/>
          <w:kern w:val="36"/>
          <w:sz w:val="28"/>
          <w:szCs w:val="28"/>
          <w:lang w:val="kk-KZ" w:eastAsia="zh-CN"/>
        </w:rPr>
        <w:t xml:space="preserve"> «4.7. АӨК-дегі өндірістің техникалық жарақтандырылуы мен қарқындылығының</w:t>
      </w:r>
      <w:r w:rsidR="00630981">
        <w:rPr>
          <w:rFonts w:ascii="Times New Roman" w:hAnsi="Times New Roman" w:cs="Times New Roman"/>
          <w:kern w:val="36"/>
          <w:sz w:val="28"/>
          <w:szCs w:val="28"/>
          <w:lang w:val="kk-KZ" w:eastAsia="zh-CN"/>
        </w:rPr>
        <w:t xml:space="preserve"> деңгейін арттыру»/</w:t>
      </w:r>
      <w:r w:rsidRPr="00457CE9">
        <w:rPr>
          <w:rFonts w:ascii="Times New Roman" w:hAnsi="Times New Roman" w:cs="Times New Roman"/>
          <w:kern w:val="36"/>
          <w:sz w:val="28"/>
          <w:szCs w:val="28"/>
          <w:lang w:val="kk-KZ" w:eastAsia="zh-CN"/>
        </w:rPr>
        <w:t>4.6. Ауыл шаруашылығы тауарын өндірушілердің техникамен және химияландыру құралдарымен</w:t>
      </w:r>
      <w:r w:rsidRPr="00457CE9">
        <w:rPr>
          <w:rFonts w:ascii="Times New Roman" w:eastAsia="Times New Roman" w:hAnsi="Times New Roman" w:cs="Times New Roman"/>
          <w:kern w:val="36"/>
          <w:sz w:val="28"/>
          <w:szCs w:val="28"/>
          <w:lang w:val="kk-KZ" w:eastAsia="ru-RU"/>
        </w:rPr>
        <w:t xml:space="preserve"> </w:t>
      </w:r>
      <w:r w:rsidRPr="00457CE9">
        <w:rPr>
          <w:rFonts w:ascii="Times New Roman" w:hAnsi="Times New Roman" w:cs="Times New Roman"/>
          <w:kern w:val="36"/>
          <w:sz w:val="28"/>
          <w:szCs w:val="28"/>
          <w:lang w:val="kk-KZ" w:eastAsia="zh-CN"/>
        </w:rPr>
        <w:t xml:space="preserve">қамтамасыз етілуін арттыру </w:t>
      </w:r>
      <w:r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hAnsi="Times New Roman" w:cs="Times New Roman"/>
          <w:kern w:val="36"/>
          <w:sz w:val="28"/>
          <w:szCs w:val="28"/>
          <w:lang w:val="kk-KZ" w:eastAsia="zh-CN"/>
        </w:rPr>
        <w:t xml:space="preserve"> бойынша бекітілген нәтижелі көрсеткіштер мен шешу шараларының өзгерісі</w:t>
      </w:r>
    </w:p>
    <w:p w14:paraId="44F992A1" w14:textId="77777777" w:rsidR="005A4468" w:rsidRPr="005A4468" w:rsidRDefault="005A4468" w:rsidP="00457CE9">
      <w:pPr>
        <w:spacing w:after="0" w:line="240" w:lineRule="auto"/>
        <w:jc w:val="both"/>
        <w:textAlignment w:val="baseline"/>
        <w:outlineLvl w:val="0"/>
        <w:rPr>
          <w:rFonts w:ascii="Times New Roman" w:eastAsia="Times New Roman" w:hAnsi="Times New Roman" w:cs="Times New Roman"/>
          <w:kern w:val="36"/>
          <w:sz w:val="16"/>
          <w:szCs w:val="16"/>
          <w:lang w:val="kk-KZ" w:eastAsia="ru-RU"/>
        </w:rPr>
      </w:pPr>
    </w:p>
    <w:tbl>
      <w:tblPr>
        <w:tblStyle w:val="a3"/>
        <w:tblW w:w="0" w:type="auto"/>
        <w:jc w:val="center"/>
        <w:tblLook w:val="04A0" w:firstRow="1" w:lastRow="0" w:firstColumn="1" w:lastColumn="0" w:noHBand="0" w:noVBand="1"/>
      </w:tblPr>
      <w:tblGrid>
        <w:gridCol w:w="1978"/>
        <w:gridCol w:w="2577"/>
        <w:gridCol w:w="2693"/>
        <w:gridCol w:w="2375"/>
      </w:tblGrid>
      <w:tr w:rsidR="00441955" w:rsidRPr="005A4468" w14:paraId="50949AAA" w14:textId="77777777" w:rsidTr="005A4468">
        <w:trPr>
          <w:jc w:val="center"/>
        </w:trPr>
        <w:tc>
          <w:tcPr>
            <w:tcW w:w="4555" w:type="dxa"/>
            <w:gridSpan w:val="2"/>
            <w:tcBorders>
              <w:top w:val="single" w:sz="4" w:space="0" w:color="auto"/>
              <w:left w:val="single" w:sz="4" w:space="0" w:color="auto"/>
              <w:bottom w:val="single" w:sz="4" w:space="0" w:color="auto"/>
              <w:right w:val="single" w:sz="4" w:space="0" w:color="auto"/>
            </w:tcBorders>
            <w:hideMark/>
          </w:tcPr>
          <w:p w14:paraId="664799CF" w14:textId="77777777" w:rsidR="00441955" w:rsidRPr="005A4468" w:rsidRDefault="00441955" w:rsidP="005A4468">
            <w:pPr>
              <w:jc w:val="cente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Нәтижелі көрсеткіштер</w:t>
            </w:r>
          </w:p>
        </w:tc>
        <w:tc>
          <w:tcPr>
            <w:tcW w:w="5068" w:type="dxa"/>
            <w:gridSpan w:val="2"/>
            <w:tcBorders>
              <w:top w:val="single" w:sz="4" w:space="0" w:color="auto"/>
              <w:left w:val="single" w:sz="4" w:space="0" w:color="auto"/>
              <w:bottom w:val="single" w:sz="4" w:space="0" w:color="auto"/>
              <w:right w:val="single" w:sz="4" w:space="0" w:color="auto"/>
            </w:tcBorders>
            <w:hideMark/>
          </w:tcPr>
          <w:p w14:paraId="63E48379" w14:textId="77777777" w:rsidR="00441955" w:rsidRPr="005A4468" w:rsidRDefault="00441955" w:rsidP="005A4468">
            <w:pPr>
              <w:jc w:val="cente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Шешу шаралары</w:t>
            </w:r>
          </w:p>
        </w:tc>
      </w:tr>
      <w:tr w:rsidR="00441955" w:rsidRPr="005A4468" w14:paraId="17B28ECB" w14:textId="77777777" w:rsidTr="005A446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07F1D992" w14:textId="7411C0CD" w:rsidR="00441955" w:rsidRPr="005A4468" w:rsidRDefault="00441955" w:rsidP="005A4468">
            <w:pPr>
              <w:jc w:val="center"/>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val="kk-KZ" w:eastAsia="zh-CN"/>
              </w:rPr>
              <w:t>14</w:t>
            </w:r>
            <w:r w:rsidRPr="005A4468">
              <w:rPr>
                <w:rFonts w:ascii="Times New Roman" w:hAnsi="Times New Roman" w:cs="Times New Roman"/>
                <w:kern w:val="36"/>
                <w:sz w:val="24"/>
                <w:szCs w:val="24"/>
                <w:lang w:eastAsia="zh-CN"/>
              </w:rPr>
              <w:t>.02.2017 ж. редакциясы (алы</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eastAsia="zh-CN"/>
              </w:rPr>
              <w:t>нып тасталды)</w:t>
            </w:r>
          </w:p>
        </w:tc>
        <w:tc>
          <w:tcPr>
            <w:tcW w:w="2577" w:type="dxa"/>
            <w:tcBorders>
              <w:top w:val="single" w:sz="4" w:space="0" w:color="auto"/>
              <w:left w:val="single" w:sz="4" w:space="0" w:color="auto"/>
              <w:bottom w:val="single" w:sz="4" w:space="0" w:color="auto"/>
              <w:right w:val="single" w:sz="4" w:space="0" w:color="auto"/>
            </w:tcBorders>
            <w:vAlign w:val="center"/>
            <w:hideMark/>
          </w:tcPr>
          <w:p w14:paraId="64345F06" w14:textId="77777777" w:rsidR="00441955" w:rsidRPr="005A4468" w:rsidRDefault="00441955" w:rsidP="005A4468">
            <w:pPr>
              <w:jc w:val="cente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12.07.2018ж. редакция (қосылған көрсеткіштер)</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82E50BB" w14:textId="77777777" w:rsidR="00441955" w:rsidRPr="005A4468" w:rsidRDefault="00441955" w:rsidP="005A4468">
            <w:pPr>
              <w:jc w:val="center"/>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val="kk-KZ" w:eastAsia="zh-CN"/>
              </w:rPr>
              <w:t>14</w:t>
            </w:r>
            <w:r w:rsidRPr="005A4468">
              <w:rPr>
                <w:rFonts w:ascii="Times New Roman" w:hAnsi="Times New Roman" w:cs="Times New Roman"/>
                <w:kern w:val="36"/>
                <w:sz w:val="24"/>
                <w:szCs w:val="24"/>
                <w:lang w:eastAsia="zh-CN"/>
              </w:rPr>
              <w:t>.02.2017 ж. редакциясы (алынып тасталды)</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3DBF0D3" w14:textId="77777777" w:rsidR="00441955" w:rsidRPr="005A4468" w:rsidRDefault="00441955" w:rsidP="005A4468">
            <w:pPr>
              <w:jc w:val="cente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12.07.2018ж. редакция (қосылған көрсеткіштер)</w:t>
            </w:r>
          </w:p>
        </w:tc>
      </w:tr>
      <w:tr w:rsidR="00441955" w:rsidRPr="00805B3E" w14:paraId="44E72703" w14:textId="77777777" w:rsidTr="005A4468">
        <w:trPr>
          <w:jc w:val="center"/>
        </w:trPr>
        <w:tc>
          <w:tcPr>
            <w:tcW w:w="1978" w:type="dxa"/>
            <w:tcBorders>
              <w:top w:val="single" w:sz="4" w:space="0" w:color="auto"/>
              <w:left w:val="single" w:sz="4" w:space="0" w:color="auto"/>
              <w:bottom w:val="single" w:sz="4" w:space="0" w:color="auto"/>
              <w:right w:val="single" w:sz="4" w:space="0" w:color="auto"/>
            </w:tcBorders>
            <w:hideMark/>
          </w:tcPr>
          <w:p w14:paraId="4329FD4E" w14:textId="4FEBFC29" w:rsidR="00441955" w:rsidRPr="005A4468" w:rsidRDefault="00441955" w:rsidP="0064183D">
            <w:pPr>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eastAsia="zh-CN"/>
              </w:rPr>
              <w:t>Машина-трактор паркін жаңарту</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eastAsia="zh-CN"/>
              </w:rPr>
              <w:t>дың орташа дең</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eastAsia="zh-CN"/>
              </w:rPr>
              <w:t>гейі (тракторлар, комбайндар, сепкіштер),</w:t>
            </w:r>
          </w:p>
          <w:p w14:paraId="3CE78083" w14:textId="77777777" w:rsidR="00441955" w:rsidRPr="005A4468" w:rsidRDefault="00441955" w:rsidP="005A4468">
            <w:pPr>
              <w:jc w:val="left"/>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eastAsia="zh-CN"/>
              </w:rPr>
              <w:t>аспалы жабдық) 2017 ж. – 1,9%, 2018 ж. – 2,1%, 2019 ж. – 2,4%, 2020 ж. – 2,6%, 2021 ж. – 2,9%</w:t>
            </w:r>
          </w:p>
        </w:tc>
        <w:tc>
          <w:tcPr>
            <w:tcW w:w="2577" w:type="dxa"/>
            <w:tcBorders>
              <w:top w:val="single" w:sz="4" w:space="0" w:color="auto"/>
              <w:left w:val="single" w:sz="4" w:space="0" w:color="auto"/>
              <w:bottom w:val="single" w:sz="4" w:space="0" w:color="auto"/>
              <w:right w:val="single" w:sz="4" w:space="0" w:color="auto"/>
            </w:tcBorders>
            <w:hideMark/>
          </w:tcPr>
          <w:p w14:paraId="7B7FE368" w14:textId="77777777" w:rsidR="00630981" w:rsidRDefault="00441955" w:rsidP="0064183D">
            <w:pP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 xml:space="preserve">Өнімді техниканы жаңарту деңгейі (2008 жылдан бастап сатып алынғанын ескере отырып), </w:t>
            </w:r>
          </w:p>
          <w:p w14:paraId="71991261" w14:textId="77777777" w:rsidR="00630981" w:rsidRDefault="00441955" w:rsidP="005A4468">
            <w:pPr>
              <w:jc w:val="left"/>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 xml:space="preserve">2017 ж. – жоқ, </w:t>
            </w:r>
          </w:p>
          <w:p w14:paraId="2BAE6AA5" w14:textId="77777777" w:rsidR="00630981" w:rsidRDefault="00441955" w:rsidP="005A4468">
            <w:pPr>
              <w:jc w:val="left"/>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eastAsia="zh-CN"/>
              </w:rPr>
              <w:t xml:space="preserve">2018 ж. – 10,9%, </w:t>
            </w:r>
          </w:p>
          <w:p w14:paraId="49E030BF" w14:textId="5D3E03DF" w:rsidR="00630981" w:rsidRDefault="00441955" w:rsidP="005A4468">
            <w:pPr>
              <w:jc w:val="left"/>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eastAsia="zh-CN"/>
              </w:rPr>
              <w:t xml:space="preserve">2019 ж. – 14,7%, </w:t>
            </w:r>
          </w:p>
          <w:p w14:paraId="7372E02F" w14:textId="77777777" w:rsidR="00630981" w:rsidRDefault="00441955" w:rsidP="005A4468">
            <w:pPr>
              <w:jc w:val="left"/>
              <w:textAlignment w:val="baseline"/>
              <w:outlineLvl w:val="0"/>
              <w:rPr>
                <w:rFonts w:ascii="Times New Roman" w:hAnsi="Times New Roman" w:cs="Times New Roman"/>
                <w:kern w:val="36"/>
                <w:sz w:val="24"/>
                <w:szCs w:val="24"/>
                <w:lang w:eastAsia="zh-CN"/>
              </w:rPr>
            </w:pPr>
            <w:r w:rsidRPr="005A4468">
              <w:rPr>
                <w:rFonts w:ascii="Times New Roman" w:hAnsi="Times New Roman" w:cs="Times New Roman"/>
                <w:kern w:val="36"/>
                <w:sz w:val="24"/>
                <w:szCs w:val="24"/>
                <w:lang w:eastAsia="zh-CN"/>
              </w:rPr>
              <w:t xml:space="preserve">2020 ж. – 17%, </w:t>
            </w:r>
          </w:p>
          <w:p w14:paraId="041ED4BF" w14:textId="190F5015" w:rsidR="00441955" w:rsidRPr="005A4468" w:rsidRDefault="00441955" w:rsidP="005A4468">
            <w:pPr>
              <w:jc w:val="left"/>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eastAsia="zh-CN"/>
              </w:rPr>
              <w:t>2021 ж. – 18,2%</w:t>
            </w:r>
          </w:p>
        </w:tc>
        <w:tc>
          <w:tcPr>
            <w:tcW w:w="2693" w:type="dxa"/>
            <w:tcBorders>
              <w:top w:val="single" w:sz="4" w:space="0" w:color="auto"/>
              <w:left w:val="single" w:sz="4" w:space="0" w:color="auto"/>
              <w:bottom w:val="single" w:sz="4" w:space="0" w:color="auto"/>
              <w:right w:val="single" w:sz="4" w:space="0" w:color="auto"/>
            </w:tcBorders>
            <w:hideMark/>
          </w:tcPr>
          <w:p w14:paraId="2DD46793" w14:textId="37025313" w:rsidR="00441955" w:rsidRPr="005A4468" w:rsidRDefault="00441955" w:rsidP="0064183D">
            <w:pP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Тапсырманы орындау шаралары Бағдарлама</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ның «5.3. АӨК мемле</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кеттік реттеу шарала</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рын жетілдіру» бөлімін</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де «Ауыл шаруашылық машина жасау» бөлім</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шесінде «Индустрия</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лық-инновациялық дамудың мемлекеттік бағдарламасы» аясында іске асыру, АШТӨ инв</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естициялық субсидия</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лау, лизингтік қызмет</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тер көрсету арқылы деп көрсетілген. Алайда бұл жалпы шараларды орын</w:t>
            </w:r>
            <w:r w:rsidR="0064183D">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далу ықтималдылығы</w:t>
            </w:r>
            <w:r w:rsidR="0064183D">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ның төмендігін көрсетеді</w:t>
            </w:r>
          </w:p>
        </w:tc>
        <w:tc>
          <w:tcPr>
            <w:tcW w:w="2375" w:type="dxa"/>
            <w:tcBorders>
              <w:top w:val="single" w:sz="4" w:space="0" w:color="auto"/>
              <w:left w:val="single" w:sz="4" w:space="0" w:color="auto"/>
              <w:bottom w:val="single" w:sz="4" w:space="0" w:color="auto"/>
              <w:right w:val="single" w:sz="4" w:space="0" w:color="auto"/>
            </w:tcBorders>
            <w:hideMark/>
          </w:tcPr>
          <w:p w14:paraId="4896311E" w14:textId="5935C67C" w:rsidR="00441955" w:rsidRPr="005A4468" w:rsidRDefault="00441955" w:rsidP="0064183D">
            <w:pPr>
              <w:textAlignment w:val="baseline"/>
              <w:outlineLvl w:val="0"/>
              <w:rPr>
                <w:rFonts w:ascii="Times New Roman" w:hAnsi="Times New Roman" w:cs="Times New Roman"/>
                <w:kern w:val="36"/>
                <w:sz w:val="24"/>
                <w:szCs w:val="24"/>
                <w:lang w:val="kk-KZ" w:eastAsia="zh-CN"/>
              </w:rPr>
            </w:pPr>
            <w:r w:rsidRPr="005A4468">
              <w:rPr>
                <w:rFonts w:ascii="Times New Roman" w:hAnsi="Times New Roman" w:cs="Times New Roman"/>
                <w:kern w:val="36"/>
                <w:sz w:val="24"/>
                <w:szCs w:val="24"/>
                <w:lang w:val="kk-KZ" w:eastAsia="zh-CN"/>
              </w:rPr>
              <w:t>«5.7 АӨК-дегі өнді</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рістің техникалық жарақтандырылуы мен қарқындылы</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ғының деңгейін арт</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тыру» бөлімінде тап</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сырманы орындау шараларына АШТӨ инвестициялық суб</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сидиялау, лизингтік қызметтер көрсету, отандық кәсіпорын</w:t>
            </w:r>
            <w:r w:rsidR="005A4468">
              <w:rPr>
                <w:rFonts w:ascii="Times New Roman" w:hAnsi="Times New Roman" w:cs="Times New Roman"/>
                <w:kern w:val="36"/>
                <w:sz w:val="24"/>
                <w:szCs w:val="24"/>
                <w:lang w:val="kk-KZ" w:eastAsia="zh-CN"/>
              </w:rPr>
              <w:t xml:space="preserve"> </w:t>
            </w:r>
            <w:r w:rsidRPr="005A4468">
              <w:rPr>
                <w:rFonts w:ascii="Times New Roman" w:hAnsi="Times New Roman" w:cs="Times New Roman"/>
                <w:kern w:val="36"/>
                <w:sz w:val="24"/>
                <w:szCs w:val="24"/>
                <w:lang w:val="kk-KZ" w:eastAsia="zh-CN"/>
              </w:rPr>
              <w:t>дардан сатып алуды ынталандыру, ҚР аумағында әлемдік брендтердің жаңа өндірістері ашылуы  арқылы деп көрсетілген</w:t>
            </w:r>
          </w:p>
        </w:tc>
      </w:tr>
      <w:tr w:rsidR="004177EC" w:rsidRPr="005A4468" w14:paraId="41DDBF69" w14:textId="77777777" w:rsidTr="005A4468">
        <w:trPr>
          <w:jc w:val="center"/>
        </w:trPr>
        <w:tc>
          <w:tcPr>
            <w:tcW w:w="9623" w:type="dxa"/>
            <w:gridSpan w:val="4"/>
            <w:tcBorders>
              <w:top w:val="single" w:sz="4" w:space="0" w:color="auto"/>
              <w:left w:val="single" w:sz="4" w:space="0" w:color="auto"/>
              <w:bottom w:val="single" w:sz="4" w:space="0" w:color="auto"/>
              <w:right w:val="single" w:sz="4" w:space="0" w:color="auto"/>
            </w:tcBorders>
            <w:vAlign w:val="center"/>
            <w:hideMark/>
          </w:tcPr>
          <w:p w14:paraId="72D07321" w14:textId="20CE19DE" w:rsidR="004177EC" w:rsidRPr="005A4468" w:rsidRDefault="00463D68" w:rsidP="00463D68">
            <w:pPr>
              <w:ind w:firstLine="567"/>
              <w:textAlignment w:val="baseline"/>
              <w:outlineLvl w:val="0"/>
              <w:rPr>
                <w:rFonts w:ascii="Times New Roman" w:hAnsi="Times New Roman" w:cs="Times New Roman"/>
                <w:kern w:val="36"/>
                <w:sz w:val="24"/>
                <w:szCs w:val="24"/>
                <w:lang w:val="kk-KZ" w:eastAsia="zh-CN"/>
              </w:rPr>
            </w:pPr>
            <w:r w:rsidRPr="005A4468">
              <w:rPr>
                <w:rFonts w:ascii="Times New Roman" w:eastAsia="Calibri" w:hAnsi="Times New Roman" w:cs="Times New Roman"/>
                <w:sz w:val="24"/>
                <w:szCs w:val="24"/>
                <w:lang w:val="kk-KZ"/>
              </w:rPr>
              <w:t>Ескерту –</w:t>
            </w:r>
            <w:r w:rsidRPr="005A4468">
              <w:rPr>
                <w:rFonts w:ascii="Times New Roman" w:eastAsia="Calibri" w:hAnsi="Times New Roman" w:cs="Times New Roman"/>
                <w:bCs/>
                <w:sz w:val="24"/>
                <w:szCs w:val="24"/>
                <w:lang w:val="kk-KZ"/>
              </w:rPr>
              <w:t xml:space="preserve"> Әдебиет негізінде құралған</w:t>
            </w:r>
            <w:r w:rsidR="004177EC" w:rsidRPr="005A4468">
              <w:rPr>
                <w:rFonts w:ascii="Times New Roman" w:hAnsi="Times New Roman" w:cs="Times New Roman"/>
                <w:kern w:val="36"/>
                <w:sz w:val="24"/>
                <w:szCs w:val="24"/>
                <w:lang w:val="kk-KZ" w:eastAsia="zh-CN"/>
              </w:rPr>
              <w:t xml:space="preserve"> </w:t>
            </w:r>
            <w:r w:rsidR="00B004CF" w:rsidRPr="005A4468">
              <w:rPr>
                <w:rFonts w:ascii="Times New Roman" w:hAnsi="Times New Roman" w:cs="Times New Roman"/>
                <w:kern w:val="36"/>
                <w:sz w:val="24"/>
                <w:szCs w:val="24"/>
                <w:lang w:val="kk-KZ" w:eastAsia="zh-CN"/>
              </w:rPr>
              <w:t>[</w:t>
            </w:r>
            <w:r w:rsidR="00F631AC">
              <w:rPr>
                <w:rFonts w:ascii="Times New Roman" w:hAnsi="Times New Roman" w:cs="Times New Roman"/>
                <w:kern w:val="36"/>
                <w:sz w:val="24"/>
                <w:szCs w:val="24"/>
                <w:lang w:val="kk-KZ" w:eastAsia="zh-CN"/>
              </w:rPr>
              <w:t>6</w:t>
            </w:r>
            <w:r w:rsidR="004330E8">
              <w:rPr>
                <w:rFonts w:ascii="Times New Roman" w:hAnsi="Times New Roman" w:cs="Times New Roman"/>
                <w:kern w:val="36"/>
                <w:sz w:val="24"/>
                <w:szCs w:val="24"/>
                <w:lang w:val="kk-KZ" w:eastAsia="zh-CN"/>
              </w:rPr>
              <w:t>2</w:t>
            </w:r>
            <w:r w:rsidR="00B004CF" w:rsidRPr="005A4468">
              <w:rPr>
                <w:rFonts w:ascii="Times New Roman" w:hAnsi="Times New Roman" w:cs="Times New Roman"/>
                <w:kern w:val="36"/>
                <w:sz w:val="24"/>
                <w:szCs w:val="24"/>
                <w:lang w:val="kk-KZ" w:eastAsia="zh-CN"/>
              </w:rPr>
              <w:t xml:space="preserve">] </w:t>
            </w:r>
          </w:p>
        </w:tc>
      </w:tr>
    </w:tbl>
    <w:p w14:paraId="283F8759" w14:textId="77777777" w:rsidR="00F631AC" w:rsidRDefault="00F631AC"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p>
    <w:p w14:paraId="1D544FF0" w14:textId="1AE56845" w:rsidR="00F631AC" w:rsidRDefault="00F631AC" w:rsidP="00F631AC">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 xml:space="preserve">Тиімділік аудиті нәтижесінде анықталған ҚР </w:t>
      </w:r>
      <w:r w:rsidR="00575788">
        <w:rPr>
          <w:rFonts w:ascii="Times New Roman" w:hAnsi="Times New Roman" w:cs="Times New Roman"/>
          <w:kern w:val="36"/>
          <w:sz w:val="28"/>
          <w:szCs w:val="28"/>
          <w:lang w:val="kk-KZ" w:eastAsia="zh-CN"/>
        </w:rPr>
        <w:t>АӨК-н</w:t>
      </w:r>
      <w:r>
        <w:rPr>
          <w:rFonts w:ascii="Times New Roman" w:hAnsi="Times New Roman" w:cs="Times New Roman"/>
          <w:kern w:val="36"/>
          <w:sz w:val="28"/>
          <w:szCs w:val="28"/>
          <w:lang w:val="kk-KZ" w:eastAsia="zh-CN"/>
        </w:rPr>
        <w:t xml:space="preserve"> техникалық жарақтандырылуы саласында машина жасауда мынадай мәселелер бар:</w:t>
      </w:r>
    </w:p>
    <w:p w14:paraId="468B672E" w14:textId="77777777" w:rsidR="00F631AC" w:rsidRDefault="00F631AC" w:rsidP="0097172E">
      <w:pPr>
        <w:pStyle w:val="a5"/>
        <w:numPr>
          <w:ilvl w:val="3"/>
          <w:numId w:val="51"/>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Pr>
          <w:rFonts w:ascii="Times New Roman" w:hAnsi="Times New Roman"/>
          <w:kern w:val="36"/>
          <w:sz w:val="28"/>
          <w:szCs w:val="28"/>
          <w:lang w:val="kk-KZ" w:eastAsia="zh-CN"/>
        </w:rPr>
        <w:t>Ауыл шаруашылығы техникасының негізгі түрлері тозуының жоғары деңгейі.</w:t>
      </w:r>
    </w:p>
    <w:p w14:paraId="6D022401" w14:textId="77777777" w:rsidR="00F631AC" w:rsidRDefault="00F631AC" w:rsidP="0097172E">
      <w:pPr>
        <w:pStyle w:val="a5"/>
        <w:numPr>
          <w:ilvl w:val="3"/>
          <w:numId w:val="51"/>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Pr>
          <w:rFonts w:ascii="Times New Roman" w:hAnsi="Times New Roman"/>
          <w:kern w:val="36"/>
          <w:sz w:val="28"/>
          <w:szCs w:val="28"/>
          <w:lang w:val="kk-KZ" w:eastAsia="zh-CN"/>
        </w:rPr>
        <w:t>Ауыл шаруашылығы техникасын жаңарту қарқынының жеткіліксіздігі.</w:t>
      </w:r>
    </w:p>
    <w:p w14:paraId="062C2178" w14:textId="77777777" w:rsidR="00F631AC" w:rsidRDefault="00F631AC" w:rsidP="0097172E">
      <w:pPr>
        <w:pStyle w:val="a5"/>
        <w:numPr>
          <w:ilvl w:val="3"/>
          <w:numId w:val="51"/>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Pr>
          <w:rFonts w:ascii="Times New Roman" w:hAnsi="Times New Roman"/>
          <w:kern w:val="36"/>
          <w:sz w:val="28"/>
          <w:szCs w:val="28"/>
          <w:lang w:val="kk-KZ" w:eastAsia="zh-CN"/>
        </w:rPr>
        <w:t>Жинақтауыштарды оқшаулау мен өндірудің төмен деңгейі.</w:t>
      </w:r>
    </w:p>
    <w:p w14:paraId="660CA9AB" w14:textId="77777777" w:rsidR="00F631AC" w:rsidRDefault="00F631AC" w:rsidP="0097172E">
      <w:pPr>
        <w:pStyle w:val="a5"/>
        <w:numPr>
          <w:ilvl w:val="3"/>
          <w:numId w:val="51"/>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Pr>
          <w:rFonts w:ascii="Times New Roman" w:hAnsi="Times New Roman"/>
          <w:kern w:val="36"/>
          <w:sz w:val="28"/>
          <w:szCs w:val="28"/>
          <w:lang w:val="kk-KZ" w:eastAsia="zh-CN"/>
        </w:rPr>
        <w:t>Сервистік қызмет көрсету жүйесінің дамымауы.</w:t>
      </w:r>
    </w:p>
    <w:p w14:paraId="0ED6045A" w14:textId="77777777" w:rsidR="00F631AC" w:rsidRDefault="00F631AC" w:rsidP="0097172E">
      <w:pPr>
        <w:pStyle w:val="a5"/>
        <w:numPr>
          <w:ilvl w:val="3"/>
          <w:numId w:val="51"/>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Pr>
          <w:rFonts w:ascii="Times New Roman" w:hAnsi="Times New Roman"/>
          <w:kern w:val="36"/>
          <w:sz w:val="28"/>
          <w:szCs w:val="28"/>
          <w:lang w:val="kk-KZ" w:eastAsia="zh-CN"/>
        </w:rPr>
        <w:t>Мал фермаларын механикаландырудың жеткіліксіз деңгейі.</w:t>
      </w:r>
    </w:p>
    <w:p w14:paraId="4371B481" w14:textId="62A40AB6" w:rsidR="00F631AC" w:rsidRDefault="00F631AC" w:rsidP="0097172E">
      <w:pPr>
        <w:pStyle w:val="a5"/>
        <w:numPr>
          <w:ilvl w:val="3"/>
          <w:numId w:val="51"/>
        </w:numPr>
        <w:tabs>
          <w:tab w:val="left" w:pos="851"/>
          <w:tab w:val="left" w:pos="993"/>
        </w:tabs>
        <w:spacing w:after="0" w:line="240" w:lineRule="auto"/>
        <w:ind w:left="0" w:firstLine="709"/>
        <w:jc w:val="both"/>
        <w:textAlignment w:val="baseline"/>
        <w:outlineLvl w:val="0"/>
        <w:rPr>
          <w:rFonts w:ascii="Times New Roman" w:hAnsi="Times New Roman"/>
          <w:kern w:val="36"/>
          <w:sz w:val="28"/>
          <w:szCs w:val="28"/>
          <w:lang w:val="kk-KZ" w:eastAsia="zh-CN"/>
        </w:rPr>
      </w:pPr>
      <w:r>
        <w:rPr>
          <w:rFonts w:ascii="Times New Roman" w:hAnsi="Times New Roman"/>
          <w:sz w:val="28"/>
          <w:szCs w:val="28"/>
          <w:lang w:val="kk-KZ"/>
        </w:rPr>
        <w:t>Д</w:t>
      </w:r>
      <w:r>
        <w:rPr>
          <w:rFonts w:ascii="Times New Roman" w:hAnsi="Times New Roman"/>
          <w:kern w:val="36"/>
          <w:sz w:val="28"/>
          <w:szCs w:val="28"/>
          <w:lang w:val="kk-KZ" w:eastAsia="zh-CN"/>
        </w:rPr>
        <w:t>әл егіншілік жүйесін қолданудың төмен деңгейі [6</w:t>
      </w:r>
      <w:r w:rsidR="004330E8">
        <w:rPr>
          <w:rFonts w:ascii="Times New Roman" w:hAnsi="Times New Roman"/>
          <w:kern w:val="36"/>
          <w:sz w:val="28"/>
          <w:szCs w:val="28"/>
          <w:lang w:val="kk-KZ" w:eastAsia="zh-CN"/>
        </w:rPr>
        <w:t>2</w:t>
      </w:r>
      <w:r>
        <w:rPr>
          <w:rFonts w:ascii="Times New Roman" w:hAnsi="Times New Roman"/>
          <w:kern w:val="36"/>
          <w:sz w:val="28"/>
          <w:szCs w:val="28"/>
          <w:lang w:val="kk-KZ" w:eastAsia="zh-CN"/>
        </w:rPr>
        <w:t>].</w:t>
      </w:r>
    </w:p>
    <w:p w14:paraId="7C26A176" w14:textId="7613118E" w:rsidR="00F631AC" w:rsidRDefault="00F631AC" w:rsidP="00F631AC">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Pr>
          <w:rFonts w:ascii="Times New Roman" w:hAnsi="Times New Roman" w:cs="Times New Roman"/>
          <w:kern w:val="36"/>
          <w:sz w:val="28"/>
          <w:szCs w:val="28"/>
          <w:lang w:val="kk-KZ" w:eastAsia="zh-CN"/>
        </w:rPr>
        <w:t>Ауыл шаруашылығы техникасының орташа амортизациялық мерзімдері 10-12 жыл болғанына қарамастан, Бағдарламада 2017 жылғы редакцияда машина трактор паркін жаңартудың орташа деңгейі 2017 жылы 1,9%-дан 2021 жылы 2,9%-ға дейін деп жоспарланған, бұл көрсеткіштер, онсыз да пайдалану мерзімі 15 жылдан астам: тракторлар – 84%; комбайндар – 54%; сепкіштер – 88%-дан астам; дестелегіштер – 73%-ды құратыны белгілі болғанымен осы мәселені шешудің көрсеткіштері өте төмендігін көрсетеді. Бағдарламаның нәтижелі көрсеткіштерін жоспарлау сапасының төмендігін көрсетеді [6</w:t>
      </w:r>
      <w:r w:rsidR="004330E8">
        <w:rPr>
          <w:rFonts w:ascii="Times New Roman" w:hAnsi="Times New Roman" w:cs="Times New Roman"/>
          <w:kern w:val="36"/>
          <w:sz w:val="28"/>
          <w:szCs w:val="28"/>
          <w:lang w:val="kk-KZ" w:eastAsia="zh-CN"/>
        </w:rPr>
        <w:t>2</w:t>
      </w:r>
      <w:r>
        <w:rPr>
          <w:rFonts w:ascii="Times New Roman" w:hAnsi="Times New Roman" w:cs="Times New Roman"/>
          <w:kern w:val="36"/>
          <w:sz w:val="28"/>
          <w:szCs w:val="28"/>
          <w:lang w:val="kk-KZ" w:eastAsia="zh-CN"/>
        </w:rPr>
        <w:t>].</w:t>
      </w:r>
    </w:p>
    <w:p w14:paraId="1622288C" w14:textId="02F0AF1B" w:rsidR="00FB57F0" w:rsidRPr="00457CE9" w:rsidRDefault="002C405C"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 xml:space="preserve">2018 редакцияда өнімді техниканы жаңарту деңгейін </w:t>
      </w:r>
      <w:r w:rsidRPr="00457CE9">
        <w:rPr>
          <w:rFonts w:ascii="Times New Roman" w:hAnsi="Times New Roman" w:cs="Times New Roman" w:hint="eastAsia"/>
          <w:kern w:val="36"/>
          <w:sz w:val="28"/>
          <w:szCs w:val="28"/>
          <w:lang w:val="kk-KZ" w:eastAsia="zh-CN"/>
        </w:rPr>
        <w:t>2018</w:t>
      </w:r>
      <w:r w:rsidRPr="00457CE9">
        <w:rPr>
          <w:rFonts w:ascii="Times New Roman" w:hAnsi="Times New Roman" w:cs="Times New Roman"/>
          <w:kern w:val="36"/>
          <w:sz w:val="28"/>
          <w:szCs w:val="28"/>
          <w:lang w:val="kk-KZ" w:eastAsia="zh-CN"/>
        </w:rPr>
        <w:t xml:space="preserve"> жылдан бастап 10,9%-дан 2021 жылы 18,2%-ға дейін жоғарылату қарастырылған. Осы тапсырманы орындау үшін сандық көрсеткіштермен жоспарланбаған, мәселен жаңарту үшін қажет қаражат көлемі, несиелендіру және лизинг, инвестициялық субсидия көлемі келтірілмеген.</w:t>
      </w:r>
      <w:r w:rsidR="00FB57F0" w:rsidRPr="00457CE9">
        <w:rPr>
          <w:rFonts w:ascii="Times New Roman" w:hAnsi="Times New Roman" w:cs="Times New Roman"/>
          <w:kern w:val="36"/>
          <w:sz w:val="28"/>
          <w:szCs w:val="28"/>
          <w:lang w:val="kk-KZ" w:eastAsia="zh-CN"/>
        </w:rPr>
        <w:t xml:space="preserve"> </w:t>
      </w:r>
      <w:r w:rsidR="000548DE" w:rsidRPr="00457CE9">
        <w:rPr>
          <w:rFonts w:ascii="Times New Roman" w:hAnsi="Times New Roman" w:cs="Times New Roman"/>
          <w:kern w:val="36"/>
          <w:sz w:val="28"/>
          <w:szCs w:val="28"/>
          <w:lang w:val="kk-KZ" w:eastAsia="zh-CN"/>
        </w:rPr>
        <w:t>Сонымен қатар өнімді техникамен жаңартуды отандық өндірілген техникамен орындау тапсырмасы да туындап отыр. Қазіргі таңда л</w:t>
      </w:r>
      <w:r w:rsidR="00E50D3A" w:rsidRPr="00457CE9">
        <w:rPr>
          <w:rFonts w:ascii="Times New Roman" w:hAnsi="Times New Roman" w:cs="Times New Roman"/>
          <w:kern w:val="36"/>
          <w:sz w:val="28"/>
          <w:szCs w:val="28"/>
          <w:lang w:val="kk-KZ" w:eastAsia="zh-CN"/>
        </w:rPr>
        <w:t>окализ</w:t>
      </w:r>
      <w:r w:rsidR="000548DE" w:rsidRPr="00457CE9">
        <w:rPr>
          <w:rFonts w:ascii="Times New Roman" w:hAnsi="Times New Roman" w:cs="Times New Roman"/>
          <w:kern w:val="36"/>
          <w:sz w:val="28"/>
          <w:szCs w:val="28"/>
          <w:lang w:val="kk-KZ" w:eastAsia="zh-CN"/>
        </w:rPr>
        <w:t>ация деңгейі көп жағдайда 35%-</w:t>
      </w:r>
      <w:r w:rsidR="00E50D3A" w:rsidRPr="00457CE9">
        <w:rPr>
          <w:rFonts w:ascii="Times New Roman" w:hAnsi="Times New Roman" w:cs="Times New Roman"/>
          <w:kern w:val="36"/>
          <w:sz w:val="28"/>
          <w:szCs w:val="28"/>
          <w:lang w:val="kk-KZ" w:eastAsia="zh-CN"/>
        </w:rPr>
        <w:t>дан аз</w:t>
      </w:r>
      <w:r w:rsidR="000548DE" w:rsidRPr="00457CE9">
        <w:rPr>
          <w:rFonts w:ascii="Times New Roman" w:hAnsi="Times New Roman" w:cs="Times New Roman"/>
          <w:kern w:val="36"/>
          <w:sz w:val="28"/>
          <w:szCs w:val="28"/>
          <w:lang w:val="kk-KZ" w:eastAsia="zh-CN"/>
        </w:rPr>
        <w:t xml:space="preserve"> болғандықтан</w:t>
      </w:r>
      <w:r w:rsidR="00E50D3A" w:rsidRPr="00457CE9">
        <w:rPr>
          <w:rFonts w:ascii="Times New Roman" w:hAnsi="Times New Roman" w:cs="Times New Roman"/>
          <w:kern w:val="36"/>
          <w:sz w:val="28"/>
          <w:szCs w:val="28"/>
          <w:lang w:val="kk-KZ" w:eastAsia="zh-CN"/>
        </w:rPr>
        <w:t>, бұл</w:t>
      </w:r>
      <w:r w:rsidR="00FB57F0" w:rsidRPr="00457CE9">
        <w:rPr>
          <w:rFonts w:ascii="Times New Roman" w:hAnsi="Times New Roman" w:cs="Times New Roman"/>
          <w:kern w:val="36"/>
          <w:sz w:val="28"/>
          <w:szCs w:val="28"/>
          <w:lang w:val="kk-KZ" w:eastAsia="zh-CN"/>
        </w:rPr>
        <w:t xml:space="preserve"> </w:t>
      </w:r>
      <w:r w:rsidR="00E50D3A" w:rsidRPr="00457CE9">
        <w:rPr>
          <w:rFonts w:ascii="Times New Roman" w:hAnsi="Times New Roman" w:cs="Times New Roman"/>
          <w:kern w:val="36"/>
          <w:sz w:val="28"/>
          <w:szCs w:val="28"/>
          <w:lang w:val="kk-KZ" w:eastAsia="zh-CN"/>
        </w:rPr>
        <w:t>отандық</w:t>
      </w:r>
      <w:r w:rsidR="000548DE" w:rsidRPr="00457CE9">
        <w:rPr>
          <w:rFonts w:ascii="Times New Roman" w:hAnsi="Times New Roman" w:cs="Times New Roman"/>
          <w:kern w:val="36"/>
          <w:sz w:val="28"/>
          <w:szCs w:val="28"/>
          <w:lang w:val="kk-KZ" w:eastAsia="zh-CN"/>
        </w:rPr>
        <w:t xml:space="preserve"> техника бағасының өзіндік құны</w:t>
      </w:r>
      <w:r w:rsidR="00E50D3A" w:rsidRPr="00457CE9">
        <w:rPr>
          <w:rFonts w:ascii="Times New Roman" w:hAnsi="Times New Roman" w:cs="Times New Roman"/>
          <w:kern w:val="36"/>
          <w:sz w:val="28"/>
          <w:szCs w:val="28"/>
          <w:lang w:val="kk-KZ" w:eastAsia="zh-CN"/>
        </w:rPr>
        <w:t xml:space="preserve"> </w:t>
      </w:r>
      <w:r w:rsidR="000548DE" w:rsidRPr="00457CE9">
        <w:rPr>
          <w:rFonts w:ascii="Times New Roman" w:hAnsi="Times New Roman" w:cs="Times New Roman"/>
          <w:kern w:val="36"/>
          <w:sz w:val="28"/>
          <w:szCs w:val="28"/>
          <w:lang w:val="kk-KZ" w:eastAsia="zh-CN"/>
        </w:rPr>
        <w:t xml:space="preserve">импортталатын компоненттерге </w:t>
      </w:r>
      <w:r w:rsidR="00E50D3A" w:rsidRPr="00457CE9">
        <w:rPr>
          <w:rFonts w:ascii="Times New Roman" w:hAnsi="Times New Roman" w:cs="Times New Roman"/>
          <w:kern w:val="36"/>
          <w:sz w:val="28"/>
          <w:szCs w:val="28"/>
          <w:lang w:val="kk-KZ" w:eastAsia="zh-CN"/>
        </w:rPr>
        <w:t>тікелей тәуелділігіне әкеледі.</w:t>
      </w:r>
      <w:r w:rsidR="000548DE" w:rsidRPr="00457CE9">
        <w:rPr>
          <w:rFonts w:ascii="Times New Roman" w:hAnsi="Times New Roman" w:cs="Times New Roman"/>
          <w:kern w:val="36"/>
          <w:sz w:val="28"/>
          <w:szCs w:val="28"/>
          <w:lang w:val="kk-KZ" w:eastAsia="zh-CN"/>
        </w:rPr>
        <w:t xml:space="preserve"> Яғни, сонымен қатар импортталатын компоненттер өндірісін ұйымдастыру тапсырмасы да тұр. Бұл әрине күрделі қаражат тартуды талап етеді, барлық жүк мемлекеттік бюджетке түспеу үшін, жеке инвесторларды тарту жұмысын мақсатты жүргізуді қажет етіп тұр. Бағдарламаның бесінші бөлімінде </w:t>
      </w:r>
      <w:r w:rsidR="00680D7A" w:rsidRPr="00457CE9">
        <w:rPr>
          <w:rFonts w:ascii="Times New Roman" w:hAnsi="Times New Roman" w:cs="Times New Roman"/>
          <w:kern w:val="36"/>
          <w:sz w:val="28"/>
          <w:szCs w:val="28"/>
          <w:lang w:val="kk-KZ" w:eastAsia="zh-CN"/>
        </w:rPr>
        <w:t xml:space="preserve">жоғарыда бар проблемаларды шешудің шараларының жеткіліксізідігін, </w:t>
      </w:r>
      <w:r w:rsidR="000548DE" w:rsidRPr="00457CE9">
        <w:rPr>
          <w:rFonts w:ascii="Times New Roman" w:hAnsi="Times New Roman" w:cs="Times New Roman"/>
          <w:kern w:val="36"/>
          <w:sz w:val="28"/>
          <w:szCs w:val="28"/>
          <w:lang w:val="kk-KZ" w:eastAsia="zh-CN"/>
        </w:rPr>
        <w:t>мұндай шараларды нақты орындау көрсеткіштері келтірілмеген деуге болады</w:t>
      </w:r>
      <w:r w:rsidR="00B004CF" w:rsidRPr="00457CE9">
        <w:rPr>
          <w:rFonts w:ascii="Times New Roman" w:hAnsi="Times New Roman" w:cs="Times New Roman"/>
          <w:kern w:val="36"/>
          <w:sz w:val="28"/>
          <w:szCs w:val="28"/>
          <w:lang w:val="kk-KZ" w:eastAsia="zh-CN"/>
        </w:rPr>
        <w:t xml:space="preserve"> [</w:t>
      </w:r>
      <w:r w:rsidR="00F631AC">
        <w:rPr>
          <w:rFonts w:ascii="Times New Roman" w:hAnsi="Times New Roman" w:cs="Times New Roman"/>
          <w:kern w:val="36"/>
          <w:sz w:val="28"/>
          <w:szCs w:val="28"/>
          <w:lang w:val="kk-KZ" w:eastAsia="zh-CN"/>
        </w:rPr>
        <w:t>6</w:t>
      </w:r>
      <w:r w:rsidR="004330E8">
        <w:rPr>
          <w:rFonts w:ascii="Times New Roman" w:hAnsi="Times New Roman" w:cs="Times New Roman"/>
          <w:kern w:val="36"/>
          <w:sz w:val="28"/>
          <w:szCs w:val="28"/>
          <w:lang w:val="kk-KZ" w:eastAsia="zh-CN"/>
        </w:rPr>
        <w:t>2</w:t>
      </w:r>
      <w:r w:rsidR="00B004CF" w:rsidRPr="00457CE9">
        <w:rPr>
          <w:rFonts w:ascii="Times New Roman" w:hAnsi="Times New Roman" w:cs="Times New Roman"/>
          <w:kern w:val="36"/>
          <w:sz w:val="28"/>
          <w:szCs w:val="28"/>
          <w:lang w:val="kk-KZ" w:eastAsia="zh-CN"/>
        </w:rPr>
        <w:t>]</w:t>
      </w:r>
      <w:r w:rsidR="000548DE" w:rsidRPr="00457CE9">
        <w:rPr>
          <w:rFonts w:ascii="Times New Roman" w:hAnsi="Times New Roman" w:cs="Times New Roman"/>
          <w:kern w:val="36"/>
          <w:sz w:val="28"/>
          <w:szCs w:val="28"/>
          <w:lang w:val="kk-KZ" w:eastAsia="zh-CN"/>
        </w:rPr>
        <w:t>.</w:t>
      </w:r>
    </w:p>
    <w:p w14:paraId="377A3523" w14:textId="7B9FC41E" w:rsidR="000D171F" w:rsidRPr="00457CE9" w:rsidRDefault="000D171F"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heme="minorEastAsia" w:hAnsi="Times New Roman" w:cs="Times New Roman"/>
          <w:kern w:val="36"/>
          <w:sz w:val="28"/>
          <w:szCs w:val="28"/>
          <w:lang w:val="kk-KZ" w:eastAsia="zh-CN"/>
        </w:rPr>
        <w:t xml:space="preserve">Ауыл шаруашылығы саласында 101 мемлекеттік қызмет, оның ішінде 38 мемлекеттік қызмет халыққа </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 xml:space="preserve">Азаматтарға арналған үкімет </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Мемлекеттік корпорациясы</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 xml:space="preserve"> К</w:t>
      </w:r>
      <w:r w:rsidR="003E7678" w:rsidRPr="00457CE9">
        <w:rPr>
          <w:rFonts w:ascii="Times New Roman" w:eastAsiaTheme="minorEastAsia" w:hAnsi="Times New Roman" w:cs="Times New Roman"/>
          <w:kern w:val="36"/>
          <w:sz w:val="28"/>
          <w:szCs w:val="28"/>
          <w:lang w:val="kk-KZ" w:eastAsia="zh-CN"/>
        </w:rPr>
        <w:t>е</w:t>
      </w:r>
      <w:r w:rsidRPr="00457CE9">
        <w:rPr>
          <w:rFonts w:ascii="Times New Roman" w:eastAsiaTheme="minorEastAsia" w:hAnsi="Times New Roman" w:cs="Times New Roman"/>
          <w:kern w:val="36"/>
          <w:sz w:val="28"/>
          <w:szCs w:val="28"/>
          <w:lang w:val="kk-KZ" w:eastAsia="zh-CN"/>
        </w:rPr>
        <w:t xml:space="preserve">АҚ-ы арқылы көрсетіледі. 2016 жылғы 1 қаңтардағы жағдай бойынша 52 мемлекеттік қызмет көрсету бойынша оңтайландыру жүргізілген. </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Электрондық үкімет</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 xml:space="preserve"> порталы арқылы 73 мемлекеттік қызмет көрсетілуде. Бәсекелестік ортаға 2 мемлекеттік қызмет берілген</w:t>
      </w:r>
      <w:r w:rsidR="00B004CF" w:rsidRPr="00457CE9">
        <w:rPr>
          <w:rFonts w:ascii="Times New Roman" w:eastAsiaTheme="minorEastAsia" w:hAnsi="Times New Roman" w:cs="Times New Roman"/>
          <w:kern w:val="36"/>
          <w:sz w:val="28"/>
          <w:szCs w:val="28"/>
          <w:lang w:val="kk-KZ" w:eastAsia="zh-CN"/>
        </w:rPr>
        <w:t xml:space="preserve"> [</w:t>
      </w:r>
      <w:r w:rsidR="00F631AC">
        <w:rPr>
          <w:rFonts w:ascii="Times New Roman" w:eastAsiaTheme="minorEastAsia" w:hAnsi="Times New Roman" w:cs="Times New Roman"/>
          <w:kern w:val="36"/>
          <w:sz w:val="28"/>
          <w:szCs w:val="28"/>
          <w:lang w:val="kk-KZ" w:eastAsia="zh-CN"/>
        </w:rPr>
        <w:t>5</w:t>
      </w:r>
      <w:r w:rsidR="004330E8">
        <w:rPr>
          <w:rFonts w:ascii="Times New Roman" w:eastAsiaTheme="minorEastAsia" w:hAnsi="Times New Roman" w:cs="Times New Roman"/>
          <w:kern w:val="36"/>
          <w:sz w:val="28"/>
          <w:szCs w:val="28"/>
          <w:lang w:val="kk-KZ" w:eastAsia="zh-CN"/>
        </w:rPr>
        <w:t>2</w:t>
      </w:r>
      <w:r w:rsidR="00F631AC">
        <w:rPr>
          <w:rFonts w:ascii="Times New Roman" w:eastAsiaTheme="minorEastAsia" w:hAnsi="Times New Roman" w:cs="Times New Roman"/>
          <w:kern w:val="36"/>
          <w:sz w:val="28"/>
          <w:szCs w:val="28"/>
          <w:lang w:val="kk-KZ" w:eastAsia="zh-CN"/>
        </w:rPr>
        <w:t xml:space="preserve">, с. </w:t>
      </w:r>
      <w:r w:rsidR="00A74772">
        <w:rPr>
          <w:rFonts w:ascii="Times New Roman" w:eastAsiaTheme="minorEastAsia" w:hAnsi="Times New Roman" w:cs="Times New Roman"/>
          <w:kern w:val="36"/>
          <w:sz w:val="28"/>
          <w:szCs w:val="28"/>
          <w:lang w:val="kk-KZ" w:eastAsia="zh-CN"/>
        </w:rPr>
        <w:t>286</w:t>
      </w:r>
      <w:r w:rsidR="00BB4895"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w:t>
      </w:r>
    </w:p>
    <w:p w14:paraId="665554FB" w14:textId="77777777" w:rsidR="000D171F" w:rsidRPr="00457CE9" w:rsidRDefault="000D171F"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heme="minorEastAsia" w:hAnsi="Times New Roman" w:cs="Times New Roman"/>
          <w:kern w:val="36"/>
          <w:sz w:val="28"/>
          <w:szCs w:val="28"/>
          <w:lang w:val="kk-KZ" w:eastAsia="zh-CN"/>
        </w:rPr>
        <w:t>ҚР ауыл шаруашылығында ауыл шаруашылығы өнімін өндіру кезінде цифрлық технологияларды қолданатын АШТӨ үлесі мардымсыз, бұл түсімділіктің өсуіне және ауыл шаруашылығын жүргізу кезінде шығыстардың қысқаруына теріс әсер етеді.</w:t>
      </w:r>
    </w:p>
    <w:p w14:paraId="72AA1625" w14:textId="0891DE95" w:rsidR="000D171F" w:rsidRPr="00457CE9" w:rsidRDefault="000D171F"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heme="minorEastAsia" w:hAnsi="Times New Roman" w:cs="Times New Roman"/>
          <w:kern w:val="36"/>
          <w:sz w:val="28"/>
          <w:szCs w:val="28"/>
          <w:lang w:val="kk-KZ" w:eastAsia="zh-CN"/>
        </w:rPr>
        <w:t xml:space="preserve">Мемлекеттік саясаттың тиімділігі Қазақстанның Дүниежүзілік экономикалық форумның Жаһандық бәсекеге қабілеттілік индексіндегі </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Аграрлық саясаттың ауыртпалығы</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 xml:space="preserve"> көрсеткіші бойынша ұстанымымен де айқындалады. Анықтама: 2011 жылы – 49 орыннан 2015 жылы 70 орынға ие болған, бұл мемлекеттік саясат тиімділігінің төмендегенін растайды.</w:t>
      </w:r>
    </w:p>
    <w:p w14:paraId="0220780A" w14:textId="19AAFC77" w:rsidR="008C4398" w:rsidRPr="00457CE9" w:rsidRDefault="008C4398"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heme="minorEastAsia" w:hAnsi="Times New Roman" w:cs="Times New Roman" w:hint="eastAsia"/>
          <w:kern w:val="36"/>
          <w:sz w:val="28"/>
          <w:szCs w:val="28"/>
          <w:lang w:val="kk-KZ" w:eastAsia="zh-CN"/>
        </w:rPr>
        <w:t xml:space="preserve">2018 </w:t>
      </w:r>
      <w:r w:rsidRPr="00457CE9">
        <w:rPr>
          <w:rFonts w:ascii="Times New Roman" w:eastAsiaTheme="minorEastAsia" w:hAnsi="Times New Roman" w:cs="Times New Roman"/>
          <w:kern w:val="36"/>
          <w:sz w:val="28"/>
          <w:szCs w:val="28"/>
          <w:lang w:val="kk-KZ" w:eastAsia="zh-CN"/>
        </w:rPr>
        <w:t xml:space="preserve">жылғы редакциядағы Бағдарламаның </w:t>
      </w:r>
      <w:r w:rsidR="003C56BE" w:rsidRPr="00457CE9">
        <w:rPr>
          <w:rFonts w:ascii="Times New Roman" w:eastAsiaTheme="minorEastAsia" w:hAnsi="Times New Roman" w:cs="Times New Roman"/>
          <w:kern w:val="36"/>
          <w:sz w:val="28"/>
          <w:szCs w:val="28"/>
          <w:lang w:val="kk-KZ" w:eastAsia="zh-CN"/>
        </w:rPr>
        <w:t>«</w:t>
      </w:r>
      <w:r w:rsidRPr="00457CE9">
        <w:rPr>
          <w:rFonts w:ascii="Times New Roman" w:eastAsia="Times New Roman" w:hAnsi="Times New Roman" w:cs="Times New Roman"/>
          <w:kern w:val="36"/>
          <w:sz w:val="28"/>
          <w:szCs w:val="28"/>
          <w:lang w:val="kk-KZ" w:eastAsia="ru-RU"/>
        </w:rPr>
        <w:t>4.8.</w:t>
      </w:r>
      <w:r w:rsidR="00545DEE"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Мемлекеттік көрсетілетін қызметтердің сапасын арттыру және АӨК-</w:t>
      </w:r>
      <w:r w:rsidR="0064183D">
        <w:rPr>
          <w:rFonts w:ascii="Times New Roman" w:eastAsia="Times New Roman" w:hAnsi="Times New Roman" w:cs="Times New Roman"/>
          <w:kern w:val="36"/>
          <w:sz w:val="28"/>
          <w:szCs w:val="28"/>
          <w:lang w:val="kk-KZ" w:eastAsia="ru-RU"/>
        </w:rPr>
        <w:t>н</w:t>
      </w:r>
      <w:r w:rsidRPr="00457CE9">
        <w:rPr>
          <w:rFonts w:ascii="Times New Roman" w:eastAsia="Times New Roman" w:hAnsi="Times New Roman" w:cs="Times New Roman"/>
          <w:kern w:val="36"/>
          <w:sz w:val="28"/>
          <w:szCs w:val="28"/>
          <w:lang w:val="kk-KZ" w:eastAsia="ru-RU"/>
        </w:rPr>
        <w:t>е цифрлық технологияларды енгізуді қамтамасыз ету</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r w:rsidR="000D171F" w:rsidRPr="00457CE9">
        <w:rPr>
          <w:rFonts w:ascii="Times New Roman" w:eastAsia="Times New Roman" w:hAnsi="Times New Roman" w:cs="Times New Roman"/>
          <w:kern w:val="36"/>
          <w:sz w:val="28"/>
          <w:szCs w:val="28"/>
          <w:lang w:val="kk-KZ" w:eastAsia="ru-RU"/>
        </w:rPr>
        <w:t>нысаналы индикаторы</w:t>
      </w:r>
      <w:r w:rsidRPr="00457CE9">
        <w:rPr>
          <w:rFonts w:ascii="Times New Roman" w:eastAsia="Times New Roman" w:hAnsi="Times New Roman" w:cs="Times New Roman"/>
          <w:kern w:val="36"/>
          <w:sz w:val="28"/>
          <w:szCs w:val="28"/>
          <w:lang w:val="kk-KZ" w:eastAsia="ru-RU"/>
        </w:rPr>
        <w:t xml:space="preserve"> бойынша </w:t>
      </w:r>
      <w:r w:rsidR="001F3001" w:rsidRPr="00457CE9">
        <w:rPr>
          <w:rFonts w:ascii="Times New Roman" w:eastAsia="Times New Roman" w:hAnsi="Times New Roman" w:cs="Times New Roman"/>
          <w:kern w:val="36"/>
          <w:sz w:val="28"/>
          <w:szCs w:val="28"/>
          <w:lang w:val="kk-KZ" w:eastAsia="ru-RU"/>
        </w:rPr>
        <w:t xml:space="preserve">нәтижелі көрсеткіш ретінде мемлекеттік қызметтерді автоматтандыруды жоспарлаған, яғни, </w:t>
      </w:r>
      <w:r w:rsidR="001F3001" w:rsidRPr="00457CE9">
        <w:rPr>
          <w:rFonts w:ascii="Times New Roman" w:eastAsiaTheme="minorEastAsia" w:hAnsi="Times New Roman" w:cs="Times New Roman" w:hint="eastAsia"/>
          <w:kern w:val="36"/>
          <w:sz w:val="28"/>
          <w:szCs w:val="28"/>
          <w:lang w:val="kk-KZ" w:eastAsia="zh-CN"/>
        </w:rPr>
        <w:t>2017</w:t>
      </w:r>
      <w:r w:rsidR="001F3001" w:rsidRPr="00457CE9">
        <w:rPr>
          <w:rFonts w:ascii="Times New Roman" w:eastAsiaTheme="minorEastAsia" w:hAnsi="Times New Roman" w:cs="Times New Roman"/>
          <w:kern w:val="36"/>
          <w:sz w:val="28"/>
          <w:szCs w:val="28"/>
          <w:lang w:val="kk-KZ" w:eastAsia="zh-CN"/>
        </w:rPr>
        <w:t xml:space="preserve"> жылы 55%, 2018 жылы 60%,  2019 жылы 80%,  2020 жылы 90%,  2021 жылы 100%.</w:t>
      </w:r>
      <w:r w:rsidR="000D171F" w:rsidRPr="00457CE9">
        <w:rPr>
          <w:rFonts w:ascii="Times New Roman" w:eastAsiaTheme="minorEastAsia" w:hAnsi="Times New Roman" w:cs="Times New Roman"/>
          <w:kern w:val="36"/>
          <w:sz w:val="28"/>
          <w:szCs w:val="28"/>
          <w:lang w:val="kk-KZ" w:eastAsia="zh-CN"/>
        </w:rPr>
        <w:t xml:space="preserve"> Дегенмен бұл жобаны іске асырудың бюджеті қарастырылмаған</w:t>
      </w:r>
      <w:r w:rsidR="00B004CF" w:rsidRPr="00457CE9">
        <w:rPr>
          <w:rFonts w:ascii="Times New Roman" w:eastAsiaTheme="minorEastAsia" w:hAnsi="Times New Roman" w:cs="Times New Roman"/>
          <w:kern w:val="36"/>
          <w:sz w:val="28"/>
          <w:szCs w:val="28"/>
          <w:lang w:val="kk-KZ" w:eastAsia="zh-CN"/>
        </w:rPr>
        <w:t xml:space="preserve"> [</w:t>
      </w:r>
      <w:r w:rsidR="00A74772">
        <w:rPr>
          <w:rFonts w:ascii="Times New Roman" w:eastAsiaTheme="minorEastAsia" w:hAnsi="Times New Roman" w:cs="Times New Roman"/>
          <w:kern w:val="36"/>
          <w:sz w:val="28"/>
          <w:szCs w:val="28"/>
          <w:lang w:val="kk-KZ" w:eastAsia="zh-CN"/>
        </w:rPr>
        <w:t>6</w:t>
      </w:r>
      <w:r w:rsidR="004330E8">
        <w:rPr>
          <w:rFonts w:ascii="Times New Roman" w:eastAsiaTheme="minorEastAsia" w:hAnsi="Times New Roman" w:cs="Times New Roman"/>
          <w:kern w:val="36"/>
          <w:sz w:val="28"/>
          <w:szCs w:val="28"/>
          <w:lang w:val="kk-KZ" w:eastAsia="zh-CN"/>
        </w:rPr>
        <w:t>2</w:t>
      </w:r>
      <w:r w:rsidR="00B004CF" w:rsidRPr="00457CE9">
        <w:rPr>
          <w:rFonts w:ascii="Times New Roman" w:eastAsiaTheme="minorEastAsia" w:hAnsi="Times New Roman" w:cs="Times New Roman"/>
          <w:kern w:val="36"/>
          <w:sz w:val="28"/>
          <w:szCs w:val="28"/>
          <w:lang w:val="kk-KZ" w:eastAsia="zh-CN"/>
        </w:rPr>
        <w:t>]</w:t>
      </w:r>
      <w:r w:rsidR="000D171F" w:rsidRPr="00457CE9">
        <w:rPr>
          <w:rFonts w:ascii="Times New Roman" w:eastAsiaTheme="minorEastAsia" w:hAnsi="Times New Roman" w:cs="Times New Roman"/>
          <w:kern w:val="36"/>
          <w:sz w:val="28"/>
          <w:szCs w:val="28"/>
          <w:lang w:val="kk-KZ" w:eastAsia="zh-CN"/>
        </w:rPr>
        <w:t>.</w:t>
      </w:r>
    </w:p>
    <w:p w14:paraId="37773C1F" w14:textId="1889FD0A" w:rsidR="000511D4" w:rsidRPr="00457CE9" w:rsidRDefault="000D171F"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imes New Roman" w:hAnsi="Times New Roman" w:cs="Times New Roman"/>
          <w:kern w:val="36"/>
          <w:sz w:val="28"/>
          <w:szCs w:val="28"/>
          <w:lang w:val="kk-KZ" w:eastAsia="ru-RU"/>
        </w:rPr>
        <w:t xml:space="preserve">Бағдарламаның соңғы нысаналы индикаторы </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4.9.Ауылдық жерлерде тұратын халықтың өмір сүру жағдайларына қанағаттану деңгейін арттыру</w:t>
      </w:r>
      <w:r w:rsidR="003C56BE"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heme="minorEastAsia" w:hAnsi="Times New Roman" w:cs="Times New Roman" w:hint="eastAsia"/>
          <w:kern w:val="36"/>
          <w:sz w:val="28"/>
          <w:szCs w:val="28"/>
          <w:lang w:val="kk-KZ" w:eastAsia="zh-CN"/>
        </w:rPr>
        <w:t>2018</w:t>
      </w:r>
      <w:r w:rsidRPr="00457CE9">
        <w:rPr>
          <w:rFonts w:ascii="Times New Roman" w:eastAsiaTheme="minorEastAsia" w:hAnsi="Times New Roman" w:cs="Times New Roman"/>
          <w:kern w:val="36"/>
          <w:sz w:val="28"/>
          <w:szCs w:val="28"/>
          <w:lang w:val="kk-KZ" w:eastAsia="zh-CN"/>
        </w:rPr>
        <w:t xml:space="preserve"> жылғы редакцияға енгізілген. </w:t>
      </w:r>
      <w:r w:rsidR="000511D4" w:rsidRPr="00457CE9">
        <w:rPr>
          <w:rFonts w:ascii="Times New Roman" w:eastAsiaTheme="minorEastAsia" w:hAnsi="Times New Roman" w:cs="Times New Roman"/>
          <w:kern w:val="36"/>
          <w:sz w:val="28"/>
          <w:szCs w:val="28"/>
          <w:lang w:val="kk-KZ" w:eastAsia="zh-CN"/>
        </w:rPr>
        <w:t>Ауыл шаруашылығы өндірісінің басқа салалардан айырмашылығы және оның ерекшелігі ауыл шаруашылығы тек өндіріс саласы ғана емес, сонымен бірге ел халқының көп бөлігінің өмір сүру саласы болып табылады</w:t>
      </w:r>
      <w:r w:rsidR="00B004CF" w:rsidRPr="00457CE9">
        <w:rPr>
          <w:rFonts w:ascii="Times New Roman" w:eastAsiaTheme="minorEastAsia" w:hAnsi="Times New Roman" w:cs="Times New Roman"/>
          <w:kern w:val="36"/>
          <w:sz w:val="28"/>
          <w:szCs w:val="28"/>
          <w:lang w:val="kk-KZ" w:eastAsia="zh-CN"/>
        </w:rPr>
        <w:t xml:space="preserve"> [</w:t>
      </w:r>
      <w:r w:rsidR="00A74772">
        <w:rPr>
          <w:rFonts w:ascii="Times New Roman" w:eastAsiaTheme="minorEastAsia" w:hAnsi="Times New Roman" w:cs="Times New Roman"/>
          <w:kern w:val="36"/>
          <w:sz w:val="28"/>
          <w:szCs w:val="28"/>
          <w:lang w:val="kk-KZ" w:eastAsia="zh-CN"/>
        </w:rPr>
        <w:t>6</w:t>
      </w:r>
      <w:r w:rsidR="004330E8">
        <w:rPr>
          <w:rFonts w:ascii="Times New Roman" w:eastAsiaTheme="minorEastAsia" w:hAnsi="Times New Roman" w:cs="Times New Roman"/>
          <w:kern w:val="36"/>
          <w:sz w:val="28"/>
          <w:szCs w:val="28"/>
          <w:lang w:val="kk-KZ" w:eastAsia="zh-CN"/>
        </w:rPr>
        <w:t>2</w:t>
      </w:r>
      <w:r w:rsidR="00B004CF" w:rsidRPr="00457CE9">
        <w:rPr>
          <w:rFonts w:ascii="Times New Roman" w:eastAsiaTheme="minorEastAsia" w:hAnsi="Times New Roman" w:cs="Times New Roman"/>
          <w:kern w:val="36"/>
          <w:sz w:val="28"/>
          <w:szCs w:val="28"/>
          <w:lang w:val="kk-KZ" w:eastAsia="zh-CN"/>
        </w:rPr>
        <w:t>]</w:t>
      </w:r>
      <w:r w:rsidR="000511D4" w:rsidRPr="00457CE9">
        <w:rPr>
          <w:rFonts w:ascii="Times New Roman" w:eastAsiaTheme="minorEastAsia" w:hAnsi="Times New Roman" w:cs="Times New Roman"/>
          <w:kern w:val="36"/>
          <w:sz w:val="28"/>
          <w:szCs w:val="28"/>
          <w:lang w:val="kk-KZ" w:eastAsia="zh-CN"/>
        </w:rPr>
        <w:t>.</w:t>
      </w:r>
    </w:p>
    <w:p w14:paraId="6132D5FC" w14:textId="71CC9143" w:rsidR="00A70C61" w:rsidRPr="00457CE9" w:rsidRDefault="000511D4"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heme="minorEastAsia" w:hAnsi="Times New Roman" w:cs="Times New Roman"/>
          <w:kern w:val="36"/>
          <w:sz w:val="28"/>
          <w:szCs w:val="28"/>
          <w:lang w:val="kk-KZ" w:eastAsia="zh-CN"/>
        </w:rPr>
        <w:t>2017 жылғы 1 қаңтардағы жағдай бойынша 6660 ауылдық елді мекен  бар, оларда 7,7 млн. адам тұрады, 500 адамнан астам халқы бар ауылдар саны 3151 бірлікті (47%) құрайды, оларда барлық ауыл халқының 91% тұрады.</w:t>
      </w:r>
      <w:r w:rsidR="00E036BC" w:rsidRPr="00457CE9">
        <w:rPr>
          <w:rFonts w:ascii="Times New Roman" w:eastAsiaTheme="minorEastAsia" w:hAnsi="Times New Roman" w:cs="Times New Roman"/>
          <w:kern w:val="36"/>
          <w:sz w:val="28"/>
          <w:szCs w:val="28"/>
          <w:lang w:val="kk-KZ" w:eastAsia="zh-CN"/>
        </w:rPr>
        <w:t xml:space="preserve"> </w:t>
      </w:r>
      <w:r w:rsidRPr="00457CE9">
        <w:rPr>
          <w:rFonts w:ascii="Times New Roman" w:eastAsiaTheme="minorEastAsia" w:hAnsi="Times New Roman" w:cs="Times New Roman"/>
          <w:kern w:val="36"/>
          <w:sz w:val="28"/>
          <w:szCs w:val="28"/>
          <w:lang w:val="kk-KZ" w:eastAsia="zh-CN"/>
        </w:rPr>
        <w:t xml:space="preserve">Ауылдық елді мекендерді дамыту </w:t>
      </w:r>
      <w:r w:rsidR="00D52489" w:rsidRPr="00457CE9">
        <w:rPr>
          <w:rFonts w:ascii="Times New Roman" w:eastAsiaTheme="minorEastAsia" w:hAnsi="Times New Roman" w:cs="Times New Roman"/>
          <w:kern w:val="36"/>
          <w:sz w:val="28"/>
          <w:szCs w:val="28"/>
          <w:lang w:val="kk-KZ" w:eastAsia="zh-CN"/>
        </w:rPr>
        <w:t>ауыл тұрғындарының өмір сүру сапасын жақсарту дегенді білдіре</w:t>
      </w:r>
      <w:r w:rsidR="0041038C" w:rsidRPr="00457CE9">
        <w:rPr>
          <w:rFonts w:ascii="Times New Roman" w:eastAsiaTheme="minorEastAsia" w:hAnsi="Times New Roman" w:cs="Times New Roman"/>
          <w:kern w:val="36"/>
          <w:sz w:val="28"/>
          <w:szCs w:val="28"/>
          <w:lang w:val="kk-KZ" w:eastAsia="zh-CN"/>
        </w:rPr>
        <w:t xml:space="preserve">ді. </w:t>
      </w:r>
      <w:r w:rsidR="008809C0" w:rsidRPr="00457CE9">
        <w:rPr>
          <w:rFonts w:ascii="Times New Roman" w:eastAsiaTheme="minorEastAsia" w:hAnsi="Times New Roman" w:cs="Times New Roman"/>
          <w:kern w:val="36"/>
          <w:sz w:val="28"/>
          <w:szCs w:val="28"/>
          <w:lang w:val="kk-KZ" w:eastAsia="zh-CN"/>
        </w:rPr>
        <w:t>Бұл ауылдық елді мекендерді бірінші кезекте таза сумен</w:t>
      </w:r>
      <w:r w:rsidR="00A70C61" w:rsidRPr="00457CE9">
        <w:rPr>
          <w:rFonts w:ascii="Times New Roman" w:eastAsiaTheme="minorEastAsia" w:hAnsi="Times New Roman" w:cs="Times New Roman"/>
          <w:kern w:val="36"/>
          <w:sz w:val="28"/>
          <w:szCs w:val="28"/>
          <w:lang w:val="kk-KZ" w:eastAsia="zh-CN"/>
        </w:rPr>
        <w:t>, жарық пен жылу,</w:t>
      </w:r>
      <w:r w:rsidR="008809C0" w:rsidRPr="00457CE9">
        <w:rPr>
          <w:rFonts w:ascii="Times New Roman" w:eastAsiaTheme="minorEastAsia" w:hAnsi="Times New Roman" w:cs="Times New Roman"/>
          <w:kern w:val="36"/>
          <w:sz w:val="28"/>
          <w:szCs w:val="28"/>
          <w:lang w:val="kk-KZ" w:eastAsia="zh-CN"/>
        </w:rPr>
        <w:t xml:space="preserve"> </w:t>
      </w:r>
      <w:r w:rsidR="00A70C61" w:rsidRPr="00457CE9">
        <w:rPr>
          <w:rFonts w:ascii="Times New Roman" w:eastAsiaTheme="minorEastAsia" w:hAnsi="Times New Roman" w:cs="Times New Roman"/>
          <w:kern w:val="36"/>
          <w:sz w:val="28"/>
          <w:szCs w:val="28"/>
          <w:lang w:val="kk-KZ" w:eastAsia="zh-CN"/>
        </w:rPr>
        <w:t xml:space="preserve">байланыспен </w:t>
      </w:r>
      <w:r w:rsidR="008809C0" w:rsidRPr="00457CE9">
        <w:rPr>
          <w:rFonts w:ascii="Times New Roman" w:eastAsiaTheme="minorEastAsia" w:hAnsi="Times New Roman" w:cs="Times New Roman"/>
          <w:kern w:val="36"/>
          <w:sz w:val="28"/>
          <w:szCs w:val="28"/>
          <w:lang w:val="kk-KZ" w:eastAsia="zh-CN"/>
        </w:rPr>
        <w:t>қамту өзекті мәселеге айналған</w:t>
      </w:r>
      <w:r w:rsidR="00B004CF" w:rsidRPr="00457CE9">
        <w:rPr>
          <w:rFonts w:ascii="Times New Roman" w:eastAsiaTheme="minorEastAsia" w:hAnsi="Times New Roman" w:cs="Times New Roman"/>
          <w:kern w:val="36"/>
          <w:sz w:val="28"/>
          <w:szCs w:val="28"/>
          <w:lang w:val="kk-KZ" w:eastAsia="zh-CN"/>
        </w:rPr>
        <w:t xml:space="preserve"> [</w:t>
      </w:r>
      <w:r w:rsidR="00A74772">
        <w:rPr>
          <w:rFonts w:ascii="Times New Roman" w:eastAsiaTheme="minorEastAsia" w:hAnsi="Times New Roman" w:cs="Times New Roman"/>
          <w:kern w:val="36"/>
          <w:sz w:val="28"/>
          <w:szCs w:val="28"/>
          <w:lang w:val="kk-KZ" w:eastAsia="zh-CN"/>
        </w:rPr>
        <w:t>6</w:t>
      </w:r>
      <w:r w:rsidR="004330E8">
        <w:rPr>
          <w:rFonts w:ascii="Times New Roman" w:eastAsiaTheme="minorEastAsia" w:hAnsi="Times New Roman" w:cs="Times New Roman"/>
          <w:kern w:val="36"/>
          <w:sz w:val="28"/>
          <w:szCs w:val="28"/>
          <w:lang w:val="kk-KZ" w:eastAsia="zh-CN"/>
        </w:rPr>
        <w:t>2</w:t>
      </w:r>
      <w:r w:rsidR="00B004CF" w:rsidRPr="00457CE9">
        <w:rPr>
          <w:rFonts w:ascii="Times New Roman" w:eastAsiaTheme="minorEastAsia" w:hAnsi="Times New Roman" w:cs="Times New Roman"/>
          <w:kern w:val="36"/>
          <w:sz w:val="28"/>
          <w:szCs w:val="28"/>
          <w:lang w:val="kk-KZ" w:eastAsia="zh-CN"/>
        </w:rPr>
        <w:t>]</w:t>
      </w:r>
      <w:r w:rsidR="008809C0" w:rsidRPr="00457CE9">
        <w:rPr>
          <w:rFonts w:ascii="Times New Roman" w:eastAsiaTheme="minorEastAsia" w:hAnsi="Times New Roman" w:cs="Times New Roman"/>
          <w:kern w:val="36"/>
          <w:sz w:val="28"/>
          <w:szCs w:val="28"/>
          <w:lang w:val="kk-KZ" w:eastAsia="zh-CN"/>
        </w:rPr>
        <w:t>.</w:t>
      </w:r>
      <w:r w:rsidR="00A70C61" w:rsidRPr="00457CE9">
        <w:rPr>
          <w:rFonts w:ascii="Times New Roman" w:eastAsiaTheme="minorEastAsia" w:hAnsi="Times New Roman" w:cs="Times New Roman"/>
          <w:kern w:val="36"/>
          <w:sz w:val="28"/>
          <w:szCs w:val="28"/>
          <w:lang w:val="kk-KZ" w:eastAsia="zh-CN"/>
        </w:rPr>
        <w:t xml:space="preserve"> </w:t>
      </w:r>
    </w:p>
    <w:p w14:paraId="3E9DCC2F" w14:textId="67BE6594" w:rsidR="00E036BC" w:rsidRPr="00457CE9" w:rsidRDefault="00BC51AA" w:rsidP="00457CE9">
      <w:pPr>
        <w:tabs>
          <w:tab w:val="left" w:pos="851"/>
        </w:tabs>
        <w:spacing w:after="0" w:line="240" w:lineRule="auto"/>
        <w:ind w:firstLine="709"/>
        <w:jc w:val="both"/>
        <w:textAlignment w:val="baseline"/>
        <w:outlineLvl w:val="0"/>
        <w:rPr>
          <w:rFonts w:ascii="Times New Roman" w:eastAsiaTheme="minorEastAsia" w:hAnsi="Times New Roman" w:cs="Times New Roman"/>
          <w:kern w:val="36"/>
          <w:sz w:val="28"/>
          <w:szCs w:val="28"/>
          <w:lang w:val="kk-KZ" w:eastAsia="zh-CN"/>
        </w:rPr>
      </w:pPr>
      <w:r w:rsidRPr="00457CE9">
        <w:rPr>
          <w:rFonts w:ascii="Times New Roman" w:eastAsiaTheme="minorEastAsia" w:hAnsi="Times New Roman" w:cs="Times New Roman"/>
          <w:kern w:val="36"/>
          <w:sz w:val="28"/>
          <w:szCs w:val="28"/>
          <w:lang w:val="kk-KZ" w:eastAsia="zh-CN"/>
        </w:rPr>
        <w:t xml:space="preserve">Ауылдық аумақтардың қазіргі әлеуметтік және басқа да инженерлік инфрақұрылымының деңгейі де халықтың өмір сүру сапасының қазіргі заманғы стандарттарына сәйкес келмейді. Ауылдық аумақтарды дамыту мәселелерін шешу түрлі бағдарламалық құжаттар шеңберінде көзделген, алайда қойылған міндеттерге қол жеткізу үшін осы бағытты іске асыру жөніндегі шараларды күшейту қажет. Әлеуметтік игіліктерге қол жетімділіктің шектеулі болуына, жұмыстардың маусымдылығына және еңбекақының төмен болуына байланысты құзыретті мамандар аграрлық сектордағы жұмысқа уәжделмейді және бірінші мүмкіндік болған кезде, әдетте, қалаларға кетіп, неғұрлым </w:t>
      </w:r>
      <w:r w:rsidR="00F71B14">
        <w:rPr>
          <w:rFonts w:ascii="Times New Roman" w:eastAsiaTheme="minorEastAsia" w:hAnsi="Times New Roman" w:cs="Times New Roman"/>
          <w:kern w:val="36"/>
          <w:sz w:val="28"/>
          <w:szCs w:val="28"/>
          <w:lang w:val="kk-KZ" w:eastAsia="zh-CN"/>
        </w:rPr>
        <w:t xml:space="preserve">жоғары </w:t>
      </w:r>
      <w:r w:rsidRPr="00457CE9">
        <w:rPr>
          <w:rFonts w:ascii="Times New Roman" w:eastAsiaTheme="minorEastAsia" w:hAnsi="Times New Roman" w:cs="Times New Roman"/>
          <w:kern w:val="36"/>
          <w:sz w:val="28"/>
          <w:szCs w:val="28"/>
          <w:lang w:val="kk-KZ" w:eastAsia="zh-CN"/>
        </w:rPr>
        <w:t xml:space="preserve">ақы төленетін жұмысқа көшеді. </w:t>
      </w:r>
    </w:p>
    <w:p w14:paraId="61D2C87E" w14:textId="6EA14174" w:rsidR="008C4398" w:rsidRPr="00457CE9" w:rsidRDefault="00BC51AA"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eastAsiaTheme="minorEastAsia" w:hAnsi="Times New Roman" w:cs="Times New Roman"/>
          <w:kern w:val="36"/>
          <w:sz w:val="28"/>
          <w:szCs w:val="28"/>
          <w:lang w:val="kk-KZ" w:eastAsia="zh-CN"/>
        </w:rPr>
        <w:t>Бұл жағдай АӨК-дегі білікті кәсіби кадрлардың жаппай кетуіне және тапшылығына алып келеді.</w:t>
      </w:r>
      <w:r w:rsidR="00E036BC" w:rsidRPr="00457CE9">
        <w:rPr>
          <w:rFonts w:ascii="Times New Roman" w:eastAsiaTheme="minorEastAsia" w:hAnsi="Times New Roman" w:cs="Times New Roman"/>
          <w:kern w:val="36"/>
          <w:sz w:val="28"/>
          <w:szCs w:val="28"/>
          <w:lang w:val="kk-KZ" w:eastAsia="zh-CN"/>
        </w:rPr>
        <w:t xml:space="preserve"> </w:t>
      </w:r>
      <w:r w:rsidRPr="00457CE9">
        <w:rPr>
          <w:rFonts w:ascii="Times New Roman" w:eastAsiaTheme="minorEastAsia" w:hAnsi="Times New Roman" w:cs="Times New Roman"/>
          <w:kern w:val="36"/>
          <w:sz w:val="28"/>
          <w:szCs w:val="28"/>
          <w:lang w:val="kk-KZ" w:eastAsia="zh-CN"/>
        </w:rPr>
        <w:t>Бұл ретте ауыл шаруашылығы кәсіпорындарының басым бөлігі ауылдық елді мекенде қажетті әлеуметтік-тұрмыстық жағдайлар жасауға және инфрақұрылымды қолдауға елеулі ресурстар жұмсауға мәжбүр. Тиісінше, бұл оның бәсекеге қабілеттілігін төмендете отырып, ауыл шаруашылығы өнімінің өзіндік құнына әсер етеді.</w:t>
      </w:r>
      <w:r w:rsidR="0082390D" w:rsidRPr="00457CE9">
        <w:rPr>
          <w:rFonts w:ascii="Times New Roman" w:eastAsiaTheme="minorEastAsia" w:hAnsi="Times New Roman" w:cs="Times New Roman"/>
          <w:kern w:val="36"/>
          <w:sz w:val="28"/>
          <w:szCs w:val="28"/>
          <w:lang w:val="kk-KZ" w:eastAsia="zh-CN"/>
        </w:rPr>
        <w:t xml:space="preserve"> </w:t>
      </w:r>
      <w:r w:rsidRPr="00457CE9">
        <w:rPr>
          <w:rFonts w:ascii="Times New Roman" w:eastAsiaTheme="minorEastAsia" w:hAnsi="Times New Roman" w:cs="Times New Roman"/>
          <w:kern w:val="36"/>
          <w:sz w:val="28"/>
          <w:szCs w:val="28"/>
          <w:lang w:val="kk-KZ" w:eastAsia="zh-CN"/>
        </w:rPr>
        <w:t>Осыған байланысты, ауылдық аумақтарды дамытудың жалпы мәселелерін шешумен қатар, ауыл халқының неғұрлым жоғары өмір сүру деңгейін қамтамасыз ету үшін ауылдық жерлерде экономикалық өсу орталықтарын кешенді дамыту қажет деп Бағдарламад</w:t>
      </w:r>
      <w:r w:rsidR="00F537DF" w:rsidRPr="00457CE9">
        <w:rPr>
          <w:rFonts w:ascii="Times New Roman" w:eastAsiaTheme="minorEastAsia" w:hAnsi="Times New Roman" w:cs="Times New Roman"/>
          <w:kern w:val="36"/>
          <w:sz w:val="28"/>
          <w:szCs w:val="28"/>
          <w:lang w:val="kk-KZ" w:eastAsia="zh-CN"/>
        </w:rPr>
        <w:t>а</w:t>
      </w:r>
      <w:r w:rsidRPr="00457CE9">
        <w:rPr>
          <w:rFonts w:ascii="Times New Roman" w:eastAsiaTheme="minorEastAsia" w:hAnsi="Times New Roman" w:cs="Times New Roman"/>
          <w:kern w:val="36"/>
          <w:sz w:val="28"/>
          <w:szCs w:val="28"/>
          <w:lang w:val="kk-KZ" w:eastAsia="zh-CN"/>
        </w:rPr>
        <w:t xml:space="preserve"> атап өтілген</w:t>
      </w:r>
      <w:r w:rsidR="00CA01DE" w:rsidRPr="00457CE9">
        <w:rPr>
          <w:rFonts w:ascii="Times New Roman" w:eastAsiaTheme="minorEastAsia" w:hAnsi="Times New Roman" w:cs="Times New Roman"/>
          <w:kern w:val="36"/>
          <w:sz w:val="28"/>
          <w:szCs w:val="28"/>
          <w:lang w:val="kk-KZ" w:eastAsia="zh-CN"/>
        </w:rPr>
        <w:t xml:space="preserve"> [</w:t>
      </w:r>
      <w:r w:rsidR="00A74772">
        <w:rPr>
          <w:rFonts w:ascii="Times New Roman" w:eastAsiaTheme="minorEastAsia" w:hAnsi="Times New Roman" w:cs="Times New Roman"/>
          <w:kern w:val="36"/>
          <w:sz w:val="28"/>
          <w:szCs w:val="28"/>
          <w:lang w:val="kk-KZ" w:eastAsia="zh-CN"/>
        </w:rPr>
        <w:t>6</w:t>
      </w:r>
      <w:r w:rsidR="004330E8">
        <w:rPr>
          <w:rFonts w:ascii="Times New Roman" w:eastAsiaTheme="minorEastAsia" w:hAnsi="Times New Roman" w:cs="Times New Roman"/>
          <w:kern w:val="36"/>
          <w:sz w:val="28"/>
          <w:szCs w:val="28"/>
          <w:lang w:val="kk-KZ" w:eastAsia="zh-CN"/>
        </w:rPr>
        <w:t>2</w:t>
      </w:r>
      <w:r w:rsidR="00CA01DE" w:rsidRPr="00457CE9">
        <w:rPr>
          <w:rFonts w:ascii="Times New Roman" w:eastAsiaTheme="minorEastAsia" w:hAnsi="Times New Roman" w:cs="Times New Roman"/>
          <w:kern w:val="36"/>
          <w:sz w:val="28"/>
          <w:szCs w:val="28"/>
          <w:lang w:val="kk-KZ" w:eastAsia="zh-CN"/>
        </w:rPr>
        <w:t>]</w:t>
      </w:r>
      <w:r w:rsidRPr="00457CE9">
        <w:rPr>
          <w:rFonts w:ascii="Times New Roman" w:eastAsiaTheme="minorEastAsia" w:hAnsi="Times New Roman" w:cs="Times New Roman"/>
          <w:kern w:val="36"/>
          <w:sz w:val="28"/>
          <w:szCs w:val="28"/>
          <w:lang w:val="kk-KZ" w:eastAsia="zh-CN"/>
        </w:rPr>
        <w:t xml:space="preserve">. </w:t>
      </w:r>
    </w:p>
    <w:p w14:paraId="6E628374" w14:textId="0B829223" w:rsidR="00A503EA" w:rsidRDefault="006760ED" w:rsidP="00457CE9">
      <w:pPr>
        <w:tabs>
          <w:tab w:val="left" w:pos="851"/>
        </w:tabs>
        <w:spacing w:after="0" w:line="240" w:lineRule="auto"/>
        <w:ind w:firstLine="709"/>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Ж</w:t>
      </w:r>
      <w:r w:rsidR="00157599" w:rsidRPr="00457CE9">
        <w:rPr>
          <w:rFonts w:ascii="Times New Roman" w:hAnsi="Times New Roman" w:cs="Times New Roman"/>
          <w:kern w:val="36"/>
          <w:sz w:val="28"/>
          <w:szCs w:val="28"/>
          <w:lang w:val="kk-KZ" w:eastAsia="zh-CN"/>
        </w:rPr>
        <w:t>оспарланған Бағдарламаға енгізілген өзгерістер мен толықтыруларды талдай келе, Ауыл шаруашылығы министрлігінің көрсеткіштерді жоспарлау сапасының төмен болуы байқалады. АӨК дамыту жүйелік талдау арқылы жүйелік тәсілдермен шешу арқылы ғана қол жеткізілетіні белгілі. Дегенмен жоспарланған көрсеткіштердің бір</w:t>
      </w:r>
      <w:r w:rsidR="00F71B14">
        <w:rPr>
          <w:rFonts w:ascii="Times New Roman" w:hAnsi="Times New Roman" w:cs="Times New Roman"/>
          <w:kern w:val="36"/>
          <w:sz w:val="28"/>
          <w:szCs w:val="28"/>
          <w:lang w:val="kk-KZ" w:eastAsia="zh-CN"/>
        </w:rPr>
        <w:t>-</w:t>
      </w:r>
      <w:r w:rsidR="0081168C" w:rsidRPr="00457CE9">
        <w:rPr>
          <w:rFonts w:ascii="Times New Roman" w:hAnsi="Times New Roman" w:cs="Times New Roman"/>
          <w:kern w:val="36"/>
          <w:sz w:val="28"/>
          <w:szCs w:val="28"/>
          <w:lang w:val="kk-KZ" w:eastAsia="zh-CN"/>
        </w:rPr>
        <w:t xml:space="preserve">бірімен байланысы байқалмайды. </w:t>
      </w:r>
      <w:r w:rsidR="00CF1C12" w:rsidRPr="00457CE9">
        <w:rPr>
          <w:rFonts w:ascii="Times New Roman" w:hAnsi="Times New Roman" w:cs="Times New Roman"/>
          <w:sz w:val="28"/>
          <w:szCs w:val="28"/>
          <w:lang w:val="kk-KZ"/>
        </w:rPr>
        <w:t xml:space="preserve">АӨК дамуының қазіргі кезеңінің ерекше ерекшелігі аграрлық қайта құрулар негізінен өңірлерде жүзеге асырылатын жағдай болып табылады. </w:t>
      </w:r>
      <w:r w:rsidR="00157599" w:rsidRPr="00457CE9">
        <w:rPr>
          <w:rFonts w:ascii="Times New Roman" w:hAnsi="Times New Roman" w:cs="Times New Roman"/>
          <w:kern w:val="36"/>
          <w:sz w:val="28"/>
          <w:szCs w:val="28"/>
          <w:lang w:val="kk-KZ" w:eastAsia="zh-CN"/>
        </w:rPr>
        <w:t xml:space="preserve">Бағдарламаны өткізуден бастап нысаналы индикаторларға жету үшін жоспарланған нәтижелі көрсеткіштердің өзгерісі </w:t>
      </w:r>
      <w:r w:rsidR="00311533" w:rsidRPr="00457CE9">
        <w:rPr>
          <w:rFonts w:ascii="Times New Roman" w:hAnsi="Times New Roman" w:cs="Times New Roman"/>
          <w:kern w:val="36"/>
          <w:sz w:val="28"/>
          <w:szCs w:val="28"/>
          <w:lang w:val="kk-KZ" w:eastAsia="zh-CN"/>
        </w:rPr>
        <w:t>2</w:t>
      </w:r>
      <w:r w:rsidR="004330E8">
        <w:rPr>
          <w:rFonts w:ascii="Times New Roman" w:hAnsi="Times New Roman" w:cs="Times New Roman"/>
          <w:kern w:val="36"/>
          <w:sz w:val="28"/>
          <w:szCs w:val="28"/>
          <w:lang w:val="kk-KZ" w:eastAsia="zh-CN"/>
        </w:rPr>
        <w:t>3</w:t>
      </w:r>
      <w:r w:rsidR="00311533" w:rsidRPr="00457CE9">
        <w:rPr>
          <w:rFonts w:ascii="Times New Roman" w:hAnsi="Times New Roman" w:cs="Times New Roman"/>
          <w:kern w:val="36"/>
          <w:sz w:val="28"/>
          <w:szCs w:val="28"/>
          <w:lang w:val="kk-KZ" w:eastAsia="zh-CN"/>
        </w:rPr>
        <w:t>-</w:t>
      </w:r>
      <w:r w:rsidR="00157599" w:rsidRPr="00457CE9">
        <w:rPr>
          <w:rFonts w:ascii="Times New Roman" w:hAnsi="Times New Roman" w:cs="Times New Roman"/>
          <w:kern w:val="36"/>
          <w:sz w:val="28"/>
          <w:szCs w:val="28"/>
          <w:lang w:val="kk-KZ" w:eastAsia="zh-CN"/>
        </w:rPr>
        <w:t>кестеде келтірілген.</w:t>
      </w:r>
    </w:p>
    <w:p w14:paraId="464C8886" w14:textId="2651C76E" w:rsidR="00630981" w:rsidRDefault="00630981" w:rsidP="00E94F63">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w:t>
      </w:r>
      <w:r w:rsidR="00023296">
        <w:rPr>
          <w:rFonts w:ascii="Times New Roman" w:hAnsi="Times New Roman" w:cs="Times New Roman"/>
          <w:sz w:val="28"/>
          <w:szCs w:val="28"/>
          <w:lang w:val="kk-KZ"/>
        </w:rPr>
        <w:t>3</w:t>
      </w:r>
      <w:r w:rsidRPr="00457CE9">
        <w:rPr>
          <w:rFonts w:ascii="Times New Roman" w:hAnsi="Times New Roman" w:cs="Times New Roman"/>
          <w:sz w:val="28"/>
          <w:szCs w:val="28"/>
          <w:lang w:val="kk-KZ"/>
        </w:rPr>
        <w:t>-кесте мәліметтерінен нәтижелі көрсеткіштер саны Бағдарламаны іске асырудан бастап 75 көрсеткіштен 45 көрсеткішке дейін қысқарғанын көруге болады, бұл орындалуы қиын көрсеткіштерді алып тастаумен немесе қандай да іс-шараларды орындаудың сандық көрсеткіштерін алып тастау арқылы қаншалықты орындалғанын немесе орындалмағанын бағалауды қиындататыны сөзсіз.</w:t>
      </w:r>
      <w:r w:rsidR="00E94F63" w:rsidRPr="00E94F63">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Мұнда тауар өнімі өндіріліп, ауыл шаруашылығы тауар өндірушілерінің арасындағы тікелей экономикалық байланыстар жүзеге асырылады. </w:t>
      </w:r>
      <w:r w:rsidR="00F71B14">
        <w:rPr>
          <w:rFonts w:ascii="Times New Roman" w:hAnsi="Times New Roman" w:cs="Times New Roman"/>
          <w:sz w:val="28"/>
          <w:szCs w:val="28"/>
          <w:lang w:val="kk-KZ"/>
        </w:rPr>
        <w:t>Өңірлер тек бір-бірімен ғана емес, сонымен қатар шет елдермен де экономикалық қатынастарға түседі.</w:t>
      </w:r>
      <w:r w:rsidR="00F71B14" w:rsidRPr="00F71B14">
        <w:rPr>
          <w:rFonts w:ascii="Times New Roman" w:hAnsi="Times New Roman" w:cs="Times New Roman"/>
          <w:sz w:val="28"/>
          <w:szCs w:val="28"/>
          <w:lang w:val="kk-KZ"/>
        </w:rPr>
        <w:t xml:space="preserve"> </w:t>
      </w:r>
      <w:r w:rsidR="00F71B14">
        <w:rPr>
          <w:rFonts w:ascii="Times New Roman" w:hAnsi="Times New Roman" w:cs="Times New Roman"/>
          <w:sz w:val="28"/>
          <w:szCs w:val="28"/>
          <w:lang w:val="kk-KZ"/>
        </w:rPr>
        <w:t>Ауылда кәсіпкерлікті қалыпты дамыту және азық-түлік нарығын тиімді дамыту үшін аймақтың ауыл шаруашылығы өндірісін дамытуды реттейтін, өзгермелі нарықтық жағдайға сезімтал теріс факторлардың әсеріне төтеп бере алатын ерекше экономикалық тетік қажет.</w:t>
      </w:r>
    </w:p>
    <w:p w14:paraId="78C52A9B" w14:textId="77777777" w:rsidR="00F71B14" w:rsidRPr="00457CE9" w:rsidRDefault="00F71B14" w:rsidP="00E94F63">
      <w:pPr>
        <w:widowControl w:val="0"/>
        <w:spacing w:after="0" w:line="240" w:lineRule="auto"/>
        <w:ind w:firstLine="709"/>
        <w:jc w:val="both"/>
        <w:rPr>
          <w:rFonts w:ascii="Times New Roman" w:hAnsi="Times New Roman" w:cs="Times New Roman"/>
          <w:sz w:val="28"/>
          <w:szCs w:val="28"/>
          <w:lang w:val="kk-KZ"/>
        </w:rPr>
      </w:pPr>
    </w:p>
    <w:p w14:paraId="1AA877C1" w14:textId="68B2F67C" w:rsidR="00C87BD0" w:rsidRDefault="00C87BD0" w:rsidP="00457CE9">
      <w:pPr>
        <w:spacing w:after="0" w:line="240" w:lineRule="auto"/>
        <w:jc w:val="both"/>
        <w:textAlignment w:val="baseline"/>
        <w:outlineLvl w:val="0"/>
        <w:rPr>
          <w:rFonts w:ascii="Times New Roman" w:hAnsi="Times New Roman" w:cs="Times New Roman"/>
          <w:kern w:val="36"/>
          <w:sz w:val="28"/>
          <w:szCs w:val="28"/>
          <w:lang w:val="kk-KZ" w:eastAsia="zh-CN"/>
        </w:rPr>
      </w:pPr>
      <w:r w:rsidRPr="00457CE9">
        <w:rPr>
          <w:rFonts w:ascii="Times New Roman" w:hAnsi="Times New Roman" w:cs="Times New Roman"/>
          <w:kern w:val="36"/>
          <w:sz w:val="28"/>
          <w:szCs w:val="28"/>
          <w:lang w:val="kk-KZ" w:eastAsia="zh-CN"/>
        </w:rPr>
        <w:t>Кесте</w:t>
      </w:r>
      <w:r w:rsidR="00275EDC" w:rsidRPr="00457CE9">
        <w:rPr>
          <w:rFonts w:ascii="Times New Roman" w:hAnsi="Times New Roman" w:cs="Times New Roman"/>
          <w:kern w:val="36"/>
          <w:sz w:val="28"/>
          <w:szCs w:val="28"/>
          <w:lang w:val="kk-KZ" w:eastAsia="zh-CN"/>
        </w:rPr>
        <w:t xml:space="preserve"> </w:t>
      </w:r>
      <w:r w:rsidR="00311533" w:rsidRPr="00457CE9">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3</w:t>
      </w:r>
      <w:r w:rsidR="00275EDC" w:rsidRPr="00457CE9">
        <w:rPr>
          <w:rFonts w:ascii="Times New Roman" w:hAnsi="Times New Roman" w:cs="Times New Roman"/>
          <w:kern w:val="36"/>
          <w:sz w:val="28"/>
          <w:szCs w:val="28"/>
          <w:lang w:val="kk-KZ" w:eastAsia="zh-CN"/>
        </w:rPr>
        <w:t xml:space="preserve"> – Бағдарламаны өткізуден бастап нысаналы индикаторларға жету үшін жоспарланған нәтижелі көрсеткіштердің өзгерісі</w:t>
      </w:r>
      <w:r w:rsidRPr="00457CE9">
        <w:rPr>
          <w:rFonts w:ascii="Times New Roman" w:hAnsi="Times New Roman" w:cs="Times New Roman"/>
          <w:kern w:val="36"/>
          <w:sz w:val="28"/>
          <w:szCs w:val="28"/>
          <w:lang w:val="kk-KZ" w:eastAsia="zh-CN"/>
        </w:rPr>
        <w:t xml:space="preserve"> </w:t>
      </w:r>
    </w:p>
    <w:p w14:paraId="3B2BA792" w14:textId="77777777" w:rsidR="005A4468" w:rsidRPr="005A4468" w:rsidRDefault="005A4468" w:rsidP="00457CE9">
      <w:pPr>
        <w:spacing w:after="0" w:line="240" w:lineRule="auto"/>
        <w:jc w:val="both"/>
        <w:textAlignment w:val="baseline"/>
        <w:outlineLvl w:val="0"/>
        <w:rPr>
          <w:rFonts w:ascii="Times New Roman" w:hAnsi="Times New Roman" w:cs="Times New Roman"/>
          <w:kern w:val="36"/>
          <w:sz w:val="16"/>
          <w:szCs w:val="16"/>
          <w:lang w:val="kk-KZ" w:eastAsia="zh-CN"/>
        </w:rPr>
      </w:pPr>
    </w:p>
    <w:tbl>
      <w:tblPr>
        <w:tblStyle w:val="a3"/>
        <w:tblW w:w="9552" w:type="dxa"/>
        <w:jc w:val="center"/>
        <w:tblLayout w:type="fixed"/>
        <w:tblLook w:val="04A0" w:firstRow="1" w:lastRow="0" w:firstColumn="1" w:lastColumn="0" w:noHBand="0" w:noVBand="1"/>
      </w:tblPr>
      <w:tblGrid>
        <w:gridCol w:w="2972"/>
        <w:gridCol w:w="1418"/>
        <w:gridCol w:w="1404"/>
        <w:gridCol w:w="3758"/>
      </w:tblGrid>
      <w:tr w:rsidR="00D44CAD" w:rsidRPr="00441955" w14:paraId="1DAC2383" w14:textId="77777777" w:rsidTr="005A4468">
        <w:trPr>
          <w:jc w:val="center"/>
        </w:trPr>
        <w:tc>
          <w:tcPr>
            <w:tcW w:w="2972" w:type="dxa"/>
            <w:vAlign w:val="center"/>
          </w:tcPr>
          <w:p w14:paraId="4C06DBB6"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Тапсырма атауы</w:t>
            </w:r>
          </w:p>
        </w:tc>
        <w:tc>
          <w:tcPr>
            <w:tcW w:w="1418" w:type="dxa"/>
            <w:vAlign w:val="center"/>
          </w:tcPr>
          <w:p w14:paraId="3E27C296" w14:textId="6B71E5A0" w:rsidR="00D44CAD" w:rsidRPr="00441955" w:rsidRDefault="00D44CAD" w:rsidP="005A4468">
            <w:pPr>
              <w:spacing w:line="228" w:lineRule="auto"/>
              <w:ind w:left="-99" w:right="-99"/>
              <w:jc w:val="center"/>
              <w:textAlignment w:val="baseline"/>
              <w:outlineLvl w:val="0"/>
              <w:rPr>
                <w:rFonts w:ascii="Times New Roman" w:hAnsi="Times New Roman" w:cs="Times New Roman"/>
                <w:kern w:val="36"/>
                <w:sz w:val="24"/>
                <w:szCs w:val="24"/>
                <w:lang w:eastAsia="zh-CN"/>
              </w:rPr>
            </w:pPr>
            <w:r w:rsidRPr="00441955">
              <w:rPr>
                <w:rFonts w:ascii="Times New Roman" w:hAnsi="Times New Roman" w:cs="Times New Roman"/>
                <w:kern w:val="36"/>
                <w:sz w:val="24"/>
                <w:szCs w:val="24"/>
                <w:lang w:val="kk-KZ" w:eastAsia="zh-CN"/>
              </w:rPr>
              <w:t>14</w:t>
            </w:r>
            <w:r w:rsidR="00A165A3" w:rsidRPr="00441955">
              <w:rPr>
                <w:rFonts w:ascii="Times New Roman" w:hAnsi="Times New Roman" w:cs="Times New Roman"/>
                <w:kern w:val="36"/>
                <w:sz w:val="24"/>
                <w:szCs w:val="24"/>
                <w:lang w:eastAsia="zh-CN"/>
              </w:rPr>
              <w:t xml:space="preserve">.02.2017 </w:t>
            </w:r>
            <w:r w:rsidRPr="00441955">
              <w:rPr>
                <w:rFonts w:ascii="Times New Roman" w:hAnsi="Times New Roman" w:cs="Times New Roman"/>
                <w:kern w:val="36"/>
                <w:sz w:val="24"/>
                <w:szCs w:val="24"/>
                <w:lang w:eastAsia="zh-CN"/>
              </w:rPr>
              <w:t>ж.</w:t>
            </w:r>
            <w:r w:rsidR="00A165A3" w:rsidRPr="00441955">
              <w:rPr>
                <w:rFonts w:ascii="Times New Roman" w:hAnsi="Times New Roman" w:cs="Times New Roman"/>
                <w:kern w:val="36"/>
                <w:sz w:val="24"/>
                <w:szCs w:val="24"/>
                <w:lang w:eastAsia="zh-CN"/>
              </w:rPr>
              <w:t xml:space="preserve"> </w:t>
            </w:r>
            <w:r w:rsidRPr="00441955">
              <w:rPr>
                <w:rFonts w:ascii="Times New Roman" w:hAnsi="Times New Roman" w:cs="Times New Roman"/>
                <w:kern w:val="36"/>
                <w:sz w:val="24"/>
                <w:szCs w:val="24"/>
                <w:lang w:eastAsia="zh-CN"/>
              </w:rPr>
              <w:t xml:space="preserve"> редакция</w:t>
            </w:r>
          </w:p>
        </w:tc>
        <w:tc>
          <w:tcPr>
            <w:tcW w:w="1404" w:type="dxa"/>
            <w:vAlign w:val="center"/>
          </w:tcPr>
          <w:p w14:paraId="1660DCCC" w14:textId="31B055DB" w:rsidR="00D44CAD" w:rsidRPr="00441955" w:rsidRDefault="00D44CAD" w:rsidP="005A4468">
            <w:pPr>
              <w:spacing w:line="228" w:lineRule="auto"/>
              <w:ind w:left="-99" w:right="-99"/>
              <w:jc w:val="center"/>
              <w:textAlignment w:val="baseline"/>
              <w:outlineLvl w:val="0"/>
              <w:rPr>
                <w:rFonts w:ascii="Times New Roman" w:hAnsi="Times New Roman" w:cs="Times New Roman"/>
                <w:kern w:val="36"/>
                <w:sz w:val="24"/>
                <w:szCs w:val="24"/>
                <w:lang w:val="en-US" w:eastAsia="zh-CN"/>
              </w:rPr>
            </w:pPr>
            <w:r w:rsidRPr="00441955">
              <w:rPr>
                <w:rFonts w:ascii="Times New Roman" w:hAnsi="Times New Roman" w:cs="Times New Roman"/>
                <w:kern w:val="36"/>
                <w:sz w:val="24"/>
                <w:szCs w:val="24"/>
                <w:lang w:val="kk-KZ" w:eastAsia="zh-CN"/>
              </w:rPr>
              <w:t>12.07.2018</w:t>
            </w:r>
            <w:r w:rsidR="00BB2A7E" w:rsidRPr="00441955">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ж. редакция</w:t>
            </w:r>
          </w:p>
        </w:tc>
        <w:tc>
          <w:tcPr>
            <w:tcW w:w="3758" w:type="dxa"/>
            <w:vAlign w:val="center"/>
          </w:tcPr>
          <w:p w14:paraId="1D032B98" w14:textId="77777777" w:rsidR="00D44CAD" w:rsidRPr="00441955" w:rsidRDefault="004574B8"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Ескерту</w:t>
            </w:r>
          </w:p>
        </w:tc>
      </w:tr>
      <w:tr w:rsidR="00785E14" w:rsidRPr="00441955" w14:paraId="1B3E4092" w14:textId="77777777" w:rsidTr="005A4468">
        <w:trPr>
          <w:jc w:val="center"/>
        </w:trPr>
        <w:tc>
          <w:tcPr>
            <w:tcW w:w="2972" w:type="dxa"/>
          </w:tcPr>
          <w:p w14:paraId="184EFC26" w14:textId="3E3FE8E5" w:rsidR="00785E14" w:rsidRPr="00441955" w:rsidRDefault="00785E14"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1</w:t>
            </w:r>
          </w:p>
        </w:tc>
        <w:tc>
          <w:tcPr>
            <w:tcW w:w="1418" w:type="dxa"/>
          </w:tcPr>
          <w:p w14:paraId="292BEAD7" w14:textId="34D67A73" w:rsidR="00785E14" w:rsidRPr="00441955" w:rsidRDefault="00785E14"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w:t>
            </w:r>
          </w:p>
        </w:tc>
        <w:tc>
          <w:tcPr>
            <w:tcW w:w="1404" w:type="dxa"/>
          </w:tcPr>
          <w:p w14:paraId="14DCF3F4" w14:textId="23245EC7" w:rsidR="00785E14" w:rsidRPr="00441955" w:rsidRDefault="00785E14"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3</w:t>
            </w:r>
          </w:p>
        </w:tc>
        <w:tc>
          <w:tcPr>
            <w:tcW w:w="3758" w:type="dxa"/>
          </w:tcPr>
          <w:p w14:paraId="7B8793CE" w14:textId="4554B955" w:rsidR="00785E14" w:rsidRPr="00441955" w:rsidRDefault="00785E14"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4</w:t>
            </w:r>
          </w:p>
        </w:tc>
      </w:tr>
      <w:tr w:rsidR="00D44CAD" w:rsidRPr="00805B3E" w14:paraId="6DDEB389" w14:textId="77777777" w:rsidTr="005A4468">
        <w:trPr>
          <w:jc w:val="center"/>
        </w:trPr>
        <w:tc>
          <w:tcPr>
            <w:tcW w:w="2972" w:type="dxa"/>
          </w:tcPr>
          <w:p w14:paraId="6FDB2264" w14:textId="3FD9C330" w:rsidR="00D44CAD" w:rsidRPr="00441955" w:rsidRDefault="00D44CAD" w:rsidP="005A4468">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4.1</w:t>
            </w:r>
            <w:r w:rsidR="009B3084" w:rsidRPr="00441955">
              <w:rPr>
                <w:rFonts w:ascii="Times New Roman" w:hAnsi="Times New Roman" w:cs="Times New Roman"/>
                <w:kern w:val="36"/>
                <w:sz w:val="24"/>
                <w:szCs w:val="24"/>
                <w:lang w:val="kk-KZ" w:eastAsia="zh-CN"/>
              </w:rPr>
              <w:t>.</w:t>
            </w:r>
            <w:r w:rsidR="005A4468">
              <w:rPr>
                <w:rFonts w:ascii="Times New Roman" w:hAnsi="Times New Roman" w:cs="Times New Roman"/>
                <w:kern w:val="36"/>
                <w:sz w:val="24"/>
                <w:szCs w:val="24"/>
                <w:lang w:val="kk-KZ" w:eastAsia="zh-CN"/>
              </w:rPr>
              <w:t xml:space="preserve"> </w:t>
            </w:r>
            <w:r w:rsidR="009B3084" w:rsidRPr="00441955">
              <w:rPr>
                <w:rFonts w:ascii="Times New Roman" w:hAnsi="Times New Roman" w:cs="Times New Roman"/>
                <w:kern w:val="36"/>
                <w:sz w:val="24"/>
                <w:szCs w:val="24"/>
                <w:lang w:val="kk-KZ" w:eastAsia="zh-CN"/>
              </w:rPr>
              <w:t>Шағын және орта шаруашылықтар</w:t>
            </w:r>
            <w:r w:rsidRPr="00441955">
              <w:rPr>
                <w:rFonts w:ascii="Times New Roman" w:hAnsi="Times New Roman" w:cs="Times New Roman"/>
                <w:kern w:val="36"/>
                <w:sz w:val="24"/>
                <w:szCs w:val="24"/>
                <w:lang w:val="kk-KZ" w:eastAsia="zh-CN"/>
              </w:rPr>
              <w:t>ы</w:t>
            </w:r>
            <w:r w:rsidR="009B3084" w:rsidRPr="00441955">
              <w:rPr>
                <w:rFonts w:ascii="Times New Roman" w:hAnsi="Times New Roman" w:cs="Times New Roman"/>
                <w:kern w:val="36"/>
                <w:sz w:val="24"/>
                <w:szCs w:val="24"/>
                <w:lang w:val="kk-KZ" w:eastAsia="zh-CN"/>
              </w:rPr>
              <w:t>н</w:t>
            </w:r>
            <w:r w:rsidRPr="00441955">
              <w:rPr>
                <w:rFonts w:ascii="Times New Roman" w:hAnsi="Times New Roman" w:cs="Times New Roman"/>
                <w:kern w:val="36"/>
                <w:sz w:val="24"/>
                <w:szCs w:val="24"/>
                <w:lang w:val="kk-KZ" w:eastAsia="zh-CN"/>
              </w:rPr>
              <w:t xml:space="preserve"> ауыл шаруашылығы</w:t>
            </w:r>
            <w:r w:rsidR="006652D0" w:rsidRPr="00441955">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кооперация</w:t>
            </w:r>
            <w:r w:rsidR="006652D0" w:rsidRPr="00441955">
              <w:rPr>
                <w:rFonts w:ascii="Times New Roman" w:hAnsi="Times New Roman" w:cs="Times New Roman"/>
                <w:kern w:val="36"/>
                <w:sz w:val="24"/>
                <w:szCs w:val="24"/>
                <w:lang w:val="kk-KZ" w:eastAsia="zh-CN"/>
              </w:rPr>
              <w:t>сына тарту</w:t>
            </w:r>
          </w:p>
        </w:tc>
        <w:tc>
          <w:tcPr>
            <w:tcW w:w="1418" w:type="dxa"/>
            <w:vAlign w:val="center"/>
          </w:tcPr>
          <w:p w14:paraId="44C3534F"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en-US" w:eastAsia="zh-CN"/>
              </w:rPr>
            </w:pPr>
            <w:r w:rsidRPr="00441955">
              <w:rPr>
                <w:rFonts w:ascii="Times New Roman" w:hAnsi="Times New Roman" w:cs="Times New Roman"/>
                <w:kern w:val="36"/>
                <w:sz w:val="24"/>
                <w:szCs w:val="24"/>
                <w:lang w:val="en-US" w:eastAsia="zh-CN"/>
              </w:rPr>
              <w:t>6</w:t>
            </w:r>
          </w:p>
        </w:tc>
        <w:tc>
          <w:tcPr>
            <w:tcW w:w="1404" w:type="dxa"/>
            <w:vAlign w:val="center"/>
          </w:tcPr>
          <w:p w14:paraId="145FD6A4"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Алынып тасталған</w:t>
            </w:r>
          </w:p>
        </w:tc>
        <w:tc>
          <w:tcPr>
            <w:tcW w:w="3758" w:type="dxa"/>
          </w:tcPr>
          <w:p w14:paraId="3BBA1C5B" w14:textId="4B0883B9" w:rsidR="00D44CAD" w:rsidRPr="00630981" w:rsidRDefault="000268EA" w:rsidP="005A4468">
            <w:pPr>
              <w:spacing w:line="228" w:lineRule="auto"/>
              <w:textAlignment w:val="baseline"/>
              <w:outlineLvl w:val="0"/>
              <w:rPr>
                <w:rFonts w:ascii="Times New Roman" w:hAnsi="Times New Roman" w:cs="Times New Roman"/>
                <w:spacing w:val="-4"/>
                <w:kern w:val="36"/>
                <w:sz w:val="24"/>
                <w:szCs w:val="24"/>
                <w:lang w:val="kk-KZ" w:eastAsia="zh-CN"/>
              </w:rPr>
            </w:pPr>
            <w:r w:rsidRPr="00630981">
              <w:rPr>
                <w:rFonts w:ascii="Times New Roman" w:hAnsi="Times New Roman" w:cs="Times New Roman"/>
                <w:spacing w:val="-4"/>
                <w:kern w:val="36"/>
                <w:sz w:val="24"/>
                <w:szCs w:val="24"/>
                <w:lang w:val="kk-KZ" w:eastAsia="zh-CN"/>
              </w:rPr>
              <w:t>Бұл нәтижелі көрсеткішті орын</w:t>
            </w:r>
            <w:r w:rsidR="005A4468" w:rsidRPr="00630981">
              <w:rPr>
                <w:rFonts w:ascii="Times New Roman" w:hAnsi="Times New Roman" w:cs="Times New Roman"/>
                <w:spacing w:val="-4"/>
                <w:kern w:val="36"/>
                <w:sz w:val="24"/>
                <w:szCs w:val="24"/>
                <w:lang w:val="kk-KZ" w:eastAsia="zh-CN"/>
              </w:rPr>
              <w:t xml:space="preserve"> </w:t>
            </w:r>
            <w:r w:rsidRPr="00630981">
              <w:rPr>
                <w:rFonts w:ascii="Times New Roman" w:hAnsi="Times New Roman" w:cs="Times New Roman"/>
                <w:spacing w:val="-4"/>
                <w:kern w:val="36"/>
                <w:sz w:val="24"/>
                <w:szCs w:val="24"/>
                <w:lang w:val="kk-KZ" w:eastAsia="zh-CN"/>
              </w:rPr>
              <w:t xml:space="preserve">дау </w:t>
            </w:r>
            <w:r w:rsidRPr="00630981">
              <w:rPr>
                <w:rFonts w:ascii="Times New Roman" w:hAnsi="Times New Roman" w:cs="Times New Roman" w:hint="eastAsia"/>
                <w:spacing w:val="-4"/>
                <w:kern w:val="36"/>
                <w:sz w:val="24"/>
                <w:szCs w:val="24"/>
                <w:lang w:val="kk-KZ" w:eastAsia="zh-CN"/>
              </w:rPr>
              <w:t>2018</w:t>
            </w:r>
            <w:r w:rsidRPr="00630981">
              <w:rPr>
                <w:rFonts w:ascii="Times New Roman" w:hAnsi="Times New Roman" w:cs="Times New Roman"/>
                <w:spacing w:val="-4"/>
                <w:kern w:val="36"/>
                <w:sz w:val="24"/>
                <w:szCs w:val="24"/>
                <w:lang w:val="kk-KZ" w:eastAsia="zh-CN"/>
              </w:rPr>
              <w:t xml:space="preserve"> ж. редакцияда </w:t>
            </w:r>
            <w:r w:rsidR="003C56BE" w:rsidRPr="00630981">
              <w:rPr>
                <w:rFonts w:ascii="Times New Roman" w:hAnsi="Times New Roman" w:cs="Times New Roman"/>
                <w:spacing w:val="-4"/>
                <w:kern w:val="36"/>
                <w:sz w:val="24"/>
                <w:szCs w:val="24"/>
                <w:lang w:val="kk-KZ" w:eastAsia="zh-CN"/>
              </w:rPr>
              <w:t>«</w:t>
            </w:r>
            <w:r w:rsidRPr="00630981">
              <w:rPr>
                <w:rFonts w:ascii="Times New Roman" w:hAnsi="Times New Roman" w:cs="Times New Roman"/>
                <w:spacing w:val="-4"/>
                <w:kern w:val="36"/>
                <w:sz w:val="24"/>
                <w:szCs w:val="24"/>
                <w:lang w:val="kk-KZ" w:eastAsia="zh-CN"/>
              </w:rPr>
              <w:t>5.1 азық түліктік қауіпсіздікті қамтамасыз ету</w:t>
            </w:r>
            <w:r w:rsidR="003C56BE" w:rsidRPr="00630981">
              <w:rPr>
                <w:rFonts w:ascii="Times New Roman" w:hAnsi="Times New Roman" w:cs="Times New Roman"/>
                <w:spacing w:val="-4"/>
                <w:kern w:val="36"/>
                <w:sz w:val="24"/>
                <w:szCs w:val="24"/>
                <w:lang w:val="kk-KZ" w:eastAsia="zh-CN"/>
              </w:rPr>
              <w:t>»</w:t>
            </w:r>
            <w:r w:rsidRPr="00630981">
              <w:rPr>
                <w:rFonts w:ascii="Times New Roman" w:hAnsi="Times New Roman" w:cs="Times New Roman"/>
                <w:spacing w:val="-4"/>
                <w:kern w:val="36"/>
                <w:sz w:val="24"/>
                <w:szCs w:val="24"/>
                <w:lang w:val="kk-KZ" w:eastAsia="zh-CN"/>
              </w:rPr>
              <w:t xml:space="preserve"> тапсырмасында аталып өткен</w:t>
            </w:r>
          </w:p>
        </w:tc>
      </w:tr>
      <w:tr w:rsidR="00D44CAD" w:rsidRPr="00441955" w14:paraId="739456A5" w14:textId="77777777" w:rsidTr="005A4468">
        <w:trPr>
          <w:jc w:val="center"/>
        </w:trPr>
        <w:tc>
          <w:tcPr>
            <w:tcW w:w="2972" w:type="dxa"/>
          </w:tcPr>
          <w:p w14:paraId="139A7EDE" w14:textId="6BE1B89A" w:rsidR="00D44CAD" w:rsidRPr="00441955" w:rsidRDefault="00D44CAD" w:rsidP="005A4468">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eastAsia="Times New Roman" w:hAnsi="Times New Roman" w:cs="Times New Roman"/>
                <w:kern w:val="36"/>
                <w:sz w:val="24"/>
                <w:szCs w:val="24"/>
                <w:lang w:val="kk-KZ" w:eastAsia="ru-RU"/>
              </w:rPr>
              <w:t>4.1</w:t>
            </w:r>
            <w:r w:rsidR="009B3084" w:rsidRPr="00441955">
              <w:rPr>
                <w:rFonts w:ascii="Times New Roman" w:eastAsia="Times New Roman" w:hAnsi="Times New Roman" w:cs="Times New Roman"/>
                <w:kern w:val="36"/>
                <w:sz w:val="24"/>
                <w:szCs w:val="24"/>
                <w:lang w:val="kk-KZ" w:eastAsia="ru-RU"/>
              </w:rPr>
              <w:t>.</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Азық-түлік қауіпсіз</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дігін қамтамасыз ету</w:t>
            </w:r>
          </w:p>
        </w:tc>
        <w:tc>
          <w:tcPr>
            <w:tcW w:w="1418" w:type="dxa"/>
            <w:vAlign w:val="center"/>
          </w:tcPr>
          <w:p w14:paraId="2901B3F0" w14:textId="4D73D512"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Қарасты</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рыл маған</w:t>
            </w:r>
          </w:p>
        </w:tc>
        <w:tc>
          <w:tcPr>
            <w:tcW w:w="1404" w:type="dxa"/>
            <w:vAlign w:val="center"/>
          </w:tcPr>
          <w:p w14:paraId="4160B4E3"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8</w:t>
            </w:r>
          </w:p>
        </w:tc>
        <w:tc>
          <w:tcPr>
            <w:tcW w:w="3758" w:type="dxa"/>
          </w:tcPr>
          <w:p w14:paraId="360832DF" w14:textId="20B21BD0" w:rsidR="00D44CAD" w:rsidRPr="00441955" w:rsidRDefault="000268EA" w:rsidP="005A4468">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201</w:t>
            </w:r>
            <w:r w:rsidRPr="00441955">
              <w:rPr>
                <w:rFonts w:ascii="Times New Roman" w:hAnsi="Times New Roman" w:cs="Times New Roman"/>
                <w:kern w:val="36"/>
                <w:sz w:val="24"/>
                <w:szCs w:val="24"/>
                <w:lang w:eastAsia="zh-CN"/>
              </w:rPr>
              <w:t xml:space="preserve">7ж. </w:t>
            </w:r>
            <w:r w:rsidRPr="00441955">
              <w:rPr>
                <w:rFonts w:ascii="Times New Roman" w:hAnsi="Times New Roman" w:cs="Times New Roman"/>
                <w:kern w:val="36"/>
                <w:sz w:val="24"/>
                <w:szCs w:val="24"/>
                <w:lang w:val="kk-KZ" w:eastAsia="zh-CN"/>
              </w:rPr>
              <w:t xml:space="preserve">редакцияда </w:t>
            </w:r>
            <w:r w:rsidRPr="00441955">
              <w:rPr>
                <w:rFonts w:ascii="Times New Roman" w:hAnsi="Times New Roman" w:cs="Times New Roman"/>
                <w:kern w:val="36"/>
                <w:sz w:val="24"/>
                <w:szCs w:val="24"/>
                <w:lang w:eastAsia="zh-CN"/>
              </w:rPr>
              <w:t>4.2 тапсыр</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eastAsia="zh-CN"/>
              </w:rPr>
              <w:t xml:space="preserve">мада 44 </w:t>
            </w:r>
            <w:r w:rsidRPr="00441955">
              <w:rPr>
                <w:rFonts w:ascii="Times New Roman" w:hAnsi="Times New Roman" w:cs="Times New Roman"/>
                <w:kern w:val="36"/>
                <w:sz w:val="24"/>
                <w:szCs w:val="24"/>
                <w:lang w:val="kk-KZ" w:eastAsia="zh-CN"/>
              </w:rPr>
              <w:t xml:space="preserve">көрсеткішпен </w:t>
            </w:r>
            <w:r w:rsidR="00D31589" w:rsidRPr="00441955">
              <w:rPr>
                <w:rFonts w:ascii="Times New Roman" w:hAnsi="Times New Roman" w:cs="Times New Roman"/>
                <w:kern w:val="36"/>
                <w:sz w:val="24"/>
                <w:szCs w:val="24"/>
                <w:lang w:val="kk-KZ" w:eastAsia="zh-CN"/>
              </w:rPr>
              <w:t>қамтыған</w:t>
            </w:r>
          </w:p>
        </w:tc>
      </w:tr>
      <w:tr w:rsidR="00D44CAD" w:rsidRPr="00805B3E" w14:paraId="76A714BD" w14:textId="77777777" w:rsidTr="005A4468">
        <w:trPr>
          <w:jc w:val="center"/>
        </w:trPr>
        <w:tc>
          <w:tcPr>
            <w:tcW w:w="2972" w:type="dxa"/>
          </w:tcPr>
          <w:p w14:paraId="1CCCFCA4" w14:textId="4BB673C8" w:rsidR="00D44CAD" w:rsidRPr="00441955" w:rsidRDefault="00D44CAD" w:rsidP="005A4468">
            <w:pPr>
              <w:spacing w:line="228" w:lineRule="auto"/>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4.2. Ішкі нарықты молық</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тыру және отандық өнім</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нің экспорттық әлеуетін дамыту</w:t>
            </w:r>
            <w:r w:rsidR="000D231C" w:rsidRPr="00441955">
              <w:rPr>
                <w:rFonts w:ascii="Times New Roman" w:eastAsia="Times New Roman" w:hAnsi="Times New Roman" w:cs="Times New Roman"/>
                <w:kern w:val="36"/>
                <w:sz w:val="24"/>
                <w:szCs w:val="24"/>
                <w:lang w:val="kk-KZ" w:eastAsia="ru-RU"/>
              </w:rPr>
              <w:t xml:space="preserve"> </w:t>
            </w:r>
          </w:p>
          <w:p w14:paraId="7F04ED6D" w14:textId="6FC1E762" w:rsidR="000D231C" w:rsidRPr="00441955" w:rsidRDefault="000D231C" w:rsidP="005A4468">
            <w:pPr>
              <w:spacing w:line="228" w:lineRule="auto"/>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w:t>
            </w:r>
            <w:r w:rsidRPr="005A4468">
              <w:rPr>
                <w:rFonts w:ascii="Times New Roman" w:eastAsia="Times New Roman" w:hAnsi="Times New Roman" w:cs="Times New Roman"/>
                <w:spacing w:val="-4"/>
                <w:kern w:val="36"/>
                <w:sz w:val="24"/>
                <w:szCs w:val="24"/>
                <w:lang w:val="kk-KZ" w:eastAsia="ru-RU"/>
              </w:rPr>
              <w:t>.5.</w:t>
            </w:r>
            <w:r w:rsidR="005A4468" w:rsidRPr="005A4468">
              <w:rPr>
                <w:rFonts w:ascii="Times New Roman" w:eastAsia="Times New Roman" w:hAnsi="Times New Roman" w:cs="Times New Roman"/>
                <w:spacing w:val="-4"/>
                <w:kern w:val="36"/>
                <w:sz w:val="24"/>
                <w:szCs w:val="24"/>
                <w:lang w:val="kk-KZ" w:eastAsia="ru-RU"/>
              </w:rPr>
              <w:t xml:space="preserve"> </w:t>
            </w:r>
            <w:r w:rsidRPr="005A4468">
              <w:rPr>
                <w:rFonts w:ascii="Times New Roman" w:eastAsia="Times New Roman" w:hAnsi="Times New Roman" w:cs="Times New Roman"/>
                <w:spacing w:val="-4"/>
                <w:kern w:val="36"/>
                <w:sz w:val="24"/>
                <w:szCs w:val="24"/>
                <w:lang w:val="kk-KZ" w:eastAsia="ru-RU"/>
              </w:rPr>
              <w:t>Өткізу нарықтарының қолжетімділігін қамтама</w:t>
            </w:r>
            <w:r w:rsidR="005A4468" w:rsidRPr="005A4468">
              <w:rPr>
                <w:rFonts w:ascii="Times New Roman" w:eastAsia="Times New Roman" w:hAnsi="Times New Roman" w:cs="Times New Roman"/>
                <w:spacing w:val="-4"/>
                <w:kern w:val="36"/>
                <w:sz w:val="24"/>
                <w:szCs w:val="24"/>
                <w:lang w:val="kk-KZ" w:eastAsia="ru-RU"/>
              </w:rPr>
              <w:t xml:space="preserve"> </w:t>
            </w:r>
            <w:r w:rsidRPr="005A4468">
              <w:rPr>
                <w:rFonts w:ascii="Times New Roman" w:eastAsia="Times New Roman" w:hAnsi="Times New Roman" w:cs="Times New Roman"/>
                <w:spacing w:val="-4"/>
                <w:kern w:val="36"/>
                <w:sz w:val="24"/>
                <w:szCs w:val="24"/>
                <w:lang w:val="kk-KZ" w:eastAsia="ru-RU"/>
              </w:rPr>
              <w:t>сыз</w:t>
            </w:r>
            <w:r w:rsidRPr="00441955">
              <w:rPr>
                <w:rFonts w:ascii="Times New Roman" w:eastAsia="Times New Roman" w:hAnsi="Times New Roman" w:cs="Times New Roman"/>
                <w:kern w:val="36"/>
                <w:sz w:val="24"/>
                <w:szCs w:val="24"/>
                <w:lang w:val="kk-KZ" w:eastAsia="ru-RU"/>
              </w:rPr>
              <w:t xml:space="preserve"> ету және экспортты дамыту</w:t>
            </w:r>
          </w:p>
        </w:tc>
        <w:tc>
          <w:tcPr>
            <w:tcW w:w="1418" w:type="dxa"/>
            <w:vAlign w:val="center"/>
          </w:tcPr>
          <w:p w14:paraId="7B15643B"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44</w:t>
            </w:r>
          </w:p>
        </w:tc>
        <w:tc>
          <w:tcPr>
            <w:tcW w:w="1404" w:type="dxa"/>
            <w:vAlign w:val="center"/>
          </w:tcPr>
          <w:p w14:paraId="7EB33287" w14:textId="77777777" w:rsidR="00D44CAD" w:rsidRPr="00441955" w:rsidRDefault="000D231C"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3</w:t>
            </w:r>
          </w:p>
        </w:tc>
        <w:tc>
          <w:tcPr>
            <w:tcW w:w="3758" w:type="dxa"/>
          </w:tcPr>
          <w:p w14:paraId="3BA65210" w14:textId="4688B43D" w:rsidR="00D44CAD" w:rsidRPr="00441955" w:rsidRDefault="00D31589" w:rsidP="005A4468">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Алынып тастауы дұрыс емес, себебі бюджет қаражатының тиімділігін анықтау қиынға түсе</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ді, және Бағдарламаны орындау</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шы жауапкершілігін төмендету мақсатында алып тастаған деген шешімге келуге болады</w:t>
            </w:r>
          </w:p>
        </w:tc>
      </w:tr>
      <w:tr w:rsidR="00D44CAD" w:rsidRPr="00EB67B8" w14:paraId="24BB3C0E" w14:textId="77777777" w:rsidTr="00751614">
        <w:trPr>
          <w:jc w:val="center"/>
        </w:trPr>
        <w:tc>
          <w:tcPr>
            <w:tcW w:w="2972" w:type="dxa"/>
            <w:tcBorders>
              <w:bottom w:val="nil"/>
            </w:tcBorders>
          </w:tcPr>
          <w:p w14:paraId="57C4019D" w14:textId="09420999" w:rsidR="00716432" w:rsidRPr="00751614" w:rsidRDefault="00D44CAD" w:rsidP="005A4468">
            <w:pPr>
              <w:spacing w:line="228" w:lineRule="auto"/>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4.2</w:t>
            </w:r>
            <w:r w:rsidR="009B3084" w:rsidRPr="00441955">
              <w:rPr>
                <w:rFonts w:ascii="Times New Roman" w:eastAsia="Times New Roman" w:hAnsi="Times New Roman" w:cs="Times New Roman"/>
                <w:kern w:val="36"/>
                <w:sz w:val="24"/>
                <w:szCs w:val="24"/>
                <w:lang w:val="kk-KZ" w:eastAsia="ru-RU"/>
              </w:rPr>
              <w:t>.</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АӨК субъектілері үшін қаржыландырудың қолжетімділігін арттыру және АӨК субъектілеріне салық салудың оңтайлы ре</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жимдерін қамтамасыз ету</w:t>
            </w:r>
          </w:p>
        </w:tc>
        <w:tc>
          <w:tcPr>
            <w:tcW w:w="1418" w:type="dxa"/>
            <w:tcBorders>
              <w:bottom w:val="nil"/>
            </w:tcBorders>
            <w:vAlign w:val="center"/>
          </w:tcPr>
          <w:p w14:paraId="157ECE6D"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2</w:t>
            </w:r>
          </w:p>
        </w:tc>
        <w:tc>
          <w:tcPr>
            <w:tcW w:w="1404" w:type="dxa"/>
            <w:tcBorders>
              <w:bottom w:val="nil"/>
            </w:tcBorders>
            <w:vAlign w:val="center"/>
          </w:tcPr>
          <w:p w14:paraId="3CC1F374" w14:textId="77777777" w:rsidR="00D44CAD" w:rsidRPr="00441955" w:rsidRDefault="00D44CAD" w:rsidP="005A4468">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3</w:t>
            </w:r>
          </w:p>
        </w:tc>
        <w:tc>
          <w:tcPr>
            <w:tcW w:w="3758" w:type="dxa"/>
            <w:tcBorders>
              <w:bottom w:val="nil"/>
            </w:tcBorders>
          </w:tcPr>
          <w:p w14:paraId="77A58A65" w14:textId="0A504108" w:rsidR="00D44CAD" w:rsidRPr="00441955" w:rsidRDefault="00ED5A3D" w:rsidP="00751614">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2017 ж. редакцияда 2 нәтижелі көрсеткіш </w:t>
            </w:r>
            <w:r w:rsidRPr="00441955">
              <w:rPr>
                <w:rFonts w:ascii="Times New Roman" w:hAnsi="Times New Roman" w:cs="Times New Roman" w:hint="eastAsia"/>
                <w:kern w:val="36"/>
                <w:sz w:val="24"/>
                <w:szCs w:val="24"/>
                <w:lang w:val="kk-KZ" w:eastAsia="zh-CN"/>
              </w:rPr>
              <w:t>2018</w:t>
            </w:r>
            <w:r w:rsidRPr="00441955">
              <w:rPr>
                <w:rFonts w:ascii="Times New Roman" w:hAnsi="Times New Roman" w:cs="Times New Roman"/>
                <w:kern w:val="36"/>
                <w:sz w:val="24"/>
                <w:szCs w:val="24"/>
                <w:lang w:val="kk-KZ" w:eastAsia="zh-CN"/>
              </w:rPr>
              <w:t>ж. редакцияның нысаналы индикаторлар</w:t>
            </w:r>
            <w:r w:rsidR="005D5D23" w:rsidRPr="00441955">
              <w:rPr>
                <w:rFonts w:ascii="Times New Roman" w:hAnsi="Times New Roman" w:cs="Times New Roman"/>
                <w:kern w:val="36"/>
                <w:sz w:val="24"/>
                <w:szCs w:val="24"/>
                <w:lang w:val="kk-KZ" w:eastAsia="zh-CN"/>
              </w:rPr>
              <w:t>ын</w:t>
            </w:r>
            <w:r w:rsidRPr="00441955">
              <w:rPr>
                <w:rFonts w:ascii="Times New Roman" w:hAnsi="Times New Roman" w:cs="Times New Roman"/>
                <w:kern w:val="36"/>
                <w:sz w:val="24"/>
                <w:szCs w:val="24"/>
                <w:lang w:val="kk-KZ" w:eastAsia="zh-CN"/>
              </w:rPr>
              <w:t>а ауыс</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тырылған. 2018 ж. редакцияға 3 нәтижелі көрсеткіш жоспарлан</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ғанымен оларға жету шаралары </w:t>
            </w:r>
          </w:p>
        </w:tc>
      </w:tr>
      <w:tr w:rsidR="005A4468" w:rsidRPr="00EB67B8" w14:paraId="683F9536" w14:textId="77777777" w:rsidTr="005A4468">
        <w:trPr>
          <w:jc w:val="center"/>
        </w:trPr>
        <w:tc>
          <w:tcPr>
            <w:tcW w:w="2972" w:type="dxa"/>
          </w:tcPr>
          <w:p w14:paraId="3D14E27D" w14:textId="4317F5EB" w:rsidR="005A4468" w:rsidRPr="00441955" w:rsidRDefault="00751614" w:rsidP="00751614">
            <w:pPr>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4.3.</w:t>
            </w:r>
            <w:r w:rsidRPr="00441955">
              <w:rPr>
                <w:sz w:val="24"/>
                <w:szCs w:val="24"/>
                <w:lang w:val="kk-KZ"/>
              </w:rPr>
              <w:t xml:space="preserve"> </w:t>
            </w:r>
            <w:r w:rsidRPr="00441955">
              <w:rPr>
                <w:rFonts w:ascii="Times New Roman" w:eastAsia="Times New Roman" w:hAnsi="Times New Roman" w:cs="Times New Roman"/>
                <w:kern w:val="36"/>
                <w:sz w:val="24"/>
                <w:szCs w:val="24"/>
                <w:lang w:val="kk-KZ" w:eastAsia="ru-RU"/>
              </w:rPr>
              <w:t>Мемлекеттік қаржы</w:t>
            </w:r>
            <w:r>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лық шараларды тиімді пай</w:t>
            </w:r>
            <w:r>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далану</w:t>
            </w:r>
            <w:r>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қолдау</w:t>
            </w:r>
          </w:p>
        </w:tc>
        <w:tc>
          <w:tcPr>
            <w:tcW w:w="1418" w:type="dxa"/>
            <w:vAlign w:val="center"/>
          </w:tcPr>
          <w:p w14:paraId="6541AE46" w14:textId="54BD921D" w:rsidR="005A4468" w:rsidRPr="00441955" w:rsidRDefault="00F71B14" w:rsidP="00751614">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w:t>
            </w:r>
          </w:p>
        </w:tc>
        <w:tc>
          <w:tcPr>
            <w:tcW w:w="1404" w:type="dxa"/>
            <w:vAlign w:val="center"/>
          </w:tcPr>
          <w:p w14:paraId="23C79D9B" w14:textId="079B3449" w:rsidR="005A4468" w:rsidRPr="00441955" w:rsidRDefault="00F71B14" w:rsidP="00751614">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w:t>
            </w:r>
          </w:p>
        </w:tc>
        <w:tc>
          <w:tcPr>
            <w:tcW w:w="3758" w:type="dxa"/>
          </w:tcPr>
          <w:p w14:paraId="3BF6058C" w14:textId="43DB816F" w:rsidR="005A4468" w:rsidRPr="00441955" w:rsidRDefault="00751614" w:rsidP="00751614">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нақты келтірілмеген</w:t>
            </w:r>
          </w:p>
        </w:tc>
      </w:tr>
      <w:tr w:rsidR="00D44CAD" w:rsidRPr="00805B3E" w14:paraId="0579C94B" w14:textId="77777777" w:rsidTr="005A4468">
        <w:trPr>
          <w:jc w:val="center"/>
        </w:trPr>
        <w:tc>
          <w:tcPr>
            <w:tcW w:w="2972" w:type="dxa"/>
          </w:tcPr>
          <w:p w14:paraId="3DFBA633" w14:textId="7CFFE300" w:rsidR="00D44CAD" w:rsidRPr="00441955" w:rsidRDefault="00D44CAD" w:rsidP="00751614">
            <w:pPr>
              <w:textAlignment w:val="baseline"/>
              <w:outlineLvl w:val="0"/>
              <w:rPr>
                <w:rFonts w:ascii="Times New Roman" w:hAnsi="Times New Roman" w:cs="Times New Roman"/>
                <w:kern w:val="36"/>
                <w:sz w:val="24"/>
                <w:szCs w:val="24"/>
                <w:lang w:val="kk-KZ" w:eastAsia="zh-CN"/>
              </w:rPr>
            </w:pPr>
            <w:r w:rsidRPr="00441955">
              <w:rPr>
                <w:rFonts w:ascii="Times New Roman" w:eastAsia="Times New Roman" w:hAnsi="Times New Roman" w:cs="Times New Roman"/>
                <w:kern w:val="36"/>
                <w:sz w:val="24"/>
                <w:szCs w:val="24"/>
                <w:lang w:val="kk-KZ" w:eastAsia="ru-RU"/>
              </w:rPr>
              <w:t>4.3</w:t>
            </w:r>
            <w:r w:rsidR="009B3084" w:rsidRPr="00441955">
              <w:rPr>
                <w:rFonts w:ascii="Times New Roman" w:eastAsia="Times New Roman" w:hAnsi="Times New Roman" w:cs="Times New Roman"/>
                <w:kern w:val="36"/>
                <w:sz w:val="24"/>
                <w:szCs w:val="24"/>
                <w:lang w:val="kk-KZ" w:eastAsia="ru-RU"/>
              </w:rPr>
              <w:t>.</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Жер ресурстарын пайдалану тиімділігін арттыру</w:t>
            </w:r>
          </w:p>
        </w:tc>
        <w:tc>
          <w:tcPr>
            <w:tcW w:w="1418" w:type="dxa"/>
            <w:vAlign w:val="center"/>
          </w:tcPr>
          <w:p w14:paraId="7A23C672" w14:textId="77777777" w:rsidR="00D44CAD" w:rsidRPr="00441955" w:rsidRDefault="00D44CAD"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9</w:t>
            </w:r>
          </w:p>
        </w:tc>
        <w:tc>
          <w:tcPr>
            <w:tcW w:w="1404" w:type="dxa"/>
            <w:vAlign w:val="center"/>
          </w:tcPr>
          <w:p w14:paraId="4980EE09" w14:textId="77777777" w:rsidR="00D44CAD" w:rsidRPr="00441955" w:rsidRDefault="00D44CAD"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12</w:t>
            </w:r>
          </w:p>
        </w:tc>
        <w:tc>
          <w:tcPr>
            <w:tcW w:w="3758" w:type="dxa"/>
          </w:tcPr>
          <w:p w14:paraId="7238BB63" w14:textId="77777777" w:rsidR="00D44CAD" w:rsidRPr="00441955" w:rsidRDefault="00ED5A3D" w:rsidP="00751614">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Жер ресурстарын тиімді пайдалануда аэротүсірілім</w:t>
            </w:r>
            <w:r w:rsidR="00275EDC" w:rsidRPr="00441955">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дерді қолдануды енгізген</w:t>
            </w:r>
          </w:p>
        </w:tc>
      </w:tr>
      <w:tr w:rsidR="00D44CAD" w:rsidRPr="00805B3E" w14:paraId="65572067" w14:textId="77777777" w:rsidTr="00630981">
        <w:trPr>
          <w:trHeight w:val="2985"/>
          <w:jc w:val="center"/>
        </w:trPr>
        <w:tc>
          <w:tcPr>
            <w:tcW w:w="2972" w:type="dxa"/>
            <w:tcBorders>
              <w:bottom w:val="single" w:sz="4" w:space="0" w:color="auto"/>
            </w:tcBorders>
          </w:tcPr>
          <w:p w14:paraId="2C2BED55" w14:textId="7FB482BD" w:rsidR="00D44CAD" w:rsidRPr="00441955" w:rsidRDefault="00D44CAD" w:rsidP="00751614">
            <w:pPr>
              <w:textAlignment w:val="baseline"/>
              <w:outlineLvl w:val="0"/>
              <w:rPr>
                <w:rFonts w:ascii="Times New Roman" w:hAnsi="Times New Roman" w:cs="Times New Roman"/>
                <w:kern w:val="36"/>
                <w:sz w:val="24"/>
                <w:szCs w:val="24"/>
                <w:lang w:val="kk-KZ" w:eastAsia="zh-CN"/>
              </w:rPr>
            </w:pPr>
            <w:r w:rsidRPr="00441955">
              <w:rPr>
                <w:rFonts w:ascii="Times New Roman" w:eastAsia="Times New Roman" w:hAnsi="Times New Roman" w:cs="Times New Roman"/>
                <w:kern w:val="36"/>
                <w:sz w:val="24"/>
                <w:szCs w:val="24"/>
                <w:lang w:val="kk-KZ" w:eastAsia="ru-RU"/>
              </w:rPr>
              <w:t>4.4</w:t>
            </w:r>
            <w:r w:rsidR="009B3084" w:rsidRPr="00441955">
              <w:rPr>
                <w:rFonts w:ascii="Times New Roman" w:eastAsia="Times New Roman" w:hAnsi="Times New Roman" w:cs="Times New Roman"/>
                <w:kern w:val="36"/>
                <w:sz w:val="24"/>
                <w:szCs w:val="24"/>
                <w:lang w:val="kk-KZ" w:eastAsia="ru-RU"/>
              </w:rPr>
              <w:t>.</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Су ресурстарын пайдалану тиімділігін арттыру</w:t>
            </w:r>
          </w:p>
        </w:tc>
        <w:tc>
          <w:tcPr>
            <w:tcW w:w="1418" w:type="dxa"/>
            <w:tcBorders>
              <w:bottom w:val="single" w:sz="4" w:space="0" w:color="auto"/>
            </w:tcBorders>
            <w:vAlign w:val="center"/>
          </w:tcPr>
          <w:p w14:paraId="2C3C9A5D" w14:textId="77777777" w:rsidR="00D44CAD" w:rsidRPr="00441955" w:rsidRDefault="00D44CAD"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4</w:t>
            </w:r>
          </w:p>
        </w:tc>
        <w:tc>
          <w:tcPr>
            <w:tcW w:w="1404" w:type="dxa"/>
            <w:tcBorders>
              <w:bottom w:val="single" w:sz="4" w:space="0" w:color="auto"/>
            </w:tcBorders>
            <w:vAlign w:val="center"/>
          </w:tcPr>
          <w:p w14:paraId="2BFABC60" w14:textId="77777777" w:rsidR="00D44CAD" w:rsidRPr="00441955" w:rsidRDefault="00D44CAD"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5</w:t>
            </w:r>
          </w:p>
        </w:tc>
        <w:tc>
          <w:tcPr>
            <w:tcW w:w="3758" w:type="dxa"/>
            <w:tcBorders>
              <w:bottom w:val="single" w:sz="4" w:space="0" w:color="auto"/>
            </w:tcBorders>
          </w:tcPr>
          <w:p w14:paraId="4D197981" w14:textId="09C05B22" w:rsidR="00D44CAD" w:rsidRPr="00441955" w:rsidRDefault="00680D7A" w:rsidP="00751614">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Жалпы </w:t>
            </w:r>
            <w:r w:rsidR="003C56BE" w:rsidRPr="00441955">
              <w:rPr>
                <w:rFonts w:ascii="Times New Roman" w:hAnsi="Times New Roman" w:cs="Times New Roman"/>
                <w:kern w:val="36"/>
                <w:sz w:val="24"/>
                <w:szCs w:val="24"/>
                <w:lang w:val="kk-KZ" w:eastAsia="zh-CN"/>
              </w:rPr>
              <w:t>«</w:t>
            </w:r>
            <w:r w:rsidRPr="00441955">
              <w:rPr>
                <w:rFonts w:ascii="Times New Roman" w:hAnsi="Times New Roman" w:cs="Times New Roman"/>
                <w:kern w:val="36"/>
                <w:sz w:val="24"/>
                <w:szCs w:val="24"/>
                <w:lang w:val="kk-KZ" w:eastAsia="zh-CN"/>
              </w:rPr>
              <w:t>Су ресурстарын пайда</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лану тиімділігін жоғарылату</w:t>
            </w:r>
            <w:r w:rsidR="003C56BE" w:rsidRPr="00441955">
              <w:rPr>
                <w:rFonts w:ascii="Times New Roman" w:hAnsi="Times New Roman" w:cs="Times New Roman"/>
                <w:kern w:val="36"/>
                <w:sz w:val="24"/>
                <w:szCs w:val="24"/>
                <w:lang w:val="kk-KZ" w:eastAsia="zh-CN"/>
              </w:rPr>
              <w:t>»</w:t>
            </w:r>
            <w:r w:rsidRPr="00441955">
              <w:rPr>
                <w:rFonts w:ascii="Times New Roman" w:hAnsi="Times New Roman" w:cs="Times New Roman"/>
                <w:kern w:val="36"/>
                <w:sz w:val="24"/>
                <w:szCs w:val="24"/>
                <w:lang w:val="kk-KZ" w:eastAsia="zh-CN"/>
              </w:rPr>
              <w:t xml:space="preserve"> тапсырмасы бойынша қойылған нәтижелі көрсеткіштер мен оны шешудің бағыттары арасында байланыс байқалмайды, мәселен шешу бағыттарында келтірілген нақты шараларды сандық көрсет</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кіш түрінде жоспарланбаған</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дықтан оның орындалуы күмән тудырады</w:t>
            </w:r>
          </w:p>
        </w:tc>
      </w:tr>
      <w:tr w:rsidR="0052275B" w:rsidRPr="00805B3E" w14:paraId="334ABE2E" w14:textId="77777777" w:rsidTr="00630981">
        <w:trPr>
          <w:trHeight w:val="2687"/>
          <w:jc w:val="center"/>
        </w:trPr>
        <w:tc>
          <w:tcPr>
            <w:tcW w:w="2972" w:type="dxa"/>
            <w:tcBorders>
              <w:bottom w:val="nil"/>
            </w:tcBorders>
          </w:tcPr>
          <w:p w14:paraId="5A8307C0" w14:textId="284DAC58" w:rsidR="0052275B" w:rsidRPr="00441955" w:rsidRDefault="0052275B" w:rsidP="00751614">
            <w:pPr>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hAnsi="Times New Roman" w:cs="Times New Roman"/>
                <w:kern w:val="36"/>
                <w:sz w:val="24"/>
                <w:szCs w:val="24"/>
                <w:lang w:val="kk-KZ" w:eastAsia="zh-CN"/>
              </w:rPr>
              <w:t>4.6. Ауыл шаруашылығы тауарын өндірушілердің техникамен және химия</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ландыру құралдарымен</w:t>
            </w:r>
            <w:r w:rsidRPr="00441955">
              <w:rPr>
                <w:rFonts w:ascii="Times New Roman" w:eastAsia="Times New Roman" w:hAnsi="Times New Roman" w:cs="Times New Roman"/>
                <w:kern w:val="36"/>
                <w:sz w:val="24"/>
                <w:szCs w:val="24"/>
                <w:lang w:val="kk-KZ" w:eastAsia="ru-RU"/>
              </w:rPr>
              <w:t xml:space="preserve"> </w:t>
            </w:r>
            <w:r w:rsidRPr="00441955">
              <w:rPr>
                <w:rFonts w:ascii="Times New Roman" w:hAnsi="Times New Roman" w:cs="Times New Roman"/>
                <w:kern w:val="36"/>
                <w:sz w:val="24"/>
                <w:szCs w:val="24"/>
                <w:lang w:val="kk-KZ" w:eastAsia="zh-CN"/>
              </w:rPr>
              <w:t>қамтамасыз етілуін арт</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тыру</w:t>
            </w:r>
          </w:p>
          <w:p w14:paraId="6FCD4603" w14:textId="1CC7C33C" w:rsidR="0052275B" w:rsidRPr="00441955" w:rsidRDefault="0052275B" w:rsidP="00751614">
            <w:pPr>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4.7. АӨК-дегі өндірістің техникалық жарақтанды</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рылуы мен қарқындылы</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ғының деңгейін арттыру</w:t>
            </w:r>
          </w:p>
        </w:tc>
        <w:tc>
          <w:tcPr>
            <w:tcW w:w="1418" w:type="dxa"/>
            <w:tcBorders>
              <w:bottom w:val="nil"/>
            </w:tcBorders>
            <w:vAlign w:val="center"/>
          </w:tcPr>
          <w:p w14:paraId="3103C532" w14:textId="77777777" w:rsidR="0052275B" w:rsidRPr="00441955" w:rsidRDefault="0052275B"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6</w:t>
            </w:r>
          </w:p>
        </w:tc>
        <w:tc>
          <w:tcPr>
            <w:tcW w:w="1404" w:type="dxa"/>
            <w:tcBorders>
              <w:bottom w:val="nil"/>
            </w:tcBorders>
            <w:vAlign w:val="center"/>
          </w:tcPr>
          <w:p w14:paraId="78B0DC69" w14:textId="77777777" w:rsidR="0052275B" w:rsidRPr="00441955" w:rsidRDefault="0052275B"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6</w:t>
            </w:r>
          </w:p>
        </w:tc>
        <w:tc>
          <w:tcPr>
            <w:tcW w:w="3758" w:type="dxa"/>
            <w:tcBorders>
              <w:bottom w:val="nil"/>
            </w:tcBorders>
          </w:tcPr>
          <w:p w14:paraId="3404B2C3" w14:textId="283A8350" w:rsidR="0052275B" w:rsidRPr="00441955" w:rsidRDefault="00157599" w:rsidP="00751614">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2017</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жылы қабылданған редакция</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да және жаңа редакцияда берілген тапсырма бойынша нәтижелі көрсеткіштер өзгеріссіз қалған</w:t>
            </w:r>
          </w:p>
        </w:tc>
      </w:tr>
      <w:tr w:rsidR="00630981" w:rsidRPr="00EB67B8" w14:paraId="3AF145C1" w14:textId="77777777" w:rsidTr="00630981">
        <w:trPr>
          <w:jc w:val="center"/>
        </w:trPr>
        <w:tc>
          <w:tcPr>
            <w:tcW w:w="9552" w:type="dxa"/>
            <w:gridSpan w:val="4"/>
            <w:tcBorders>
              <w:top w:val="nil"/>
              <w:left w:val="nil"/>
              <w:right w:val="nil"/>
            </w:tcBorders>
          </w:tcPr>
          <w:p w14:paraId="439523B7" w14:textId="039252A4" w:rsidR="00630981" w:rsidRPr="00751614" w:rsidRDefault="00630981" w:rsidP="00C80BF1">
            <w:pPr>
              <w:ind w:hanging="109"/>
              <w:textAlignment w:val="baseline"/>
              <w:outlineLvl w:val="0"/>
              <w:rPr>
                <w:rFonts w:ascii="Times New Roman" w:hAnsi="Times New Roman" w:cs="Times New Roman"/>
                <w:kern w:val="36"/>
                <w:sz w:val="28"/>
                <w:szCs w:val="28"/>
                <w:lang w:val="kk-KZ" w:eastAsia="zh-CN"/>
              </w:rPr>
            </w:pPr>
            <w:r w:rsidRPr="00751614">
              <w:rPr>
                <w:rFonts w:ascii="Times New Roman" w:hAnsi="Times New Roman" w:cs="Times New Roman"/>
                <w:kern w:val="36"/>
                <w:sz w:val="28"/>
                <w:szCs w:val="28"/>
                <w:lang w:val="kk-KZ" w:eastAsia="zh-CN"/>
              </w:rPr>
              <w:t>2</w:t>
            </w:r>
            <w:r w:rsidR="00023296">
              <w:rPr>
                <w:rFonts w:ascii="Times New Roman" w:hAnsi="Times New Roman" w:cs="Times New Roman"/>
                <w:kern w:val="36"/>
                <w:sz w:val="28"/>
                <w:szCs w:val="28"/>
                <w:lang w:val="kk-KZ" w:eastAsia="zh-CN"/>
              </w:rPr>
              <w:t>3</w:t>
            </w:r>
            <w:r w:rsidRPr="00751614">
              <w:rPr>
                <w:rFonts w:ascii="Times New Roman" w:hAnsi="Times New Roman" w:cs="Times New Roman"/>
                <w:kern w:val="36"/>
                <w:sz w:val="28"/>
                <w:szCs w:val="28"/>
                <w:lang w:val="kk-KZ" w:eastAsia="zh-CN"/>
              </w:rPr>
              <w:t>-кестенің жалғасы</w:t>
            </w:r>
          </w:p>
          <w:p w14:paraId="4B87FC92" w14:textId="77777777" w:rsidR="00630981" w:rsidRPr="00751614" w:rsidRDefault="00630981" w:rsidP="00C80BF1">
            <w:pPr>
              <w:ind w:hanging="109"/>
              <w:textAlignment w:val="baseline"/>
              <w:outlineLvl w:val="0"/>
              <w:rPr>
                <w:rFonts w:ascii="Times New Roman" w:hAnsi="Times New Roman" w:cs="Times New Roman"/>
                <w:kern w:val="36"/>
                <w:sz w:val="16"/>
                <w:szCs w:val="16"/>
                <w:lang w:val="kk-KZ" w:eastAsia="zh-CN"/>
              </w:rPr>
            </w:pPr>
          </w:p>
        </w:tc>
      </w:tr>
      <w:tr w:rsidR="00630981" w:rsidRPr="00EB67B8" w14:paraId="2EB7E3B6" w14:textId="77777777" w:rsidTr="00C80BF1">
        <w:trPr>
          <w:jc w:val="center"/>
        </w:trPr>
        <w:tc>
          <w:tcPr>
            <w:tcW w:w="2972" w:type="dxa"/>
            <w:vAlign w:val="center"/>
          </w:tcPr>
          <w:p w14:paraId="550DD959" w14:textId="77777777" w:rsidR="00630981" w:rsidRPr="00441955" w:rsidRDefault="00630981" w:rsidP="00C80BF1">
            <w:pPr>
              <w:jc w:val="center"/>
              <w:textAlignment w:val="baseline"/>
              <w:outlineLvl w:val="0"/>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1418" w:type="dxa"/>
            <w:vAlign w:val="center"/>
          </w:tcPr>
          <w:p w14:paraId="0F581C2D" w14:textId="77777777" w:rsidR="00630981" w:rsidRPr="00441955" w:rsidRDefault="00630981" w:rsidP="00C80BF1">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2</w:t>
            </w:r>
          </w:p>
        </w:tc>
        <w:tc>
          <w:tcPr>
            <w:tcW w:w="1404" w:type="dxa"/>
            <w:vAlign w:val="center"/>
          </w:tcPr>
          <w:p w14:paraId="423DB2F4" w14:textId="77777777" w:rsidR="00630981" w:rsidRPr="00441955" w:rsidRDefault="00630981" w:rsidP="00C80BF1">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3</w:t>
            </w:r>
          </w:p>
        </w:tc>
        <w:tc>
          <w:tcPr>
            <w:tcW w:w="3758" w:type="dxa"/>
            <w:vAlign w:val="center"/>
          </w:tcPr>
          <w:p w14:paraId="540714DA" w14:textId="77777777" w:rsidR="00630981" w:rsidRPr="00441955" w:rsidRDefault="00630981" w:rsidP="00C80BF1">
            <w:pPr>
              <w:jc w:val="center"/>
              <w:textAlignment w:val="baseline"/>
              <w:outlineLvl w:val="0"/>
              <w:rPr>
                <w:rFonts w:ascii="Times New Roman" w:hAnsi="Times New Roman" w:cs="Times New Roman"/>
                <w:kern w:val="36"/>
                <w:sz w:val="24"/>
                <w:szCs w:val="24"/>
                <w:lang w:val="kk-KZ" w:eastAsia="zh-CN"/>
              </w:rPr>
            </w:pPr>
            <w:r>
              <w:rPr>
                <w:rFonts w:ascii="Times New Roman" w:hAnsi="Times New Roman" w:cs="Times New Roman"/>
                <w:kern w:val="36"/>
                <w:sz w:val="24"/>
                <w:szCs w:val="24"/>
                <w:lang w:val="kk-KZ" w:eastAsia="zh-CN"/>
              </w:rPr>
              <w:t>4</w:t>
            </w:r>
          </w:p>
        </w:tc>
      </w:tr>
      <w:tr w:rsidR="00D44CAD" w:rsidRPr="00805B3E" w14:paraId="3371D854" w14:textId="77777777" w:rsidTr="005A4468">
        <w:trPr>
          <w:jc w:val="center"/>
        </w:trPr>
        <w:tc>
          <w:tcPr>
            <w:tcW w:w="2972" w:type="dxa"/>
          </w:tcPr>
          <w:p w14:paraId="556EAE4C" w14:textId="36999396" w:rsidR="007818BB" w:rsidRPr="00441955" w:rsidRDefault="007818BB" w:rsidP="00751614">
            <w:pPr>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hAnsi="Times New Roman" w:cs="Times New Roman"/>
                <w:kern w:val="36"/>
                <w:sz w:val="24"/>
                <w:szCs w:val="24"/>
                <w:lang w:val="kk-KZ" w:eastAsia="zh-CN"/>
              </w:rPr>
              <w:t>4.8. АӨК ғылыми-техно</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логиялық, кадрлық және ақпараттық-маркетингтік қамтамасыз ету</w:t>
            </w:r>
            <w:r w:rsidRPr="00441955">
              <w:rPr>
                <w:rFonts w:ascii="Times New Roman" w:eastAsia="Times New Roman" w:hAnsi="Times New Roman" w:cs="Times New Roman"/>
                <w:kern w:val="36"/>
                <w:sz w:val="24"/>
                <w:szCs w:val="24"/>
                <w:lang w:val="kk-KZ" w:eastAsia="ru-RU"/>
              </w:rPr>
              <w:t xml:space="preserve"> </w:t>
            </w:r>
          </w:p>
          <w:p w14:paraId="12216D4F" w14:textId="4377FCAF" w:rsidR="007818BB" w:rsidRPr="00441955" w:rsidRDefault="009B3084" w:rsidP="00751614">
            <w:pPr>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4.6.</w:t>
            </w:r>
            <w:r w:rsidR="005A4468">
              <w:rPr>
                <w:rFonts w:ascii="Times New Roman" w:eastAsia="Times New Roman" w:hAnsi="Times New Roman" w:cs="Times New Roman"/>
                <w:kern w:val="36"/>
                <w:sz w:val="24"/>
                <w:szCs w:val="24"/>
                <w:lang w:val="kk-KZ" w:eastAsia="ru-RU"/>
              </w:rPr>
              <w:t xml:space="preserve"> </w:t>
            </w:r>
            <w:r w:rsidR="00D44CAD" w:rsidRPr="00441955">
              <w:rPr>
                <w:rFonts w:ascii="Times New Roman" w:eastAsia="Times New Roman" w:hAnsi="Times New Roman" w:cs="Times New Roman"/>
                <w:kern w:val="36"/>
                <w:sz w:val="24"/>
                <w:szCs w:val="24"/>
                <w:lang w:val="kk-KZ" w:eastAsia="ru-RU"/>
              </w:rPr>
              <w:t xml:space="preserve">Аграрлық ғылымды, </w:t>
            </w:r>
            <w:r w:rsidR="00F228AA" w:rsidRPr="00441955">
              <w:rPr>
                <w:rFonts w:ascii="Times New Roman" w:eastAsia="Times New Roman" w:hAnsi="Times New Roman" w:cs="Times New Roman"/>
                <w:kern w:val="36"/>
                <w:sz w:val="24"/>
                <w:szCs w:val="24"/>
                <w:lang w:val="kk-KZ" w:eastAsia="ru-RU"/>
              </w:rPr>
              <w:t>технологиялар трансфер</w:t>
            </w:r>
            <w:r w:rsidR="005A4468">
              <w:rPr>
                <w:rFonts w:ascii="Times New Roman" w:eastAsia="Times New Roman" w:hAnsi="Times New Roman" w:cs="Times New Roman"/>
                <w:kern w:val="36"/>
                <w:sz w:val="24"/>
                <w:szCs w:val="24"/>
                <w:lang w:val="kk-KZ" w:eastAsia="ru-RU"/>
              </w:rPr>
              <w:t xml:space="preserve"> </w:t>
            </w:r>
            <w:r w:rsidR="00F228AA" w:rsidRPr="00441955">
              <w:rPr>
                <w:rFonts w:ascii="Times New Roman" w:eastAsia="Times New Roman" w:hAnsi="Times New Roman" w:cs="Times New Roman"/>
                <w:kern w:val="36"/>
                <w:sz w:val="24"/>
                <w:szCs w:val="24"/>
                <w:lang w:val="kk-KZ" w:eastAsia="ru-RU"/>
              </w:rPr>
              <w:t>тін және АӨК субъек</w:t>
            </w:r>
            <w:r w:rsidR="005A4468">
              <w:rPr>
                <w:rFonts w:ascii="Times New Roman" w:eastAsia="Times New Roman" w:hAnsi="Times New Roman" w:cs="Times New Roman"/>
                <w:kern w:val="36"/>
                <w:sz w:val="24"/>
                <w:szCs w:val="24"/>
                <w:lang w:val="kk-KZ" w:eastAsia="ru-RU"/>
              </w:rPr>
              <w:t xml:space="preserve"> </w:t>
            </w:r>
            <w:r w:rsidR="00F228AA" w:rsidRPr="00441955">
              <w:rPr>
                <w:rFonts w:ascii="Times New Roman" w:eastAsia="Times New Roman" w:hAnsi="Times New Roman" w:cs="Times New Roman"/>
                <w:kern w:val="36"/>
                <w:sz w:val="24"/>
                <w:szCs w:val="24"/>
                <w:lang w:val="kk-KZ" w:eastAsia="ru-RU"/>
              </w:rPr>
              <w:t>тілері құзыретінің дең</w:t>
            </w:r>
            <w:r w:rsidR="005A4468">
              <w:rPr>
                <w:rFonts w:ascii="Times New Roman" w:eastAsia="Times New Roman" w:hAnsi="Times New Roman" w:cs="Times New Roman"/>
                <w:kern w:val="36"/>
                <w:sz w:val="24"/>
                <w:szCs w:val="24"/>
                <w:lang w:val="kk-KZ" w:eastAsia="ru-RU"/>
              </w:rPr>
              <w:t xml:space="preserve"> </w:t>
            </w:r>
            <w:r w:rsidR="00F228AA" w:rsidRPr="00441955">
              <w:rPr>
                <w:rFonts w:ascii="Times New Roman" w:eastAsia="Times New Roman" w:hAnsi="Times New Roman" w:cs="Times New Roman"/>
                <w:kern w:val="36"/>
                <w:sz w:val="24"/>
                <w:szCs w:val="24"/>
                <w:lang w:val="kk-KZ" w:eastAsia="ru-RU"/>
              </w:rPr>
              <w:t>гейін дамытуды қамтама</w:t>
            </w:r>
            <w:r w:rsidR="005A4468">
              <w:rPr>
                <w:rFonts w:ascii="Times New Roman" w:eastAsia="Times New Roman" w:hAnsi="Times New Roman" w:cs="Times New Roman"/>
                <w:kern w:val="36"/>
                <w:sz w:val="24"/>
                <w:szCs w:val="24"/>
                <w:lang w:val="kk-KZ" w:eastAsia="ru-RU"/>
              </w:rPr>
              <w:t xml:space="preserve"> </w:t>
            </w:r>
            <w:r w:rsidR="00F228AA" w:rsidRPr="00441955">
              <w:rPr>
                <w:rFonts w:ascii="Times New Roman" w:eastAsia="Times New Roman" w:hAnsi="Times New Roman" w:cs="Times New Roman"/>
                <w:kern w:val="36"/>
                <w:sz w:val="24"/>
                <w:szCs w:val="24"/>
                <w:lang w:val="kk-KZ" w:eastAsia="ru-RU"/>
              </w:rPr>
              <w:t>сыз ету</w:t>
            </w:r>
          </w:p>
        </w:tc>
        <w:tc>
          <w:tcPr>
            <w:tcW w:w="1418" w:type="dxa"/>
            <w:vAlign w:val="center"/>
          </w:tcPr>
          <w:p w14:paraId="276B1F0E" w14:textId="77777777" w:rsidR="00D44CAD" w:rsidRPr="00441955" w:rsidRDefault="007818BB"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3</w:t>
            </w:r>
          </w:p>
        </w:tc>
        <w:tc>
          <w:tcPr>
            <w:tcW w:w="1404" w:type="dxa"/>
            <w:vAlign w:val="center"/>
          </w:tcPr>
          <w:p w14:paraId="53932E22" w14:textId="77777777" w:rsidR="00D44CAD" w:rsidRPr="00441955" w:rsidRDefault="00D44CAD" w:rsidP="00751614">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5</w:t>
            </w:r>
          </w:p>
        </w:tc>
        <w:tc>
          <w:tcPr>
            <w:tcW w:w="3758" w:type="dxa"/>
          </w:tcPr>
          <w:p w14:paraId="505DA438" w14:textId="08B61400" w:rsidR="00D44CAD" w:rsidRPr="00441955" w:rsidRDefault="007818BB" w:rsidP="00751614">
            <w:pP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2017 ж. редакцияда берілген тапсырма бойынша мәселелер 4.8 тапсырмада 3 нәтижелі көрсеткіш қарастырылса, 2018 ж. редак</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цияда 5 көрсеткішпен тапсыр</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маны орындау көзделген. </w:t>
            </w:r>
            <w:r w:rsidR="00F228AA" w:rsidRPr="00441955">
              <w:rPr>
                <w:rFonts w:ascii="Times New Roman" w:hAnsi="Times New Roman" w:cs="Times New Roman"/>
                <w:kern w:val="36"/>
                <w:sz w:val="24"/>
                <w:szCs w:val="24"/>
                <w:lang w:val="kk-KZ" w:eastAsia="zh-CN"/>
              </w:rPr>
              <w:t>Деген</w:t>
            </w:r>
            <w:r w:rsidR="005A4468">
              <w:rPr>
                <w:rFonts w:ascii="Times New Roman" w:hAnsi="Times New Roman" w:cs="Times New Roman"/>
                <w:kern w:val="36"/>
                <w:sz w:val="24"/>
                <w:szCs w:val="24"/>
                <w:lang w:val="kk-KZ" w:eastAsia="zh-CN"/>
              </w:rPr>
              <w:t xml:space="preserve"> </w:t>
            </w:r>
            <w:r w:rsidR="00F228AA" w:rsidRPr="00441955">
              <w:rPr>
                <w:rFonts w:ascii="Times New Roman" w:hAnsi="Times New Roman" w:cs="Times New Roman"/>
                <w:kern w:val="36"/>
                <w:sz w:val="24"/>
                <w:szCs w:val="24"/>
                <w:lang w:val="kk-KZ" w:eastAsia="zh-CN"/>
              </w:rPr>
              <w:t>мен 3 бөлімде өзекті мәселелерді келтірілген шешу бағыттарымен сәйкес келмейтіндігі байқалады</w:t>
            </w:r>
          </w:p>
        </w:tc>
      </w:tr>
      <w:tr w:rsidR="00F228AA" w:rsidRPr="00805B3E" w14:paraId="6D16E0FF" w14:textId="77777777" w:rsidTr="005A4468">
        <w:trPr>
          <w:jc w:val="center"/>
        </w:trPr>
        <w:tc>
          <w:tcPr>
            <w:tcW w:w="2972" w:type="dxa"/>
          </w:tcPr>
          <w:p w14:paraId="39501A87" w14:textId="7FF6952B" w:rsidR="00F228AA" w:rsidRPr="00441955" w:rsidRDefault="00F228AA" w:rsidP="00751614">
            <w:pPr>
              <w:widowControl w:val="0"/>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eastAsia="Times New Roman" w:hAnsi="Times New Roman" w:cs="Times New Roman"/>
                <w:kern w:val="36"/>
                <w:sz w:val="24"/>
                <w:szCs w:val="24"/>
                <w:lang w:val="kk-KZ" w:eastAsia="ru-RU"/>
              </w:rPr>
              <w:t>4.7. Сауда-логистикалық инфрақұрылымды дамыту</w:t>
            </w:r>
          </w:p>
        </w:tc>
        <w:tc>
          <w:tcPr>
            <w:tcW w:w="1418" w:type="dxa"/>
            <w:vAlign w:val="center"/>
          </w:tcPr>
          <w:p w14:paraId="5116763F" w14:textId="31C58B8E" w:rsidR="00F228AA" w:rsidRPr="00441955" w:rsidRDefault="00F228AA" w:rsidP="00751614">
            <w:pPr>
              <w:widowControl w:val="0"/>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1</w:t>
            </w:r>
          </w:p>
        </w:tc>
        <w:tc>
          <w:tcPr>
            <w:tcW w:w="1404" w:type="dxa"/>
            <w:vAlign w:val="center"/>
          </w:tcPr>
          <w:p w14:paraId="65C33A7B" w14:textId="0287A706" w:rsidR="00F228AA" w:rsidRPr="00441955" w:rsidRDefault="00F228AA" w:rsidP="00751614">
            <w:pPr>
              <w:widowControl w:val="0"/>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Алынып тасталды</w:t>
            </w:r>
          </w:p>
        </w:tc>
        <w:tc>
          <w:tcPr>
            <w:tcW w:w="3758" w:type="dxa"/>
          </w:tcPr>
          <w:p w14:paraId="0DA77A98" w14:textId="4C29EA83" w:rsidR="00F228AA" w:rsidRPr="00441955" w:rsidRDefault="00F228AA" w:rsidP="00751614">
            <w:pPr>
              <w:widowControl w:val="0"/>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АӨК өндірілетін өнім мерзімі шектеулі болғандықтан, бұл тапсырманы алып тастау Бағдар</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ламаның негізгі мақсатына жету тиімділігін төмендететіндігі сөзсіз</w:t>
            </w:r>
          </w:p>
        </w:tc>
      </w:tr>
      <w:tr w:rsidR="00F228AA" w:rsidRPr="00805B3E" w14:paraId="742F9F9D" w14:textId="77777777" w:rsidTr="00751614">
        <w:trPr>
          <w:jc w:val="center"/>
        </w:trPr>
        <w:tc>
          <w:tcPr>
            <w:tcW w:w="2972" w:type="dxa"/>
            <w:tcBorders>
              <w:bottom w:val="nil"/>
            </w:tcBorders>
          </w:tcPr>
          <w:p w14:paraId="3FC74B80" w14:textId="73C47222" w:rsidR="00F228AA" w:rsidRPr="00441955" w:rsidRDefault="00F228AA" w:rsidP="00751614">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eastAsia="Times New Roman" w:hAnsi="Times New Roman" w:cs="Times New Roman"/>
                <w:kern w:val="36"/>
                <w:sz w:val="24"/>
                <w:szCs w:val="24"/>
                <w:lang w:val="kk-KZ" w:eastAsia="ru-RU"/>
              </w:rPr>
              <w:t>4.8.</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Мемлекеттік көрсеті</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летін қызметтердің сапа</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сын арттыру және АӨК-ге цифрлық технологиялар</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ды енгізуді қамтамасыз ету</w:t>
            </w:r>
          </w:p>
        </w:tc>
        <w:tc>
          <w:tcPr>
            <w:tcW w:w="1418" w:type="dxa"/>
            <w:tcBorders>
              <w:bottom w:val="nil"/>
            </w:tcBorders>
            <w:vAlign w:val="center"/>
          </w:tcPr>
          <w:p w14:paraId="5BA84FF4" w14:textId="640A284C" w:rsidR="00F228AA" w:rsidRPr="00441955" w:rsidRDefault="00F228AA" w:rsidP="00751614">
            <w:pPr>
              <w:spacing w:line="228" w:lineRule="auto"/>
              <w:jc w:val="center"/>
              <w:rPr>
                <w:sz w:val="24"/>
                <w:szCs w:val="24"/>
              </w:rPr>
            </w:pPr>
            <w:r w:rsidRPr="00441955">
              <w:rPr>
                <w:rFonts w:ascii="Times New Roman" w:hAnsi="Times New Roman" w:cs="Times New Roman"/>
                <w:kern w:val="36"/>
                <w:sz w:val="24"/>
                <w:szCs w:val="24"/>
                <w:lang w:val="kk-KZ" w:eastAsia="zh-CN"/>
              </w:rPr>
              <w:t>Қарас</w:t>
            </w:r>
            <w:r w:rsidR="00751614">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тырыл маған</w:t>
            </w:r>
          </w:p>
        </w:tc>
        <w:tc>
          <w:tcPr>
            <w:tcW w:w="1404" w:type="dxa"/>
            <w:tcBorders>
              <w:bottom w:val="nil"/>
            </w:tcBorders>
            <w:vAlign w:val="center"/>
          </w:tcPr>
          <w:p w14:paraId="63103767" w14:textId="77777777" w:rsidR="00F228AA" w:rsidRPr="00441955" w:rsidRDefault="00F228AA" w:rsidP="00751614">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1</w:t>
            </w:r>
          </w:p>
        </w:tc>
        <w:tc>
          <w:tcPr>
            <w:tcW w:w="3758" w:type="dxa"/>
            <w:tcBorders>
              <w:bottom w:val="nil"/>
            </w:tcBorders>
          </w:tcPr>
          <w:p w14:paraId="002A5C9D" w14:textId="3EB08E25" w:rsidR="00F228AA" w:rsidRPr="00441955" w:rsidRDefault="00F228AA" w:rsidP="00751614">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hint="eastAsia"/>
                <w:kern w:val="36"/>
                <w:sz w:val="24"/>
                <w:szCs w:val="24"/>
                <w:lang w:val="kk-KZ" w:eastAsia="zh-CN"/>
              </w:rPr>
              <w:t xml:space="preserve">2018 </w:t>
            </w:r>
            <w:r w:rsidRPr="00441955">
              <w:rPr>
                <w:rFonts w:ascii="Times New Roman" w:hAnsi="Times New Roman" w:cs="Times New Roman"/>
                <w:kern w:val="36"/>
                <w:sz w:val="24"/>
                <w:szCs w:val="24"/>
                <w:lang w:val="kk-KZ" w:eastAsia="zh-CN"/>
              </w:rPr>
              <w:t>ж. редакциясына енгізілген тапсырма, АӨК көрсетілетін мем</w:t>
            </w:r>
            <w:r w:rsidR="00630981">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лекеттік қызметтер сапасын жоға</w:t>
            </w:r>
            <w:r w:rsidR="00630981">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рылату «бір терезе» арқылы ұйым</w:t>
            </w:r>
            <w:r w:rsidR="00630981">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дастыруды цифрлық технология</w:t>
            </w:r>
            <w:r w:rsidR="00630981">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 xml:space="preserve">ларды енгізуді қажет деп ұсынған </w:t>
            </w:r>
          </w:p>
        </w:tc>
      </w:tr>
      <w:tr w:rsidR="00F228AA" w:rsidRPr="00805B3E" w14:paraId="50476BD2" w14:textId="77777777" w:rsidTr="005A4468">
        <w:trPr>
          <w:jc w:val="center"/>
        </w:trPr>
        <w:tc>
          <w:tcPr>
            <w:tcW w:w="2972" w:type="dxa"/>
          </w:tcPr>
          <w:p w14:paraId="620B4D29" w14:textId="525B7870" w:rsidR="00F228AA" w:rsidRPr="00441955" w:rsidRDefault="00F228AA" w:rsidP="00751614">
            <w:pPr>
              <w:spacing w:line="228" w:lineRule="auto"/>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4.9.Ауылдық жерлерде тұратын халықтың өмір сүру жағдайларына қана</w:t>
            </w:r>
            <w:r w:rsidR="005A446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ғаттану деңгейін арттыру</w:t>
            </w:r>
          </w:p>
        </w:tc>
        <w:tc>
          <w:tcPr>
            <w:tcW w:w="1418" w:type="dxa"/>
            <w:vAlign w:val="center"/>
          </w:tcPr>
          <w:p w14:paraId="669C012C" w14:textId="6CBAC8FD" w:rsidR="00F228AA" w:rsidRPr="00441955" w:rsidRDefault="00F228AA" w:rsidP="00751614">
            <w:pPr>
              <w:spacing w:line="228" w:lineRule="auto"/>
              <w:jc w:val="center"/>
              <w:rPr>
                <w:sz w:val="24"/>
                <w:szCs w:val="24"/>
              </w:rPr>
            </w:pPr>
            <w:r w:rsidRPr="00441955">
              <w:rPr>
                <w:rFonts w:ascii="Times New Roman" w:hAnsi="Times New Roman" w:cs="Times New Roman"/>
                <w:kern w:val="36"/>
                <w:sz w:val="24"/>
                <w:szCs w:val="24"/>
                <w:lang w:val="kk-KZ" w:eastAsia="zh-CN"/>
              </w:rPr>
              <w:t>Қарас</w:t>
            </w:r>
            <w:r w:rsidR="00F71B14">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тырыл</w:t>
            </w:r>
            <w:r w:rsidR="00F71B14">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маған</w:t>
            </w:r>
          </w:p>
        </w:tc>
        <w:tc>
          <w:tcPr>
            <w:tcW w:w="1404" w:type="dxa"/>
            <w:vAlign w:val="center"/>
          </w:tcPr>
          <w:p w14:paraId="09E5E8AD" w14:textId="77777777" w:rsidR="00F228AA" w:rsidRPr="00441955" w:rsidRDefault="00F228AA" w:rsidP="00751614">
            <w:pPr>
              <w:spacing w:line="228" w:lineRule="auto"/>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2</w:t>
            </w:r>
          </w:p>
        </w:tc>
        <w:tc>
          <w:tcPr>
            <w:tcW w:w="3758" w:type="dxa"/>
          </w:tcPr>
          <w:p w14:paraId="541BF9B5" w14:textId="15E10D21" w:rsidR="00F228AA" w:rsidRPr="00441955" w:rsidRDefault="00F228AA" w:rsidP="00751614">
            <w:pPr>
              <w:spacing w:line="228" w:lineRule="auto"/>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 xml:space="preserve">Берілген тапсырма бойынша </w:t>
            </w:r>
            <w:r w:rsidRPr="00441955">
              <w:rPr>
                <w:rFonts w:ascii="Times New Roman" w:hAnsi="Times New Roman" w:cs="Times New Roman" w:hint="eastAsia"/>
                <w:kern w:val="36"/>
                <w:sz w:val="24"/>
                <w:szCs w:val="24"/>
                <w:lang w:val="kk-KZ" w:eastAsia="zh-CN"/>
              </w:rPr>
              <w:t xml:space="preserve">2 </w:t>
            </w:r>
            <w:r w:rsidRPr="00441955">
              <w:rPr>
                <w:rFonts w:ascii="Times New Roman" w:hAnsi="Times New Roman" w:cs="Times New Roman"/>
                <w:kern w:val="36"/>
                <w:sz w:val="24"/>
                <w:szCs w:val="24"/>
                <w:lang w:val="kk-KZ" w:eastAsia="zh-CN"/>
              </w:rPr>
              <w:t>нәтижелі көрсеткіш арқылы орындау қарастырылған. Деген</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мен оны орындау кешенді талдау жүргізу арқылы кешенді шаралар</w:t>
            </w:r>
            <w:r w:rsidR="005A4468">
              <w:rPr>
                <w:rFonts w:ascii="Times New Roman" w:hAnsi="Times New Roman" w:cs="Times New Roman"/>
                <w:kern w:val="36"/>
                <w:sz w:val="24"/>
                <w:szCs w:val="24"/>
                <w:lang w:val="kk-KZ" w:eastAsia="zh-CN"/>
              </w:rPr>
              <w:t xml:space="preserve"> </w:t>
            </w:r>
            <w:r w:rsidRPr="00441955">
              <w:rPr>
                <w:rFonts w:ascii="Times New Roman" w:hAnsi="Times New Roman" w:cs="Times New Roman"/>
                <w:kern w:val="36"/>
                <w:sz w:val="24"/>
                <w:szCs w:val="24"/>
                <w:lang w:val="kk-KZ" w:eastAsia="zh-CN"/>
              </w:rPr>
              <w:t>ды өткізу барысында ғана орындалады деуге болады</w:t>
            </w:r>
          </w:p>
        </w:tc>
      </w:tr>
      <w:tr w:rsidR="00F228AA" w:rsidRPr="00441955" w14:paraId="713D4C2F" w14:textId="77777777" w:rsidTr="005A4468">
        <w:trPr>
          <w:jc w:val="center"/>
        </w:trPr>
        <w:tc>
          <w:tcPr>
            <w:tcW w:w="2972" w:type="dxa"/>
          </w:tcPr>
          <w:p w14:paraId="5F0033AD" w14:textId="77777777" w:rsidR="00F228AA" w:rsidRPr="00441955" w:rsidRDefault="00F228AA" w:rsidP="00457CE9">
            <w:pPr>
              <w:textAlignment w:val="baseline"/>
              <w:outlineLvl w:val="0"/>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 xml:space="preserve">Жиыны </w:t>
            </w:r>
          </w:p>
        </w:tc>
        <w:tc>
          <w:tcPr>
            <w:tcW w:w="1418" w:type="dxa"/>
            <w:vAlign w:val="center"/>
          </w:tcPr>
          <w:p w14:paraId="25CB4C44" w14:textId="77777777" w:rsidR="00F228AA" w:rsidRPr="00441955" w:rsidRDefault="00F228AA" w:rsidP="00457CE9">
            <w:pPr>
              <w:jc w:val="center"/>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75</w:t>
            </w:r>
          </w:p>
        </w:tc>
        <w:tc>
          <w:tcPr>
            <w:tcW w:w="1404" w:type="dxa"/>
            <w:vAlign w:val="center"/>
          </w:tcPr>
          <w:p w14:paraId="03398D12" w14:textId="77777777" w:rsidR="00F228AA" w:rsidRPr="00441955" w:rsidRDefault="00F228AA" w:rsidP="00457CE9">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45</w:t>
            </w:r>
          </w:p>
        </w:tc>
        <w:tc>
          <w:tcPr>
            <w:tcW w:w="3758" w:type="dxa"/>
          </w:tcPr>
          <w:p w14:paraId="51E5A023" w14:textId="77777777" w:rsidR="00F228AA" w:rsidRPr="00441955" w:rsidRDefault="00F228AA" w:rsidP="00457CE9">
            <w:pPr>
              <w:jc w:val="center"/>
              <w:textAlignment w:val="baseline"/>
              <w:outlineLvl w:val="0"/>
              <w:rPr>
                <w:rFonts w:ascii="Times New Roman" w:hAnsi="Times New Roman" w:cs="Times New Roman"/>
                <w:kern w:val="36"/>
                <w:sz w:val="24"/>
                <w:szCs w:val="24"/>
                <w:lang w:val="kk-KZ" w:eastAsia="zh-CN"/>
              </w:rPr>
            </w:pPr>
            <w:r w:rsidRPr="00441955">
              <w:rPr>
                <w:rFonts w:ascii="Times New Roman" w:hAnsi="Times New Roman" w:cs="Times New Roman"/>
                <w:kern w:val="36"/>
                <w:sz w:val="24"/>
                <w:szCs w:val="24"/>
                <w:lang w:val="kk-KZ" w:eastAsia="zh-CN"/>
              </w:rPr>
              <w:t>-30</w:t>
            </w:r>
          </w:p>
        </w:tc>
      </w:tr>
      <w:tr w:rsidR="00F228AA" w:rsidRPr="00441955" w14:paraId="491BA217" w14:textId="77777777" w:rsidTr="005A4468">
        <w:trPr>
          <w:jc w:val="center"/>
        </w:trPr>
        <w:tc>
          <w:tcPr>
            <w:tcW w:w="9552" w:type="dxa"/>
            <w:gridSpan w:val="4"/>
          </w:tcPr>
          <w:p w14:paraId="57A0A660" w14:textId="66A542B8" w:rsidR="00F228AA" w:rsidRPr="00441955" w:rsidRDefault="00463D68" w:rsidP="00463D68">
            <w:pPr>
              <w:ind w:firstLine="567"/>
              <w:textAlignment w:val="baseline"/>
              <w:outlineLvl w:val="0"/>
              <w:rPr>
                <w:rFonts w:ascii="Times New Roman" w:hAnsi="Times New Roman" w:cs="Times New Roman"/>
                <w:kern w:val="36"/>
                <w:sz w:val="24"/>
                <w:szCs w:val="24"/>
                <w:lang w:val="kk-KZ" w:eastAsia="zh-CN"/>
              </w:rPr>
            </w:pPr>
            <w:r w:rsidRPr="00441955">
              <w:rPr>
                <w:rFonts w:ascii="Times New Roman" w:eastAsia="Calibri" w:hAnsi="Times New Roman" w:cs="Times New Roman"/>
                <w:sz w:val="24"/>
                <w:szCs w:val="24"/>
              </w:rPr>
              <w:t>Ескерту –</w:t>
            </w:r>
            <w:r w:rsidRPr="00441955">
              <w:rPr>
                <w:rFonts w:ascii="Times New Roman" w:eastAsia="Calibri" w:hAnsi="Times New Roman" w:cs="Times New Roman"/>
                <w:bCs/>
                <w:sz w:val="24"/>
                <w:szCs w:val="24"/>
                <w:lang w:val="kk-KZ"/>
              </w:rPr>
              <w:t xml:space="preserve"> Әдебиет негізінде құралған</w:t>
            </w:r>
            <w:r w:rsidR="00B004CF" w:rsidRPr="00441955">
              <w:rPr>
                <w:rFonts w:ascii="Times New Roman" w:hAnsi="Times New Roman" w:cs="Times New Roman"/>
                <w:kern w:val="36"/>
                <w:sz w:val="24"/>
                <w:szCs w:val="24"/>
                <w:lang w:eastAsia="zh-CN"/>
              </w:rPr>
              <w:t xml:space="preserve"> [</w:t>
            </w:r>
            <w:r w:rsidR="00A74772">
              <w:rPr>
                <w:rFonts w:ascii="Times New Roman" w:hAnsi="Times New Roman" w:cs="Times New Roman"/>
                <w:kern w:val="36"/>
                <w:sz w:val="24"/>
                <w:szCs w:val="24"/>
                <w:lang w:val="kk-KZ" w:eastAsia="zh-CN"/>
              </w:rPr>
              <w:t>5</w:t>
            </w:r>
            <w:r w:rsidR="00AA4EAE">
              <w:rPr>
                <w:rFonts w:ascii="Times New Roman" w:hAnsi="Times New Roman" w:cs="Times New Roman"/>
                <w:kern w:val="36"/>
                <w:sz w:val="24"/>
                <w:szCs w:val="24"/>
                <w:lang w:val="en-US" w:eastAsia="zh-CN"/>
              </w:rPr>
              <w:t>2</w:t>
            </w:r>
            <w:r w:rsidR="00A74772">
              <w:rPr>
                <w:rFonts w:ascii="Times New Roman" w:hAnsi="Times New Roman" w:cs="Times New Roman"/>
                <w:kern w:val="36"/>
                <w:sz w:val="24"/>
                <w:szCs w:val="24"/>
                <w:lang w:val="kk-KZ" w:eastAsia="zh-CN"/>
              </w:rPr>
              <w:t>, 6</w:t>
            </w:r>
            <w:r w:rsidR="004330E8">
              <w:rPr>
                <w:rFonts w:ascii="Times New Roman" w:hAnsi="Times New Roman" w:cs="Times New Roman"/>
                <w:kern w:val="36"/>
                <w:sz w:val="24"/>
                <w:szCs w:val="24"/>
                <w:lang w:val="kk-KZ" w:eastAsia="zh-CN"/>
              </w:rPr>
              <w:t>2</w:t>
            </w:r>
            <w:r w:rsidR="00B004CF" w:rsidRPr="00441955">
              <w:rPr>
                <w:rFonts w:ascii="Times New Roman" w:hAnsi="Times New Roman" w:cs="Times New Roman"/>
                <w:kern w:val="36"/>
                <w:sz w:val="24"/>
                <w:szCs w:val="24"/>
                <w:lang w:eastAsia="zh-CN"/>
              </w:rPr>
              <w:t>]</w:t>
            </w:r>
            <w:r w:rsidR="00F228AA" w:rsidRPr="00441955">
              <w:rPr>
                <w:rFonts w:ascii="Times New Roman" w:hAnsi="Times New Roman" w:cs="Times New Roman"/>
                <w:kern w:val="36"/>
                <w:sz w:val="24"/>
                <w:szCs w:val="24"/>
                <w:lang w:val="kk-KZ" w:eastAsia="zh-CN"/>
              </w:rPr>
              <w:t xml:space="preserve"> </w:t>
            </w:r>
          </w:p>
        </w:tc>
      </w:tr>
    </w:tbl>
    <w:p w14:paraId="442637CD" w14:textId="77777777" w:rsidR="004572BF" w:rsidRPr="00457CE9" w:rsidRDefault="004572BF" w:rsidP="00457CE9">
      <w:pPr>
        <w:spacing w:after="0" w:line="240" w:lineRule="auto"/>
        <w:ind w:firstLine="567"/>
        <w:jc w:val="both"/>
        <w:textAlignment w:val="baseline"/>
        <w:outlineLvl w:val="0"/>
        <w:rPr>
          <w:rFonts w:ascii="Times New Roman" w:hAnsi="Times New Roman" w:cs="Times New Roman"/>
          <w:kern w:val="36"/>
          <w:sz w:val="28"/>
          <w:szCs w:val="28"/>
          <w:lang w:val="kk-KZ" w:eastAsia="zh-CN"/>
        </w:rPr>
      </w:pPr>
    </w:p>
    <w:p w14:paraId="72C65978" w14:textId="75A5E4D7" w:rsidR="000F756C" w:rsidRPr="00457CE9" w:rsidRDefault="000F756C"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Бұл ретте өңірлердің </w:t>
      </w:r>
      <w:r w:rsidR="00575788">
        <w:rPr>
          <w:rFonts w:ascii="Times New Roman" w:hAnsi="Times New Roman" w:cs="Times New Roman"/>
          <w:sz w:val="28"/>
          <w:szCs w:val="28"/>
          <w:lang w:val="kk-KZ"/>
        </w:rPr>
        <w:t>АӨК-н</w:t>
      </w:r>
      <w:r w:rsidRPr="00457CE9">
        <w:rPr>
          <w:rFonts w:ascii="Times New Roman" w:hAnsi="Times New Roman" w:cs="Times New Roman"/>
          <w:sz w:val="28"/>
          <w:szCs w:val="28"/>
          <w:lang w:val="kk-KZ"/>
        </w:rPr>
        <w:t xml:space="preserve"> шаруашылық жүргізудің экономикалық тетігі макроэкономикалық шаруашылық тетікке толық сәйкес құрылуы тиіс, бірақ оның элементтері өңірдің аумақтық, демографиялық және әлеуметтік-экономикалық ерекшелігіне байланысты толықтырылуы және нақтылануы мүмкін. Әсіресе бұл өңірлік фактор елеулі маңызы бар кәсіпорындар үшін маңызды.</w:t>
      </w:r>
    </w:p>
    <w:p w14:paraId="13D96F22" w14:textId="77777777" w:rsidR="002A3CA3" w:rsidRDefault="000F756C" w:rsidP="002A3CA3">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Шаруашылық жүргізудің тиімді экономикалық тетігін енгізу АӨК-н дағдарыс жағдайынан шығарудың шешуші факторы болып табылады. Жүргізіліп жатқан аграрлық реформа агроөнеркәсіптік кешенді жетілдірудің теориялық және </w:t>
      </w:r>
      <w:r w:rsidR="00C557D6" w:rsidRPr="00457CE9">
        <w:rPr>
          <w:rFonts w:ascii="Times New Roman" w:hAnsi="Times New Roman" w:cs="Times New Roman"/>
          <w:sz w:val="28"/>
          <w:szCs w:val="28"/>
          <w:lang w:val="kk-KZ"/>
        </w:rPr>
        <w:t xml:space="preserve">тәжірибелік </w:t>
      </w:r>
      <w:r w:rsidRPr="00457CE9">
        <w:rPr>
          <w:rFonts w:ascii="Times New Roman" w:hAnsi="Times New Roman" w:cs="Times New Roman"/>
          <w:sz w:val="28"/>
          <w:szCs w:val="28"/>
          <w:lang w:val="kk-KZ"/>
        </w:rPr>
        <w:t xml:space="preserve">тәсілдерін қалыптастыру мен дамыту </w:t>
      </w:r>
      <w:r w:rsidR="00C557D6" w:rsidRPr="00457CE9">
        <w:rPr>
          <w:rFonts w:ascii="Times New Roman" w:hAnsi="Times New Roman" w:cs="Times New Roman"/>
          <w:sz w:val="28"/>
          <w:szCs w:val="28"/>
          <w:lang w:val="kk-KZ"/>
        </w:rPr>
        <w:t>үрді</w:t>
      </w:r>
      <w:r w:rsidRPr="00457CE9">
        <w:rPr>
          <w:rFonts w:ascii="Times New Roman" w:hAnsi="Times New Roman" w:cs="Times New Roman"/>
          <w:sz w:val="28"/>
          <w:szCs w:val="28"/>
          <w:lang w:val="kk-KZ"/>
        </w:rPr>
        <w:t>стерін қамтуы тиіс.</w:t>
      </w:r>
      <w:r w:rsidR="00785E14" w:rsidRPr="00457CE9">
        <w:rPr>
          <w:rFonts w:ascii="Times New Roman" w:hAnsi="Times New Roman" w:cs="Times New Roman"/>
          <w:sz w:val="28"/>
          <w:szCs w:val="28"/>
          <w:lang w:val="kk-KZ"/>
        </w:rPr>
        <w:t xml:space="preserve"> </w:t>
      </w:r>
    </w:p>
    <w:p w14:paraId="2D6DB314" w14:textId="10DD462A" w:rsidR="000F756C" w:rsidRPr="00457CE9" w:rsidRDefault="000F756C" w:rsidP="002A3CA3">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Шаруашылық жүргізудің экономикалық тетігі жалпы экономиканың жұмыс істеу тәсілі ретінде әрекет ететін шаруашылық тетігінің бір бөлігі болып табылады. Шаруашылық жүргізудің экономикалық тетігі көбінесе тікелей кәсіпорындардың жұмыс істеуіне қатысты және мынадай элементтерді қамтиды: жоспарлау, қаржыландыру, коммерциялық шаруашылық есеп айырысу, баға белгілеу, ынталандыру жүйесі, талдау, бақылау және есепке алу жүйесі және т. б. АӨК-дегі экономикалық механизм ауыл шаруашылығы мен өнеркәсіпті оған тән өзіндік экономикалық нысандары мен осы </w:t>
      </w:r>
      <w:r w:rsidR="00C557D6" w:rsidRPr="00457CE9">
        <w:rPr>
          <w:rFonts w:ascii="Times New Roman" w:hAnsi="Times New Roman" w:cs="Times New Roman"/>
          <w:sz w:val="28"/>
          <w:szCs w:val="28"/>
          <w:lang w:val="kk-KZ"/>
        </w:rPr>
        <w:t>үрді</w:t>
      </w:r>
      <w:r w:rsidRPr="00457CE9">
        <w:rPr>
          <w:rFonts w:ascii="Times New Roman" w:hAnsi="Times New Roman" w:cs="Times New Roman"/>
          <w:sz w:val="28"/>
          <w:szCs w:val="28"/>
          <w:lang w:val="kk-KZ"/>
        </w:rPr>
        <w:t>ске әсер ету әдістері бар интеграциялау саласындағы шаруашылық жүргізу тәсілі болып табылады. Ол АӨК ерекшеліктерін ескере отырып қалыптасуы тиіс. Аймақтық АӨК экономикалық тетігі осы аймаққа тән сапалы ерекшеліктерге байланысты арнайы экономикалық тетіктер мен реттеу әдістерінің үйлесімі болып табылады.</w:t>
      </w:r>
    </w:p>
    <w:p w14:paraId="647BCBB9" w14:textId="23FDC46F" w:rsidR="00E144D7" w:rsidRPr="00457CE9" w:rsidRDefault="00854FD4" w:rsidP="00457CE9">
      <w:pPr>
        <w:widowControl w:val="0"/>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Қаржыландыру сомалары тиісті қаржы жылына арналған мемлекеттік бюджетке сәйкес өңірлерде </w:t>
      </w:r>
      <w:r w:rsidR="00575788">
        <w:rPr>
          <w:rFonts w:ascii="Times New Roman" w:hAnsi="Times New Roman" w:cs="Times New Roman"/>
          <w:sz w:val="28"/>
          <w:szCs w:val="28"/>
          <w:lang w:val="kk-KZ"/>
        </w:rPr>
        <w:t>АӨК-н</w:t>
      </w:r>
      <w:r w:rsidRPr="00457CE9">
        <w:rPr>
          <w:rFonts w:ascii="Times New Roman" w:hAnsi="Times New Roman" w:cs="Times New Roman"/>
          <w:sz w:val="28"/>
          <w:szCs w:val="28"/>
          <w:lang w:val="kk-KZ"/>
        </w:rPr>
        <w:t xml:space="preserve"> дамыту бағдарламалары мен кіші бағдарламаларымен шектес инвестициялық бағдарламалар негізінде нақтыланады. Мемлекеттік бағдарлама нәтижелерінің көрсеткіштерін орындау тиісті қаржы жылдарына арналған қаржыландыру көлемдерінен айқындалатын болады.</w:t>
      </w:r>
      <w:r w:rsidR="004F644C"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Мемлекеттік бағдарлама ҚР-да АӨК дамыту бойынша </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Агробизнес-2017</w:t>
      </w:r>
      <w:r w:rsidR="003C56BE"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бағдарламасы мен Қазақстанның су ресурстарын басқару бойынша мемлекеттік бағдарлама негізінде әзірленген. Мақсаттар, міндеттер және нәтижелер көрсеткіштері мемлекеттік бағдарламаны </w:t>
      </w:r>
      <w:r w:rsidR="004F644C" w:rsidRPr="00457CE9">
        <w:rPr>
          <w:rFonts w:ascii="Times New Roman" w:hAnsi="Times New Roman" w:cs="Times New Roman"/>
          <w:sz w:val="28"/>
          <w:szCs w:val="28"/>
          <w:lang w:val="kk-KZ"/>
        </w:rPr>
        <w:t>өткізу</w:t>
      </w:r>
      <w:r w:rsidRPr="00457CE9">
        <w:rPr>
          <w:rFonts w:ascii="Times New Roman" w:hAnsi="Times New Roman" w:cs="Times New Roman"/>
          <w:sz w:val="28"/>
          <w:szCs w:val="28"/>
          <w:lang w:val="kk-KZ"/>
        </w:rPr>
        <w:t xml:space="preserve"> жөніндегі іс-шаралар жоспарын іске асыру жолымен қол жеткізіледі деп жоспарлануда.</w:t>
      </w:r>
      <w:r w:rsidR="004F644C" w:rsidRPr="00457CE9">
        <w:rPr>
          <w:rFonts w:ascii="Times New Roman" w:hAnsi="Times New Roman" w:cs="Times New Roman"/>
          <w:sz w:val="28"/>
          <w:szCs w:val="28"/>
          <w:lang w:val="kk-KZ"/>
        </w:rPr>
        <w:t xml:space="preserve"> </w:t>
      </w:r>
    </w:p>
    <w:p w14:paraId="7C4360A7" w14:textId="3EDDDFB2" w:rsidR="00352DAB" w:rsidRPr="00457CE9" w:rsidRDefault="006E46BD" w:rsidP="00457CE9">
      <w:pPr>
        <w:widowControl w:val="0"/>
        <w:tabs>
          <w:tab w:val="left" w:pos="851"/>
        </w:tabs>
        <w:spacing w:after="0" w:line="240" w:lineRule="auto"/>
        <w:ind w:firstLine="709"/>
        <w:jc w:val="both"/>
        <w:textAlignment w:val="baseline"/>
        <w:outlineLvl w:val="0"/>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Мемлекеттік бағдарлама бойынша тиімділік аудитін жоспарлау әр тапсырма бойынша жеке</w:t>
      </w:r>
      <w:r w:rsidR="00F71B14">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жеке аудит жоспары болуы дұрыс. Себебі әр тапсырмаға жету тікелей</w:t>
      </w:r>
      <w:r w:rsidR="00F71B14">
        <w:rPr>
          <w:rFonts w:ascii="Times New Roman" w:eastAsia="Times New Roman" w:hAnsi="Times New Roman"/>
          <w:kern w:val="36"/>
          <w:sz w:val="28"/>
          <w:szCs w:val="28"/>
          <w:lang w:val="kk-KZ" w:eastAsia="ru-RU"/>
        </w:rPr>
        <w:t xml:space="preserve"> және </w:t>
      </w:r>
      <w:r w:rsidRPr="00457CE9">
        <w:rPr>
          <w:rFonts w:ascii="Times New Roman" w:eastAsia="Times New Roman" w:hAnsi="Times New Roman"/>
          <w:kern w:val="36"/>
          <w:sz w:val="28"/>
          <w:szCs w:val="28"/>
          <w:lang w:val="kk-KZ" w:eastAsia="ru-RU"/>
        </w:rPr>
        <w:t>қорытынды көрсеткіштер жиынтығымен сипатталады.</w:t>
      </w:r>
      <w:r w:rsidR="00352DAB" w:rsidRPr="00457CE9">
        <w:rPr>
          <w:rFonts w:ascii="Times New Roman" w:eastAsia="Times New Roman" w:hAnsi="Times New Roman"/>
          <w:kern w:val="36"/>
          <w:sz w:val="28"/>
          <w:szCs w:val="28"/>
          <w:lang w:val="kk-KZ" w:eastAsia="ru-RU"/>
        </w:rPr>
        <w:t xml:space="preserve"> Мәселен мемлекеттік бағдарламаның бірінші тапсырмасы азық-түлік қауіпсіздігін қамтамасыз ету болып табылады, соған орай осы тапсырманың орындау үшін жұмсалған бюджет қаражатының қаншалықты мақсатқа сәйкес және тиімді жұмсалғанын анықтау тиімділік аудитін жүргізу арқылы анықтауға болады.</w:t>
      </w:r>
      <w:r w:rsidR="00EB3200" w:rsidRPr="00457CE9">
        <w:rPr>
          <w:rFonts w:ascii="Times New Roman" w:eastAsia="Times New Roman" w:hAnsi="Times New Roman"/>
          <w:kern w:val="36"/>
          <w:sz w:val="28"/>
          <w:szCs w:val="28"/>
          <w:lang w:val="kk-KZ" w:eastAsia="ru-RU"/>
        </w:rPr>
        <w:t xml:space="preserve"> </w:t>
      </w:r>
      <w:r w:rsidR="00F71B14">
        <w:rPr>
          <w:rFonts w:ascii="Times New Roman" w:eastAsia="Times New Roman" w:hAnsi="Times New Roman"/>
          <w:kern w:val="36"/>
          <w:sz w:val="28"/>
          <w:szCs w:val="28"/>
          <w:lang w:val="kk-KZ" w:eastAsia="ru-RU"/>
        </w:rPr>
        <w:t>ҚР 2017-2021 жж. а</w:t>
      </w:r>
      <w:r w:rsidR="00041AB9" w:rsidRPr="00457CE9">
        <w:rPr>
          <w:rFonts w:ascii="Times New Roman" w:eastAsia="Times New Roman" w:hAnsi="Times New Roman"/>
          <w:kern w:val="36"/>
          <w:sz w:val="28"/>
          <w:szCs w:val="28"/>
          <w:lang w:val="kk-KZ" w:eastAsia="ru-RU"/>
        </w:rPr>
        <w:t xml:space="preserve">зық-түлік тәуелсіздігі – басым бағыттарын анықтау </w:t>
      </w:r>
      <w:r w:rsidR="0038270D" w:rsidRPr="00457CE9">
        <w:rPr>
          <w:rFonts w:ascii="Times New Roman" w:eastAsia="Times New Roman" w:hAnsi="Times New Roman"/>
          <w:kern w:val="36"/>
          <w:sz w:val="28"/>
          <w:szCs w:val="28"/>
          <w:lang w:val="kk-KZ" w:eastAsia="ru-RU"/>
        </w:rPr>
        <w:t>2</w:t>
      </w:r>
      <w:r w:rsidR="00023296">
        <w:rPr>
          <w:rFonts w:ascii="Times New Roman" w:eastAsia="Times New Roman" w:hAnsi="Times New Roman"/>
          <w:kern w:val="36"/>
          <w:sz w:val="28"/>
          <w:szCs w:val="28"/>
          <w:lang w:val="kk-KZ" w:eastAsia="ru-RU"/>
        </w:rPr>
        <w:t>4</w:t>
      </w:r>
      <w:r w:rsidR="0038270D" w:rsidRPr="00457CE9">
        <w:rPr>
          <w:rFonts w:ascii="Times New Roman" w:eastAsia="Times New Roman" w:hAnsi="Times New Roman"/>
          <w:kern w:val="36"/>
          <w:sz w:val="28"/>
          <w:szCs w:val="28"/>
          <w:lang w:val="kk-KZ" w:eastAsia="ru-RU"/>
        </w:rPr>
        <w:t>-</w:t>
      </w:r>
      <w:r w:rsidR="00041AB9" w:rsidRPr="00457CE9">
        <w:rPr>
          <w:rFonts w:ascii="Times New Roman" w:eastAsia="Times New Roman" w:hAnsi="Times New Roman"/>
          <w:kern w:val="36"/>
          <w:sz w:val="28"/>
          <w:szCs w:val="28"/>
          <w:lang w:val="kk-KZ" w:eastAsia="ru-RU"/>
        </w:rPr>
        <w:t>кестеде келтірілген.</w:t>
      </w:r>
    </w:p>
    <w:p w14:paraId="3FDFEED0" w14:textId="77777777" w:rsidR="00266A88" w:rsidRPr="00457CE9" w:rsidRDefault="00266A88" w:rsidP="00457CE9">
      <w:pPr>
        <w:widowControl w:val="0"/>
        <w:tabs>
          <w:tab w:val="left" w:pos="851"/>
        </w:tabs>
        <w:spacing w:after="0" w:line="240" w:lineRule="auto"/>
        <w:jc w:val="both"/>
        <w:textAlignment w:val="baseline"/>
        <w:outlineLvl w:val="0"/>
        <w:rPr>
          <w:rFonts w:ascii="Times New Roman" w:eastAsia="Times New Roman" w:hAnsi="Times New Roman"/>
          <w:kern w:val="36"/>
          <w:sz w:val="16"/>
          <w:szCs w:val="16"/>
          <w:lang w:val="kk-KZ" w:eastAsia="ru-RU"/>
        </w:rPr>
      </w:pPr>
    </w:p>
    <w:p w14:paraId="0CD97D0E" w14:textId="5BAAAA38" w:rsidR="00041AB9" w:rsidRDefault="00CB63A5" w:rsidP="00457CE9">
      <w:pPr>
        <w:widowControl w:val="0"/>
        <w:tabs>
          <w:tab w:val="left" w:pos="851"/>
        </w:tabs>
        <w:spacing w:after="0" w:line="240" w:lineRule="auto"/>
        <w:jc w:val="both"/>
        <w:textAlignment w:val="baseline"/>
        <w:outlineLvl w:val="0"/>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Кесте </w:t>
      </w:r>
      <w:r w:rsidR="0038270D" w:rsidRPr="00457CE9">
        <w:rPr>
          <w:rFonts w:ascii="Times New Roman" w:eastAsia="Times New Roman" w:hAnsi="Times New Roman"/>
          <w:kern w:val="36"/>
          <w:sz w:val="28"/>
          <w:szCs w:val="28"/>
          <w:lang w:val="kk-KZ" w:eastAsia="ru-RU"/>
        </w:rPr>
        <w:t>2</w:t>
      </w:r>
      <w:r w:rsidR="00023296">
        <w:rPr>
          <w:rFonts w:ascii="Times New Roman" w:eastAsia="Times New Roman" w:hAnsi="Times New Roman"/>
          <w:kern w:val="36"/>
          <w:sz w:val="28"/>
          <w:szCs w:val="28"/>
          <w:lang w:val="kk-KZ" w:eastAsia="ru-RU"/>
        </w:rPr>
        <w:t>4</w:t>
      </w:r>
      <w:r w:rsidRPr="00457CE9">
        <w:rPr>
          <w:rFonts w:ascii="Times New Roman" w:eastAsia="Times New Roman" w:hAnsi="Times New Roman"/>
          <w:kern w:val="36"/>
          <w:sz w:val="28"/>
          <w:szCs w:val="28"/>
          <w:lang w:val="kk-KZ" w:eastAsia="ru-RU"/>
        </w:rPr>
        <w:t xml:space="preserve"> – ҚР 2017-2021 жж. азық-түлік тәуелсіздігі-басым бағытттары</w:t>
      </w:r>
    </w:p>
    <w:p w14:paraId="3B1EB421" w14:textId="77777777" w:rsidR="00751614" w:rsidRPr="00751614" w:rsidRDefault="00751614" w:rsidP="00457CE9">
      <w:pPr>
        <w:widowControl w:val="0"/>
        <w:tabs>
          <w:tab w:val="left" w:pos="851"/>
        </w:tabs>
        <w:spacing w:after="0" w:line="240" w:lineRule="auto"/>
        <w:jc w:val="both"/>
        <w:textAlignment w:val="baseline"/>
        <w:outlineLvl w:val="0"/>
        <w:rPr>
          <w:rFonts w:ascii="Times New Roman" w:eastAsia="Times New Roman" w:hAnsi="Times New Roman"/>
          <w:kern w:val="36"/>
          <w:sz w:val="16"/>
          <w:szCs w:val="16"/>
          <w:lang w:val="kk-KZ" w:eastAsia="ru-RU"/>
        </w:rPr>
      </w:pPr>
    </w:p>
    <w:tbl>
      <w:tblPr>
        <w:tblStyle w:val="a3"/>
        <w:tblW w:w="0" w:type="auto"/>
        <w:jc w:val="center"/>
        <w:tblLook w:val="04A0" w:firstRow="1" w:lastRow="0" w:firstColumn="1" w:lastColumn="0" w:noHBand="0" w:noVBand="1"/>
      </w:tblPr>
      <w:tblGrid>
        <w:gridCol w:w="5669"/>
        <w:gridCol w:w="826"/>
        <w:gridCol w:w="770"/>
        <w:gridCol w:w="784"/>
        <w:gridCol w:w="784"/>
        <w:gridCol w:w="791"/>
      </w:tblGrid>
      <w:tr w:rsidR="00441955" w:rsidRPr="00441955" w14:paraId="7ABB07C0" w14:textId="77777777" w:rsidTr="00630981">
        <w:trPr>
          <w:trHeight w:val="367"/>
          <w:jc w:val="center"/>
        </w:trPr>
        <w:tc>
          <w:tcPr>
            <w:tcW w:w="5669" w:type="dxa"/>
            <w:tcBorders>
              <w:top w:val="single" w:sz="4" w:space="0" w:color="auto"/>
              <w:left w:val="single" w:sz="4" w:space="0" w:color="auto"/>
              <w:bottom w:val="single" w:sz="4" w:space="0" w:color="auto"/>
              <w:right w:val="single" w:sz="4" w:space="0" w:color="auto"/>
            </w:tcBorders>
            <w:vAlign w:val="center"/>
          </w:tcPr>
          <w:p w14:paraId="0B979558"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Қаржыландыру көздері</w:t>
            </w:r>
          </w:p>
        </w:tc>
        <w:tc>
          <w:tcPr>
            <w:tcW w:w="826" w:type="dxa"/>
            <w:tcBorders>
              <w:top w:val="single" w:sz="4" w:space="0" w:color="auto"/>
              <w:left w:val="single" w:sz="4" w:space="0" w:color="auto"/>
              <w:bottom w:val="single" w:sz="4" w:space="0" w:color="auto"/>
              <w:right w:val="single" w:sz="4" w:space="0" w:color="auto"/>
            </w:tcBorders>
            <w:vAlign w:val="center"/>
            <w:hideMark/>
          </w:tcPr>
          <w:p w14:paraId="51490112" w14:textId="77777777" w:rsidR="00441955" w:rsidRPr="00441955" w:rsidRDefault="00441955" w:rsidP="00751614">
            <w:pPr>
              <w:jc w:val="center"/>
              <w:rPr>
                <w:rFonts w:ascii="Times New Roman" w:hAnsi="Times New Roman" w:cs="Times New Roman"/>
                <w:sz w:val="24"/>
                <w:szCs w:val="24"/>
              </w:rPr>
            </w:pPr>
            <w:r w:rsidRPr="00441955">
              <w:rPr>
                <w:rFonts w:ascii="Times New Roman" w:hAnsi="Times New Roman" w:cs="Times New Roman"/>
                <w:sz w:val="24"/>
                <w:szCs w:val="24"/>
              </w:rPr>
              <w:t>2017 жыл</w:t>
            </w:r>
          </w:p>
        </w:tc>
        <w:tc>
          <w:tcPr>
            <w:tcW w:w="770" w:type="dxa"/>
            <w:tcBorders>
              <w:top w:val="single" w:sz="4" w:space="0" w:color="auto"/>
              <w:left w:val="single" w:sz="4" w:space="0" w:color="auto"/>
              <w:bottom w:val="single" w:sz="4" w:space="0" w:color="auto"/>
              <w:right w:val="single" w:sz="4" w:space="0" w:color="auto"/>
            </w:tcBorders>
            <w:vAlign w:val="center"/>
            <w:hideMark/>
          </w:tcPr>
          <w:p w14:paraId="78BB00E7"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2018 жыл</w:t>
            </w:r>
          </w:p>
        </w:tc>
        <w:tc>
          <w:tcPr>
            <w:tcW w:w="784" w:type="dxa"/>
            <w:tcBorders>
              <w:top w:val="single" w:sz="4" w:space="0" w:color="auto"/>
              <w:left w:val="single" w:sz="4" w:space="0" w:color="auto"/>
              <w:bottom w:val="single" w:sz="4" w:space="0" w:color="auto"/>
              <w:right w:val="single" w:sz="4" w:space="0" w:color="auto"/>
            </w:tcBorders>
            <w:vAlign w:val="center"/>
            <w:hideMark/>
          </w:tcPr>
          <w:p w14:paraId="391E974D"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2019 жыл</w:t>
            </w:r>
          </w:p>
        </w:tc>
        <w:tc>
          <w:tcPr>
            <w:tcW w:w="784" w:type="dxa"/>
            <w:tcBorders>
              <w:top w:val="single" w:sz="4" w:space="0" w:color="auto"/>
              <w:left w:val="single" w:sz="4" w:space="0" w:color="auto"/>
              <w:bottom w:val="single" w:sz="4" w:space="0" w:color="auto"/>
              <w:right w:val="single" w:sz="4" w:space="0" w:color="auto"/>
            </w:tcBorders>
            <w:vAlign w:val="center"/>
            <w:hideMark/>
          </w:tcPr>
          <w:p w14:paraId="659F48B3"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2020 жыл</w:t>
            </w:r>
          </w:p>
        </w:tc>
        <w:tc>
          <w:tcPr>
            <w:tcW w:w="791" w:type="dxa"/>
            <w:tcBorders>
              <w:top w:val="single" w:sz="4" w:space="0" w:color="auto"/>
              <w:left w:val="single" w:sz="4" w:space="0" w:color="auto"/>
              <w:bottom w:val="single" w:sz="4" w:space="0" w:color="auto"/>
              <w:right w:val="single" w:sz="4" w:space="0" w:color="auto"/>
            </w:tcBorders>
            <w:vAlign w:val="center"/>
            <w:hideMark/>
          </w:tcPr>
          <w:p w14:paraId="2AB4F22A"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2021 жыл</w:t>
            </w:r>
          </w:p>
        </w:tc>
      </w:tr>
      <w:tr w:rsidR="00441955" w:rsidRPr="00441955" w14:paraId="2DF3A5DE" w14:textId="77777777" w:rsidTr="00751614">
        <w:trPr>
          <w:jc w:val="center"/>
        </w:trPr>
        <w:tc>
          <w:tcPr>
            <w:tcW w:w="5669" w:type="dxa"/>
            <w:tcBorders>
              <w:top w:val="single" w:sz="4" w:space="0" w:color="auto"/>
              <w:left w:val="single" w:sz="4" w:space="0" w:color="auto"/>
              <w:bottom w:val="single" w:sz="4" w:space="0" w:color="auto"/>
              <w:right w:val="single" w:sz="4" w:space="0" w:color="auto"/>
            </w:tcBorders>
          </w:tcPr>
          <w:p w14:paraId="568B5337" w14:textId="77777777" w:rsidR="00441955" w:rsidRPr="00441955" w:rsidRDefault="00441955" w:rsidP="00457CE9">
            <w:pPr>
              <w:rPr>
                <w:rFonts w:ascii="Times New Roman" w:hAnsi="Times New Roman" w:cs="Times New Roman"/>
                <w:sz w:val="24"/>
                <w:szCs w:val="24"/>
                <w:lang w:val="kk-KZ"/>
              </w:rPr>
            </w:pPr>
            <w:r w:rsidRPr="00441955">
              <w:rPr>
                <w:rFonts w:ascii="Times New Roman" w:hAnsi="Times New Roman" w:cs="Times New Roman"/>
                <w:sz w:val="24"/>
                <w:szCs w:val="24"/>
                <w:lang w:val="kk-KZ"/>
              </w:rPr>
              <w:t>Өңдеуге түскен сүт-шикізат көлемі, %</w:t>
            </w:r>
          </w:p>
        </w:tc>
        <w:tc>
          <w:tcPr>
            <w:tcW w:w="826" w:type="dxa"/>
            <w:tcBorders>
              <w:top w:val="single" w:sz="4" w:space="0" w:color="auto"/>
              <w:left w:val="single" w:sz="4" w:space="0" w:color="auto"/>
              <w:bottom w:val="single" w:sz="4" w:space="0" w:color="auto"/>
              <w:right w:val="single" w:sz="4" w:space="0" w:color="auto"/>
            </w:tcBorders>
            <w:vAlign w:val="center"/>
            <w:hideMark/>
          </w:tcPr>
          <w:p w14:paraId="3A045B4B" w14:textId="77777777" w:rsidR="00441955" w:rsidRPr="00441955" w:rsidRDefault="00441955" w:rsidP="00751614">
            <w:pPr>
              <w:jc w:val="center"/>
              <w:rPr>
                <w:rFonts w:ascii="Times New Roman" w:hAnsi="Times New Roman" w:cs="Times New Roman"/>
                <w:sz w:val="24"/>
                <w:szCs w:val="24"/>
                <w:lang w:val="en-US"/>
              </w:rPr>
            </w:pPr>
            <w:r w:rsidRPr="00441955">
              <w:rPr>
                <w:rFonts w:ascii="Times New Roman" w:hAnsi="Times New Roman" w:cs="Times New Roman"/>
                <w:sz w:val="24"/>
                <w:szCs w:val="24"/>
                <w:lang w:val="en-US"/>
              </w:rPr>
              <w:t>30</w:t>
            </w:r>
          </w:p>
        </w:tc>
        <w:tc>
          <w:tcPr>
            <w:tcW w:w="770" w:type="dxa"/>
            <w:tcBorders>
              <w:top w:val="single" w:sz="4" w:space="0" w:color="auto"/>
              <w:left w:val="single" w:sz="4" w:space="0" w:color="auto"/>
              <w:bottom w:val="single" w:sz="4" w:space="0" w:color="auto"/>
              <w:right w:val="single" w:sz="4" w:space="0" w:color="auto"/>
            </w:tcBorders>
            <w:vAlign w:val="center"/>
            <w:hideMark/>
          </w:tcPr>
          <w:p w14:paraId="542F1ED1" w14:textId="77777777" w:rsidR="00441955" w:rsidRPr="00441955" w:rsidRDefault="00441955" w:rsidP="00751614">
            <w:pPr>
              <w:jc w:val="center"/>
              <w:rPr>
                <w:rFonts w:ascii="Times New Roman" w:hAnsi="Times New Roman" w:cs="Times New Roman"/>
                <w:sz w:val="24"/>
                <w:szCs w:val="24"/>
                <w:lang w:val="en-US"/>
              </w:rPr>
            </w:pPr>
            <w:r w:rsidRPr="00441955">
              <w:rPr>
                <w:rFonts w:ascii="Times New Roman" w:hAnsi="Times New Roman" w:cs="Times New Roman"/>
                <w:sz w:val="24"/>
                <w:szCs w:val="24"/>
                <w:lang w:val="en-US"/>
              </w:rPr>
              <w:t>31</w:t>
            </w:r>
          </w:p>
        </w:tc>
        <w:tc>
          <w:tcPr>
            <w:tcW w:w="784" w:type="dxa"/>
            <w:tcBorders>
              <w:top w:val="single" w:sz="4" w:space="0" w:color="auto"/>
              <w:left w:val="single" w:sz="4" w:space="0" w:color="auto"/>
              <w:bottom w:val="single" w:sz="4" w:space="0" w:color="auto"/>
              <w:right w:val="single" w:sz="4" w:space="0" w:color="auto"/>
            </w:tcBorders>
            <w:vAlign w:val="center"/>
            <w:hideMark/>
          </w:tcPr>
          <w:p w14:paraId="2EBE1836" w14:textId="77777777" w:rsidR="00441955" w:rsidRPr="00441955" w:rsidRDefault="00441955" w:rsidP="00751614">
            <w:pPr>
              <w:jc w:val="center"/>
              <w:rPr>
                <w:rFonts w:ascii="Times New Roman" w:hAnsi="Times New Roman" w:cs="Times New Roman"/>
                <w:sz w:val="24"/>
                <w:szCs w:val="24"/>
                <w:lang w:val="en-US"/>
              </w:rPr>
            </w:pPr>
            <w:r w:rsidRPr="00441955">
              <w:rPr>
                <w:rFonts w:ascii="Times New Roman" w:hAnsi="Times New Roman" w:cs="Times New Roman"/>
                <w:sz w:val="24"/>
                <w:szCs w:val="24"/>
                <w:lang w:val="en-US"/>
              </w:rPr>
              <w:t>32</w:t>
            </w:r>
          </w:p>
        </w:tc>
        <w:tc>
          <w:tcPr>
            <w:tcW w:w="784" w:type="dxa"/>
            <w:tcBorders>
              <w:top w:val="single" w:sz="4" w:space="0" w:color="auto"/>
              <w:left w:val="single" w:sz="4" w:space="0" w:color="auto"/>
              <w:bottom w:val="single" w:sz="4" w:space="0" w:color="auto"/>
              <w:right w:val="single" w:sz="4" w:space="0" w:color="auto"/>
            </w:tcBorders>
            <w:vAlign w:val="center"/>
            <w:hideMark/>
          </w:tcPr>
          <w:p w14:paraId="4DB392C1" w14:textId="77777777" w:rsidR="00441955" w:rsidRPr="00441955" w:rsidRDefault="00441955" w:rsidP="00751614">
            <w:pPr>
              <w:jc w:val="center"/>
              <w:rPr>
                <w:rFonts w:ascii="Times New Roman" w:hAnsi="Times New Roman" w:cs="Times New Roman"/>
                <w:sz w:val="24"/>
                <w:szCs w:val="24"/>
                <w:lang w:val="en-US"/>
              </w:rPr>
            </w:pPr>
            <w:r w:rsidRPr="00441955">
              <w:rPr>
                <w:rFonts w:ascii="Times New Roman" w:hAnsi="Times New Roman" w:cs="Times New Roman"/>
                <w:sz w:val="24"/>
                <w:szCs w:val="24"/>
                <w:lang w:val="en-US"/>
              </w:rPr>
              <w:t>33</w:t>
            </w:r>
          </w:p>
        </w:tc>
        <w:tc>
          <w:tcPr>
            <w:tcW w:w="791" w:type="dxa"/>
            <w:tcBorders>
              <w:top w:val="single" w:sz="4" w:space="0" w:color="auto"/>
              <w:left w:val="single" w:sz="4" w:space="0" w:color="auto"/>
              <w:bottom w:val="single" w:sz="4" w:space="0" w:color="auto"/>
              <w:right w:val="single" w:sz="4" w:space="0" w:color="auto"/>
            </w:tcBorders>
            <w:vAlign w:val="center"/>
            <w:hideMark/>
          </w:tcPr>
          <w:p w14:paraId="7D11C65C" w14:textId="77777777" w:rsidR="00441955" w:rsidRPr="00441955" w:rsidRDefault="00441955" w:rsidP="00751614">
            <w:pPr>
              <w:jc w:val="center"/>
              <w:rPr>
                <w:rFonts w:ascii="Times New Roman" w:hAnsi="Times New Roman" w:cs="Times New Roman"/>
                <w:sz w:val="24"/>
                <w:szCs w:val="24"/>
                <w:lang w:val="en-US"/>
              </w:rPr>
            </w:pPr>
            <w:r w:rsidRPr="00441955">
              <w:rPr>
                <w:rFonts w:ascii="Times New Roman" w:hAnsi="Times New Roman" w:cs="Times New Roman"/>
                <w:sz w:val="24"/>
                <w:szCs w:val="24"/>
                <w:lang w:val="en-US"/>
              </w:rPr>
              <w:t>37</w:t>
            </w:r>
          </w:p>
        </w:tc>
      </w:tr>
      <w:tr w:rsidR="00441955" w:rsidRPr="00441955" w14:paraId="46CB619F" w14:textId="77777777" w:rsidTr="00751614">
        <w:trPr>
          <w:jc w:val="center"/>
        </w:trPr>
        <w:tc>
          <w:tcPr>
            <w:tcW w:w="5669" w:type="dxa"/>
            <w:tcBorders>
              <w:top w:val="single" w:sz="4" w:space="0" w:color="auto"/>
              <w:left w:val="single" w:sz="4" w:space="0" w:color="auto"/>
              <w:bottom w:val="single" w:sz="4" w:space="0" w:color="auto"/>
              <w:right w:val="single" w:sz="4" w:space="0" w:color="auto"/>
            </w:tcBorders>
          </w:tcPr>
          <w:p w14:paraId="61F69127" w14:textId="77777777" w:rsidR="00441955" w:rsidRPr="00441955" w:rsidRDefault="00441955" w:rsidP="00457CE9">
            <w:pPr>
              <w:rPr>
                <w:rFonts w:ascii="Times New Roman" w:hAnsi="Times New Roman" w:cs="Times New Roman"/>
                <w:sz w:val="24"/>
                <w:szCs w:val="24"/>
                <w:lang w:val="kk-KZ"/>
              </w:rPr>
            </w:pPr>
            <w:r w:rsidRPr="00441955">
              <w:rPr>
                <w:rFonts w:ascii="Times New Roman" w:hAnsi="Times New Roman" w:cs="Times New Roman"/>
                <w:sz w:val="24"/>
                <w:szCs w:val="24"/>
                <w:lang w:val="kk-KZ"/>
              </w:rPr>
              <w:t>Құс етін өндіру көлемі, мың тонна</w:t>
            </w:r>
          </w:p>
        </w:tc>
        <w:tc>
          <w:tcPr>
            <w:tcW w:w="826" w:type="dxa"/>
            <w:tcBorders>
              <w:top w:val="single" w:sz="4" w:space="0" w:color="auto"/>
              <w:left w:val="single" w:sz="4" w:space="0" w:color="auto"/>
              <w:bottom w:val="single" w:sz="4" w:space="0" w:color="auto"/>
              <w:right w:val="single" w:sz="4" w:space="0" w:color="auto"/>
            </w:tcBorders>
            <w:vAlign w:val="center"/>
            <w:hideMark/>
          </w:tcPr>
          <w:p w14:paraId="4B2B659A"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187</w:t>
            </w:r>
          </w:p>
        </w:tc>
        <w:tc>
          <w:tcPr>
            <w:tcW w:w="770" w:type="dxa"/>
            <w:tcBorders>
              <w:top w:val="single" w:sz="4" w:space="0" w:color="auto"/>
              <w:left w:val="single" w:sz="4" w:space="0" w:color="auto"/>
              <w:bottom w:val="single" w:sz="4" w:space="0" w:color="auto"/>
              <w:right w:val="single" w:sz="4" w:space="0" w:color="auto"/>
            </w:tcBorders>
            <w:vAlign w:val="center"/>
            <w:hideMark/>
          </w:tcPr>
          <w:p w14:paraId="5AE59604"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230</w:t>
            </w:r>
          </w:p>
        </w:tc>
        <w:tc>
          <w:tcPr>
            <w:tcW w:w="784" w:type="dxa"/>
            <w:tcBorders>
              <w:top w:val="single" w:sz="4" w:space="0" w:color="auto"/>
              <w:left w:val="single" w:sz="4" w:space="0" w:color="auto"/>
              <w:bottom w:val="single" w:sz="4" w:space="0" w:color="auto"/>
              <w:right w:val="single" w:sz="4" w:space="0" w:color="auto"/>
            </w:tcBorders>
            <w:vAlign w:val="center"/>
            <w:hideMark/>
          </w:tcPr>
          <w:p w14:paraId="34B905D3"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268</w:t>
            </w:r>
          </w:p>
        </w:tc>
        <w:tc>
          <w:tcPr>
            <w:tcW w:w="784" w:type="dxa"/>
            <w:tcBorders>
              <w:top w:val="single" w:sz="4" w:space="0" w:color="auto"/>
              <w:left w:val="single" w:sz="4" w:space="0" w:color="auto"/>
              <w:bottom w:val="single" w:sz="4" w:space="0" w:color="auto"/>
              <w:right w:val="single" w:sz="4" w:space="0" w:color="auto"/>
            </w:tcBorders>
            <w:vAlign w:val="center"/>
            <w:hideMark/>
          </w:tcPr>
          <w:p w14:paraId="3921387C"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286</w:t>
            </w:r>
          </w:p>
        </w:tc>
        <w:tc>
          <w:tcPr>
            <w:tcW w:w="791" w:type="dxa"/>
            <w:tcBorders>
              <w:top w:val="single" w:sz="4" w:space="0" w:color="auto"/>
              <w:left w:val="single" w:sz="4" w:space="0" w:color="auto"/>
              <w:bottom w:val="single" w:sz="4" w:space="0" w:color="auto"/>
              <w:right w:val="single" w:sz="4" w:space="0" w:color="auto"/>
            </w:tcBorders>
            <w:vAlign w:val="center"/>
            <w:hideMark/>
          </w:tcPr>
          <w:p w14:paraId="4A80B5CD"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298</w:t>
            </w:r>
          </w:p>
        </w:tc>
      </w:tr>
      <w:tr w:rsidR="00441955" w:rsidRPr="00441955" w14:paraId="5CEDBD87" w14:textId="77777777" w:rsidTr="00751614">
        <w:trPr>
          <w:jc w:val="center"/>
        </w:trPr>
        <w:tc>
          <w:tcPr>
            <w:tcW w:w="5669" w:type="dxa"/>
            <w:tcBorders>
              <w:top w:val="single" w:sz="4" w:space="0" w:color="auto"/>
              <w:left w:val="single" w:sz="4" w:space="0" w:color="auto"/>
              <w:bottom w:val="single" w:sz="4" w:space="0" w:color="auto"/>
              <w:right w:val="single" w:sz="4" w:space="0" w:color="auto"/>
            </w:tcBorders>
          </w:tcPr>
          <w:p w14:paraId="073407CF" w14:textId="77777777" w:rsidR="00441955" w:rsidRPr="00441955" w:rsidRDefault="00441955" w:rsidP="00457CE9">
            <w:pPr>
              <w:rPr>
                <w:rFonts w:ascii="Times New Roman" w:hAnsi="Times New Roman" w:cs="Times New Roman"/>
                <w:sz w:val="24"/>
                <w:szCs w:val="24"/>
                <w:lang w:val="kk-KZ"/>
              </w:rPr>
            </w:pPr>
            <w:r w:rsidRPr="00441955">
              <w:rPr>
                <w:rFonts w:ascii="Times New Roman" w:hAnsi="Times New Roman" w:cs="Times New Roman"/>
                <w:sz w:val="24"/>
                <w:szCs w:val="24"/>
                <w:lang w:val="kk-KZ"/>
              </w:rPr>
              <w:t>Ұйымдастырылған шаруашылықтарда акваөсіру өнімдерін өндіру көлемі, тонна</w:t>
            </w:r>
          </w:p>
        </w:tc>
        <w:tc>
          <w:tcPr>
            <w:tcW w:w="826" w:type="dxa"/>
            <w:tcBorders>
              <w:top w:val="single" w:sz="4" w:space="0" w:color="auto"/>
              <w:left w:val="single" w:sz="4" w:space="0" w:color="auto"/>
              <w:bottom w:val="single" w:sz="4" w:space="0" w:color="auto"/>
              <w:right w:val="single" w:sz="4" w:space="0" w:color="auto"/>
            </w:tcBorders>
            <w:vAlign w:val="center"/>
            <w:hideMark/>
          </w:tcPr>
          <w:p w14:paraId="721C32E3"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2776</w:t>
            </w:r>
          </w:p>
        </w:tc>
        <w:tc>
          <w:tcPr>
            <w:tcW w:w="770" w:type="dxa"/>
            <w:tcBorders>
              <w:top w:val="single" w:sz="4" w:space="0" w:color="auto"/>
              <w:left w:val="single" w:sz="4" w:space="0" w:color="auto"/>
              <w:bottom w:val="single" w:sz="4" w:space="0" w:color="auto"/>
              <w:right w:val="single" w:sz="4" w:space="0" w:color="auto"/>
            </w:tcBorders>
            <w:vAlign w:val="center"/>
            <w:hideMark/>
          </w:tcPr>
          <w:p w14:paraId="3ED9327D"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2290</w:t>
            </w:r>
          </w:p>
        </w:tc>
        <w:tc>
          <w:tcPr>
            <w:tcW w:w="784" w:type="dxa"/>
            <w:tcBorders>
              <w:top w:val="single" w:sz="4" w:space="0" w:color="auto"/>
              <w:left w:val="single" w:sz="4" w:space="0" w:color="auto"/>
              <w:bottom w:val="single" w:sz="4" w:space="0" w:color="auto"/>
              <w:right w:val="single" w:sz="4" w:space="0" w:color="auto"/>
            </w:tcBorders>
            <w:vAlign w:val="center"/>
            <w:hideMark/>
          </w:tcPr>
          <w:p w14:paraId="2D72C159"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2947</w:t>
            </w:r>
          </w:p>
        </w:tc>
        <w:tc>
          <w:tcPr>
            <w:tcW w:w="784" w:type="dxa"/>
            <w:tcBorders>
              <w:top w:val="single" w:sz="4" w:space="0" w:color="auto"/>
              <w:left w:val="single" w:sz="4" w:space="0" w:color="auto"/>
              <w:bottom w:val="single" w:sz="4" w:space="0" w:color="auto"/>
              <w:right w:val="single" w:sz="4" w:space="0" w:color="auto"/>
            </w:tcBorders>
            <w:vAlign w:val="center"/>
            <w:hideMark/>
          </w:tcPr>
          <w:p w14:paraId="2670484D"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3954</w:t>
            </w:r>
          </w:p>
        </w:tc>
        <w:tc>
          <w:tcPr>
            <w:tcW w:w="791" w:type="dxa"/>
            <w:tcBorders>
              <w:top w:val="single" w:sz="4" w:space="0" w:color="auto"/>
              <w:left w:val="single" w:sz="4" w:space="0" w:color="auto"/>
              <w:bottom w:val="single" w:sz="4" w:space="0" w:color="auto"/>
              <w:right w:val="single" w:sz="4" w:space="0" w:color="auto"/>
            </w:tcBorders>
            <w:vAlign w:val="center"/>
            <w:hideMark/>
          </w:tcPr>
          <w:p w14:paraId="3C928B10"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5000</w:t>
            </w:r>
          </w:p>
        </w:tc>
      </w:tr>
      <w:tr w:rsidR="00441955" w:rsidRPr="00441955" w14:paraId="0C0A1C7D" w14:textId="77777777" w:rsidTr="00751614">
        <w:trPr>
          <w:jc w:val="center"/>
        </w:trPr>
        <w:tc>
          <w:tcPr>
            <w:tcW w:w="5669" w:type="dxa"/>
            <w:tcBorders>
              <w:top w:val="single" w:sz="4" w:space="0" w:color="auto"/>
              <w:left w:val="single" w:sz="4" w:space="0" w:color="auto"/>
              <w:bottom w:val="single" w:sz="4" w:space="0" w:color="auto"/>
              <w:right w:val="single" w:sz="4" w:space="0" w:color="auto"/>
            </w:tcBorders>
          </w:tcPr>
          <w:p w14:paraId="5DB954A2" w14:textId="77777777" w:rsidR="00441955" w:rsidRPr="00441955" w:rsidRDefault="00441955" w:rsidP="00457CE9">
            <w:pPr>
              <w:rPr>
                <w:rFonts w:ascii="Times New Roman" w:hAnsi="Times New Roman" w:cs="Times New Roman"/>
                <w:sz w:val="24"/>
                <w:szCs w:val="24"/>
                <w:lang w:val="kk-KZ"/>
              </w:rPr>
            </w:pPr>
            <w:r w:rsidRPr="00441955">
              <w:rPr>
                <w:rFonts w:ascii="Times New Roman" w:hAnsi="Times New Roman" w:cs="Times New Roman"/>
                <w:sz w:val="24"/>
                <w:szCs w:val="24"/>
                <w:lang w:val="kk-KZ"/>
              </w:rPr>
              <w:t>Ұйымдастырылған шаруашылықтарда жеміс-жидек дақылдары мен жүзімді өндіру көлемі, мың тонна</w:t>
            </w:r>
          </w:p>
        </w:tc>
        <w:tc>
          <w:tcPr>
            <w:tcW w:w="826" w:type="dxa"/>
            <w:tcBorders>
              <w:top w:val="single" w:sz="4" w:space="0" w:color="auto"/>
              <w:left w:val="single" w:sz="4" w:space="0" w:color="auto"/>
              <w:bottom w:val="single" w:sz="4" w:space="0" w:color="auto"/>
              <w:right w:val="single" w:sz="4" w:space="0" w:color="auto"/>
            </w:tcBorders>
            <w:vAlign w:val="center"/>
            <w:hideMark/>
          </w:tcPr>
          <w:p w14:paraId="29F0B9D2"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202,5</w:t>
            </w:r>
          </w:p>
        </w:tc>
        <w:tc>
          <w:tcPr>
            <w:tcW w:w="770" w:type="dxa"/>
            <w:tcBorders>
              <w:top w:val="single" w:sz="4" w:space="0" w:color="auto"/>
              <w:left w:val="single" w:sz="4" w:space="0" w:color="auto"/>
              <w:bottom w:val="single" w:sz="4" w:space="0" w:color="auto"/>
              <w:right w:val="single" w:sz="4" w:space="0" w:color="auto"/>
            </w:tcBorders>
            <w:vAlign w:val="center"/>
            <w:hideMark/>
          </w:tcPr>
          <w:p w14:paraId="13158781"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205</w:t>
            </w:r>
          </w:p>
        </w:tc>
        <w:tc>
          <w:tcPr>
            <w:tcW w:w="784" w:type="dxa"/>
            <w:tcBorders>
              <w:top w:val="single" w:sz="4" w:space="0" w:color="auto"/>
              <w:left w:val="single" w:sz="4" w:space="0" w:color="auto"/>
              <w:bottom w:val="single" w:sz="4" w:space="0" w:color="auto"/>
              <w:right w:val="single" w:sz="4" w:space="0" w:color="auto"/>
            </w:tcBorders>
            <w:vAlign w:val="center"/>
            <w:hideMark/>
          </w:tcPr>
          <w:p w14:paraId="3BFC2E04"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210</w:t>
            </w:r>
          </w:p>
        </w:tc>
        <w:tc>
          <w:tcPr>
            <w:tcW w:w="784" w:type="dxa"/>
            <w:tcBorders>
              <w:top w:val="single" w:sz="4" w:space="0" w:color="auto"/>
              <w:left w:val="single" w:sz="4" w:space="0" w:color="auto"/>
              <w:bottom w:val="single" w:sz="4" w:space="0" w:color="auto"/>
              <w:right w:val="single" w:sz="4" w:space="0" w:color="auto"/>
            </w:tcBorders>
            <w:vAlign w:val="center"/>
            <w:hideMark/>
          </w:tcPr>
          <w:p w14:paraId="547E143D"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215</w:t>
            </w:r>
          </w:p>
        </w:tc>
        <w:tc>
          <w:tcPr>
            <w:tcW w:w="791" w:type="dxa"/>
            <w:tcBorders>
              <w:top w:val="single" w:sz="4" w:space="0" w:color="auto"/>
              <w:left w:val="single" w:sz="4" w:space="0" w:color="auto"/>
              <w:bottom w:val="single" w:sz="4" w:space="0" w:color="auto"/>
              <w:right w:val="single" w:sz="4" w:space="0" w:color="auto"/>
            </w:tcBorders>
            <w:vAlign w:val="center"/>
            <w:hideMark/>
          </w:tcPr>
          <w:p w14:paraId="03DB3843"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220</w:t>
            </w:r>
          </w:p>
        </w:tc>
      </w:tr>
      <w:tr w:rsidR="00441955" w:rsidRPr="00441955" w14:paraId="772D160D" w14:textId="77777777" w:rsidTr="00751614">
        <w:trPr>
          <w:jc w:val="center"/>
        </w:trPr>
        <w:tc>
          <w:tcPr>
            <w:tcW w:w="5669" w:type="dxa"/>
            <w:tcBorders>
              <w:top w:val="single" w:sz="4" w:space="0" w:color="auto"/>
              <w:left w:val="single" w:sz="4" w:space="0" w:color="auto"/>
              <w:bottom w:val="single" w:sz="4" w:space="0" w:color="auto"/>
              <w:right w:val="single" w:sz="4" w:space="0" w:color="auto"/>
            </w:tcBorders>
          </w:tcPr>
          <w:p w14:paraId="6E44CB3D" w14:textId="77777777" w:rsidR="00441955" w:rsidRPr="00441955" w:rsidRDefault="00441955" w:rsidP="00457CE9">
            <w:pPr>
              <w:rPr>
                <w:rFonts w:ascii="Times New Roman" w:hAnsi="Times New Roman" w:cs="Times New Roman"/>
                <w:sz w:val="24"/>
                <w:szCs w:val="24"/>
                <w:lang w:val="kk-KZ"/>
              </w:rPr>
            </w:pPr>
            <w:r w:rsidRPr="00441955">
              <w:rPr>
                <w:rFonts w:ascii="Times New Roman" w:hAnsi="Times New Roman" w:cs="Times New Roman"/>
                <w:sz w:val="24"/>
                <w:szCs w:val="24"/>
                <w:lang w:val="kk-KZ"/>
              </w:rPr>
              <w:t>Қазақстанда өндірілген шикізаттан жасалған қант өндірісінің көлемі, мың тонна</w:t>
            </w:r>
          </w:p>
        </w:tc>
        <w:tc>
          <w:tcPr>
            <w:tcW w:w="826" w:type="dxa"/>
            <w:tcBorders>
              <w:top w:val="single" w:sz="4" w:space="0" w:color="auto"/>
              <w:left w:val="single" w:sz="4" w:space="0" w:color="auto"/>
              <w:bottom w:val="single" w:sz="4" w:space="0" w:color="auto"/>
              <w:right w:val="single" w:sz="4" w:space="0" w:color="auto"/>
            </w:tcBorders>
            <w:vAlign w:val="center"/>
            <w:hideMark/>
          </w:tcPr>
          <w:p w14:paraId="6035D2E0" w14:textId="77777777" w:rsidR="00441955" w:rsidRPr="00441955" w:rsidRDefault="00441955" w:rsidP="00751614">
            <w:pPr>
              <w:jc w:val="center"/>
              <w:rPr>
                <w:rFonts w:ascii="Times New Roman" w:hAnsi="Times New Roman" w:cs="Times New Roman"/>
                <w:sz w:val="24"/>
                <w:szCs w:val="24"/>
              </w:rPr>
            </w:pPr>
            <w:r w:rsidRPr="00441955">
              <w:rPr>
                <w:rFonts w:ascii="Times New Roman" w:hAnsi="Times New Roman" w:cs="Times New Roman"/>
                <w:sz w:val="24"/>
                <w:szCs w:val="24"/>
              </w:rPr>
              <w:t>48,1</w:t>
            </w:r>
          </w:p>
        </w:tc>
        <w:tc>
          <w:tcPr>
            <w:tcW w:w="770" w:type="dxa"/>
            <w:tcBorders>
              <w:top w:val="single" w:sz="4" w:space="0" w:color="auto"/>
              <w:left w:val="single" w:sz="4" w:space="0" w:color="auto"/>
              <w:bottom w:val="single" w:sz="4" w:space="0" w:color="auto"/>
              <w:right w:val="single" w:sz="4" w:space="0" w:color="auto"/>
            </w:tcBorders>
            <w:vAlign w:val="center"/>
            <w:hideMark/>
          </w:tcPr>
          <w:p w14:paraId="0BE7D4FD"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59</w:t>
            </w:r>
          </w:p>
        </w:tc>
        <w:tc>
          <w:tcPr>
            <w:tcW w:w="784" w:type="dxa"/>
            <w:tcBorders>
              <w:top w:val="single" w:sz="4" w:space="0" w:color="auto"/>
              <w:left w:val="single" w:sz="4" w:space="0" w:color="auto"/>
              <w:bottom w:val="single" w:sz="4" w:space="0" w:color="auto"/>
              <w:right w:val="single" w:sz="4" w:space="0" w:color="auto"/>
            </w:tcBorders>
            <w:vAlign w:val="center"/>
            <w:hideMark/>
          </w:tcPr>
          <w:p w14:paraId="57E299D1"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78</w:t>
            </w:r>
          </w:p>
        </w:tc>
        <w:tc>
          <w:tcPr>
            <w:tcW w:w="784" w:type="dxa"/>
            <w:tcBorders>
              <w:top w:val="single" w:sz="4" w:space="0" w:color="auto"/>
              <w:left w:val="single" w:sz="4" w:space="0" w:color="auto"/>
              <w:bottom w:val="single" w:sz="4" w:space="0" w:color="auto"/>
              <w:right w:val="single" w:sz="4" w:space="0" w:color="auto"/>
            </w:tcBorders>
            <w:vAlign w:val="center"/>
            <w:hideMark/>
          </w:tcPr>
          <w:p w14:paraId="2B33D1B3"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97</w:t>
            </w:r>
          </w:p>
        </w:tc>
        <w:tc>
          <w:tcPr>
            <w:tcW w:w="791" w:type="dxa"/>
            <w:tcBorders>
              <w:top w:val="single" w:sz="4" w:space="0" w:color="auto"/>
              <w:left w:val="single" w:sz="4" w:space="0" w:color="auto"/>
              <w:bottom w:val="single" w:sz="4" w:space="0" w:color="auto"/>
              <w:right w:val="single" w:sz="4" w:space="0" w:color="auto"/>
            </w:tcBorders>
            <w:vAlign w:val="center"/>
            <w:hideMark/>
          </w:tcPr>
          <w:p w14:paraId="7E0093A5" w14:textId="77777777" w:rsidR="00441955" w:rsidRPr="00441955" w:rsidRDefault="00441955" w:rsidP="00751614">
            <w:pPr>
              <w:jc w:val="center"/>
              <w:rPr>
                <w:rFonts w:ascii="Times New Roman" w:hAnsi="Times New Roman" w:cs="Times New Roman"/>
                <w:sz w:val="24"/>
                <w:szCs w:val="24"/>
                <w:lang w:val="kk-KZ"/>
              </w:rPr>
            </w:pPr>
            <w:r w:rsidRPr="00441955">
              <w:rPr>
                <w:rFonts w:ascii="Times New Roman" w:hAnsi="Times New Roman" w:cs="Times New Roman"/>
                <w:sz w:val="24"/>
                <w:szCs w:val="24"/>
                <w:lang w:val="kk-KZ"/>
              </w:rPr>
              <w:t>121</w:t>
            </w:r>
          </w:p>
        </w:tc>
      </w:tr>
      <w:tr w:rsidR="00041AB9" w:rsidRPr="00441955" w14:paraId="6CA48C0D" w14:textId="77777777" w:rsidTr="00751614">
        <w:trPr>
          <w:jc w:val="center"/>
        </w:trPr>
        <w:tc>
          <w:tcPr>
            <w:tcW w:w="9624" w:type="dxa"/>
            <w:gridSpan w:val="6"/>
            <w:tcBorders>
              <w:top w:val="single" w:sz="4" w:space="0" w:color="auto"/>
              <w:left w:val="single" w:sz="4" w:space="0" w:color="auto"/>
              <w:bottom w:val="single" w:sz="4" w:space="0" w:color="auto"/>
              <w:right w:val="single" w:sz="4" w:space="0" w:color="auto"/>
            </w:tcBorders>
            <w:hideMark/>
          </w:tcPr>
          <w:p w14:paraId="17B3ED55" w14:textId="22FD65FF" w:rsidR="00041AB9" w:rsidRPr="00441955" w:rsidRDefault="00463D68" w:rsidP="00463D68">
            <w:pPr>
              <w:ind w:firstLine="567"/>
              <w:rPr>
                <w:rFonts w:ascii="Times New Roman" w:hAnsi="Times New Roman" w:cs="Times New Roman"/>
                <w:sz w:val="24"/>
                <w:szCs w:val="24"/>
                <w:lang w:val="kk-KZ"/>
              </w:rPr>
            </w:pPr>
            <w:r w:rsidRPr="00441955">
              <w:rPr>
                <w:rFonts w:ascii="Times New Roman" w:eastAsia="Calibri" w:hAnsi="Times New Roman" w:cs="Times New Roman"/>
                <w:sz w:val="24"/>
                <w:szCs w:val="24"/>
              </w:rPr>
              <w:t>Ескерту –</w:t>
            </w:r>
            <w:r w:rsidRPr="00441955">
              <w:rPr>
                <w:rFonts w:ascii="Times New Roman" w:eastAsia="Calibri" w:hAnsi="Times New Roman" w:cs="Times New Roman"/>
                <w:bCs/>
                <w:sz w:val="24"/>
                <w:szCs w:val="24"/>
                <w:lang w:val="kk-KZ"/>
              </w:rPr>
              <w:t xml:space="preserve"> Әдебиет негізінде құралған</w:t>
            </w:r>
            <w:r w:rsidR="00041AB9" w:rsidRPr="00441955">
              <w:rPr>
                <w:rFonts w:ascii="Times New Roman" w:hAnsi="Times New Roman" w:cs="Times New Roman"/>
                <w:sz w:val="24"/>
                <w:szCs w:val="24"/>
                <w:lang w:val="kk-KZ"/>
              </w:rPr>
              <w:t xml:space="preserve"> </w:t>
            </w:r>
            <w:r w:rsidR="000B5B6F">
              <w:rPr>
                <w:rFonts w:ascii="Times New Roman" w:hAnsi="Times New Roman" w:cs="Times New Roman"/>
                <w:sz w:val="24"/>
                <w:szCs w:val="24"/>
              </w:rPr>
              <w:t>[52]</w:t>
            </w:r>
            <w:r w:rsidR="00C51D00" w:rsidRPr="00441955">
              <w:rPr>
                <w:rFonts w:ascii="Times New Roman" w:hAnsi="Times New Roman" w:cs="Times New Roman"/>
                <w:sz w:val="24"/>
                <w:szCs w:val="24"/>
              </w:rPr>
              <w:t xml:space="preserve"> </w:t>
            </w:r>
          </w:p>
        </w:tc>
      </w:tr>
    </w:tbl>
    <w:p w14:paraId="5D2F810B" w14:textId="77777777" w:rsidR="00863DA9" w:rsidRPr="00457CE9" w:rsidRDefault="00863DA9"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1D0AFAC3" w14:textId="77777777" w:rsidR="002A3CA3" w:rsidRDefault="000147DD" w:rsidP="00751614">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2</w:t>
      </w:r>
      <w:r w:rsidR="00023296">
        <w:rPr>
          <w:rFonts w:ascii="Times New Roman" w:eastAsia="Times New Roman" w:hAnsi="Times New Roman" w:cs="Times New Roman"/>
          <w:kern w:val="36"/>
          <w:sz w:val="28"/>
          <w:szCs w:val="28"/>
          <w:lang w:val="kk-KZ" w:eastAsia="ru-RU"/>
        </w:rPr>
        <w:t>4</w:t>
      </w:r>
      <w:r w:rsidRPr="00457CE9">
        <w:rPr>
          <w:rFonts w:ascii="Times New Roman" w:eastAsia="Times New Roman" w:hAnsi="Times New Roman" w:cs="Times New Roman"/>
          <w:kern w:val="36"/>
          <w:sz w:val="28"/>
          <w:szCs w:val="28"/>
          <w:lang w:val="kk-KZ" w:eastAsia="ru-RU"/>
        </w:rPr>
        <w:t>-кесте мәліметтерінен еліміздегі жетіспеушілік білінетін азық-түліктер</w:t>
      </w:r>
      <w:r w:rsidR="0022742D" w:rsidRPr="00457CE9">
        <w:rPr>
          <w:rFonts w:ascii="Times New Roman" w:eastAsia="Times New Roman" w:hAnsi="Times New Roman" w:cs="Times New Roman"/>
          <w:kern w:val="36"/>
          <w:sz w:val="28"/>
          <w:szCs w:val="28"/>
          <w:lang w:val="kk-KZ" w:eastAsia="ru-RU"/>
        </w:rPr>
        <w:t xml:space="preserve"> басым бағыттары ретінде енгізілген. Кейінгі жылдары әсіресе қант бағасының күрт өсуі байқалады. Іске асырылған бағдарлама бұл мәселені әлі шеше алмағандығын, яғни, оны шешуге жоспарланған іс-шаралар жеткіліксіздігі және бюджет қаражатын пайдалану тиімділігінің төмендігін көрсетеді.</w:t>
      </w:r>
      <w:r w:rsidR="002A3CA3">
        <w:rPr>
          <w:rFonts w:ascii="Times New Roman" w:eastAsia="Times New Roman" w:hAnsi="Times New Roman" w:cs="Times New Roman"/>
          <w:kern w:val="36"/>
          <w:sz w:val="28"/>
          <w:szCs w:val="28"/>
          <w:lang w:val="kk-KZ" w:eastAsia="ru-RU"/>
        </w:rPr>
        <w:t xml:space="preserve"> </w:t>
      </w:r>
    </w:p>
    <w:p w14:paraId="3EFD0F77" w14:textId="144B04FC" w:rsidR="00854FD4" w:rsidRPr="00457CE9" w:rsidRDefault="004F644C" w:rsidP="00751614">
      <w:pPr>
        <w:widowControl w:val="0"/>
        <w:spacing w:after="0" w:line="240" w:lineRule="auto"/>
        <w:ind w:firstLine="709"/>
        <w:jc w:val="both"/>
        <w:rPr>
          <w:rFonts w:ascii="Times New Roman" w:hAnsi="Times New Roman" w:cs="Times New Roman"/>
          <w:sz w:val="28"/>
          <w:szCs w:val="28"/>
          <w:lang w:val="kk-KZ"/>
        </w:rPr>
      </w:pPr>
      <w:r w:rsidRPr="00457CE9">
        <w:rPr>
          <w:rFonts w:ascii="Times New Roman" w:eastAsia="Times New Roman" w:hAnsi="Times New Roman" w:cs="Times New Roman"/>
          <w:kern w:val="36"/>
          <w:sz w:val="28"/>
          <w:szCs w:val="28"/>
          <w:lang w:val="kk-KZ" w:eastAsia="ru-RU"/>
        </w:rPr>
        <w:t>Ауыл шаруашылығының Ж</w:t>
      </w:r>
      <w:r w:rsidR="002A3CA3" w:rsidRPr="00457CE9">
        <w:rPr>
          <w:rFonts w:ascii="Times New Roman" w:eastAsia="Times New Roman" w:hAnsi="Times New Roman" w:cs="Times New Roman"/>
          <w:kern w:val="36"/>
          <w:sz w:val="28"/>
          <w:szCs w:val="28"/>
          <w:lang w:val="kk-KZ" w:eastAsia="ru-RU"/>
        </w:rPr>
        <w:t>І</w:t>
      </w:r>
      <w:r w:rsidRPr="00457CE9">
        <w:rPr>
          <w:rFonts w:ascii="Times New Roman" w:eastAsia="Times New Roman" w:hAnsi="Times New Roman" w:cs="Times New Roman"/>
          <w:kern w:val="36"/>
          <w:sz w:val="28"/>
          <w:szCs w:val="28"/>
          <w:lang w:val="kk-KZ" w:eastAsia="ru-RU"/>
        </w:rPr>
        <w:t>Ө</w:t>
      </w:r>
      <w:r w:rsidR="00D372C5" w:rsidRPr="00457CE9">
        <w:rPr>
          <w:rFonts w:ascii="Times New Roman" w:eastAsia="Times New Roman" w:hAnsi="Times New Roman" w:cs="Times New Roman"/>
          <w:kern w:val="36"/>
          <w:sz w:val="28"/>
          <w:szCs w:val="28"/>
          <w:lang w:val="kk-KZ" w:eastAsia="ru-RU"/>
        </w:rPr>
        <w:t>, ауыл шаруашылығында жұмыспен қамтылған халық саны</w:t>
      </w:r>
      <w:r w:rsidRPr="00457CE9">
        <w:rPr>
          <w:rFonts w:ascii="Times New Roman" w:eastAsia="Times New Roman" w:hAnsi="Times New Roman" w:cs="Times New Roman"/>
          <w:kern w:val="36"/>
          <w:sz w:val="28"/>
          <w:szCs w:val="28"/>
          <w:lang w:val="kk-KZ" w:eastAsia="ru-RU"/>
        </w:rPr>
        <w:t xml:space="preserve"> мен </w:t>
      </w:r>
      <w:r w:rsidR="00D372C5" w:rsidRPr="00457CE9">
        <w:rPr>
          <w:rFonts w:ascii="Times New Roman" w:eastAsia="Times New Roman" w:hAnsi="Times New Roman" w:cs="Times New Roman"/>
          <w:kern w:val="36"/>
          <w:sz w:val="28"/>
          <w:szCs w:val="28"/>
          <w:lang w:val="kk-KZ" w:eastAsia="ru-RU"/>
        </w:rPr>
        <w:t xml:space="preserve">ауыл шаруашылығындағы </w:t>
      </w:r>
      <w:r w:rsidRPr="00457CE9">
        <w:rPr>
          <w:rFonts w:ascii="Times New Roman" w:eastAsia="Times New Roman" w:hAnsi="Times New Roman" w:cs="Times New Roman"/>
          <w:kern w:val="36"/>
          <w:sz w:val="28"/>
          <w:szCs w:val="28"/>
          <w:lang w:val="kk-KZ" w:eastAsia="ru-RU"/>
        </w:rPr>
        <w:t>еңбек өнімділігінің 2015–20</w:t>
      </w:r>
      <w:r w:rsidR="00D372C5" w:rsidRPr="00457CE9">
        <w:rPr>
          <w:rFonts w:ascii="Times New Roman" w:eastAsia="Times New Roman" w:hAnsi="Times New Roman" w:cs="Times New Roman"/>
          <w:kern w:val="36"/>
          <w:sz w:val="28"/>
          <w:szCs w:val="28"/>
          <w:lang w:val="kk-KZ" w:eastAsia="ru-RU"/>
        </w:rPr>
        <w:t>2</w:t>
      </w:r>
      <w:r w:rsidR="00D808EA">
        <w:rPr>
          <w:rFonts w:ascii="Times New Roman" w:eastAsia="Times New Roman" w:hAnsi="Times New Roman" w:cs="Times New Roman"/>
          <w:kern w:val="36"/>
          <w:sz w:val="28"/>
          <w:szCs w:val="28"/>
          <w:lang w:val="kk-KZ" w:eastAsia="ru-RU"/>
        </w:rPr>
        <w:t>3</w:t>
      </w:r>
      <w:r w:rsidRPr="00457CE9">
        <w:rPr>
          <w:rFonts w:ascii="Times New Roman" w:eastAsia="Times New Roman" w:hAnsi="Times New Roman" w:cs="Times New Roman"/>
          <w:kern w:val="36"/>
          <w:sz w:val="28"/>
          <w:szCs w:val="28"/>
          <w:lang w:val="kk-KZ" w:eastAsia="ru-RU"/>
        </w:rPr>
        <w:t xml:space="preserve"> жылдарға нақты көрсеткіштері </w:t>
      </w:r>
      <w:r w:rsidR="0038270D" w:rsidRPr="00457CE9">
        <w:rPr>
          <w:rFonts w:ascii="Times New Roman" w:eastAsia="Times New Roman" w:hAnsi="Times New Roman" w:cs="Times New Roman"/>
          <w:kern w:val="36"/>
          <w:sz w:val="28"/>
          <w:szCs w:val="28"/>
          <w:lang w:val="kk-KZ" w:eastAsia="ru-RU"/>
        </w:rPr>
        <w:t>2</w:t>
      </w:r>
      <w:r w:rsidR="00023296">
        <w:rPr>
          <w:rFonts w:ascii="Times New Roman" w:eastAsia="Times New Roman" w:hAnsi="Times New Roman" w:cs="Times New Roman"/>
          <w:kern w:val="36"/>
          <w:sz w:val="28"/>
          <w:szCs w:val="28"/>
          <w:lang w:val="kk-KZ" w:eastAsia="ru-RU"/>
        </w:rPr>
        <w:t>5</w:t>
      </w:r>
      <w:r w:rsidR="0038270D"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кестеде келтірілген.</w:t>
      </w:r>
    </w:p>
    <w:p w14:paraId="0D470EF7" w14:textId="3A149710" w:rsidR="00635FB5" w:rsidRPr="00457CE9" w:rsidRDefault="00635FB5" w:rsidP="00751614">
      <w:pPr>
        <w:spacing w:after="0" w:line="240" w:lineRule="auto"/>
        <w:ind w:firstLine="709"/>
        <w:jc w:val="both"/>
        <w:rPr>
          <w:rFonts w:ascii="Times New Roman" w:hAnsi="Times New Roman" w:cs="Times New Roman"/>
          <w:sz w:val="28"/>
          <w:szCs w:val="28"/>
          <w:lang w:val="kk-KZ"/>
        </w:rPr>
      </w:pPr>
    </w:p>
    <w:p w14:paraId="7A15DF30" w14:textId="66AD0CD0" w:rsidR="00BD15C9" w:rsidRDefault="00BD15C9" w:rsidP="00457CE9">
      <w:pPr>
        <w:spacing w:after="0" w:line="240" w:lineRule="auto"/>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Кесте </w:t>
      </w:r>
      <w:r w:rsidR="0038270D" w:rsidRPr="00457CE9">
        <w:rPr>
          <w:rFonts w:ascii="Times New Roman" w:eastAsia="Times New Roman" w:hAnsi="Times New Roman" w:cs="Times New Roman"/>
          <w:kern w:val="36"/>
          <w:sz w:val="28"/>
          <w:szCs w:val="28"/>
          <w:lang w:val="kk-KZ" w:eastAsia="ru-RU"/>
        </w:rPr>
        <w:t>2</w:t>
      </w:r>
      <w:r w:rsidR="00023296">
        <w:rPr>
          <w:rFonts w:ascii="Times New Roman" w:eastAsia="Times New Roman" w:hAnsi="Times New Roman" w:cs="Times New Roman"/>
          <w:kern w:val="36"/>
          <w:sz w:val="28"/>
          <w:szCs w:val="28"/>
          <w:lang w:val="kk-KZ" w:eastAsia="ru-RU"/>
        </w:rPr>
        <w:t>5</w:t>
      </w:r>
      <w:r w:rsidRPr="00457CE9">
        <w:rPr>
          <w:rFonts w:ascii="Times New Roman" w:eastAsia="Times New Roman" w:hAnsi="Times New Roman" w:cs="Times New Roman"/>
          <w:kern w:val="36"/>
          <w:sz w:val="28"/>
          <w:szCs w:val="28"/>
          <w:lang w:val="kk-KZ" w:eastAsia="ru-RU"/>
        </w:rPr>
        <w:t xml:space="preserve"> – </w:t>
      </w:r>
      <w:r w:rsidR="004F644C" w:rsidRPr="00457CE9">
        <w:rPr>
          <w:rFonts w:ascii="Times New Roman" w:eastAsia="Times New Roman" w:hAnsi="Times New Roman" w:cs="Times New Roman"/>
          <w:kern w:val="36"/>
          <w:sz w:val="28"/>
          <w:szCs w:val="28"/>
          <w:lang w:val="kk-KZ" w:eastAsia="ru-RU"/>
        </w:rPr>
        <w:t>Ауыл шаруашылығының Ж</w:t>
      </w:r>
      <w:r w:rsidR="003E7678" w:rsidRPr="00457CE9">
        <w:rPr>
          <w:rFonts w:ascii="Times New Roman" w:eastAsia="Times New Roman" w:hAnsi="Times New Roman" w:cs="Times New Roman"/>
          <w:kern w:val="36"/>
          <w:sz w:val="28"/>
          <w:szCs w:val="28"/>
          <w:lang w:val="kk-KZ" w:eastAsia="ru-RU"/>
        </w:rPr>
        <w:t>І</w:t>
      </w:r>
      <w:r w:rsidR="004F644C" w:rsidRPr="00457CE9">
        <w:rPr>
          <w:rFonts w:ascii="Times New Roman" w:eastAsia="Times New Roman" w:hAnsi="Times New Roman" w:cs="Times New Roman"/>
          <w:kern w:val="36"/>
          <w:sz w:val="28"/>
          <w:szCs w:val="28"/>
          <w:lang w:val="kk-KZ" w:eastAsia="ru-RU"/>
        </w:rPr>
        <w:t>Ө мен еңбек өнімділігінің 2015–20</w:t>
      </w:r>
      <w:r w:rsidR="00D372C5" w:rsidRPr="00457CE9">
        <w:rPr>
          <w:rFonts w:ascii="Times New Roman" w:eastAsia="Times New Roman" w:hAnsi="Times New Roman" w:cs="Times New Roman"/>
          <w:kern w:val="36"/>
          <w:sz w:val="28"/>
          <w:szCs w:val="28"/>
          <w:lang w:val="kk-KZ" w:eastAsia="ru-RU"/>
        </w:rPr>
        <w:t>2</w:t>
      </w:r>
      <w:r w:rsidR="00D808EA">
        <w:rPr>
          <w:rFonts w:ascii="Times New Roman" w:eastAsia="Times New Roman" w:hAnsi="Times New Roman" w:cs="Times New Roman"/>
          <w:kern w:val="36"/>
          <w:sz w:val="28"/>
          <w:szCs w:val="28"/>
          <w:lang w:val="kk-KZ" w:eastAsia="ru-RU"/>
        </w:rPr>
        <w:t>3</w:t>
      </w:r>
      <w:r w:rsidRPr="00457CE9">
        <w:rPr>
          <w:rFonts w:ascii="Times New Roman" w:eastAsia="Times New Roman" w:hAnsi="Times New Roman" w:cs="Times New Roman"/>
          <w:kern w:val="36"/>
          <w:sz w:val="28"/>
          <w:szCs w:val="28"/>
          <w:lang w:val="kk-KZ" w:eastAsia="ru-RU"/>
        </w:rPr>
        <w:t xml:space="preserve"> жылдарға нысаналы индикаторларының нақты көрсеткіштері </w:t>
      </w:r>
    </w:p>
    <w:p w14:paraId="71E67FA9" w14:textId="77777777" w:rsidR="00751614" w:rsidRPr="00751614" w:rsidRDefault="00751614" w:rsidP="00457CE9">
      <w:pPr>
        <w:spacing w:after="0" w:line="240" w:lineRule="auto"/>
        <w:jc w:val="both"/>
        <w:rPr>
          <w:rFonts w:ascii="Times New Roman" w:eastAsia="Times New Roman" w:hAnsi="Times New Roman" w:cs="Times New Roman"/>
          <w:kern w:val="36"/>
          <w:sz w:val="16"/>
          <w:szCs w:val="16"/>
          <w:lang w:val="kk-KZ" w:eastAsia="ru-RU"/>
        </w:rPr>
      </w:pPr>
    </w:p>
    <w:tbl>
      <w:tblPr>
        <w:tblStyle w:val="a3"/>
        <w:tblW w:w="9918" w:type="dxa"/>
        <w:jc w:val="center"/>
        <w:tblLayout w:type="fixed"/>
        <w:tblLook w:val="04A0" w:firstRow="1" w:lastRow="0" w:firstColumn="1" w:lastColumn="0" w:noHBand="0" w:noVBand="1"/>
      </w:tblPr>
      <w:tblGrid>
        <w:gridCol w:w="2830"/>
        <w:gridCol w:w="709"/>
        <w:gridCol w:w="709"/>
        <w:gridCol w:w="850"/>
        <w:gridCol w:w="851"/>
        <w:gridCol w:w="709"/>
        <w:gridCol w:w="850"/>
        <w:gridCol w:w="709"/>
        <w:gridCol w:w="709"/>
        <w:gridCol w:w="992"/>
      </w:tblGrid>
      <w:tr w:rsidR="00D808EA" w:rsidRPr="00441955" w14:paraId="2DDFCAC0" w14:textId="754AC0DB" w:rsidTr="00D808EA">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4F011265" w14:textId="77777777"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Нысаналы индикаторлар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2B960A" w14:textId="77777777" w:rsidR="00D808EA" w:rsidRPr="00441955" w:rsidRDefault="00D808EA" w:rsidP="00751614">
            <w:pPr>
              <w:jc w:val="cente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eastAsia="ru-RU"/>
              </w:rPr>
              <w:t>2015 жыл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27E64E" w14:textId="77777777"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2016 жыл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BB3519" w14:textId="77777777" w:rsidR="00D808EA" w:rsidRPr="00441955" w:rsidRDefault="00D808EA" w:rsidP="00751614">
            <w:pPr>
              <w:jc w:val="cente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eastAsia="ru-RU"/>
              </w:rPr>
              <w:t>2017 жыл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F0D61A" w14:textId="77777777"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2018 жыл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26B01" w14:textId="77777777"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2019 жыл</w:t>
            </w:r>
          </w:p>
        </w:tc>
        <w:tc>
          <w:tcPr>
            <w:tcW w:w="850" w:type="dxa"/>
            <w:tcBorders>
              <w:top w:val="single" w:sz="4" w:space="0" w:color="auto"/>
              <w:left w:val="single" w:sz="4" w:space="0" w:color="auto"/>
              <w:bottom w:val="single" w:sz="4" w:space="0" w:color="auto"/>
              <w:right w:val="single" w:sz="4" w:space="0" w:color="auto"/>
            </w:tcBorders>
            <w:vAlign w:val="center"/>
          </w:tcPr>
          <w:p w14:paraId="51A9BD1B" w14:textId="0B2747D4"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2020 жыл</w:t>
            </w:r>
          </w:p>
        </w:tc>
        <w:tc>
          <w:tcPr>
            <w:tcW w:w="709" w:type="dxa"/>
            <w:tcBorders>
              <w:top w:val="single" w:sz="4" w:space="0" w:color="auto"/>
              <w:left w:val="single" w:sz="4" w:space="0" w:color="auto"/>
              <w:bottom w:val="single" w:sz="4" w:space="0" w:color="auto"/>
              <w:right w:val="single" w:sz="4" w:space="0" w:color="auto"/>
            </w:tcBorders>
            <w:vAlign w:val="center"/>
          </w:tcPr>
          <w:p w14:paraId="41775557" w14:textId="2AB85728"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2021 жыл</w:t>
            </w:r>
          </w:p>
        </w:tc>
        <w:tc>
          <w:tcPr>
            <w:tcW w:w="709" w:type="dxa"/>
            <w:tcBorders>
              <w:top w:val="single" w:sz="4" w:space="0" w:color="auto"/>
              <w:left w:val="single" w:sz="4" w:space="0" w:color="auto"/>
              <w:bottom w:val="single" w:sz="4" w:space="0" w:color="auto"/>
              <w:right w:val="single" w:sz="4" w:space="0" w:color="auto"/>
            </w:tcBorders>
          </w:tcPr>
          <w:p w14:paraId="44EEBEB8" w14:textId="3E8952DB" w:rsidR="00D808EA" w:rsidRPr="00441955" w:rsidRDefault="00D808EA" w:rsidP="00751614">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2022 жыл</w:t>
            </w:r>
          </w:p>
        </w:tc>
        <w:tc>
          <w:tcPr>
            <w:tcW w:w="992" w:type="dxa"/>
            <w:tcBorders>
              <w:top w:val="single" w:sz="4" w:space="0" w:color="auto"/>
              <w:left w:val="single" w:sz="4" w:space="0" w:color="auto"/>
              <w:bottom w:val="single" w:sz="4" w:space="0" w:color="auto"/>
              <w:right w:val="single" w:sz="4" w:space="0" w:color="auto"/>
            </w:tcBorders>
          </w:tcPr>
          <w:p w14:paraId="4FD58266" w14:textId="311D5A98" w:rsidR="00D808EA" w:rsidRPr="00441955" w:rsidRDefault="00D808EA" w:rsidP="00751614">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2023* жыл</w:t>
            </w:r>
          </w:p>
        </w:tc>
      </w:tr>
      <w:tr w:rsidR="00D808EA" w:rsidRPr="00441955" w14:paraId="04763F16" w14:textId="4CF8722C" w:rsidTr="00E5046A">
        <w:trPr>
          <w:jc w:val="center"/>
        </w:trPr>
        <w:tc>
          <w:tcPr>
            <w:tcW w:w="2830" w:type="dxa"/>
            <w:tcBorders>
              <w:top w:val="single" w:sz="4" w:space="0" w:color="auto"/>
              <w:left w:val="single" w:sz="4" w:space="0" w:color="auto"/>
              <w:bottom w:val="single" w:sz="4" w:space="0" w:color="auto"/>
              <w:right w:val="single" w:sz="4" w:space="0" w:color="auto"/>
            </w:tcBorders>
            <w:hideMark/>
          </w:tcPr>
          <w:p w14:paraId="1519448E" w14:textId="77777777" w:rsidR="00D808EA" w:rsidRPr="00441955" w:rsidRDefault="00D808EA" w:rsidP="00D808EA">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Ауыл шаруашылығының ІЖӨ, млрд.теңге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67B044" w14:textId="77777777" w:rsidR="00D808EA" w:rsidRPr="00441955" w:rsidRDefault="00D808EA" w:rsidP="00D808EA">
            <w:pPr>
              <w:ind w:left="-86" w:right="-147"/>
              <w:jc w:val="cente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eastAsia="ru-RU"/>
              </w:rPr>
              <w:t>3307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E1C86A" w14:textId="77777777"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3684,4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D26EAF" w14:textId="77777777" w:rsidR="00D808EA" w:rsidRPr="00441955" w:rsidRDefault="00D808EA" w:rsidP="00D808EA">
            <w:pPr>
              <w:ind w:left="-86" w:right="-147"/>
              <w:jc w:val="cente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eastAsia="ru-RU"/>
              </w:rPr>
              <w:t>4070,9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ED2A3C" w14:textId="77777777"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4474,1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7A009D" w14:textId="77777777"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5239,9</w:t>
            </w:r>
          </w:p>
        </w:tc>
        <w:tc>
          <w:tcPr>
            <w:tcW w:w="850" w:type="dxa"/>
            <w:tcBorders>
              <w:top w:val="single" w:sz="4" w:space="0" w:color="auto"/>
              <w:left w:val="single" w:sz="4" w:space="0" w:color="auto"/>
              <w:bottom w:val="single" w:sz="4" w:space="0" w:color="auto"/>
              <w:right w:val="single" w:sz="4" w:space="0" w:color="auto"/>
            </w:tcBorders>
            <w:vAlign w:val="center"/>
          </w:tcPr>
          <w:p w14:paraId="6368CFBC" w14:textId="3D2BFEE6"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6271,0</w:t>
            </w:r>
          </w:p>
        </w:tc>
        <w:tc>
          <w:tcPr>
            <w:tcW w:w="709" w:type="dxa"/>
            <w:tcBorders>
              <w:top w:val="single" w:sz="4" w:space="0" w:color="auto"/>
              <w:left w:val="single" w:sz="4" w:space="0" w:color="auto"/>
              <w:bottom w:val="single" w:sz="4" w:space="0" w:color="auto"/>
              <w:right w:val="single" w:sz="4" w:space="0" w:color="auto"/>
            </w:tcBorders>
            <w:vAlign w:val="center"/>
          </w:tcPr>
          <w:p w14:paraId="346E14D3" w14:textId="7BD84413"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7376,0</w:t>
            </w:r>
          </w:p>
        </w:tc>
        <w:tc>
          <w:tcPr>
            <w:tcW w:w="709" w:type="dxa"/>
            <w:tcBorders>
              <w:top w:val="single" w:sz="4" w:space="0" w:color="auto"/>
              <w:left w:val="single" w:sz="4" w:space="0" w:color="auto"/>
              <w:bottom w:val="single" w:sz="4" w:space="0" w:color="auto"/>
              <w:right w:val="single" w:sz="4" w:space="0" w:color="auto"/>
            </w:tcBorders>
            <w:vAlign w:val="center"/>
          </w:tcPr>
          <w:p w14:paraId="1A0252FE" w14:textId="76671320"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rPr>
              <w:t>9223,0</w:t>
            </w:r>
          </w:p>
        </w:tc>
        <w:tc>
          <w:tcPr>
            <w:tcW w:w="992" w:type="dxa"/>
            <w:tcBorders>
              <w:top w:val="single" w:sz="4" w:space="0" w:color="auto"/>
              <w:left w:val="single" w:sz="4" w:space="0" w:color="auto"/>
              <w:bottom w:val="single" w:sz="4" w:space="0" w:color="auto"/>
              <w:right w:val="single" w:sz="4" w:space="0" w:color="auto"/>
            </w:tcBorders>
            <w:vAlign w:val="center"/>
          </w:tcPr>
          <w:p w14:paraId="7240EA22" w14:textId="6B559FF1" w:rsidR="00D808EA" w:rsidRPr="00441955" w:rsidRDefault="00D808EA" w:rsidP="00D808EA">
            <w:pPr>
              <w:ind w:left="-86" w:right="-147"/>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rPr>
              <w:t>3094,8</w:t>
            </w:r>
          </w:p>
        </w:tc>
      </w:tr>
      <w:tr w:rsidR="00D808EA" w:rsidRPr="00441955" w14:paraId="0071DA7C" w14:textId="3F6306A0" w:rsidTr="00D808EA">
        <w:trPr>
          <w:jc w:val="center"/>
        </w:trPr>
        <w:tc>
          <w:tcPr>
            <w:tcW w:w="2830" w:type="dxa"/>
            <w:tcBorders>
              <w:top w:val="single" w:sz="4" w:space="0" w:color="auto"/>
              <w:left w:val="single" w:sz="4" w:space="0" w:color="auto"/>
              <w:bottom w:val="single" w:sz="4" w:space="0" w:color="auto"/>
              <w:right w:val="single" w:sz="4" w:space="0" w:color="auto"/>
            </w:tcBorders>
            <w:hideMark/>
          </w:tcPr>
          <w:p w14:paraId="1D5F7010" w14:textId="774D8ED3" w:rsidR="00D808EA" w:rsidRPr="00441955" w:rsidRDefault="00D808EA" w:rsidP="00457CE9">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Ауыл шаруашылығында жұмыс</w:t>
            </w:r>
            <w:r>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пен қамтылған халық саны, мың адам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5AD486" w14:textId="77777777" w:rsidR="00D808EA" w:rsidRPr="00441955" w:rsidRDefault="00D808EA" w:rsidP="00751614">
            <w:pPr>
              <w:ind w:left="-86" w:right="-147"/>
              <w:jc w:val="center"/>
              <w:rPr>
                <w:rFonts w:ascii="Times New Roman" w:eastAsia="Times New Roman" w:hAnsi="Times New Roman" w:cs="Times New Roman"/>
                <w:sz w:val="24"/>
                <w:szCs w:val="24"/>
              </w:rPr>
            </w:pPr>
            <w:r w:rsidRPr="00441955">
              <w:rPr>
                <w:rFonts w:ascii="Times New Roman" w:hAnsi="Times New Roman" w:cs="Times New Roman"/>
                <w:sz w:val="24"/>
                <w:szCs w:val="24"/>
              </w:rPr>
              <w:t>1362,9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981A28" w14:textId="77777777" w:rsidR="00D808EA" w:rsidRPr="00441955" w:rsidRDefault="00D808EA" w:rsidP="00751614">
            <w:pPr>
              <w:ind w:left="-86" w:right="-147"/>
              <w:jc w:val="center"/>
              <w:rPr>
                <w:rFonts w:ascii="Times New Roman" w:eastAsia="Times New Roman" w:hAnsi="Times New Roman" w:cs="Times New Roman"/>
                <w:sz w:val="24"/>
                <w:szCs w:val="24"/>
              </w:rPr>
            </w:pPr>
            <w:r w:rsidRPr="00441955">
              <w:rPr>
                <w:rFonts w:ascii="Times New Roman" w:hAnsi="Times New Roman" w:cs="Times New Roman"/>
                <w:sz w:val="24"/>
                <w:szCs w:val="24"/>
              </w:rPr>
              <w:t>1385,5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304594" w14:textId="77777777" w:rsidR="00D808EA" w:rsidRPr="00441955" w:rsidRDefault="00D808EA" w:rsidP="00751614">
            <w:pPr>
              <w:ind w:left="-86" w:right="-147"/>
              <w:jc w:val="center"/>
              <w:rPr>
                <w:rFonts w:ascii="Times New Roman" w:eastAsia="Times New Roman" w:hAnsi="Times New Roman" w:cs="Times New Roman"/>
                <w:sz w:val="24"/>
                <w:szCs w:val="24"/>
              </w:rPr>
            </w:pPr>
            <w:r w:rsidRPr="00441955">
              <w:rPr>
                <w:rFonts w:ascii="Times New Roman" w:hAnsi="Times New Roman" w:cs="Times New Roman"/>
                <w:sz w:val="24"/>
                <w:szCs w:val="24"/>
              </w:rPr>
              <w:t>1319,0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E9F876" w14:textId="77777777" w:rsidR="00D808EA" w:rsidRPr="00441955" w:rsidRDefault="00D808EA" w:rsidP="00751614">
            <w:pPr>
              <w:ind w:left="-86" w:right="-147"/>
              <w:jc w:val="center"/>
              <w:rPr>
                <w:rFonts w:ascii="Times New Roman" w:eastAsia="Times New Roman" w:hAnsi="Times New Roman" w:cs="Times New Roman"/>
                <w:sz w:val="24"/>
                <w:szCs w:val="24"/>
              </w:rPr>
            </w:pPr>
            <w:r w:rsidRPr="00441955">
              <w:rPr>
                <w:rFonts w:ascii="Times New Roman" w:hAnsi="Times New Roman" w:cs="Times New Roman"/>
                <w:sz w:val="24"/>
                <w:szCs w:val="24"/>
              </w:rPr>
              <w:t>1228,2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ED9B76" w14:textId="329B0E3E"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1184,7</w:t>
            </w:r>
          </w:p>
        </w:tc>
        <w:tc>
          <w:tcPr>
            <w:tcW w:w="850" w:type="dxa"/>
            <w:tcBorders>
              <w:top w:val="single" w:sz="4" w:space="0" w:color="auto"/>
              <w:left w:val="single" w:sz="4" w:space="0" w:color="auto"/>
              <w:bottom w:val="single" w:sz="4" w:space="0" w:color="auto"/>
              <w:right w:val="single" w:sz="4" w:space="0" w:color="auto"/>
            </w:tcBorders>
            <w:vAlign w:val="center"/>
          </w:tcPr>
          <w:p w14:paraId="717EA86A" w14:textId="6089DBE8"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1175,1</w:t>
            </w:r>
          </w:p>
        </w:tc>
        <w:tc>
          <w:tcPr>
            <w:tcW w:w="709" w:type="dxa"/>
            <w:tcBorders>
              <w:top w:val="single" w:sz="4" w:space="0" w:color="auto"/>
              <w:left w:val="single" w:sz="4" w:space="0" w:color="auto"/>
              <w:bottom w:val="single" w:sz="4" w:space="0" w:color="auto"/>
              <w:right w:val="single" w:sz="4" w:space="0" w:color="auto"/>
            </w:tcBorders>
            <w:vAlign w:val="center"/>
          </w:tcPr>
          <w:p w14:paraId="6BA2C979" w14:textId="5A9E4A48"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1176,4</w:t>
            </w:r>
          </w:p>
        </w:tc>
        <w:tc>
          <w:tcPr>
            <w:tcW w:w="709" w:type="dxa"/>
            <w:tcBorders>
              <w:top w:val="single" w:sz="4" w:space="0" w:color="auto"/>
              <w:left w:val="single" w:sz="4" w:space="0" w:color="auto"/>
              <w:bottom w:val="single" w:sz="4" w:space="0" w:color="auto"/>
              <w:right w:val="single" w:sz="4" w:space="0" w:color="auto"/>
            </w:tcBorders>
            <w:vAlign w:val="center"/>
          </w:tcPr>
          <w:p w14:paraId="59E82261" w14:textId="603953C7" w:rsidR="00D808EA" w:rsidRPr="00D808EA" w:rsidRDefault="00D808EA" w:rsidP="00D808EA">
            <w:pPr>
              <w:ind w:left="-86" w:right="-147"/>
              <w:jc w:val="center"/>
              <w:rPr>
                <w:rFonts w:ascii="Times New Roman" w:eastAsia="Times New Roman" w:hAnsi="Times New Roman" w:cs="Times New Roman"/>
                <w:kern w:val="36"/>
                <w:sz w:val="24"/>
                <w:szCs w:val="24"/>
                <w:lang w:val="kk-KZ" w:eastAsia="ru-RU"/>
              </w:rPr>
            </w:pPr>
            <w:r w:rsidRPr="00D808EA">
              <w:rPr>
                <w:rFonts w:ascii="Times New Roman" w:hAnsi="Times New Roman" w:cs="Times New Roman"/>
                <w:color w:val="000000"/>
                <w:sz w:val="24"/>
                <w:szCs w:val="24"/>
                <w:lang w:val="kk-KZ"/>
              </w:rPr>
              <w:t>1108,9</w:t>
            </w:r>
          </w:p>
        </w:tc>
        <w:tc>
          <w:tcPr>
            <w:tcW w:w="992" w:type="dxa"/>
            <w:tcBorders>
              <w:top w:val="single" w:sz="4" w:space="0" w:color="auto"/>
              <w:left w:val="single" w:sz="4" w:space="0" w:color="auto"/>
              <w:bottom w:val="single" w:sz="4" w:space="0" w:color="auto"/>
              <w:right w:val="single" w:sz="4" w:space="0" w:color="auto"/>
            </w:tcBorders>
            <w:vAlign w:val="center"/>
          </w:tcPr>
          <w:p w14:paraId="5501EDBC" w14:textId="57E31208" w:rsidR="00D808EA" w:rsidRPr="00D808EA" w:rsidRDefault="00D808EA" w:rsidP="00D808EA">
            <w:pPr>
              <w:ind w:left="-86" w:right="-147"/>
              <w:jc w:val="center"/>
              <w:rPr>
                <w:rFonts w:ascii="Times New Roman" w:eastAsia="Times New Roman" w:hAnsi="Times New Roman" w:cs="Times New Roman"/>
                <w:kern w:val="36"/>
                <w:sz w:val="24"/>
                <w:szCs w:val="24"/>
                <w:lang w:val="kk-KZ" w:eastAsia="ru-RU"/>
              </w:rPr>
            </w:pPr>
            <w:r w:rsidRPr="00D808EA">
              <w:rPr>
                <w:rFonts w:ascii="Times New Roman" w:hAnsi="Times New Roman" w:cs="Times New Roman"/>
                <w:color w:val="000000"/>
                <w:sz w:val="24"/>
                <w:szCs w:val="24"/>
                <w:lang w:val="kk-KZ"/>
              </w:rPr>
              <w:t>1078,2</w:t>
            </w:r>
          </w:p>
        </w:tc>
      </w:tr>
      <w:tr w:rsidR="00D808EA" w:rsidRPr="00441955" w14:paraId="1B4F79EB" w14:textId="460A1552" w:rsidTr="00D808EA">
        <w:trPr>
          <w:jc w:val="center"/>
        </w:trPr>
        <w:tc>
          <w:tcPr>
            <w:tcW w:w="2830" w:type="dxa"/>
            <w:tcBorders>
              <w:top w:val="single" w:sz="4" w:space="0" w:color="auto"/>
              <w:left w:val="single" w:sz="4" w:space="0" w:color="auto"/>
              <w:bottom w:val="single" w:sz="4" w:space="0" w:color="auto"/>
              <w:right w:val="single" w:sz="4" w:space="0" w:color="auto"/>
            </w:tcBorders>
            <w:hideMark/>
          </w:tcPr>
          <w:p w14:paraId="24AFD8F2" w14:textId="77777777" w:rsidR="00D808EA" w:rsidRPr="00441955" w:rsidRDefault="00D808EA" w:rsidP="00457CE9">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Еңбек өнімділігі</w:t>
            </w:r>
            <w:r w:rsidRPr="00441955">
              <w:rPr>
                <w:rFonts w:ascii="Times New Roman" w:eastAsia="Times New Roman" w:hAnsi="Times New Roman" w:cs="Times New Roman"/>
                <w:kern w:val="36"/>
                <w:sz w:val="24"/>
                <w:szCs w:val="24"/>
                <w:lang w:eastAsia="ru-RU"/>
              </w:rPr>
              <w:t xml:space="preserve">, </w:t>
            </w:r>
            <w:r w:rsidRPr="00441955">
              <w:rPr>
                <w:rFonts w:ascii="Times New Roman" w:eastAsia="Times New Roman" w:hAnsi="Times New Roman" w:cs="Times New Roman"/>
                <w:kern w:val="36"/>
                <w:sz w:val="24"/>
                <w:szCs w:val="24"/>
                <w:lang w:val="kk-KZ" w:eastAsia="ru-RU"/>
              </w:rPr>
              <w:t>мың теңге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227D25" w14:textId="77777777" w:rsidR="00D808EA" w:rsidRPr="00441955" w:rsidRDefault="00D808EA" w:rsidP="00751614">
            <w:pPr>
              <w:ind w:left="-86" w:right="-147"/>
              <w:jc w:val="cente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eastAsia="ru-RU"/>
              </w:rPr>
              <w:t>1242,3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279946" w14:textId="77777777" w:rsidR="00D808EA" w:rsidRPr="00441955" w:rsidRDefault="00D808EA" w:rsidP="00751614">
            <w:pPr>
              <w:ind w:left="-86" w:right="-147"/>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1401,9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2FBD54" w14:textId="77777777" w:rsidR="00D808EA" w:rsidRPr="00441955" w:rsidRDefault="00D808EA" w:rsidP="00751614">
            <w:pPr>
              <w:ind w:left="-86" w:right="-147"/>
              <w:jc w:val="cente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eastAsia="ru-RU"/>
              </w:rPr>
              <w:t>1735,9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7F05C4" w14:textId="77777777"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2076,6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0CDB8D" w14:textId="0D93E0AE"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2466,0</w:t>
            </w:r>
          </w:p>
        </w:tc>
        <w:tc>
          <w:tcPr>
            <w:tcW w:w="850" w:type="dxa"/>
            <w:tcBorders>
              <w:top w:val="single" w:sz="4" w:space="0" w:color="auto"/>
              <w:left w:val="single" w:sz="4" w:space="0" w:color="auto"/>
              <w:bottom w:val="single" w:sz="4" w:space="0" w:color="auto"/>
              <w:right w:val="single" w:sz="4" w:space="0" w:color="auto"/>
            </w:tcBorders>
            <w:vAlign w:val="center"/>
          </w:tcPr>
          <w:p w14:paraId="343EDEC8" w14:textId="79636B4F"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3004,8</w:t>
            </w:r>
          </w:p>
        </w:tc>
        <w:tc>
          <w:tcPr>
            <w:tcW w:w="709" w:type="dxa"/>
            <w:tcBorders>
              <w:top w:val="single" w:sz="4" w:space="0" w:color="auto"/>
              <w:left w:val="single" w:sz="4" w:space="0" w:color="auto"/>
              <w:bottom w:val="single" w:sz="4" w:space="0" w:color="auto"/>
              <w:right w:val="single" w:sz="4" w:space="0" w:color="auto"/>
            </w:tcBorders>
            <w:vAlign w:val="center"/>
          </w:tcPr>
          <w:p w14:paraId="3C13681C" w14:textId="6019FB3B" w:rsidR="00D808EA" w:rsidRPr="00441955" w:rsidRDefault="00D808EA" w:rsidP="00751614">
            <w:pPr>
              <w:ind w:left="-86" w:right="-147"/>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3334,8</w:t>
            </w:r>
          </w:p>
        </w:tc>
        <w:tc>
          <w:tcPr>
            <w:tcW w:w="709" w:type="dxa"/>
            <w:tcBorders>
              <w:top w:val="single" w:sz="4" w:space="0" w:color="auto"/>
              <w:left w:val="single" w:sz="4" w:space="0" w:color="auto"/>
              <w:bottom w:val="single" w:sz="4" w:space="0" w:color="auto"/>
              <w:right w:val="single" w:sz="4" w:space="0" w:color="auto"/>
            </w:tcBorders>
            <w:vAlign w:val="center"/>
          </w:tcPr>
          <w:p w14:paraId="5F5B8889" w14:textId="218FB560" w:rsidR="00D808EA" w:rsidRPr="00441955" w:rsidRDefault="00181018" w:rsidP="00D808EA">
            <w:pPr>
              <w:ind w:left="-86" w:right="-147"/>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4500,0</w:t>
            </w:r>
          </w:p>
        </w:tc>
        <w:tc>
          <w:tcPr>
            <w:tcW w:w="992" w:type="dxa"/>
            <w:tcBorders>
              <w:top w:val="single" w:sz="4" w:space="0" w:color="auto"/>
              <w:left w:val="single" w:sz="4" w:space="0" w:color="auto"/>
              <w:bottom w:val="single" w:sz="4" w:space="0" w:color="auto"/>
              <w:right w:val="single" w:sz="4" w:space="0" w:color="auto"/>
            </w:tcBorders>
            <w:vAlign w:val="center"/>
          </w:tcPr>
          <w:p w14:paraId="0BE0C455" w14:textId="5C57F3F8" w:rsidR="00D808EA" w:rsidRPr="00441955" w:rsidRDefault="00D170BE" w:rsidP="00D808EA">
            <w:pPr>
              <w:ind w:left="-86" w:right="-147"/>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2870,3</w:t>
            </w:r>
          </w:p>
        </w:tc>
      </w:tr>
      <w:tr w:rsidR="00D808EA" w:rsidRPr="00441955" w14:paraId="2EB0E599" w14:textId="48D8A6AD" w:rsidTr="00D808EA">
        <w:trPr>
          <w:jc w:val="center"/>
        </w:trPr>
        <w:tc>
          <w:tcPr>
            <w:tcW w:w="2830" w:type="dxa"/>
            <w:tcBorders>
              <w:top w:val="single" w:sz="4" w:space="0" w:color="auto"/>
              <w:left w:val="single" w:sz="4" w:space="0" w:color="auto"/>
              <w:bottom w:val="single" w:sz="4" w:space="0" w:color="auto"/>
              <w:right w:val="single" w:sz="4" w:space="0" w:color="auto"/>
            </w:tcBorders>
          </w:tcPr>
          <w:p w14:paraId="759C5F5E" w14:textId="382480D5" w:rsidR="00D808EA" w:rsidRPr="00441955" w:rsidRDefault="00D808EA" w:rsidP="00457CE9">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Ауыл шаруашылығы еңбек өнімділігінің индексі, %-бен өткен жылға</w:t>
            </w:r>
          </w:p>
        </w:tc>
        <w:tc>
          <w:tcPr>
            <w:tcW w:w="709" w:type="dxa"/>
            <w:tcBorders>
              <w:top w:val="single" w:sz="4" w:space="0" w:color="auto"/>
              <w:left w:val="single" w:sz="4" w:space="0" w:color="auto"/>
              <w:bottom w:val="single" w:sz="4" w:space="0" w:color="auto"/>
              <w:right w:val="single" w:sz="4" w:space="0" w:color="auto"/>
            </w:tcBorders>
            <w:vAlign w:val="center"/>
          </w:tcPr>
          <w:p w14:paraId="0B0393CF" w14:textId="6B6F34BB"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34A2D04" w14:textId="2A2AAD50" w:rsidR="00D808EA" w:rsidRPr="00441955" w:rsidRDefault="00D808EA" w:rsidP="00751614">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107,0</w:t>
            </w:r>
          </w:p>
        </w:tc>
        <w:tc>
          <w:tcPr>
            <w:tcW w:w="850" w:type="dxa"/>
            <w:tcBorders>
              <w:top w:val="single" w:sz="4" w:space="0" w:color="auto"/>
              <w:left w:val="single" w:sz="4" w:space="0" w:color="auto"/>
              <w:bottom w:val="single" w:sz="4" w:space="0" w:color="auto"/>
              <w:right w:val="single" w:sz="4" w:space="0" w:color="auto"/>
            </w:tcBorders>
            <w:vAlign w:val="center"/>
          </w:tcPr>
          <w:p w14:paraId="6FADAA7F" w14:textId="4247A736" w:rsidR="00D808EA" w:rsidRPr="00441955" w:rsidRDefault="00D808EA" w:rsidP="00751614">
            <w:pPr>
              <w:jc w:val="center"/>
              <w:rPr>
                <w:rFonts w:ascii="Times New Roman" w:eastAsia="Times New Roman" w:hAnsi="Times New Roman" w:cs="Times New Roman"/>
                <w:kern w:val="36"/>
                <w:sz w:val="24"/>
                <w:szCs w:val="24"/>
                <w:lang w:eastAsia="ru-RU"/>
              </w:rPr>
            </w:pPr>
            <w:r w:rsidRPr="00441955">
              <w:rPr>
                <w:rFonts w:ascii="Times New Roman" w:hAnsi="Times New Roman" w:cs="Times New Roman"/>
                <w:color w:val="000000"/>
                <w:sz w:val="24"/>
                <w:szCs w:val="24"/>
              </w:rPr>
              <w:t>111,3</w:t>
            </w:r>
          </w:p>
        </w:tc>
        <w:tc>
          <w:tcPr>
            <w:tcW w:w="851" w:type="dxa"/>
            <w:tcBorders>
              <w:top w:val="single" w:sz="4" w:space="0" w:color="auto"/>
              <w:left w:val="single" w:sz="4" w:space="0" w:color="auto"/>
              <w:bottom w:val="single" w:sz="4" w:space="0" w:color="auto"/>
              <w:right w:val="single" w:sz="4" w:space="0" w:color="auto"/>
            </w:tcBorders>
            <w:vAlign w:val="center"/>
          </w:tcPr>
          <w:p w14:paraId="7472C53E" w14:textId="51E69197" w:rsidR="00D808EA" w:rsidRPr="00441955" w:rsidRDefault="00D808EA" w:rsidP="00751614">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112,2</w:t>
            </w:r>
          </w:p>
        </w:tc>
        <w:tc>
          <w:tcPr>
            <w:tcW w:w="709" w:type="dxa"/>
            <w:tcBorders>
              <w:top w:val="single" w:sz="4" w:space="0" w:color="auto"/>
              <w:left w:val="single" w:sz="4" w:space="0" w:color="auto"/>
              <w:bottom w:val="single" w:sz="4" w:space="0" w:color="auto"/>
              <w:right w:val="single" w:sz="4" w:space="0" w:color="auto"/>
            </w:tcBorders>
            <w:vAlign w:val="center"/>
          </w:tcPr>
          <w:p w14:paraId="7205C625" w14:textId="156C38EE"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103,8</w:t>
            </w:r>
          </w:p>
        </w:tc>
        <w:tc>
          <w:tcPr>
            <w:tcW w:w="850" w:type="dxa"/>
            <w:tcBorders>
              <w:top w:val="single" w:sz="4" w:space="0" w:color="auto"/>
              <w:left w:val="single" w:sz="4" w:space="0" w:color="auto"/>
              <w:bottom w:val="single" w:sz="4" w:space="0" w:color="auto"/>
              <w:right w:val="single" w:sz="4" w:space="0" w:color="auto"/>
            </w:tcBorders>
            <w:vAlign w:val="center"/>
          </w:tcPr>
          <w:p w14:paraId="628F6590" w14:textId="73D0CB97"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sz w:val="24"/>
                <w:szCs w:val="24"/>
              </w:rPr>
              <w:t>105,2</w:t>
            </w:r>
          </w:p>
        </w:tc>
        <w:tc>
          <w:tcPr>
            <w:tcW w:w="709" w:type="dxa"/>
            <w:tcBorders>
              <w:top w:val="single" w:sz="4" w:space="0" w:color="auto"/>
              <w:left w:val="single" w:sz="4" w:space="0" w:color="auto"/>
              <w:bottom w:val="single" w:sz="4" w:space="0" w:color="auto"/>
              <w:right w:val="single" w:sz="4" w:space="0" w:color="auto"/>
            </w:tcBorders>
            <w:vAlign w:val="center"/>
          </w:tcPr>
          <w:p w14:paraId="32382359" w14:textId="2C1F447C" w:rsidR="00D808EA" w:rsidRPr="00441955" w:rsidRDefault="00D808EA" w:rsidP="00751614">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sz w:val="24"/>
                <w:szCs w:val="24"/>
              </w:rPr>
              <w:t>98,2</w:t>
            </w:r>
          </w:p>
        </w:tc>
        <w:tc>
          <w:tcPr>
            <w:tcW w:w="709" w:type="dxa"/>
            <w:tcBorders>
              <w:top w:val="single" w:sz="4" w:space="0" w:color="auto"/>
              <w:left w:val="single" w:sz="4" w:space="0" w:color="auto"/>
              <w:bottom w:val="single" w:sz="4" w:space="0" w:color="auto"/>
              <w:right w:val="single" w:sz="4" w:space="0" w:color="auto"/>
            </w:tcBorders>
            <w:vAlign w:val="center"/>
          </w:tcPr>
          <w:p w14:paraId="54AB3A72" w14:textId="5242E0C5" w:rsidR="00D808EA" w:rsidRPr="00085928" w:rsidRDefault="00085928" w:rsidP="00D808EA">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vAlign w:val="center"/>
          </w:tcPr>
          <w:p w14:paraId="3A7F24B9" w14:textId="6AB5CF96" w:rsidR="00D808EA" w:rsidRPr="00085928" w:rsidRDefault="00085928" w:rsidP="0008592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085928" w:rsidRPr="00441955" w14:paraId="295A2B76" w14:textId="3AB099EF" w:rsidTr="006D3726">
        <w:trPr>
          <w:jc w:val="center"/>
        </w:trPr>
        <w:tc>
          <w:tcPr>
            <w:tcW w:w="9918" w:type="dxa"/>
            <w:gridSpan w:val="10"/>
            <w:tcBorders>
              <w:top w:val="single" w:sz="4" w:space="0" w:color="auto"/>
              <w:left w:val="single" w:sz="4" w:space="0" w:color="auto"/>
              <w:bottom w:val="single" w:sz="4" w:space="0" w:color="auto"/>
              <w:right w:val="single" w:sz="4" w:space="0" w:color="auto"/>
            </w:tcBorders>
          </w:tcPr>
          <w:p w14:paraId="240E3FAA" w14:textId="52DA1C68" w:rsidR="00085928" w:rsidRPr="00441955" w:rsidRDefault="00085928" w:rsidP="00085928">
            <w:pPr>
              <w:ind w:left="177" w:firstLine="566"/>
              <w:rPr>
                <w:rFonts w:ascii="Times New Roman" w:eastAsia="Calibri" w:hAnsi="Times New Roman" w:cs="Times New Roman"/>
                <w:sz w:val="24"/>
                <w:szCs w:val="24"/>
              </w:rPr>
            </w:pPr>
            <w:r w:rsidRPr="00441955">
              <w:rPr>
                <w:rFonts w:ascii="Times New Roman" w:eastAsia="Calibri" w:hAnsi="Times New Roman" w:cs="Times New Roman"/>
                <w:sz w:val="24"/>
                <w:szCs w:val="24"/>
              </w:rPr>
              <w:t>Ескерту –</w:t>
            </w:r>
            <w:r w:rsidRPr="00441955">
              <w:rPr>
                <w:rFonts w:ascii="Times New Roman" w:eastAsia="Calibri" w:hAnsi="Times New Roman" w:cs="Times New Roman"/>
                <w:bCs/>
                <w:sz w:val="24"/>
                <w:szCs w:val="24"/>
                <w:lang w:val="kk-KZ"/>
              </w:rPr>
              <w:t xml:space="preserve"> Әдебиет негізінде құралған</w:t>
            </w:r>
            <w:r w:rsidRPr="00441955">
              <w:rPr>
                <w:rFonts w:ascii="Times New Roman" w:hAnsi="Times New Roman" w:cs="Times New Roman"/>
                <w:sz w:val="24"/>
                <w:szCs w:val="24"/>
                <w:lang w:val="kk-KZ"/>
              </w:rPr>
              <w:t xml:space="preserve"> </w:t>
            </w:r>
            <w:r w:rsidRPr="00441955">
              <w:rPr>
                <w:rFonts w:ascii="Times New Roman" w:hAnsi="Times New Roman" w:cs="Times New Roman"/>
                <w:sz w:val="24"/>
                <w:szCs w:val="24"/>
              </w:rPr>
              <w:t>[</w:t>
            </w:r>
            <w:r w:rsidR="004330E8">
              <w:rPr>
                <w:rFonts w:ascii="Times New Roman" w:hAnsi="Times New Roman" w:cs="Times New Roman"/>
                <w:sz w:val="24"/>
                <w:szCs w:val="24"/>
                <w:lang w:val="kk-KZ"/>
              </w:rPr>
              <w:t>7</w:t>
            </w:r>
            <w:r w:rsidRPr="00441955">
              <w:rPr>
                <w:rFonts w:ascii="Times New Roman" w:hAnsi="Times New Roman" w:cs="Times New Roman"/>
                <w:sz w:val="24"/>
                <w:szCs w:val="24"/>
              </w:rPr>
              <w:t xml:space="preserve">] </w:t>
            </w:r>
          </w:p>
        </w:tc>
      </w:tr>
    </w:tbl>
    <w:p w14:paraId="706C20AD" w14:textId="77777777" w:rsidR="00CC6F19" w:rsidRDefault="00CC6F19" w:rsidP="00CC6F19">
      <w:pPr>
        <w:spacing w:after="0" w:line="240" w:lineRule="auto"/>
        <w:ind w:firstLine="709"/>
        <w:jc w:val="both"/>
        <w:rPr>
          <w:rFonts w:ascii="Times New Roman" w:hAnsi="Times New Roman" w:cs="Times New Roman"/>
          <w:sz w:val="16"/>
          <w:szCs w:val="16"/>
          <w:lang w:val="kk-KZ"/>
        </w:rPr>
      </w:pPr>
      <w:r>
        <w:rPr>
          <w:rFonts w:ascii="Times New Roman" w:hAnsi="Times New Roman" w:cs="Times New Roman"/>
          <w:sz w:val="16"/>
          <w:szCs w:val="16"/>
          <w:lang w:val="kk-KZ"/>
        </w:rPr>
        <w:t>*- 2023 жылдың қантар-қыркүйек аралығындағы мәліметтер</w:t>
      </w:r>
    </w:p>
    <w:p w14:paraId="03420505" w14:textId="77777777" w:rsidR="00C371B2" w:rsidRPr="00457CE9" w:rsidRDefault="00C371B2" w:rsidP="00457CE9">
      <w:pPr>
        <w:pStyle w:val="a5"/>
        <w:tabs>
          <w:tab w:val="left" w:pos="851"/>
        </w:tabs>
        <w:spacing w:after="0" w:line="240" w:lineRule="auto"/>
        <w:ind w:left="0" w:firstLine="567"/>
        <w:jc w:val="both"/>
        <w:rPr>
          <w:rFonts w:ascii="Times New Roman" w:eastAsia="Times New Roman" w:hAnsi="Times New Roman"/>
          <w:kern w:val="36"/>
          <w:sz w:val="28"/>
          <w:szCs w:val="28"/>
          <w:lang w:val="kk-KZ" w:eastAsia="ru-RU"/>
        </w:rPr>
      </w:pPr>
    </w:p>
    <w:p w14:paraId="16C7384E" w14:textId="5BDC612D" w:rsidR="008509C4" w:rsidRDefault="00B75C4B" w:rsidP="00751614">
      <w:pPr>
        <w:pStyle w:val="a5"/>
        <w:tabs>
          <w:tab w:val="left" w:pos="851"/>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Ауыл шаруашылығының жалпы ішкі өнімін өсімдік </w:t>
      </w:r>
      <w:r w:rsidR="000627FB" w:rsidRPr="00457CE9">
        <w:rPr>
          <w:rFonts w:ascii="Times New Roman" w:eastAsia="Times New Roman" w:hAnsi="Times New Roman"/>
          <w:kern w:val="36"/>
          <w:sz w:val="28"/>
          <w:szCs w:val="28"/>
          <w:lang w:val="kk-KZ" w:eastAsia="ru-RU"/>
        </w:rPr>
        <w:t xml:space="preserve">және мал </w:t>
      </w:r>
      <w:r w:rsidRPr="00457CE9">
        <w:rPr>
          <w:rFonts w:ascii="Times New Roman" w:eastAsia="Times New Roman" w:hAnsi="Times New Roman"/>
          <w:kern w:val="36"/>
          <w:sz w:val="28"/>
          <w:szCs w:val="28"/>
          <w:lang w:val="kk-KZ" w:eastAsia="ru-RU"/>
        </w:rPr>
        <w:t>шаруашылығындағы жалпы өнімі</w:t>
      </w:r>
      <w:r w:rsidR="00B25F15" w:rsidRPr="00457CE9">
        <w:rPr>
          <w:rFonts w:ascii="Times New Roman" w:eastAsia="Times New Roman" w:hAnsi="Times New Roman"/>
          <w:kern w:val="36"/>
          <w:sz w:val="28"/>
          <w:szCs w:val="28"/>
          <w:lang w:val="kk-KZ" w:eastAsia="ru-RU"/>
        </w:rPr>
        <w:t>, ауыл шаруашылығы саласындағы қызметтер көлемі</w:t>
      </w:r>
      <w:r w:rsidRPr="00457CE9">
        <w:rPr>
          <w:rFonts w:ascii="Times New Roman" w:eastAsia="Times New Roman" w:hAnsi="Times New Roman"/>
          <w:kern w:val="36"/>
          <w:sz w:val="28"/>
          <w:szCs w:val="28"/>
          <w:lang w:val="kk-KZ" w:eastAsia="ru-RU"/>
        </w:rPr>
        <w:t xml:space="preserve"> құрайды.</w:t>
      </w:r>
      <w:r w:rsidR="008509C4" w:rsidRPr="00457CE9">
        <w:rPr>
          <w:rFonts w:ascii="Times New Roman" w:eastAsia="Times New Roman" w:hAnsi="Times New Roman"/>
          <w:kern w:val="36"/>
          <w:sz w:val="28"/>
          <w:szCs w:val="28"/>
          <w:lang w:val="kk-KZ" w:eastAsia="ru-RU"/>
        </w:rPr>
        <w:t xml:space="preserve"> ҚР ауыл шаруашылығының </w:t>
      </w:r>
      <w:r w:rsidR="003E7678" w:rsidRPr="00457CE9">
        <w:rPr>
          <w:rFonts w:ascii="Times New Roman" w:eastAsia="Times New Roman" w:hAnsi="Times New Roman"/>
          <w:kern w:val="36"/>
          <w:sz w:val="28"/>
          <w:szCs w:val="28"/>
          <w:lang w:val="kk-KZ" w:eastAsia="ru-RU"/>
        </w:rPr>
        <w:t>Ж</w:t>
      </w:r>
      <w:r w:rsidR="008509C4" w:rsidRPr="00457CE9">
        <w:rPr>
          <w:rFonts w:ascii="Times New Roman" w:eastAsia="Times New Roman" w:hAnsi="Times New Roman"/>
          <w:kern w:val="36"/>
          <w:sz w:val="28"/>
          <w:szCs w:val="28"/>
          <w:lang w:val="kk-KZ" w:eastAsia="ru-RU"/>
        </w:rPr>
        <w:t>ІӨ мен еңбек өнімділігінің 2015-20</w:t>
      </w:r>
      <w:r w:rsidR="0022742D" w:rsidRPr="00457CE9">
        <w:rPr>
          <w:rFonts w:ascii="Times New Roman" w:eastAsia="Times New Roman" w:hAnsi="Times New Roman"/>
          <w:kern w:val="36"/>
          <w:sz w:val="28"/>
          <w:szCs w:val="28"/>
          <w:lang w:val="kk-KZ" w:eastAsia="ru-RU"/>
        </w:rPr>
        <w:t>2</w:t>
      </w:r>
      <w:r w:rsidR="00D808EA">
        <w:rPr>
          <w:rFonts w:ascii="Times New Roman" w:eastAsia="Times New Roman" w:hAnsi="Times New Roman"/>
          <w:kern w:val="36"/>
          <w:sz w:val="28"/>
          <w:szCs w:val="28"/>
          <w:lang w:val="kk-KZ" w:eastAsia="ru-RU"/>
        </w:rPr>
        <w:t>3</w:t>
      </w:r>
      <w:r w:rsidR="008509C4" w:rsidRPr="00457CE9">
        <w:rPr>
          <w:rFonts w:ascii="Times New Roman" w:eastAsia="Times New Roman" w:hAnsi="Times New Roman"/>
          <w:kern w:val="36"/>
          <w:sz w:val="28"/>
          <w:szCs w:val="28"/>
          <w:lang w:val="kk-KZ" w:eastAsia="ru-RU"/>
        </w:rPr>
        <w:t xml:space="preserve"> жж. динамикасы </w:t>
      </w:r>
      <w:r w:rsidR="005B6DA2" w:rsidRPr="00457CE9">
        <w:rPr>
          <w:rFonts w:ascii="Times New Roman" w:eastAsia="Times New Roman" w:hAnsi="Times New Roman"/>
          <w:kern w:val="36"/>
          <w:sz w:val="28"/>
          <w:szCs w:val="28"/>
          <w:lang w:val="kk-KZ" w:eastAsia="ru-RU"/>
        </w:rPr>
        <w:t>1</w:t>
      </w:r>
      <w:r w:rsidR="00A23F7A">
        <w:rPr>
          <w:rFonts w:ascii="Times New Roman" w:eastAsia="Times New Roman" w:hAnsi="Times New Roman"/>
          <w:kern w:val="36"/>
          <w:sz w:val="28"/>
          <w:szCs w:val="28"/>
          <w:lang w:val="kk-KZ" w:eastAsia="ru-RU"/>
        </w:rPr>
        <w:t>2</w:t>
      </w:r>
      <w:r w:rsidR="0038270D" w:rsidRPr="00457CE9">
        <w:rPr>
          <w:rFonts w:ascii="Times New Roman" w:eastAsia="Times New Roman" w:hAnsi="Times New Roman"/>
          <w:kern w:val="36"/>
          <w:sz w:val="28"/>
          <w:szCs w:val="28"/>
          <w:lang w:val="kk-KZ" w:eastAsia="ru-RU"/>
        </w:rPr>
        <w:t>-</w:t>
      </w:r>
      <w:r w:rsidR="008509C4" w:rsidRPr="00457CE9">
        <w:rPr>
          <w:rFonts w:ascii="Times New Roman" w:eastAsia="Times New Roman" w:hAnsi="Times New Roman"/>
          <w:kern w:val="36"/>
          <w:sz w:val="28"/>
          <w:szCs w:val="28"/>
          <w:lang w:val="kk-KZ" w:eastAsia="ru-RU"/>
        </w:rPr>
        <w:t>суретте келтірілген.</w:t>
      </w:r>
    </w:p>
    <w:p w14:paraId="20275FA0" w14:textId="77777777" w:rsidR="002A3CA3" w:rsidRDefault="002A3CA3" w:rsidP="00751614">
      <w:pPr>
        <w:pStyle w:val="a5"/>
        <w:tabs>
          <w:tab w:val="left" w:pos="851"/>
        </w:tabs>
        <w:spacing w:after="0" w:line="240" w:lineRule="auto"/>
        <w:ind w:left="0" w:firstLine="709"/>
        <w:jc w:val="both"/>
        <w:rPr>
          <w:rFonts w:ascii="Times New Roman" w:eastAsia="Times New Roman" w:hAnsi="Times New Roman"/>
          <w:kern w:val="36"/>
          <w:sz w:val="28"/>
          <w:szCs w:val="28"/>
          <w:lang w:val="kk-KZ" w:eastAsia="ru-RU"/>
        </w:rPr>
      </w:pPr>
    </w:p>
    <w:p w14:paraId="73C7D79C" w14:textId="1F664769" w:rsidR="008509C4" w:rsidRPr="00457CE9" w:rsidRDefault="00085928" w:rsidP="00457CE9">
      <w:pPr>
        <w:pStyle w:val="a5"/>
        <w:tabs>
          <w:tab w:val="left" w:pos="851"/>
        </w:tabs>
        <w:spacing w:after="0" w:line="240" w:lineRule="auto"/>
        <w:ind w:left="0"/>
        <w:jc w:val="center"/>
        <w:rPr>
          <w:rFonts w:ascii="Times New Roman" w:eastAsia="Times New Roman" w:hAnsi="Times New Roman"/>
          <w:kern w:val="36"/>
          <w:sz w:val="28"/>
          <w:szCs w:val="28"/>
          <w:lang w:val="kk-KZ" w:eastAsia="ru-RU"/>
        </w:rPr>
      </w:pPr>
      <w:r>
        <w:rPr>
          <w:noProof/>
          <w:lang w:eastAsia="ru-RU"/>
        </w:rPr>
        <w:drawing>
          <wp:inline distT="0" distB="0" distL="0" distR="0" wp14:anchorId="31CE39F2" wp14:editId="3BCFCE25">
            <wp:extent cx="6134100" cy="2400300"/>
            <wp:effectExtent l="0" t="0" r="0" b="0"/>
            <wp:docPr id="197581237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998A91-3DF9-BFE9-1B35-48B2FB171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20821B" w14:textId="77777777" w:rsidR="00751614" w:rsidRPr="00751614" w:rsidRDefault="00751614" w:rsidP="00457CE9">
      <w:pPr>
        <w:spacing w:after="0" w:line="240" w:lineRule="auto"/>
        <w:jc w:val="center"/>
        <w:rPr>
          <w:rFonts w:ascii="Times New Roman" w:hAnsi="Times New Roman" w:cs="Times New Roman"/>
          <w:sz w:val="16"/>
          <w:szCs w:val="16"/>
          <w:lang w:val="kk-KZ" w:eastAsia="ru-RU"/>
        </w:rPr>
      </w:pPr>
    </w:p>
    <w:p w14:paraId="36FD80EC" w14:textId="0EA92A1E" w:rsidR="00AC1FD8" w:rsidRPr="00457CE9" w:rsidRDefault="008509C4" w:rsidP="00457CE9">
      <w:pPr>
        <w:spacing w:after="0" w:line="240" w:lineRule="auto"/>
        <w:jc w:val="center"/>
        <w:rPr>
          <w:rFonts w:ascii="Times New Roman" w:eastAsia="Times New Roman" w:hAnsi="Times New Roman"/>
          <w:kern w:val="36"/>
          <w:sz w:val="28"/>
          <w:szCs w:val="28"/>
          <w:lang w:val="kk-KZ" w:eastAsia="ru-RU"/>
        </w:rPr>
      </w:pPr>
      <w:r w:rsidRPr="00457CE9">
        <w:rPr>
          <w:rFonts w:ascii="Times New Roman" w:hAnsi="Times New Roman" w:cs="Times New Roman"/>
          <w:sz w:val="28"/>
          <w:szCs w:val="28"/>
          <w:lang w:val="kk-KZ" w:eastAsia="ru-RU"/>
        </w:rPr>
        <w:t xml:space="preserve">Сурет </w:t>
      </w:r>
      <w:r w:rsidR="005B6DA2" w:rsidRPr="00457CE9">
        <w:rPr>
          <w:rFonts w:ascii="Times New Roman" w:hAnsi="Times New Roman" w:cs="Times New Roman"/>
          <w:sz w:val="28"/>
          <w:szCs w:val="28"/>
          <w:lang w:val="kk-KZ" w:eastAsia="ru-RU"/>
        </w:rPr>
        <w:t>1</w:t>
      </w:r>
      <w:r w:rsidR="00A23F7A">
        <w:rPr>
          <w:rFonts w:ascii="Times New Roman" w:hAnsi="Times New Roman" w:cs="Times New Roman"/>
          <w:sz w:val="28"/>
          <w:szCs w:val="28"/>
          <w:lang w:val="kk-KZ" w:eastAsia="ru-RU"/>
        </w:rPr>
        <w:t>2</w:t>
      </w:r>
      <w:r w:rsidRPr="00457CE9">
        <w:rPr>
          <w:rFonts w:ascii="Times New Roman" w:hAnsi="Times New Roman" w:cs="Times New Roman"/>
          <w:sz w:val="28"/>
          <w:szCs w:val="28"/>
          <w:lang w:val="kk-KZ" w:eastAsia="ru-RU"/>
        </w:rPr>
        <w:t xml:space="preserve"> </w:t>
      </w:r>
      <w:r w:rsidR="00751614">
        <w:rPr>
          <w:rFonts w:ascii="Times New Roman" w:hAnsi="Times New Roman" w:cs="Times New Roman"/>
          <w:sz w:val="28"/>
          <w:szCs w:val="28"/>
          <w:lang w:val="kk-KZ" w:eastAsia="ru-RU"/>
        </w:rPr>
        <w:t xml:space="preserve">– </w:t>
      </w:r>
      <w:r w:rsidRPr="00457CE9">
        <w:rPr>
          <w:rFonts w:ascii="Times New Roman" w:eastAsia="Times New Roman" w:hAnsi="Times New Roman"/>
          <w:kern w:val="36"/>
          <w:sz w:val="28"/>
          <w:szCs w:val="28"/>
          <w:lang w:val="kk-KZ" w:eastAsia="ru-RU"/>
        </w:rPr>
        <w:t>ҚР ауыл шаруашылығының ІЖӨ</w:t>
      </w:r>
      <w:r w:rsidR="00BB4505" w:rsidRPr="00457CE9">
        <w:rPr>
          <w:rFonts w:ascii="Times New Roman" w:eastAsia="Times New Roman" w:hAnsi="Times New Roman"/>
          <w:kern w:val="36"/>
          <w:sz w:val="28"/>
          <w:szCs w:val="28"/>
          <w:lang w:val="kk-KZ" w:eastAsia="ru-RU"/>
        </w:rPr>
        <w:t>, жұмыспен қамтылған халық саны</w:t>
      </w:r>
      <w:r w:rsidRPr="00457CE9">
        <w:rPr>
          <w:rFonts w:ascii="Times New Roman" w:eastAsia="Times New Roman" w:hAnsi="Times New Roman"/>
          <w:kern w:val="36"/>
          <w:sz w:val="28"/>
          <w:szCs w:val="28"/>
          <w:lang w:val="kk-KZ" w:eastAsia="ru-RU"/>
        </w:rPr>
        <w:t xml:space="preserve"> мен еңбек өнімділігінің 2015-20</w:t>
      </w:r>
      <w:r w:rsidR="00BB4505" w:rsidRPr="00457CE9">
        <w:rPr>
          <w:rFonts w:ascii="Times New Roman" w:eastAsia="Times New Roman" w:hAnsi="Times New Roman"/>
          <w:kern w:val="36"/>
          <w:sz w:val="28"/>
          <w:szCs w:val="28"/>
          <w:lang w:val="kk-KZ" w:eastAsia="ru-RU"/>
        </w:rPr>
        <w:t>2</w:t>
      </w:r>
      <w:r w:rsidR="00D808EA">
        <w:rPr>
          <w:rFonts w:ascii="Times New Roman" w:eastAsia="Times New Roman" w:hAnsi="Times New Roman"/>
          <w:kern w:val="36"/>
          <w:sz w:val="28"/>
          <w:szCs w:val="28"/>
          <w:lang w:val="kk-KZ" w:eastAsia="ru-RU"/>
        </w:rPr>
        <w:t>3</w:t>
      </w:r>
      <w:r w:rsidRPr="00457CE9">
        <w:rPr>
          <w:rFonts w:ascii="Times New Roman" w:eastAsia="Times New Roman" w:hAnsi="Times New Roman"/>
          <w:kern w:val="36"/>
          <w:sz w:val="28"/>
          <w:szCs w:val="28"/>
          <w:lang w:val="kk-KZ" w:eastAsia="ru-RU"/>
        </w:rPr>
        <w:t xml:space="preserve"> жж. динамикасы</w:t>
      </w:r>
    </w:p>
    <w:p w14:paraId="7C750C61" w14:textId="77777777" w:rsidR="00CC6F19" w:rsidRDefault="00CC6F19" w:rsidP="00CC6F19">
      <w:pPr>
        <w:spacing w:after="0" w:line="240" w:lineRule="auto"/>
        <w:ind w:firstLine="709"/>
        <w:jc w:val="both"/>
        <w:rPr>
          <w:rFonts w:ascii="Times New Roman" w:hAnsi="Times New Roman" w:cs="Times New Roman"/>
          <w:sz w:val="16"/>
          <w:szCs w:val="16"/>
          <w:lang w:val="kk-KZ"/>
        </w:rPr>
      </w:pPr>
      <w:r>
        <w:rPr>
          <w:rFonts w:ascii="Times New Roman" w:hAnsi="Times New Roman" w:cs="Times New Roman"/>
          <w:sz w:val="16"/>
          <w:szCs w:val="16"/>
          <w:lang w:val="kk-KZ"/>
        </w:rPr>
        <w:t>*- 2023 жылдың қантар-қыркүйек аралығындағы мәліметтер</w:t>
      </w:r>
    </w:p>
    <w:p w14:paraId="36479E53" w14:textId="2512B21C" w:rsidR="008509C4" w:rsidRPr="00457CE9" w:rsidRDefault="00463D68" w:rsidP="00751614">
      <w:pPr>
        <w:spacing w:after="0" w:line="240" w:lineRule="auto"/>
        <w:ind w:firstLine="709"/>
        <w:jc w:val="both"/>
        <w:rPr>
          <w:rFonts w:ascii="Times New Roman" w:hAnsi="Times New Roman" w:cs="Times New Roman"/>
          <w:sz w:val="24"/>
          <w:szCs w:val="24"/>
          <w:lang w:val="kk-KZ" w:eastAsia="ru-RU"/>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8509C4" w:rsidRPr="00457CE9">
        <w:rPr>
          <w:rFonts w:ascii="Times New Roman" w:eastAsia="Times New Roman" w:hAnsi="Times New Roman"/>
          <w:kern w:val="36"/>
          <w:sz w:val="24"/>
          <w:szCs w:val="24"/>
          <w:lang w:val="kk-KZ" w:eastAsia="ru-RU"/>
        </w:rPr>
        <w:t xml:space="preserve"> [</w:t>
      </w:r>
      <w:r w:rsidR="004330E8">
        <w:rPr>
          <w:rFonts w:ascii="Times New Roman" w:eastAsia="Times New Roman" w:hAnsi="Times New Roman"/>
          <w:kern w:val="36"/>
          <w:sz w:val="24"/>
          <w:szCs w:val="24"/>
          <w:lang w:val="kk-KZ" w:eastAsia="ru-RU"/>
        </w:rPr>
        <w:t>7</w:t>
      </w:r>
      <w:r w:rsidR="008509C4" w:rsidRPr="00457CE9">
        <w:rPr>
          <w:rFonts w:ascii="Times New Roman" w:eastAsia="Times New Roman" w:hAnsi="Times New Roman"/>
          <w:kern w:val="36"/>
          <w:sz w:val="24"/>
          <w:szCs w:val="24"/>
          <w:lang w:val="kk-KZ" w:eastAsia="ru-RU"/>
        </w:rPr>
        <w:t xml:space="preserve">] </w:t>
      </w:r>
    </w:p>
    <w:p w14:paraId="1E7E4416" w14:textId="77777777" w:rsidR="002A3CA3" w:rsidRDefault="002A3CA3" w:rsidP="00751614">
      <w:pPr>
        <w:pStyle w:val="a5"/>
        <w:tabs>
          <w:tab w:val="left" w:pos="851"/>
        </w:tabs>
        <w:spacing w:after="0" w:line="240" w:lineRule="auto"/>
        <w:ind w:left="0" w:firstLine="709"/>
        <w:jc w:val="both"/>
        <w:rPr>
          <w:rFonts w:ascii="Times New Roman" w:eastAsia="Times New Roman" w:hAnsi="Times New Roman"/>
          <w:kern w:val="36"/>
          <w:sz w:val="28"/>
          <w:szCs w:val="28"/>
          <w:lang w:val="kk-KZ" w:eastAsia="ru-RU"/>
        </w:rPr>
      </w:pPr>
    </w:p>
    <w:p w14:paraId="126408F3" w14:textId="2051DC78" w:rsidR="00863DA9" w:rsidRPr="00751614" w:rsidRDefault="008509C4" w:rsidP="008A6DB0">
      <w:pPr>
        <w:pStyle w:val="a5"/>
        <w:tabs>
          <w:tab w:val="left" w:pos="851"/>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Ауыл шаруашылығындағы жұмыспен қамтылған халықтың еңбек өнімділігі ішкі жалпы өнімнің аталған салада жұмыспен қамтылған халық санына қатынасымен анықталады. Аталған көрсеткіштер ҚР АӨК дамытуға арналған мемлекеттік бағдарламаның мақсатты нысаналы көрсеткіштері болып табылады</w:t>
      </w:r>
      <w:r w:rsidR="0038270D" w:rsidRPr="00457CE9">
        <w:rPr>
          <w:rFonts w:ascii="Times New Roman" w:eastAsia="Times New Roman" w:hAnsi="Times New Roman"/>
          <w:kern w:val="36"/>
          <w:sz w:val="28"/>
          <w:szCs w:val="28"/>
          <w:lang w:val="kk-KZ" w:eastAsia="ru-RU"/>
        </w:rPr>
        <w:t>, 2</w:t>
      </w:r>
      <w:r w:rsidR="007F5D1B">
        <w:rPr>
          <w:rFonts w:ascii="Times New Roman" w:eastAsia="Times New Roman" w:hAnsi="Times New Roman"/>
          <w:kern w:val="36"/>
          <w:sz w:val="28"/>
          <w:szCs w:val="28"/>
          <w:lang w:val="kk-KZ" w:eastAsia="ru-RU"/>
        </w:rPr>
        <w:t>6</w:t>
      </w:r>
      <w:r w:rsidR="0038270D" w:rsidRPr="00457CE9">
        <w:rPr>
          <w:rFonts w:ascii="Times New Roman" w:eastAsia="Times New Roman" w:hAnsi="Times New Roman"/>
          <w:kern w:val="36"/>
          <w:sz w:val="28"/>
          <w:szCs w:val="28"/>
          <w:lang w:val="kk-KZ" w:eastAsia="ru-RU"/>
        </w:rPr>
        <w:t>-кестеде жоспарлы және нақты мәліметтері келтірілген</w:t>
      </w:r>
      <w:r w:rsidRPr="00457CE9">
        <w:rPr>
          <w:rFonts w:ascii="Times New Roman" w:eastAsia="Times New Roman" w:hAnsi="Times New Roman"/>
          <w:kern w:val="36"/>
          <w:sz w:val="28"/>
          <w:szCs w:val="28"/>
          <w:lang w:val="kk-KZ" w:eastAsia="ru-RU"/>
        </w:rPr>
        <w:t>.</w:t>
      </w:r>
      <w:r w:rsidR="00863DA9" w:rsidRPr="00457CE9">
        <w:rPr>
          <w:rFonts w:ascii="Times New Roman" w:eastAsia="Times New Roman" w:hAnsi="Times New Roman"/>
          <w:kern w:val="36"/>
          <w:sz w:val="28"/>
          <w:szCs w:val="28"/>
          <w:lang w:val="kk-KZ" w:eastAsia="ru-RU"/>
        </w:rPr>
        <w:t xml:space="preserve"> </w:t>
      </w:r>
    </w:p>
    <w:p w14:paraId="7455F660" w14:textId="26C53FC8" w:rsidR="00FE22FA" w:rsidRDefault="00AC1FD8" w:rsidP="00457CE9">
      <w:pPr>
        <w:spacing w:after="0" w:line="240" w:lineRule="auto"/>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Кесте </w:t>
      </w:r>
      <w:r w:rsidR="0038270D" w:rsidRPr="00457CE9">
        <w:rPr>
          <w:rFonts w:ascii="Times New Roman" w:eastAsia="Times New Roman" w:hAnsi="Times New Roman" w:cs="Times New Roman"/>
          <w:kern w:val="36"/>
          <w:sz w:val="28"/>
          <w:szCs w:val="28"/>
          <w:lang w:val="kk-KZ" w:eastAsia="ru-RU"/>
        </w:rPr>
        <w:t>2</w:t>
      </w:r>
      <w:r w:rsidR="007F5D1B">
        <w:rPr>
          <w:rFonts w:ascii="Times New Roman" w:eastAsia="Times New Roman" w:hAnsi="Times New Roman" w:cs="Times New Roman"/>
          <w:kern w:val="36"/>
          <w:sz w:val="28"/>
          <w:szCs w:val="28"/>
          <w:lang w:val="kk-KZ" w:eastAsia="ru-RU"/>
        </w:rPr>
        <w:t>6</w:t>
      </w:r>
      <w:r w:rsidRPr="00457CE9">
        <w:rPr>
          <w:rFonts w:ascii="Times New Roman" w:eastAsia="Times New Roman" w:hAnsi="Times New Roman" w:cs="Times New Roman"/>
          <w:kern w:val="36"/>
          <w:sz w:val="28"/>
          <w:szCs w:val="28"/>
          <w:lang w:val="kk-KZ" w:eastAsia="ru-RU"/>
        </w:rPr>
        <w:t xml:space="preserve"> – Қазақстан Республикасының агроөнеркәсіптік кешенін дамытудың 2017</w:t>
      </w:r>
      <w:r w:rsidR="008B76C0">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2021 жылдарға арналған мемлекеттік бағдарламасының нысаналы индикаторларының нақты көрсеткіштері </w:t>
      </w:r>
    </w:p>
    <w:p w14:paraId="69029854" w14:textId="77777777" w:rsidR="00751614" w:rsidRPr="00751614" w:rsidRDefault="00751614" w:rsidP="00457CE9">
      <w:pPr>
        <w:spacing w:after="0" w:line="240" w:lineRule="auto"/>
        <w:jc w:val="both"/>
        <w:rPr>
          <w:rFonts w:ascii="Times New Roman" w:eastAsia="Times New Roman" w:hAnsi="Times New Roman" w:cs="Times New Roman"/>
          <w:kern w:val="36"/>
          <w:sz w:val="16"/>
          <w:szCs w:val="16"/>
          <w:lang w:val="kk-KZ" w:eastAsia="ru-RU"/>
        </w:rPr>
      </w:pPr>
    </w:p>
    <w:tbl>
      <w:tblPr>
        <w:tblStyle w:val="a3"/>
        <w:tblW w:w="0" w:type="auto"/>
        <w:jc w:val="center"/>
        <w:tblLayout w:type="fixed"/>
        <w:tblLook w:val="04A0" w:firstRow="1" w:lastRow="0" w:firstColumn="1" w:lastColumn="0" w:noHBand="0" w:noVBand="1"/>
      </w:tblPr>
      <w:tblGrid>
        <w:gridCol w:w="1967"/>
        <w:gridCol w:w="777"/>
        <w:gridCol w:w="711"/>
        <w:gridCol w:w="777"/>
        <w:gridCol w:w="711"/>
        <w:gridCol w:w="777"/>
        <w:gridCol w:w="711"/>
        <w:gridCol w:w="777"/>
        <w:gridCol w:w="801"/>
        <w:gridCol w:w="777"/>
        <w:gridCol w:w="801"/>
      </w:tblGrid>
      <w:tr w:rsidR="00441955" w:rsidRPr="00751614" w14:paraId="75375C18" w14:textId="3ADEF25A" w:rsidTr="00751614">
        <w:trPr>
          <w:jc w:val="center"/>
        </w:trPr>
        <w:tc>
          <w:tcPr>
            <w:tcW w:w="1967" w:type="dxa"/>
            <w:vMerge w:val="restart"/>
            <w:tcBorders>
              <w:top w:val="single" w:sz="4" w:space="0" w:color="auto"/>
              <w:left w:val="single" w:sz="4" w:space="0" w:color="auto"/>
              <w:right w:val="single" w:sz="4" w:space="0" w:color="auto"/>
            </w:tcBorders>
            <w:vAlign w:val="center"/>
            <w:hideMark/>
          </w:tcPr>
          <w:p w14:paraId="5C5B1363" w14:textId="77777777" w:rsidR="00441955" w:rsidRPr="00751614" w:rsidRDefault="00441955" w:rsidP="00751614">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Нысаналы индикаторлар</w:t>
            </w:r>
          </w:p>
        </w:tc>
        <w:tc>
          <w:tcPr>
            <w:tcW w:w="1488" w:type="dxa"/>
            <w:gridSpan w:val="2"/>
            <w:tcBorders>
              <w:top w:val="single" w:sz="4" w:space="0" w:color="auto"/>
              <w:left w:val="single" w:sz="4" w:space="0" w:color="auto"/>
              <w:bottom w:val="single" w:sz="4" w:space="0" w:color="auto"/>
              <w:right w:val="single" w:sz="4" w:space="0" w:color="auto"/>
            </w:tcBorders>
            <w:vAlign w:val="center"/>
            <w:hideMark/>
          </w:tcPr>
          <w:p w14:paraId="2D03B3CD" w14:textId="77777777" w:rsidR="00441955" w:rsidRPr="00751614" w:rsidRDefault="00441955" w:rsidP="00751614">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eastAsia="ru-RU"/>
              </w:rPr>
              <w:t>2017 жыл</w:t>
            </w:r>
          </w:p>
        </w:tc>
        <w:tc>
          <w:tcPr>
            <w:tcW w:w="1488" w:type="dxa"/>
            <w:gridSpan w:val="2"/>
            <w:tcBorders>
              <w:top w:val="single" w:sz="4" w:space="0" w:color="auto"/>
              <w:left w:val="single" w:sz="4" w:space="0" w:color="auto"/>
              <w:bottom w:val="single" w:sz="4" w:space="0" w:color="auto"/>
              <w:right w:val="single" w:sz="4" w:space="0" w:color="auto"/>
            </w:tcBorders>
            <w:vAlign w:val="center"/>
            <w:hideMark/>
          </w:tcPr>
          <w:p w14:paraId="02159C76" w14:textId="77777777" w:rsidR="00441955" w:rsidRPr="00751614" w:rsidRDefault="00441955" w:rsidP="00751614">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2018 жыл</w:t>
            </w:r>
          </w:p>
        </w:tc>
        <w:tc>
          <w:tcPr>
            <w:tcW w:w="1488" w:type="dxa"/>
            <w:gridSpan w:val="2"/>
            <w:tcBorders>
              <w:top w:val="single" w:sz="4" w:space="0" w:color="auto"/>
              <w:left w:val="single" w:sz="4" w:space="0" w:color="auto"/>
              <w:bottom w:val="single" w:sz="4" w:space="0" w:color="auto"/>
              <w:right w:val="single" w:sz="4" w:space="0" w:color="auto"/>
            </w:tcBorders>
            <w:vAlign w:val="center"/>
            <w:hideMark/>
          </w:tcPr>
          <w:p w14:paraId="12201E4E" w14:textId="77777777" w:rsidR="00441955" w:rsidRPr="00751614" w:rsidRDefault="00441955" w:rsidP="00751614">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2019 жыл</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05DE17B8" w14:textId="5ADFDCEE" w:rsidR="00441955" w:rsidRPr="00751614" w:rsidRDefault="00441955" w:rsidP="00751614">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2020 жыл</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16044209" w14:textId="5FF8FCBD" w:rsidR="00441955" w:rsidRPr="00751614" w:rsidRDefault="00441955" w:rsidP="00751614">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2021 жыл</w:t>
            </w:r>
          </w:p>
        </w:tc>
      </w:tr>
      <w:tr w:rsidR="00441955" w:rsidRPr="00751614" w14:paraId="341D6DFD" w14:textId="3C6616DB" w:rsidTr="00751614">
        <w:trPr>
          <w:jc w:val="center"/>
        </w:trPr>
        <w:tc>
          <w:tcPr>
            <w:tcW w:w="1967" w:type="dxa"/>
            <w:vMerge/>
            <w:tcBorders>
              <w:left w:val="single" w:sz="4" w:space="0" w:color="auto"/>
              <w:bottom w:val="single" w:sz="4" w:space="0" w:color="auto"/>
              <w:right w:val="single" w:sz="4" w:space="0" w:color="auto"/>
            </w:tcBorders>
            <w:vAlign w:val="center"/>
            <w:hideMark/>
          </w:tcPr>
          <w:p w14:paraId="707B76E1" w14:textId="77777777" w:rsidR="00441955" w:rsidRPr="00751614" w:rsidRDefault="00441955" w:rsidP="00751614">
            <w:pPr>
              <w:jc w:val="center"/>
              <w:rPr>
                <w:rFonts w:ascii="Times New Roman" w:eastAsia="Times New Roman" w:hAnsi="Times New Roman" w:cs="Times New Roman"/>
                <w:kern w:val="36"/>
                <w:sz w:val="24"/>
                <w:szCs w:val="24"/>
                <w:lang w:val="kk-KZ" w:eastAsia="ru-RU"/>
              </w:rPr>
            </w:pPr>
          </w:p>
        </w:tc>
        <w:tc>
          <w:tcPr>
            <w:tcW w:w="777" w:type="dxa"/>
            <w:tcBorders>
              <w:top w:val="single" w:sz="4" w:space="0" w:color="auto"/>
              <w:left w:val="single" w:sz="4" w:space="0" w:color="auto"/>
              <w:bottom w:val="single" w:sz="4" w:space="0" w:color="auto"/>
              <w:right w:val="single" w:sz="4" w:space="0" w:color="auto"/>
            </w:tcBorders>
            <w:vAlign w:val="center"/>
            <w:hideMark/>
          </w:tcPr>
          <w:p w14:paraId="4B8C7A71" w14:textId="77777777" w:rsidR="00441955" w:rsidRPr="00751614" w:rsidRDefault="00441955" w:rsidP="00751614">
            <w:pPr>
              <w:ind w:left="-101" w:right="-122"/>
              <w:jc w:val="center"/>
              <w:rPr>
                <w:rFonts w:ascii="Times New Roman" w:eastAsia="Times New Roman" w:hAnsi="Times New Roman" w:cs="Times New Roman"/>
                <w:kern w:val="36"/>
                <w:sz w:val="24"/>
                <w:szCs w:val="24"/>
                <w:lang w:eastAsia="ru-RU"/>
              </w:rPr>
            </w:pPr>
            <w:r w:rsidRPr="00751614">
              <w:rPr>
                <w:rFonts w:ascii="Times New Roman" w:eastAsia="Times New Roman" w:hAnsi="Times New Roman" w:cs="Times New Roman"/>
                <w:kern w:val="36"/>
                <w:sz w:val="24"/>
                <w:szCs w:val="24"/>
                <w:lang w:eastAsia="ru-RU"/>
              </w:rPr>
              <w:t>жоспар</w:t>
            </w:r>
          </w:p>
        </w:tc>
        <w:tc>
          <w:tcPr>
            <w:tcW w:w="711" w:type="dxa"/>
            <w:tcBorders>
              <w:top w:val="single" w:sz="4" w:space="0" w:color="auto"/>
              <w:left w:val="single" w:sz="4" w:space="0" w:color="auto"/>
              <w:bottom w:val="single" w:sz="4" w:space="0" w:color="auto"/>
              <w:right w:val="single" w:sz="4" w:space="0" w:color="auto"/>
            </w:tcBorders>
            <w:vAlign w:val="center"/>
            <w:hideMark/>
          </w:tcPr>
          <w:p w14:paraId="67421FAF" w14:textId="77777777"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нақты</w:t>
            </w:r>
          </w:p>
        </w:tc>
        <w:tc>
          <w:tcPr>
            <w:tcW w:w="777" w:type="dxa"/>
            <w:tcBorders>
              <w:top w:val="single" w:sz="4" w:space="0" w:color="auto"/>
              <w:left w:val="single" w:sz="4" w:space="0" w:color="auto"/>
              <w:bottom w:val="single" w:sz="4" w:space="0" w:color="auto"/>
              <w:right w:val="single" w:sz="4" w:space="0" w:color="auto"/>
            </w:tcBorders>
            <w:vAlign w:val="center"/>
            <w:hideMark/>
          </w:tcPr>
          <w:p w14:paraId="6EC66638" w14:textId="77777777" w:rsidR="00441955" w:rsidRPr="00751614" w:rsidRDefault="00441955" w:rsidP="00751614">
            <w:pPr>
              <w:ind w:left="-101" w:right="-122"/>
              <w:jc w:val="center"/>
              <w:rPr>
                <w:rFonts w:ascii="Times New Roman" w:eastAsia="Times New Roman" w:hAnsi="Times New Roman" w:cs="Times New Roman"/>
                <w:kern w:val="36"/>
                <w:sz w:val="24"/>
                <w:szCs w:val="24"/>
                <w:lang w:eastAsia="ru-RU"/>
              </w:rPr>
            </w:pPr>
            <w:r w:rsidRPr="00751614">
              <w:rPr>
                <w:rFonts w:ascii="Times New Roman" w:eastAsia="Times New Roman" w:hAnsi="Times New Roman" w:cs="Times New Roman"/>
                <w:kern w:val="36"/>
                <w:sz w:val="24"/>
                <w:szCs w:val="24"/>
                <w:lang w:eastAsia="ru-RU"/>
              </w:rPr>
              <w:t>жоспар</w:t>
            </w:r>
          </w:p>
        </w:tc>
        <w:tc>
          <w:tcPr>
            <w:tcW w:w="711" w:type="dxa"/>
            <w:tcBorders>
              <w:top w:val="single" w:sz="4" w:space="0" w:color="auto"/>
              <w:left w:val="single" w:sz="4" w:space="0" w:color="auto"/>
              <w:bottom w:val="single" w:sz="4" w:space="0" w:color="auto"/>
              <w:right w:val="single" w:sz="4" w:space="0" w:color="auto"/>
            </w:tcBorders>
            <w:vAlign w:val="center"/>
            <w:hideMark/>
          </w:tcPr>
          <w:p w14:paraId="4C4C76E4" w14:textId="77777777"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нақты</w:t>
            </w:r>
          </w:p>
        </w:tc>
        <w:tc>
          <w:tcPr>
            <w:tcW w:w="777" w:type="dxa"/>
            <w:tcBorders>
              <w:top w:val="single" w:sz="4" w:space="0" w:color="auto"/>
              <w:left w:val="single" w:sz="4" w:space="0" w:color="auto"/>
              <w:bottom w:val="single" w:sz="4" w:space="0" w:color="auto"/>
              <w:right w:val="single" w:sz="4" w:space="0" w:color="auto"/>
            </w:tcBorders>
            <w:vAlign w:val="center"/>
            <w:hideMark/>
          </w:tcPr>
          <w:p w14:paraId="2C79EF1B" w14:textId="77777777" w:rsidR="00441955" w:rsidRPr="00751614" w:rsidRDefault="00441955" w:rsidP="00751614">
            <w:pPr>
              <w:ind w:left="-101" w:right="-122"/>
              <w:jc w:val="center"/>
              <w:rPr>
                <w:rFonts w:ascii="Times New Roman" w:eastAsia="Times New Roman" w:hAnsi="Times New Roman" w:cs="Times New Roman"/>
                <w:kern w:val="36"/>
                <w:sz w:val="24"/>
                <w:szCs w:val="24"/>
                <w:lang w:eastAsia="ru-RU"/>
              </w:rPr>
            </w:pPr>
            <w:r w:rsidRPr="00751614">
              <w:rPr>
                <w:rFonts w:ascii="Times New Roman" w:eastAsia="Times New Roman" w:hAnsi="Times New Roman" w:cs="Times New Roman"/>
                <w:kern w:val="36"/>
                <w:sz w:val="24"/>
                <w:szCs w:val="24"/>
                <w:lang w:eastAsia="ru-RU"/>
              </w:rPr>
              <w:t>жоспар</w:t>
            </w:r>
          </w:p>
        </w:tc>
        <w:tc>
          <w:tcPr>
            <w:tcW w:w="711" w:type="dxa"/>
            <w:tcBorders>
              <w:top w:val="single" w:sz="4" w:space="0" w:color="auto"/>
              <w:left w:val="single" w:sz="4" w:space="0" w:color="auto"/>
              <w:bottom w:val="single" w:sz="4" w:space="0" w:color="auto"/>
              <w:right w:val="single" w:sz="4" w:space="0" w:color="auto"/>
            </w:tcBorders>
            <w:vAlign w:val="center"/>
          </w:tcPr>
          <w:p w14:paraId="5CD6B653" w14:textId="77777777"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нақты</w:t>
            </w:r>
          </w:p>
        </w:tc>
        <w:tc>
          <w:tcPr>
            <w:tcW w:w="777" w:type="dxa"/>
            <w:tcBorders>
              <w:top w:val="single" w:sz="4" w:space="0" w:color="auto"/>
              <w:left w:val="single" w:sz="4" w:space="0" w:color="auto"/>
              <w:bottom w:val="single" w:sz="4" w:space="0" w:color="auto"/>
              <w:right w:val="single" w:sz="4" w:space="0" w:color="auto"/>
            </w:tcBorders>
            <w:vAlign w:val="center"/>
          </w:tcPr>
          <w:p w14:paraId="7AFFB15D" w14:textId="29D75726"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eastAsia="ru-RU"/>
              </w:rPr>
              <w:t>жоспар</w:t>
            </w:r>
          </w:p>
        </w:tc>
        <w:tc>
          <w:tcPr>
            <w:tcW w:w="801" w:type="dxa"/>
            <w:tcBorders>
              <w:top w:val="single" w:sz="4" w:space="0" w:color="auto"/>
              <w:left w:val="single" w:sz="4" w:space="0" w:color="auto"/>
              <w:bottom w:val="single" w:sz="4" w:space="0" w:color="auto"/>
              <w:right w:val="single" w:sz="4" w:space="0" w:color="auto"/>
            </w:tcBorders>
            <w:vAlign w:val="center"/>
          </w:tcPr>
          <w:p w14:paraId="2C68B042" w14:textId="45370BF8"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нақты</w:t>
            </w:r>
          </w:p>
        </w:tc>
        <w:tc>
          <w:tcPr>
            <w:tcW w:w="777" w:type="dxa"/>
            <w:tcBorders>
              <w:top w:val="single" w:sz="4" w:space="0" w:color="auto"/>
              <w:left w:val="single" w:sz="4" w:space="0" w:color="auto"/>
              <w:bottom w:val="single" w:sz="4" w:space="0" w:color="auto"/>
              <w:right w:val="single" w:sz="4" w:space="0" w:color="auto"/>
            </w:tcBorders>
            <w:vAlign w:val="center"/>
          </w:tcPr>
          <w:p w14:paraId="3BC1B181" w14:textId="6BD307A7"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eastAsia="ru-RU"/>
              </w:rPr>
              <w:t>жоспар</w:t>
            </w:r>
          </w:p>
        </w:tc>
        <w:tc>
          <w:tcPr>
            <w:tcW w:w="801" w:type="dxa"/>
            <w:tcBorders>
              <w:top w:val="single" w:sz="4" w:space="0" w:color="auto"/>
              <w:left w:val="single" w:sz="4" w:space="0" w:color="auto"/>
              <w:bottom w:val="single" w:sz="4" w:space="0" w:color="auto"/>
              <w:right w:val="single" w:sz="4" w:space="0" w:color="auto"/>
            </w:tcBorders>
            <w:vAlign w:val="center"/>
          </w:tcPr>
          <w:p w14:paraId="3387A341" w14:textId="19D9745A" w:rsidR="00441955" w:rsidRPr="00751614" w:rsidRDefault="00441955" w:rsidP="00751614">
            <w:pPr>
              <w:ind w:left="-101" w:right="-12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нақты</w:t>
            </w:r>
          </w:p>
        </w:tc>
      </w:tr>
      <w:tr w:rsidR="008B76C0" w:rsidRPr="00751614" w14:paraId="0DA3EE2E" w14:textId="77777777" w:rsidTr="00751614">
        <w:trPr>
          <w:jc w:val="center"/>
        </w:trPr>
        <w:tc>
          <w:tcPr>
            <w:tcW w:w="1967" w:type="dxa"/>
            <w:tcBorders>
              <w:left w:val="single" w:sz="4" w:space="0" w:color="auto"/>
              <w:bottom w:val="single" w:sz="4" w:space="0" w:color="auto"/>
              <w:right w:val="single" w:sz="4" w:space="0" w:color="auto"/>
            </w:tcBorders>
            <w:vAlign w:val="center"/>
          </w:tcPr>
          <w:p w14:paraId="3DB00F15" w14:textId="64F50A83" w:rsidR="008B76C0" w:rsidRPr="00751614" w:rsidRDefault="008B76C0" w:rsidP="00751614">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777" w:type="dxa"/>
            <w:tcBorders>
              <w:top w:val="single" w:sz="4" w:space="0" w:color="auto"/>
              <w:left w:val="single" w:sz="4" w:space="0" w:color="auto"/>
              <w:bottom w:val="single" w:sz="4" w:space="0" w:color="auto"/>
              <w:right w:val="single" w:sz="4" w:space="0" w:color="auto"/>
            </w:tcBorders>
            <w:vAlign w:val="center"/>
          </w:tcPr>
          <w:p w14:paraId="263F705F" w14:textId="27A13F73" w:rsidR="008B76C0" w:rsidRPr="008B76C0"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711" w:type="dxa"/>
            <w:tcBorders>
              <w:top w:val="single" w:sz="4" w:space="0" w:color="auto"/>
              <w:left w:val="single" w:sz="4" w:space="0" w:color="auto"/>
              <w:bottom w:val="single" w:sz="4" w:space="0" w:color="auto"/>
              <w:right w:val="single" w:sz="4" w:space="0" w:color="auto"/>
            </w:tcBorders>
            <w:vAlign w:val="center"/>
          </w:tcPr>
          <w:p w14:paraId="6AC6BAE2" w14:textId="700BDBEB" w:rsidR="008B76C0" w:rsidRPr="00751614"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777" w:type="dxa"/>
            <w:tcBorders>
              <w:top w:val="single" w:sz="4" w:space="0" w:color="auto"/>
              <w:left w:val="single" w:sz="4" w:space="0" w:color="auto"/>
              <w:bottom w:val="single" w:sz="4" w:space="0" w:color="auto"/>
              <w:right w:val="single" w:sz="4" w:space="0" w:color="auto"/>
            </w:tcBorders>
            <w:vAlign w:val="center"/>
          </w:tcPr>
          <w:p w14:paraId="64FC7027" w14:textId="1200A89B" w:rsidR="008B76C0" w:rsidRPr="008B76C0"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711" w:type="dxa"/>
            <w:tcBorders>
              <w:top w:val="single" w:sz="4" w:space="0" w:color="auto"/>
              <w:left w:val="single" w:sz="4" w:space="0" w:color="auto"/>
              <w:bottom w:val="single" w:sz="4" w:space="0" w:color="auto"/>
              <w:right w:val="single" w:sz="4" w:space="0" w:color="auto"/>
            </w:tcBorders>
            <w:vAlign w:val="center"/>
          </w:tcPr>
          <w:p w14:paraId="43677257" w14:textId="3E50FAE1" w:rsidR="008B76C0" w:rsidRPr="00751614"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777" w:type="dxa"/>
            <w:tcBorders>
              <w:top w:val="single" w:sz="4" w:space="0" w:color="auto"/>
              <w:left w:val="single" w:sz="4" w:space="0" w:color="auto"/>
              <w:bottom w:val="single" w:sz="4" w:space="0" w:color="auto"/>
              <w:right w:val="single" w:sz="4" w:space="0" w:color="auto"/>
            </w:tcBorders>
            <w:vAlign w:val="center"/>
          </w:tcPr>
          <w:p w14:paraId="729A5C34" w14:textId="43B568E6" w:rsidR="008B76C0" w:rsidRPr="008B76C0"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711" w:type="dxa"/>
            <w:tcBorders>
              <w:top w:val="single" w:sz="4" w:space="0" w:color="auto"/>
              <w:left w:val="single" w:sz="4" w:space="0" w:color="auto"/>
              <w:bottom w:val="single" w:sz="4" w:space="0" w:color="auto"/>
              <w:right w:val="single" w:sz="4" w:space="0" w:color="auto"/>
            </w:tcBorders>
            <w:vAlign w:val="center"/>
          </w:tcPr>
          <w:p w14:paraId="26D0269C" w14:textId="21860D42" w:rsidR="008B76C0" w:rsidRPr="00751614"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777" w:type="dxa"/>
            <w:tcBorders>
              <w:top w:val="single" w:sz="4" w:space="0" w:color="auto"/>
              <w:left w:val="single" w:sz="4" w:space="0" w:color="auto"/>
              <w:bottom w:val="single" w:sz="4" w:space="0" w:color="auto"/>
              <w:right w:val="single" w:sz="4" w:space="0" w:color="auto"/>
            </w:tcBorders>
            <w:vAlign w:val="center"/>
          </w:tcPr>
          <w:p w14:paraId="1A6601EB" w14:textId="2EB75E51" w:rsidR="008B76C0" w:rsidRPr="008B76C0"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c>
          <w:tcPr>
            <w:tcW w:w="801" w:type="dxa"/>
            <w:tcBorders>
              <w:top w:val="single" w:sz="4" w:space="0" w:color="auto"/>
              <w:left w:val="single" w:sz="4" w:space="0" w:color="auto"/>
              <w:bottom w:val="single" w:sz="4" w:space="0" w:color="auto"/>
              <w:right w:val="single" w:sz="4" w:space="0" w:color="auto"/>
            </w:tcBorders>
            <w:vAlign w:val="center"/>
          </w:tcPr>
          <w:p w14:paraId="566466A4" w14:textId="4BAA0BE3" w:rsidR="008B76C0" w:rsidRPr="00751614"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9</w:t>
            </w:r>
          </w:p>
        </w:tc>
        <w:tc>
          <w:tcPr>
            <w:tcW w:w="777" w:type="dxa"/>
            <w:tcBorders>
              <w:top w:val="single" w:sz="4" w:space="0" w:color="auto"/>
              <w:left w:val="single" w:sz="4" w:space="0" w:color="auto"/>
              <w:bottom w:val="single" w:sz="4" w:space="0" w:color="auto"/>
              <w:right w:val="single" w:sz="4" w:space="0" w:color="auto"/>
            </w:tcBorders>
            <w:vAlign w:val="center"/>
          </w:tcPr>
          <w:p w14:paraId="64C28C59" w14:textId="5596E1B9" w:rsidR="008B76C0" w:rsidRPr="008B76C0"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w:t>
            </w:r>
          </w:p>
        </w:tc>
        <w:tc>
          <w:tcPr>
            <w:tcW w:w="801" w:type="dxa"/>
            <w:tcBorders>
              <w:top w:val="single" w:sz="4" w:space="0" w:color="auto"/>
              <w:left w:val="single" w:sz="4" w:space="0" w:color="auto"/>
              <w:bottom w:val="single" w:sz="4" w:space="0" w:color="auto"/>
              <w:right w:val="single" w:sz="4" w:space="0" w:color="auto"/>
            </w:tcBorders>
            <w:vAlign w:val="center"/>
          </w:tcPr>
          <w:p w14:paraId="168F2C51" w14:textId="185E6361" w:rsidR="008B76C0" w:rsidRPr="00751614" w:rsidRDefault="008B76C0" w:rsidP="00751614">
            <w:pPr>
              <w:ind w:left="-101" w:right="-122"/>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11</w:t>
            </w:r>
          </w:p>
        </w:tc>
      </w:tr>
      <w:tr w:rsidR="00441955" w:rsidRPr="00751614" w14:paraId="57ACE536" w14:textId="758ECA54" w:rsidTr="00751614">
        <w:trPr>
          <w:jc w:val="center"/>
        </w:trPr>
        <w:tc>
          <w:tcPr>
            <w:tcW w:w="1967" w:type="dxa"/>
            <w:tcBorders>
              <w:top w:val="single" w:sz="4" w:space="0" w:color="auto"/>
              <w:left w:val="single" w:sz="4" w:space="0" w:color="auto"/>
              <w:bottom w:val="single" w:sz="4" w:space="0" w:color="auto"/>
              <w:right w:val="single" w:sz="4" w:space="0" w:color="auto"/>
            </w:tcBorders>
            <w:hideMark/>
          </w:tcPr>
          <w:p w14:paraId="7934D08E" w14:textId="05D4D64B" w:rsidR="00441955" w:rsidRPr="00751614" w:rsidRDefault="00441955" w:rsidP="00457CE9">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2015 жылғы дең</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гейге ауыл ша</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руашылығында</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ғы еңбек өнімді</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лігінің индексі, %</w:t>
            </w:r>
          </w:p>
        </w:tc>
        <w:tc>
          <w:tcPr>
            <w:tcW w:w="777" w:type="dxa"/>
            <w:tcBorders>
              <w:top w:val="single" w:sz="4" w:space="0" w:color="auto"/>
              <w:left w:val="single" w:sz="4" w:space="0" w:color="auto"/>
              <w:bottom w:val="single" w:sz="4" w:space="0" w:color="auto"/>
              <w:right w:val="single" w:sz="4" w:space="0" w:color="auto"/>
            </w:tcBorders>
            <w:vAlign w:val="center"/>
            <w:hideMark/>
          </w:tcPr>
          <w:p w14:paraId="7A31C3C7" w14:textId="77777777" w:rsidR="00441955" w:rsidRPr="00751614" w:rsidRDefault="00441955" w:rsidP="008B76C0">
            <w:pPr>
              <w:ind w:left="-70" w:right="-69"/>
              <w:jc w:val="center"/>
              <w:rPr>
                <w:rFonts w:ascii="Times New Roman" w:eastAsia="Times New Roman" w:hAnsi="Times New Roman" w:cs="Times New Roman"/>
                <w:kern w:val="36"/>
                <w:sz w:val="24"/>
                <w:szCs w:val="24"/>
                <w:lang w:eastAsia="ru-RU"/>
              </w:rPr>
            </w:pPr>
            <w:r w:rsidRPr="00751614">
              <w:rPr>
                <w:rFonts w:ascii="Times New Roman" w:eastAsia="Times New Roman" w:hAnsi="Times New Roman" w:cs="Times New Roman"/>
                <w:kern w:val="36"/>
                <w:sz w:val="24"/>
                <w:szCs w:val="24"/>
                <w:lang w:eastAsia="ru-RU"/>
              </w:rPr>
              <w:t>112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6230B495" w14:textId="33FD9A4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119,1</w:t>
            </w:r>
          </w:p>
        </w:tc>
        <w:tc>
          <w:tcPr>
            <w:tcW w:w="777" w:type="dxa"/>
            <w:tcBorders>
              <w:top w:val="single" w:sz="4" w:space="0" w:color="auto"/>
              <w:left w:val="single" w:sz="4" w:space="0" w:color="auto"/>
              <w:bottom w:val="single" w:sz="4" w:space="0" w:color="auto"/>
              <w:right w:val="single" w:sz="4" w:space="0" w:color="auto"/>
            </w:tcBorders>
            <w:vAlign w:val="center"/>
            <w:hideMark/>
          </w:tcPr>
          <w:p w14:paraId="018CABBF" w14:textId="7777777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118</w:t>
            </w:r>
          </w:p>
        </w:tc>
        <w:tc>
          <w:tcPr>
            <w:tcW w:w="711" w:type="dxa"/>
            <w:tcBorders>
              <w:top w:val="single" w:sz="4" w:space="0" w:color="auto"/>
              <w:left w:val="single" w:sz="4" w:space="0" w:color="auto"/>
              <w:bottom w:val="single" w:sz="4" w:space="0" w:color="auto"/>
              <w:right w:val="single" w:sz="4" w:space="0" w:color="auto"/>
            </w:tcBorders>
            <w:vAlign w:val="center"/>
            <w:hideMark/>
          </w:tcPr>
          <w:p w14:paraId="0CA57C48" w14:textId="699E682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133,6</w:t>
            </w:r>
          </w:p>
        </w:tc>
        <w:tc>
          <w:tcPr>
            <w:tcW w:w="777" w:type="dxa"/>
            <w:tcBorders>
              <w:top w:val="single" w:sz="4" w:space="0" w:color="auto"/>
              <w:left w:val="single" w:sz="4" w:space="0" w:color="auto"/>
              <w:bottom w:val="single" w:sz="4" w:space="0" w:color="auto"/>
              <w:right w:val="single" w:sz="4" w:space="0" w:color="auto"/>
            </w:tcBorders>
            <w:vAlign w:val="center"/>
            <w:hideMark/>
          </w:tcPr>
          <w:p w14:paraId="439D8AFB" w14:textId="4BF94092"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196</w:t>
            </w:r>
          </w:p>
        </w:tc>
        <w:tc>
          <w:tcPr>
            <w:tcW w:w="711" w:type="dxa"/>
            <w:tcBorders>
              <w:top w:val="single" w:sz="4" w:space="0" w:color="auto"/>
              <w:left w:val="single" w:sz="4" w:space="0" w:color="auto"/>
              <w:bottom w:val="single" w:sz="4" w:space="0" w:color="auto"/>
              <w:right w:val="single" w:sz="4" w:space="0" w:color="auto"/>
            </w:tcBorders>
            <w:vAlign w:val="center"/>
          </w:tcPr>
          <w:p w14:paraId="0DE9A6B3" w14:textId="18484713"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129,1</w:t>
            </w:r>
          </w:p>
        </w:tc>
        <w:tc>
          <w:tcPr>
            <w:tcW w:w="777" w:type="dxa"/>
            <w:tcBorders>
              <w:top w:val="single" w:sz="4" w:space="0" w:color="auto"/>
              <w:left w:val="single" w:sz="4" w:space="0" w:color="auto"/>
              <w:bottom w:val="single" w:sz="4" w:space="0" w:color="auto"/>
              <w:right w:val="single" w:sz="4" w:space="0" w:color="auto"/>
            </w:tcBorders>
            <w:vAlign w:val="center"/>
          </w:tcPr>
          <w:p w14:paraId="5CB632B4" w14:textId="38E08B8F" w:rsidR="00441955" w:rsidRPr="00AF6490" w:rsidRDefault="00441955" w:rsidP="008B76C0">
            <w:pPr>
              <w:ind w:left="-70" w:right="-69"/>
              <w:jc w:val="center"/>
              <w:rPr>
                <w:rFonts w:ascii="Times New Roman" w:eastAsia="Times New Roman" w:hAnsi="Times New Roman" w:cs="Times New Roman"/>
                <w:kern w:val="36"/>
                <w:sz w:val="24"/>
                <w:szCs w:val="24"/>
                <w:lang w:val="kk-KZ" w:eastAsia="ru-RU"/>
              </w:rPr>
            </w:pPr>
            <w:r w:rsidRPr="00AF6490">
              <w:rPr>
                <w:rFonts w:ascii="Times New Roman" w:eastAsia="Times New Roman" w:hAnsi="Times New Roman" w:cs="Times New Roman"/>
                <w:kern w:val="36"/>
                <w:sz w:val="24"/>
                <w:szCs w:val="24"/>
                <w:lang w:val="kk-KZ" w:eastAsia="ru-RU"/>
              </w:rPr>
              <w:t>228</w:t>
            </w:r>
          </w:p>
        </w:tc>
        <w:tc>
          <w:tcPr>
            <w:tcW w:w="801" w:type="dxa"/>
            <w:tcBorders>
              <w:top w:val="single" w:sz="4" w:space="0" w:color="auto"/>
              <w:left w:val="single" w:sz="4" w:space="0" w:color="auto"/>
              <w:bottom w:val="single" w:sz="4" w:space="0" w:color="auto"/>
              <w:right w:val="single" w:sz="4" w:space="0" w:color="auto"/>
            </w:tcBorders>
            <w:vAlign w:val="center"/>
          </w:tcPr>
          <w:p w14:paraId="4934CCE4" w14:textId="7386520E" w:rsidR="00441955" w:rsidRPr="00AF6490" w:rsidRDefault="00AF6490" w:rsidP="008B76C0">
            <w:pPr>
              <w:ind w:left="-70" w:right="-69"/>
              <w:jc w:val="center"/>
              <w:rPr>
                <w:rFonts w:ascii="Times New Roman" w:eastAsia="Times New Roman" w:hAnsi="Times New Roman" w:cs="Times New Roman"/>
                <w:kern w:val="36"/>
                <w:sz w:val="24"/>
                <w:szCs w:val="24"/>
                <w:lang w:val="kk-KZ" w:eastAsia="ru-RU"/>
              </w:rPr>
            </w:pPr>
            <w:r w:rsidRPr="00AF6490">
              <w:rPr>
                <w:rFonts w:ascii="Times New Roman" w:eastAsia="Times New Roman" w:hAnsi="Times New Roman" w:cs="Times New Roman"/>
                <w:kern w:val="36"/>
                <w:sz w:val="24"/>
                <w:szCs w:val="24"/>
                <w:lang w:val="kk-KZ" w:eastAsia="ru-RU"/>
              </w:rPr>
              <w:t>145,1</w:t>
            </w:r>
          </w:p>
        </w:tc>
        <w:tc>
          <w:tcPr>
            <w:tcW w:w="777" w:type="dxa"/>
            <w:tcBorders>
              <w:top w:val="single" w:sz="4" w:space="0" w:color="auto"/>
              <w:left w:val="single" w:sz="4" w:space="0" w:color="auto"/>
              <w:bottom w:val="single" w:sz="4" w:space="0" w:color="auto"/>
              <w:right w:val="single" w:sz="4" w:space="0" w:color="auto"/>
            </w:tcBorders>
            <w:vAlign w:val="center"/>
          </w:tcPr>
          <w:p w14:paraId="33B2F97D" w14:textId="14DF1E50"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267</w:t>
            </w:r>
          </w:p>
        </w:tc>
        <w:tc>
          <w:tcPr>
            <w:tcW w:w="801" w:type="dxa"/>
            <w:tcBorders>
              <w:top w:val="single" w:sz="4" w:space="0" w:color="auto"/>
              <w:left w:val="single" w:sz="4" w:space="0" w:color="auto"/>
              <w:bottom w:val="single" w:sz="4" w:space="0" w:color="auto"/>
              <w:right w:val="single" w:sz="4" w:space="0" w:color="auto"/>
            </w:tcBorders>
            <w:vAlign w:val="center"/>
          </w:tcPr>
          <w:p w14:paraId="01F4F0EE" w14:textId="48D6758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r>
      <w:tr w:rsidR="00441955" w:rsidRPr="00751614" w14:paraId="16BD1DE3" w14:textId="2CCB8A0B" w:rsidTr="00751614">
        <w:trPr>
          <w:jc w:val="center"/>
        </w:trPr>
        <w:tc>
          <w:tcPr>
            <w:tcW w:w="1967" w:type="dxa"/>
            <w:tcBorders>
              <w:top w:val="single" w:sz="4" w:space="0" w:color="auto"/>
              <w:left w:val="single" w:sz="4" w:space="0" w:color="auto"/>
              <w:bottom w:val="single" w:sz="4" w:space="0" w:color="auto"/>
              <w:right w:val="single" w:sz="4" w:space="0" w:color="auto"/>
            </w:tcBorders>
            <w:hideMark/>
          </w:tcPr>
          <w:p w14:paraId="65FFE0C6" w14:textId="299852E0" w:rsidR="00441955" w:rsidRPr="00751614" w:rsidRDefault="00441955" w:rsidP="00457CE9">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2015 жылғы дең</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гейге ауыл ша</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руашылығы жал</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пы өнімінің (қыз</w:t>
            </w:r>
            <w:r w:rsidR="00751614">
              <w:rPr>
                <w:rFonts w:ascii="Times New Roman" w:eastAsia="Times New Roman" w:hAnsi="Times New Roman" w:cs="Times New Roman"/>
                <w:kern w:val="36"/>
                <w:sz w:val="24"/>
                <w:szCs w:val="24"/>
                <w:lang w:val="kk-KZ" w:eastAsia="ru-RU"/>
              </w:rPr>
              <w:t xml:space="preserve"> </w:t>
            </w:r>
            <w:r w:rsidRPr="00630981">
              <w:rPr>
                <w:rFonts w:ascii="Times New Roman" w:eastAsia="Times New Roman" w:hAnsi="Times New Roman" w:cs="Times New Roman"/>
                <w:spacing w:val="-4"/>
                <w:kern w:val="36"/>
                <w:sz w:val="24"/>
                <w:szCs w:val="24"/>
                <w:lang w:val="kk-KZ" w:eastAsia="ru-RU"/>
              </w:rPr>
              <w:t>метінің) нақты кө</w:t>
            </w:r>
            <w:r w:rsidR="00630981">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лем индексі, %</w:t>
            </w:r>
          </w:p>
        </w:tc>
        <w:tc>
          <w:tcPr>
            <w:tcW w:w="777" w:type="dxa"/>
            <w:tcBorders>
              <w:top w:val="single" w:sz="4" w:space="0" w:color="auto"/>
              <w:left w:val="single" w:sz="4" w:space="0" w:color="auto"/>
              <w:bottom w:val="single" w:sz="4" w:space="0" w:color="auto"/>
              <w:right w:val="single" w:sz="4" w:space="0" w:color="auto"/>
            </w:tcBorders>
            <w:vAlign w:val="center"/>
            <w:hideMark/>
          </w:tcPr>
          <w:p w14:paraId="245F0757" w14:textId="7777777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108</w:t>
            </w:r>
          </w:p>
        </w:tc>
        <w:tc>
          <w:tcPr>
            <w:tcW w:w="711" w:type="dxa"/>
            <w:tcBorders>
              <w:top w:val="single" w:sz="4" w:space="0" w:color="auto"/>
              <w:left w:val="single" w:sz="4" w:space="0" w:color="auto"/>
              <w:bottom w:val="single" w:sz="4" w:space="0" w:color="auto"/>
              <w:right w:val="single" w:sz="4" w:space="0" w:color="auto"/>
            </w:tcBorders>
            <w:vAlign w:val="center"/>
            <w:hideMark/>
          </w:tcPr>
          <w:p w14:paraId="6CA94E4C" w14:textId="420AB25B"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108,1</w:t>
            </w:r>
          </w:p>
        </w:tc>
        <w:tc>
          <w:tcPr>
            <w:tcW w:w="777" w:type="dxa"/>
            <w:tcBorders>
              <w:top w:val="single" w:sz="4" w:space="0" w:color="auto"/>
              <w:left w:val="single" w:sz="4" w:space="0" w:color="auto"/>
              <w:bottom w:val="single" w:sz="4" w:space="0" w:color="auto"/>
              <w:right w:val="single" w:sz="4" w:space="0" w:color="auto"/>
            </w:tcBorders>
            <w:vAlign w:val="center"/>
            <w:hideMark/>
          </w:tcPr>
          <w:p w14:paraId="362DB491" w14:textId="7777777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113</w:t>
            </w:r>
          </w:p>
        </w:tc>
        <w:tc>
          <w:tcPr>
            <w:tcW w:w="711" w:type="dxa"/>
            <w:tcBorders>
              <w:top w:val="single" w:sz="4" w:space="0" w:color="auto"/>
              <w:left w:val="single" w:sz="4" w:space="0" w:color="auto"/>
              <w:bottom w:val="single" w:sz="4" w:space="0" w:color="auto"/>
              <w:right w:val="single" w:sz="4" w:space="0" w:color="auto"/>
            </w:tcBorders>
            <w:vAlign w:val="center"/>
            <w:hideMark/>
          </w:tcPr>
          <w:p w14:paraId="1274FB5D" w14:textId="135BD85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112,1</w:t>
            </w:r>
          </w:p>
        </w:tc>
        <w:tc>
          <w:tcPr>
            <w:tcW w:w="777" w:type="dxa"/>
            <w:tcBorders>
              <w:top w:val="single" w:sz="4" w:space="0" w:color="auto"/>
              <w:left w:val="single" w:sz="4" w:space="0" w:color="auto"/>
              <w:bottom w:val="single" w:sz="4" w:space="0" w:color="auto"/>
              <w:right w:val="single" w:sz="4" w:space="0" w:color="auto"/>
            </w:tcBorders>
            <w:vAlign w:val="center"/>
            <w:hideMark/>
          </w:tcPr>
          <w:p w14:paraId="2CDBECB6" w14:textId="7777777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154</w:t>
            </w:r>
          </w:p>
        </w:tc>
        <w:tc>
          <w:tcPr>
            <w:tcW w:w="711" w:type="dxa"/>
            <w:tcBorders>
              <w:top w:val="single" w:sz="4" w:space="0" w:color="auto"/>
              <w:left w:val="single" w:sz="4" w:space="0" w:color="auto"/>
              <w:bottom w:val="single" w:sz="4" w:space="0" w:color="auto"/>
              <w:right w:val="single" w:sz="4" w:space="0" w:color="auto"/>
            </w:tcBorders>
            <w:vAlign w:val="center"/>
          </w:tcPr>
          <w:p w14:paraId="0C14D85D" w14:textId="065102A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112,2</w:t>
            </w:r>
          </w:p>
        </w:tc>
        <w:tc>
          <w:tcPr>
            <w:tcW w:w="777" w:type="dxa"/>
            <w:tcBorders>
              <w:top w:val="single" w:sz="4" w:space="0" w:color="auto"/>
              <w:left w:val="single" w:sz="4" w:space="0" w:color="auto"/>
              <w:bottom w:val="single" w:sz="4" w:space="0" w:color="auto"/>
              <w:right w:val="single" w:sz="4" w:space="0" w:color="auto"/>
            </w:tcBorders>
            <w:vAlign w:val="center"/>
          </w:tcPr>
          <w:p w14:paraId="02403F49" w14:textId="452255A9"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170,5</w:t>
            </w:r>
          </w:p>
        </w:tc>
        <w:tc>
          <w:tcPr>
            <w:tcW w:w="801" w:type="dxa"/>
            <w:tcBorders>
              <w:top w:val="single" w:sz="4" w:space="0" w:color="auto"/>
              <w:left w:val="single" w:sz="4" w:space="0" w:color="auto"/>
              <w:bottom w:val="single" w:sz="4" w:space="0" w:color="auto"/>
              <w:right w:val="single" w:sz="4" w:space="0" w:color="auto"/>
            </w:tcBorders>
            <w:vAlign w:val="center"/>
          </w:tcPr>
          <w:p w14:paraId="21E56F23" w14:textId="4D5966DF"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117,9</w:t>
            </w:r>
          </w:p>
        </w:tc>
        <w:tc>
          <w:tcPr>
            <w:tcW w:w="777" w:type="dxa"/>
            <w:tcBorders>
              <w:top w:val="single" w:sz="4" w:space="0" w:color="auto"/>
              <w:left w:val="single" w:sz="4" w:space="0" w:color="auto"/>
              <w:bottom w:val="single" w:sz="4" w:space="0" w:color="auto"/>
              <w:right w:val="single" w:sz="4" w:space="0" w:color="auto"/>
            </w:tcBorders>
            <w:vAlign w:val="center"/>
          </w:tcPr>
          <w:p w14:paraId="268F24D8" w14:textId="62839C45"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190,2</w:t>
            </w:r>
          </w:p>
        </w:tc>
        <w:tc>
          <w:tcPr>
            <w:tcW w:w="801" w:type="dxa"/>
            <w:tcBorders>
              <w:top w:val="single" w:sz="4" w:space="0" w:color="auto"/>
              <w:left w:val="single" w:sz="4" w:space="0" w:color="auto"/>
              <w:bottom w:val="single" w:sz="4" w:space="0" w:color="auto"/>
              <w:right w:val="single" w:sz="4" w:space="0" w:color="auto"/>
            </w:tcBorders>
            <w:vAlign w:val="center"/>
          </w:tcPr>
          <w:p w14:paraId="177B8897" w14:textId="19540F2A"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r>
      <w:tr w:rsidR="00441955" w:rsidRPr="00751614" w14:paraId="7A396FBB" w14:textId="7933C2FF"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641DAB62" w14:textId="7883C92C" w:rsidR="00441955" w:rsidRPr="00751614" w:rsidRDefault="00441955" w:rsidP="00457CE9">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2015 жылдың деңгейіне ауыл шаруашылығындағы негізгі капи</w:t>
            </w:r>
            <w:r w:rsidR="00751614">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талға салынған инвестициялардың нақты көлем индексі,%</w:t>
            </w:r>
          </w:p>
        </w:tc>
        <w:tc>
          <w:tcPr>
            <w:tcW w:w="777" w:type="dxa"/>
            <w:tcBorders>
              <w:top w:val="single" w:sz="4" w:space="0" w:color="auto"/>
              <w:left w:val="single" w:sz="4" w:space="0" w:color="auto"/>
              <w:bottom w:val="single" w:sz="4" w:space="0" w:color="auto"/>
              <w:right w:val="single" w:sz="4" w:space="0" w:color="auto"/>
            </w:tcBorders>
            <w:vAlign w:val="center"/>
          </w:tcPr>
          <w:p w14:paraId="6144BA1F" w14:textId="5CBE47B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159</w:t>
            </w:r>
          </w:p>
        </w:tc>
        <w:tc>
          <w:tcPr>
            <w:tcW w:w="711" w:type="dxa"/>
            <w:tcBorders>
              <w:top w:val="single" w:sz="4" w:space="0" w:color="auto"/>
              <w:left w:val="single" w:sz="4" w:space="0" w:color="auto"/>
              <w:bottom w:val="single" w:sz="4" w:space="0" w:color="auto"/>
              <w:right w:val="single" w:sz="4" w:space="0" w:color="auto"/>
            </w:tcBorders>
            <w:vAlign w:val="center"/>
          </w:tcPr>
          <w:p w14:paraId="24A52A34" w14:textId="6229DE8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188,0</w:t>
            </w:r>
          </w:p>
        </w:tc>
        <w:tc>
          <w:tcPr>
            <w:tcW w:w="777" w:type="dxa"/>
            <w:tcBorders>
              <w:top w:val="single" w:sz="4" w:space="0" w:color="auto"/>
              <w:left w:val="single" w:sz="4" w:space="0" w:color="auto"/>
              <w:bottom w:val="single" w:sz="4" w:space="0" w:color="auto"/>
              <w:right w:val="single" w:sz="4" w:space="0" w:color="auto"/>
            </w:tcBorders>
            <w:vAlign w:val="center"/>
          </w:tcPr>
          <w:p w14:paraId="6F50D8CA" w14:textId="3DF95D91"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185</w:t>
            </w:r>
          </w:p>
        </w:tc>
        <w:tc>
          <w:tcPr>
            <w:tcW w:w="711" w:type="dxa"/>
            <w:tcBorders>
              <w:top w:val="single" w:sz="4" w:space="0" w:color="auto"/>
              <w:left w:val="single" w:sz="4" w:space="0" w:color="auto"/>
              <w:bottom w:val="single" w:sz="4" w:space="0" w:color="auto"/>
              <w:right w:val="single" w:sz="4" w:space="0" w:color="auto"/>
            </w:tcBorders>
            <w:vAlign w:val="center"/>
          </w:tcPr>
          <w:p w14:paraId="0B99BDAA" w14:textId="4049EF79"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198,1</w:t>
            </w:r>
          </w:p>
        </w:tc>
        <w:tc>
          <w:tcPr>
            <w:tcW w:w="777" w:type="dxa"/>
            <w:tcBorders>
              <w:top w:val="single" w:sz="4" w:space="0" w:color="auto"/>
              <w:left w:val="single" w:sz="4" w:space="0" w:color="auto"/>
              <w:bottom w:val="single" w:sz="4" w:space="0" w:color="auto"/>
              <w:right w:val="single" w:sz="4" w:space="0" w:color="auto"/>
            </w:tcBorders>
            <w:vAlign w:val="center"/>
          </w:tcPr>
          <w:p w14:paraId="240DD509" w14:textId="4DBA5AF2"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304</w:t>
            </w:r>
          </w:p>
        </w:tc>
        <w:tc>
          <w:tcPr>
            <w:tcW w:w="711" w:type="dxa"/>
            <w:tcBorders>
              <w:top w:val="single" w:sz="4" w:space="0" w:color="auto"/>
              <w:left w:val="single" w:sz="4" w:space="0" w:color="auto"/>
              <w:bottom w:val="single" w:sz="4" w:space="0" w:color="auto"/>
              <w:right w:val="single" w:sz="4" w:space="0" w:color="auto"/>
            </w:tcBorders>
            <w:vAlign w:val="center"/>
          </w:tcPr>
          <w:p w14:paraId="41B28F8A" w14:textId="22B71652"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275,8</w:t>
            </w:r>
          </w:p>
        </w:tc>
        <w:tc>
          <w:tcPr>
            <w:tcW w:w="777" w:type="dxa"/>
            <w:tcBorders>
              <w:top w:val="single" w:sz="4" w:space="0" w:color="auto"/>
              <w:left w:val="single" w:sz="4" w:space="0" w:color="auto"/>
              <w:bottom w:val="single" w:sz="4" w:space="0" w:color="auto"/>
              <w:right w:val="single" w:sz="4" w:space="0" w:color="auto"/>
            </w:tcBorders>
            <w:vAlign w:val="center"/>
          </w:tcPr>
          <w:p w14:paraId="279F6572" w14:textId="15AE2E29"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395,3</w:t>
            </w:r>
          </w:p>
        </w:tc>
        <w:tc>
          <w:tcPr>
            <w:tcW w:w="801" w:type="dxa"/>
            <w:tcBorders>
              <w:top w:val="single" w:sz="4" w:space="0" w:color="auto"/>
              <w:left w:val="single" w:sz="4" w:space="0" w:color="auto"/>
              <w:bottom w:val="single" w:sz="4" w:space="0" w:color="auto"/>
              <w:right w:val="single" w:sz="4" w:space="0" w:color="auto"/>
            </w:tcBorders>
            <w:vAlign w:val="center"/>
          </w:tcPr>
          <w:p w14:paraId="6CC16D47" w14:textId="5CE5634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312,8</w:t>
            </w:r>
          </w:p>
        </w:tc>
        <w:tc>
          <w:tcPr>
            <w:tcW w:w="777" w:type="dxa"/>
            <w:tcBorders>
              <w:top w:val="single" w:sz="4" w:space="0" w:color="auto"/>
              <w:left w:val="single" w:sz="4" w:space="0" w:color="auto"/>
              <w:bottom w:val="single" w:sz="4" w:space="0" w:color="auto"/>
              <w:right w:val="single" w:sz="4" w:space="0" w:color="auto"/>
            </w:tcBorders>
            <w:vAlign w:val="center"/>
          </w:tcPr>
          <w:p w14:paraId="00770841" w14:textId="6C2DAA6D"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516</w:t>
            </w:r>
          </w:p>
        </w:tc>
        <w:tc>
          <w:tcPr>
            <w:tcW w:w="801" w:type="dxa"/>
            <w:tcBorders>
              <w:top w:val="single" w:sz="4" w:space="0" w:color="auto"/>
              <w:left w:val="single" w:sz="4" w:space="0" w:color="auto"/>
              <w:bottom w:val="single" w:sz="4" w:space="0" w:color="auto"/>
              <w:right w:val="single" w:sz="4" w:space="0" w:color="auto"/>
            </w:tcBorders>
            <w:vAlign w:val="center"/>
          </w:tcPr>
          <w:p w14:paraId="51CCAF0A" w14:textId="2B4CA25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416,6</w:t>
            </w:r>
          </w:p>
        </w:tc>
      </w:tr>
      <w:tr w:rsidR="00441955" w:rsidRPr="00751614" w14:paraId="20B3E1F3" w14:textId="3463FCF5"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60803ED5" w14:textId="60D05585" w:rsidR="00441955" w:rsidRPr="00751614" w:rsidRDefault="00441955" w:rsidP="00457CE9">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Ауыл шаруашы</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лығындағы не</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гізгі капиталға салынған инвес</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тициялар, млрд.</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теңге</w:t>
            </w:r>
          </w:p>
        </w:tc>
        <w:tc>
          <w:tcPr>
            <w:tcW w:w="777" w:type="dxa"/>
            <w:tcBorders>
              <w:top w:val="single" w:sz="4" w:space="0" w:color="auto"/>
              <w:left w:val="single" w:sz="4" w:space="0" w:color="auto"/>
              <w:bottom w:val="single" w:sz="4" w:space="0" w:color="auto"/>
              <w:right w:val="single" w:sz="4" w:space="0" w:color="auto"/>
            </w:tcBorders>
            <w:vAlign w:val="center"/>
          </w:tcPr>
          <w:p w14:paraId="32F75B67" w14:textId="495B24A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11" w:type="dxa"/>
            <w:tcBorders>
              <w:top w:val="single" w:sz="4" w:space="0" w:color="auto"/>
              <w:left w:val="single" w:sz="4" w:space="0" w:color="auto"/>
              <w:bottom w:val="single" w:sz="4" w:space="0" w:color="auto"/>
              <w:right w:val="single" w:sz="4" w:space="0" w:color="auto"/>
            </w:tcBorders>
            <w:vAlign w:val="center"/>
          </w:tcPr>
          <w:p w14:paraId="567A5915" w14:textId="5935BB15"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348,5</w:t>
            </w:r>
          </w:p>
        </w:tc>
        <w:tc>
          <w:tcPr>
            <w:tcW w:w="777" w:type="dxa"/>
            <w:tcBorders>
              <w:top w:val="single" w:sz="4" w:space="0" w:color="auto"/>
              <w:left w:val="single" w:sz="4" w:space="0" w:color="auto"/>
              <w:bottom w:val="single" w:sz="4" w:space="0" w:color="auto"/>
              <w:right w:val="single" w:sz="4" w:space="0" w:color="auto"/>
            </w:tcBorders>
            <w:vAlign w:val="center"/>
          </w:tcPr>
          <w:p w14:paraId="2EB84C3A" w14:textId="489A06CA"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11" w:type="dxa"/>
            <w:tcBorders>
              <w:top w:val="single" w:sz="4" w:space="0" w:color="auto"/>
              <w:left w:val="single" w:sz="4" w:space="0" w:color="auto"/>
              <w:bottom w:val="single" w:sz="4" w:space="0" w:color="auto"/>
              <w:right w:val="single" w:sz="4" w:space="0" w:color="auto"/>
            </w:tcBorders>
            <w:vAlign w:val="center"/>
          </w:tcPr>
          <w:p w14:paraId="6F511F7D" w14:textId="0F4F381A"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365,0</w:t>
            </w:r>
          </w:p>
        </w:tc>
        <w:tc>
          <w:tcPr>
            <w:tcW w:w="777" w:type="dxa"/>
            <w:tcBorders>
              <w:top w:val="single" w:sz="4" w:space="0" w:color="auto"/>
              <w:left w:val="single" w:sz="4" w:space="0" w:color="auto"/>
              <w:bottom w:val="single" w:sz="4" w:space="0" w:color="auto"/>
              <w:right w:val="single" w:sz="4" w:space="0" w:color="auto"/>
            </w:tcBorders>
            <w:vAlign w:val="center"/>
          </w:tcPr>
          <w:p w14:paraId="1631F71F" w14:textId="5803515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11" w:type="dxa"/>
            <w:tcBorders>
              <w:top w:val="single" w:sz="4" w:space="0" w:color="auto"/>
              <w:left w:val="single" w:sz="4" w:space="0" w:color="auto"/>
              <w:bottom w:val="single" w:sz="4" w:space="0" w:color="auto"/>
              <w:right w:val="single" w:sz="4" w:space="0" w:color="auto"/>
            </w:tcBorders>
            <w:vAlign w:val="center"/>
          </w:tcPr>
          <w:p w14:paraId="15E22BB8" w14:textId="71FE71A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494,9</w:t>
            </w:r>
          </w:p>
        </w:tc>
        <w:tc>
          <w:tcPr>
            <w:tcW w:w="777" w:type="dxa"/>
            <w:tcBorders>
              <w:top w:val="single" w:sz="4" w:space="0" w:color="auto"/>
              <w:left w:val="single" w:sz="4" w:space="0" w:color="auto"/>
              <w:bottom w:val="single" w:sz="4" w:space="0" w:color="auto"/>
              <w:right w:val="single" w:sz="4" w:space="0" w:color="auto"/>
            </w:tcBorders>
            <w:vAlign w:val="center"/>
          </w:tcPr>
          <w:p w14:paraId="064DE728" w14:textId="12546E45"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801" w:type="dxa"/>
            <w:tcBorders>
              <w:top w:val="single" w:sz="4" w:space="0" w:color="auto"/>
              <w:left w:val="single" w:sz="4" w:space="0" w:color="auto"/>
              <w:bottom w:val="single" w:sz="4" w:space="0" w:color="auto"/>
              <w:right w:val="single" w:sz="4" w:space="0" w:color="auto"/>
            </w:tcBorders>
            <w:vAlign w:val="center"/>
          </w:tcPr>
          <w:p w14:paraId="7980D250" w14:textId="29E1C19C"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565,4</w:t>
            </w:r>
          </w:p>
        </w:tc>
        <w:tc>
          <w:tcPr>
            <w:tcW w:w="777" w:type="dxa"/>
            <w:tcBorders>
              <w:top w:val="single" w:sz="4" w:space="0" w:color="auto"/>
              <w:left w:val="single" w:sz="4" w:space="0" w:color="auto"/>
              <w:bottom w:val="single" w:sz="4" w:space="0" w:color="auto"/>
              <w:right w:val="single" w:sz="4" w:space="0" w:color="auto"/>
            </w:tcBorders>
            <w:vAlign w:val="center"/>
          </w:tcPr>
          <w:p w14:paraId="7E910B0F" w14:textId="4C17039D"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801" w:type="dxa"/>
            <w:tcBorders>
              <w:top w:val="single" w:sz="4" w:space="0" w:color="auto"/>
              <w:left w:val="single" w:sz="4" w:space="0" w:color="auto"/>
              <w:bottom w:val="single" w:sz="4" w:space="0" w:color="auto"/>
              <w:right w:val="single" w:sz="4" w:space="0" w:color="auto"/>
            </w:tcBorders>
            <w:vAlign w:val="center"/>
          </w:tcPr>
          <w:p w14:paraId="7AEC132D" w14:textId="7927CB6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772,4</w:t>
            </w:r>
          </w:p>
        </w:tc>
      </w:tr>
      <w:tr w:rsidR="00441955" w:rsidRPr="00751614" w14:paraId="6A782F25" w14:textId="4DA88CD3"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332E7942" w14:textId="59F5F1E5" w:rsidR="00441955" w:rsidRPr="00751614" w:rsidRDefault="00441955" w:rsidP="00457CE9">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Тамақ өнімдерін өндірудегі негіз</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гі капиталға са</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лынған инвести</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циялар, млрд.</w:t>
            </w:r>
            <w:r w:rsidR="008B76C0">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теңге</w:t>
            </w:r>
          </w:p>
        </w:tc>
        <w:tc>
          <w:tcPr>
            <w:tcW w:w="777" w:type="dxa"/>
            <w:tcBorders>
              <w:top w:val="single" w:sz="4" w:space="0" w:color="auto"/>
              <w:left w:val="single" w:sz="4" w:space="0" w:color="auto"/>
              <w:bottom w:val="single" w:sz="4" w:space="0" w:color="auto"/>
              <w:right w:val="single" w:sz="4" w:space="0" w:color="auto"/>
            </w:tcBorders>
            <w:vAlign w:val="center"/>
          </w:tcPr>
          <w:p w14:paraId="18EEA388" w14:textId="5776BDE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11" w:type="dxa"/>
            <w:tcBorders>
              <w:top w:val="single" w:sz="4" w:space="0" w:color="auto"/>
              <w:left w:val="single" w:sz="4" w:space="0" w:color="auto"/>
              <w:bottom w:val="single" w:sz="4" w:space="0" w:color="auto"/>
              <w:right w:val="single" w:sz="4" w:space="0" w:color="auto"/>
            </w:tcBorders>
            <w:vAlign w:val="center"/>
          </w:tcPr>
          <w:p w14:paraId="160467FC" w14:textId="564A817F"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91,978</w:t>
            </w:r>
          </w:p>
        </w:tc>
        <w:tc>
          <w:tcPr>
            <w:tcW w:w="777" w:type="dxa"/>
            <w:tcBorders>
              <w:top w:val="single" w:sz="4" w:space="0" w:color="auto"/>
              <w:left w:val="single" w:sz="4" w:space="0" w:color="auto"/>
              <w:bottom w:val="single" w:sz="4" w:space="0" w:color="auto"/>
              <w:right w:val="single" w:sz="4" w:space="0" w:color="auto"/>
            </w:tcBorders>
            <w:vAlign w:val="center"/>
          </w:tcPr>
          <w:p w14:paraId="4215DE47" w14:textId="01604E9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11" w:type="dxa"/>
            <w:tcBorders>
              <w:top w:val="single" w:sz="4" w:space="0" w:color="auto"/>
              <w:left w:val="single" w:sz="4" w:space="0" w:color="auto"/>
              <w:bottom w:val="single" w:sz="4" w:space="0" w:color="auto"/>
              <w:right w:val="single" w:sz="4" w:space="0" w:color="auto"/>
            </w:tcBorders>
            <w:vAlign w:val="center"/>
          </w:tcPr>
          <w:p w14:paraId="5BFD1851" w14:textId="48D92052"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125,65</w:t>
            </w:r>
          </w:p>
        </w:tc>
        <w:tc>
          <w:tcPr>
            <w:tcW w:w="777" w:type="dxa"/>
            <w:tcBorders>
              <w:top w:val="single" w:sz="4" w:space="0" w:color="auto"/>
              <w:left w:val="single" w:sz="4" w:space="0" w:color="auto"/>
              <w:bottom w:val="single" w:sz="4" w:space="0" w:color="auto"/>
              <w:right w:val="single" w:sz="4" w:space="0" w:color="auto"/>
            </w:tcBorders>
            <w:vAlign w:val="center"/>
          </w:tcPr>
          <w:p w14:paraId="179AC30E" w14:textId="66B4B500"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11" w:type="dxa"/>
            <w:tcBorders>
              <w:top w:val="single" w:sz="4" w:space="0" w:color="auto"/>
              <w:left w:val="single" w:sz="4" w:space="0" w:color="auto"/>
              <w:bottom w:val="single" w:sz="4" w:space="0" w:color="auto"/>
              <w:right w:val="single" w:sz="4" w:space="0" w:color="auto"/>
            </w:tcBorders>
            <w:vAlign w:val="center"/>
          </w:tcPr>
          <w:p w14:paraId="2739AB95" w14:textId="23CBC0E2"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90,154</w:t>
            </w:r>
          </w:p>
        </w:tc>
        <w:tc>
          <w:tcPr>
            <w:tcW w:w="777" w:type="dxa"/>
            <w:tcBorders>
              <w:top w:val="single" w:sz="4" w:space="0" w:color="auto"/>
              <w:left w:val="single" w:sz="4" w:space="0" w:color="auto"/>
              <w:bottom w:val="single" w:sz="4" w:space="0" w:color="auto"/>
              <w:right w:val="single" w:sz="4" w:space="0" w:color="auto"/>
            </w:tcBorders>
            <w:vAlign w:val="center"/>
          </w:tcPr>
          <w:p w14:paraId="093DCD47" w14:textId="3D90A44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801" w:type="dxa"/>
            <w:tcBorders>
              <w:top w:val="single" w:sz="4" w:space="0" w:color="auto"/>
              <w:left w:val="single" w:sz="4" w:space="0" w:color="auto"/>
              <w:bottom w:val="single" w:sz="4" w:space="0" w:color="auto"/>
              <w:right w:val="single" w:sz="4" w:space="0" w:color="auto"/>
            </w:tcBorders>
            <w:vAlign w:val="center"/>
          </w:tcPr>
          <w:p w14:paraId="54C011DD" w14:textId="3FC73B6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109,055</w:t>
            </w:r>
          </w:p>
        </w:tc>
        <w:tc>
          <w:tcPr>
            <w:tcW w:w="777" w:type="dxa"/>
            <w:tcBorders>
              <w:top w:val="single" w:sz="4" w:space="0" w:color="auto"/>
              <w:left w:val="single" w:sz="4" w:space="0" w:color="auto"/>
              <w:bottom w:val="single" w:sz="4" w:space="0" w:color="auto"/>
              <w:right w:val="single" w:sz="4" w:space="0" w:color="auto"/>
            </w:tcBorders>
            <w:vAlign w:val="center"/>
          </w:tcPr>
          <w:p w14:paraId="5B3E731B" w14:textId="70FB36F2"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801" w:type="dxa"/>
            <w:tcBorders>
              <w:top w:val="single" w:sz="4" w:space="0" w:color="auto"/>
              <w:left w:val="single" w:sz="4" w:space="0" w:color="auto"/>
              <w:bottom w:val="single" w:sz="4" w:space="0" w:color="auto"/>
              <w:right w:val="single" w:sz="4" w:space="0" w:color="auto"/>
            </w:tcBorders>
            <w:vAlign w:val="center"/>
          </w:tcPr>
          <w:p w14:paraId="562F4EA5" w14:textId="1BDE5B1C"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118,314</w:t>
            </w:r>
          </w:p>
        </w:tc>
      </w:tr>
      <w:tr w:rsidR="00441955" w:rsidRPr="00751614" w14:paraId="30655D70" w14:textId="6FE90188" w:rsidTr="008B76C0">
        <w:trPr>
          <w:jc w:val="center"/>
        </w:trPr>
        <w:tc>
          <w:tcPr>
            <w:tcW w:w="1967" w:type="dxa"/>
            <w:tcBorders>
              <w:top w:val="single" w:sz="4" w:space="0" w:color="auto"/>
              <w:left w:val="single" w:sz="4" w:space="0" w:color="auto"/>
              <w:bottom w:val="nil"/>
              <w:right w:val="single" w:sz="4" w:space="0" w:color="auto"/>
            </w:tcBorders>
          </w:tcPr>
          <w:p w14:paraId="0D86AEDF" w14:textId="252D8156" w:rsidR="00B84E74" w:rsidRPr="00751614" w:rsidRDefault="00441955" w:rsidP="00C80BF1">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2015 жылдың деңгейіне тамақ өнімдерін өнді</w:t>
            </w:r>
            <w:r w:rsidR="008B76C0">
              <w:rPr>
                <w:rFonts w:ascii="Times New Roman" w:eastAsia="Times New Roman" w:hAnsi="Times New Roman" w:cs="Times New Roman"/>
                <w:kern w:val="36"/>
                <w:sz w:val="24"/>
                <w:szCs w:val="24"/>
                <w:lang w:val="kk-KZ" w:eastAsia="ru-RU"/>
              </w:rPr>
              <w:t xml:space="preserve"> </w:t>
            </w:r>
            <w:r w:rsidR="00B84E74" w:rsidRPr="00751614">
              <w:rPr>
                <w:rFonts w:ascii="Times New Roman" w:eastAsia="Times New Roman" w:hAnsi="Times New Roman" w:cs="Times New Roman"/>
                <w:kern w:val="36"/>
                <w:sz w:val="24"/>
                <w:szCs w:val="24"/>
                <w:lang w:val="kk-KZ" w:eastAsia="ru-RU"/>
              </w:rPr>
              <w:t>рудегі негізгі капиталға салын</w:t>
            </w:r>
            <w:r w:rsidR="00B84E74">
              <w:rPr>
                <w:rFonts w:ascii="Times New Roman" w:eastAsia="Times New Roman" w:hAnsi="Times New Roman" w:cs="Times New Roman"/>
                <w:kern w:val="36"/>
                <w:sz w:val="24"/>
                <w:szCs w:val="24"/>
                <w:lang w:val="kk-KZ" w:eastAsia="ru-RU"/>
              </w:rPr>
              <w:t xml:space="preserve"> </w:t>
            </w:r>
            <w:r w:rsidR="00B84E74" w:rsidRPr="00751614">
              <w:rPr>
                <w:rFonts w:ascii="Times New Roman" w:eastAsia="Times New Roman" w:hAnsi="Times New Roman" w:cs="Times New Roman"/>
                <w:kern w:val="36"/>
                <w:sz w:val="24"/>
                <w:szCs w:val="24"/>
                <w:lang w:val="kk-KZ" w:eastAsia="ru-RU"/>
              </w:rPr>
              <w:t>ған инвестиция</w:t>
            </w:r>
            <w:r w:rsidR="00B84E74">
              <w:rPr>
                <w:rFonts w:ascii="Times New Roman" w:eastAsia="Times New Roman" w:hAnsi="Times New Roman" w:cs="Times New Roman"/>
                <w:kern w:val="36"/>
                <w:sz w:val="24"/>
                <w:szCs w:val="24"/>
                <w:lang w:val="kk-KZ" w:eastAsia="ru-RU"/>
              </w:rPr>
              <w:t xml:space="preserve"> </w:t>
            </w:r>
            <w:r w:rsidR="00B84E74" w:rsidRPr="00751614">
              <w:rPr>
                <w:rFonts w:ascii="Times New Roman" w:eastAsia="Times New Roman" w:hAnsi="Times New Roman" w:cs="Times New Roman"/>
                <w:kern w:val="36"/>
                <w:sz w:val="24"/>
                <w:szCs w:val="24"/>
                <w:lang w:val="kk-KZ" w:eastAsia="ru-RU"/>
              </w:rPr>
              <w:t>лардың нақты көлем индексі,%</w:t>
            </w:r>
          </w:p>
        </w:tc>
        <w:tc>
          <w:tcPr>
            <w:tcW w:w="777" w:type="dxa"/>
            <w:tcBorders>
              <w:top w:val="single" w:sz="4" w:space="0" w:color="auto"/>
              <w:left w:val="single" w:sz="4" w:space="0" w:color="auto"/>
              <w:bottom w:val="nil"/>
              <w:right w:val="single" w:sz="4" w:space="0" w:color="auto"/>
            </w:tcBorders>
            <w:vAlign w:val="center"/>
          </w:tcPr>
          <w:p w14:paraId="02EF5AC9" w14:textId="068A5BBD"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102</w:t>
            </w:r>
          </w:p>
        </w:tc>
        <w:tc>
          <w:tcPr>
            <w:tcW w:w="711" w:type="dxa"/>
            <w:tcBorders>
              <w:top w:val="single" w:sz="4" w:space="0" w:color="auto"/>
              <w:left w:val="single" w:sz="4" w:space="0" w:color="auto"/>
              <w:bottom w:val="nil"/>
              <w:right w:val="single" w:sz="4" w:space="0" w:color="auto"/>
            </w:tcBorders>
            <w:vAlign w:val="center"/>
          </w:tcPr>
          <w:p w14:paraId="337A8638" w14:textId="198AB5D6"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155,5</w:t>
            </w:r>
          </w:p>
        </w:tc>
        <w:tc>
          <w:tcPr>
            <w:tcW w:w="777" w:type="dxa"/>
            <w:tcBorders>
              <w:top w:val="single" w:sz="4" w:space="0" w:color="auto"/>
              <w:left w:val="single" w:sz="4" w:space="0" w:color="auto"/>
              <w:bottom w:val="nil"/>
              <w:right w:val="single" w:sz="4" w:space="0" w:color="auto"/>
            </w:tcBorders>
            <w:vAlign w:val="center"/>
          </w:tcPr>
          <w:p w14:paraId="7E7BEAD5" w14:textId="0E16386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122</w:t>
            </w:r>
          </w:p>
        </w:tc>
        <w:tc>
          <w:tcPr>
            <w:tcW w:w="711" w:type="dxa"/>
            <w:tcBorders>
              <w:top w:val="single" w:sz="4" w:space="0" w:color="auto"/>
              <w:left w:val="single" w:sz="4" w:space="0" w:color="auto"/>
              <w:bottom w:val="nil"/>
              <w:right w:val="single" w:sz="4" w:space="0" w:color="auto"/>
            </w:tcBorders>
            <w:vAlign w:val="center"/>
          </w:tcPr>
          <w:p w14:paraId="72ECF213" w14:textId="79F44643"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201,9</w:t>
            </w:r>
          </w:p>
        </w:tc>
        <w:tc>
          <w:tcPr>
            <w:tcW w:w="777" w:type="dxa"/>
            <w:tcBorders>
              <w:top w:val="single" w:sz="4" w:space="0" w:color="auto"/>
              <w:left w:val="single" w:sz="4" w:space="0" w:color="auto"/>
              <w:bottom w:val="nil"/>
              <w:right w:val="single" w:sz="4" w:space="0" w:color="auto"/>
            </w:tcBorders>
            <w:vAlign w:val="center"/>
          </w:tcPr>
          <w:p w14:paraId="070FB71F" w14:textId="437C6776"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185,2</w:t>
            </w:r>
          </w:p>
        </w:tc>
        <w:tc>
          <w:tcPr>
            <w:tcW w:w="711" w:type="dxa"/>
            <w:tcBorders>
              <w:top w:val="single" w:sz="4" w:space="0" w:color="auto"/>
              <w:left w:val="single" w:sz="4" w:space="0" w:color="auto"/>
              <w:bottom w:val="nil"/>
              <w:right w:val="single" w:sz="4" w:space="0" w:color="auto"/>
            </w:tcBorders>
            <w:vAlign w:val="center"/>
          </w:tcPr>
          <w:p w14:paraId="00F0C940" w14:textId="77A4C787"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139,4</w:t>
            </w:r>
          </w:p>
        </w:tc>
        <w:tc>
          <w:tcPr>
            <w:tcW w:w="777" w:type="dxa"/>
            <w:tcBorders>
              <w:top w:val="single" w:sz="4" w:space="0" w:color="auto"/>
              <w:left w:val="single" w:sz="4" w:space="0" w:color="auto"/>
              <w:bottom w:val="nil"/>
              <w:right w:val="single" w:sz="4" w:space="0" w:color="auto"/>
            </w:tcBorders>
            <w:vAlign w:val="center"/>
          </w:tcPr>
          <w:p w14:paraId="40042599" w14:textId="2C56169E"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204,5</w:t>
            </w:r>
          </w:p>
        </w:tc>
        <w:tc>
          <w:tcPr>
            <w:tcW w:w="801" w:type="dxa"/>
            <w:tcBorders>
              <w:top w:val="single" w:sz="4" w:space="0" w:color="auto"/>
              <w:left w:val="single" w:sz="4" w:space="0" w:color="auto"/>
              <w:bottom w:val="nil"/>
              <w:right w:val="single" w:sz="4" w:space="0" w:color="auto"/>
            </w:tcBorders>
            <w:vAlign w:val="center"/>
          </w:tcPr>
          <w:p w14:paraId="57058ABB" w14:textId="56AEA818"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165,9</w:t>
            </w:r>
          </w:p>
        </w:tc>
        <w:tc>
          <w:tcPr>
            <w:tcW w:w="777" w:type="dxa"/>
            <w:tcBorders>
              <w:top w:val="single" w:sz="4" w:space="0" w:color="auto"/>
              <w:left w:val="single" w:sz="4" w:space="0" w:color="auto"/>
              <w:bottom w:val="nil"/>
              <w:right w:val="single" w:sz="4" w:space="0" w:color="auto"/>
            </w:tcBorders>
            <w:vAlign w:val="center"/>
          </w:tcPr>
          <w:p w14:paraId="00443650" w14:textId="67ED2553"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221,9</w:t>
            </w:r>
          </w:p>
        </w:tc>
        <w:tc>
          <w:tcPr>
            <w:tcW w:w="801" w:type="dxa"/>
            <w:tcBorders>
              <w:top w:val="single" w:sz="4" w:space="0" w:color="auto"/>
              <w:left w:val="single" w:sz="4" w:space="0" w:color="auto"/>
              <w:bottom w:val="nil"/>
              <w:right w:val="single" w:sz="4" w:space="0" w:color="auto"/>
            </w:tcBorders>
            <w:vAlign w:val="center"/>
          </w:tcPr>
          <w:p w14:paraId="58ECA655" w14:textId="7849F723" w:rsidR="00441955" w:rsidRPr="00751614" w:rsidRDefault="00441955" w:rsidP="008B76C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177,1</w:t>
            </w:r>
          </w:p>
        </w:tc>
      </w:tr>
      <w:tr w:rsidR="008A6DB0" w:rsidRPr="00751614" w14:paraId="1810395E" w14:textId="77777777" w:rsidTr="008B76C0">
        <w:trPr>
          <w:jc w:val="center"/>
        </w:trPr>
        <w:tc>
          <w:tcPr>
            <w:tcW w:w="1967" w:type="dxa"/>
            <w:tcBorders>
              <w:top w:val="single" w:sz="4" w:space="0" w:color="auto"/>
              <w:left w:val="single" w:sz="4" w:space="0" w:color="auto"/>
              <w:bottom w:val="nil"/>
              <w:right w:val="single" w:sz="4" w:space="0" w:color="auto"/>
            </w:tcBorders>
          </w:tcPr>
          <w:p w14:paraId="36B33C66" w14:textId="0EAB6BE0" w:rsidR="008A6DB0" w:rsidRPr="00751614" w:rsidRDefault="008A6DB0" w:rsidP="008A6DB0">
            <w:pP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Азық-түлік тауарлары им</w:t>
            </w:r>
            <w:r>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портының кө</w:t>
            </w:r>
            <w:r>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лемі, млн. АҚШ доллары</w:t>
            </w:r>
          </w:p>
        </w:tc>
        <w:tc>
          <w:tcPr>
            <w:tcW w:w="777" w:type="dxa"/>
            <w:tcBorders>
              <w:top w:val="single" w:sz="4" w:space="0" w:color="auto"/>
              <w:left w:val="single" w:sz="4" w:space="0" w:color="auto"/>
              <w:bottom w:val="nil"/>
              <w:right w:val="single" w:sz="4" w:space="0" w:color="auto"/>
            </w:tcBorders>
            <w:vAlign w:val="center"/>
          </w:tcPr>
          <w:p w14:paraId="1520EB9A" w14:textId="61561A1C"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2466</w:t>
            </w:r>
          </w:p>
        </w:tc>
        <w:tc>
          <w:tcPr>
            <w:tcW w:w="711" w:type="dxa"/>
            <w:tcBorders>
              <w:top w:val="single" w:sz="4" w:space="0" w:color="auto"/>
              <w:left w:val="single" w:sz="4" w:space="0" w:color="auto"/>
              <w:bottom w:val="nil"/>
              <w:right w:val="single" w:sz="4" w:space="0" w:color="auto"/>
            </w:tcBorders>
            <w:vAlign w:val="center"/>
          </w:tcPr>
          <w:p w14:paraId="2AFB1E8E" w14:textId="3F3484AE"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3012,9</w:t>
            </w:r>
          </w:p>
        </w:tc>
        <w:tc>
          <w:tcPr>
            <w:tcW w:w="777" w:type="dxa"/>
            <w:tcBorders>
              <w:top w:val="single" w:sz="4" w:space="0" w:color="auto"/>
              <w:left w:val="single" w:sz="4" w:space="0" w:color="auto"/>
              <w:bottom w:val="nil"/>
              <w:right w:val="single" w:sz="4" w:space="0" w:color="auto"/>
            </w:tcBorders>
            <w:vAlign w:val="center"/>
          </w:tcPr>
          <w:p w14:paraId="7ECFFC7B" w14:textId="5CD2DF40"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2377</w:t>
            </w:r>
          </w:p>
        </w:tc>
        <w:tc>
          <w:tcPr>
            <w:tcW w:w="711" w:type="dxa"/>
            <w:tcBorders>
              <w:top w:val="single" w:sz="4" w:space="0" w:color="auto"/>
              <w:left w:val="single" w:sz="4" w:space="0" w:color="auto"/>
              <w:bottom w:val="nil"/>
              <w:right w:val="single" w:sz="4" w:space="0" w:color="auto"/>
            </w:tcBorders>
            <w:vAlign w:val="center"/>
          </w:tcPr>
          <w:p w14:paraId="0C160528" w14:textId="20CB8480"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3094,6</w:t>
            </w:r>
          </w:p>
        </w:tc>
        <w:tc>
          <w:tcPr>
            <w:tcW w:w="777" w:type="dxa"/>
            <w:tcBorders>
              <w:top w:val="single" w:sz="4" w:space="0" w:color="auto"/>
              <w:left w:val="single" w:sz="4" w:space="0" w:color="auto"/>
              <w:bottom w:val="nil"/>
              <w:right w:val="single" w:sz="4" w:space="0" w:color="auto"/>
            </w:tcBorders>
            <w:vAlign w:val="center"/>
          </w:tcPr>
          <w:p w14:paraId="43D0766B" w14:textId="3AA6EBB5"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2288</w:t>
            </w:r>
          </w:p>
        </w:tc>
        <w:tc>
          <w:tcPr>
            <w:tcW w:w="711" w:type="dxa"/>
            <w:tcBorders>
              <w:top w:val="single" w:sz="4" w:space="0" w:color="auto"/>
              <w:left w:val="single" w:sz="4" w:space="0" w:color="auto"/>
              <w:bottom w:val="nil"/>
              <w:right w:val="single" w:sz="4" w:space="0" w:color="auto"/>
            </w:tcBorders>
            <w:vAlign w:val="center"/>
          </w:tcPr>
          <w:p w14:paraId="2F5BCB20" w14:textId="30AD43FD"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3335,8</w:t>
            </w:r>
          </w:p>
        </w:tc>
        <w:tc>
          <w:tcPr>
            <w:tcW w:w="777" w:type="dxa"/>
            <w:tcBorders>
              <w:top w:val="single" w:sz="4" w:space="0" w:color="auto"/>
              <w:left w:val="single" w:sz="4" w:space="0" w:color="auto"/>
              <w:bottom w:val="nil"/>
              <w:right w:val="single" w:sz="4" w:space="0" w:color="auto"/>
            </w:tcBorders>
            <w:vAlign w:val="center"/>
          </w:tcPr>
          <w:p w14:paraId="6F8C65CF" w14:textId="02161476"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2196</w:t>
            </w:r>
          </w:p>
        </w:tc>
        <w:tc>
          <w:tcPr>
            <w:tcW w:w="801" w:type="dxa"/>
            <w:tcBorders>
              <w:top w:val="single" w:sz="4" w:space="0" w:color="auto"/>
              <w:left w:val="single" w:sz="4" w:space="0" w:color="auto"/>
              <w:bottom w:val="nil"/>
              <w:right w:val="single" w:sz="4" w:space="0" w:color="auto"/>
            </w:tcBorders>
            <w:vAlign w:val="center"/>
          </w:tcPr>
          <w:p w14:paraId="782AB892" w14:textId="241B944A"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3442,8</w:t>
            </w:r>
          </w:p>
        </w:tc>
        <w:tc>
          <w:tcPr>
            <w:tcW w:w="777" w:type="dxa"/>
            <w:tcBorders>
              <w:top w:val="single" w:sz="4" w:space="0" w:color="auto"/>
              <w:left w:val="single" w:sz="4" w:space="0" w:color="auto"/>
              <w:bottom w:val="nil"/>
              <w:right w:val="single" w:sz="4" w:space="0" w:color="auto"/>
            </w:tcBorders>
            <w:vAlign w:val="center"/>
          </w:tcPr>
          <w:p w14:paraId="19F7BB58" w14:textId="51148ECF"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2105</w:t>
            </w:r>
          </w:p>
        </w:tc>
        <w:tc>
          <w:tcPr>
            <w:tcW w:w="801" w:type="dxa"/>
            <w:tcBorders>
              <w:top w:val="single" w:sz="4" w:space="0" w:color="auto"/>
              <w:left w:val="single" w:sz="4" w:space="0" w:color="auto"/>
              <w:bottom w:val="nil"/>
              <w:right w:val="single" w:sz="4" w:space="0" w:color="auto"/>
            </w:tcBorders>
            <w:vAlign w:val="center"/>
          </w:tcPr>
          <w:p w14:paraId="4FDACDA6" w14:textId="1CB78753"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3601*</w:t>
            </w:r>
          </w:p>
        </w:tc>
      </w:tr>
      <w:tr w:rsidR="008A6DB0" w:rsidRPr="00751614" w14:paraId="4DDF4F2C" w14:textId="77777777" w:rsidTr="008B76C0">
        <w:trPr>
          <w:jc w:val="center"/>
        </w:trPr>
        <w:tc>
          <w:tcPr>
            <w:tcW w:w="9587" w:type="dxa"/>
            <w:gridSpan w:val="11"/>
            <w:tcBorders>
              <w:top w:val="nil"/>
              <w:left w:val="nil"/>
              <w:bottom w:val="single" w:sz="4" w:space="0" w:color="auto"/>
              <w:right w:val="nil"/>
            </w:tcBorders>
          </w:tcPr>
          <w:p w14:paraId="2764DEA1" w14:textId="61229585" w:rsidR="008A6DB0" w:rsidRPr="008B76C0" w:rsidRDefault="008A6DB0" w:rsidP="008A6DB0">
            <w:pPr>
              <w:ind w:left="-70" w:right="-69" w:hanging="21"/>
              <w:rPr>
                <w:rFonts w:ascii="Times New Roman" w:eastAsia="Times New Roman" w:hAnsi="Times New Roman" w:cs="Times New Roman"/>
                <w:kern w:val="36"/>
                <w:sz w:val="28"/>
                <w:szCs w:val="28"/>
                <w:lang w:val="kk-KZ" w:eastAsia="ru-RU"/>
              </w:rPr>
            </w:pPr>
            <w:r w:rsidRPr="008B76C0">
              <w:rPr>
                <w:rFonts w:ascii="Times New Roman" w:eastAsia="Times New Roman" w:hAnsi="Times New Roman" w:cs="Times New Roman"/>
                <w:kern w:val="36"/>
                <w:sz w:val="28"/>
                <w:szCs w:val="28"/>
                <w:lang w:val="kk-KZ" w:eastAsia="ru-RU"/>
              </w:rPr>
              <w:t>2</w:t>
            </w:r>
            <w:r>
              <w:rPr>
                <w:rFonts w:ascii="Times New Roman" w:eastAsia="Times New Roman" w:hAnsi="Times New Roman" w:cs="Times New Roman"/>
                <w:kern w:val="36"/>
                <w:sz w:val="28"/>
                <w:szCs w:val="28"/>
                <w:lang w:val="kk-KZ" w:eastAsia="ru-RU"/>
              </w:rPr>
              <w:t>6</w:t>
            </w:r>
            <w:r w:rsidRPr="008B76C0">
              <w:rPr>
                <w:rFonts w:ascii="Times New Roman" w:eastAsia="Times New Roman" w:hAnsi="Times New Roman" w:cs="Times New Roman"/>
                <w:kern w:val="36"/>
                <w:sz w:val="28"/>
                <w:szCs w:val="28"/>
                <w:lang w:val="kk-KZ" w:eastAsia="ru-RU"/>
              </w:rPr>
              <w:t>-кестенің жалғасы</w:t>
            </w:r>
          </w:p>
          <w:p w14:paraId="7A454119" w14:textId="77777777" w:rsidR="008A6DB0" w:rsidRPr="008B76C0" w:rsidRDefault="008A6DB0" w:rsidP="008A6DB0">
            <w:pPr>
              <w:ind w:left="-70" w:right="-69" w:hanging="21"/>
              <w:rPr>
                <w:rFonts w:ascii="Times New Roman" w:eastAsia="Times New Roman" w:hAnsi="Times New Roman" w:cs="Times New Roman"/>
                <w:kern w:val="36"/>
                <w:sz w:val="16"/>
                <w:szCs w:val="16"/>
                <w:lang w:val="kk-KZ" w:eastAsia="ru-RU"/>
              </w:rPr>
            </w:pPr>
          </w:p>
        </w:tc>
      </w:tr>
      <w:tr w:rsidR="008A6DB0" w:rsidRPr="00751614" w14:paraId="0CCF7BFF" w14:textId="77777777"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07E59EDA" w14:textId="5539C744" w:rsidR="008A6DB0" w:rsidRPr="00751614" w:rsidRDefault="008A6DB0" w:rsidP="008A6DB0">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777" w:type="dxa"/>
            <w:tcBorders>
              <w:top w:val="single" w:sz="4" w:space="0" w:color="auto"/>
              <w:left w:val="single" w:sz="4" w:space="0" w:color="auto"/>
              <w:bottom w:val="single" w:sz="4" w:space="0" w:color="auto"/>
              <w:right w:val="single" w:sz="4" w:space="0" w:color="auto"/>
            </w:tcBorders>
            <w:vAlign w:val="center"/>
          </w:tcPr>
          <w:p w14:paraId="0F0BC99F" w14:textId="249E4F53"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711" w:type="dxa"/>
            <w:tcBorders>
              <w:top w:val="single" w:sz="4" w:space="0" w:color="auto"/>
              <w:left w:val="single" w:sz="4" w:space="0" w:color="auto"/>
              <w:bottom w:val="single" w:sz="4" w:space="0" w:color="auto"/>
              <w:right w:val="single" w:sz="4" w:space="0" w:color="auto"/>
            </w:tcBorders>
            <w:vAlign w:val="center"/>
          </w:tcPr>
          <w:p w14:paraId="5242839F" w14:textId="6855F1E6"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777" w:type="dxa"/>
            <w:tcBorders>
              <w:top w:val="single" w:sz="4" w:space="0" w:color="auto"/>
              <w:left w:val="single" w:sz="4" w:space="0" w:color="auto"/>
              <w:bottom w:val="single" w:sz="4" w:space="0" w:color="auto"/>
              <w:right w:val="single" w:sz="4" w:space="0" w:color="auto"/>
            </w:tcBorders>
            <w:vAlign w:val="center"/>
          </w:tcPr>
          <w:p w14:paraId="5CC040B4" w14:textId="442E0116"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711" w:type="dxa"/>
            <w:tcBorders>
              <w:top w:val="single" w:sz="4" w:space="0" w:color="auto"/>
              <w:left w:val="single" w:sz="4" w:space="0" w:color="auto"/>
              <w:bottom w:val="single" w:sz="4" w:space="0" w:color="auto"/>
              <w:right w:val="single" w:sz="4" w:space="0" w:color="auto"/>
            </w:tcBorders>
            <w:vAlign w:val="center"/>
          </w:tcPr>
          <w:p w14:paraId="567F2057" w14:textId="33EC7E7D"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777" w:type="dxa"/>
            <w:tcBorders>
              <w:top w:val="single" w:sz="4" w:space="0" w:color="auto"/>
              <w:left w:val="single" w:sz="4" w:space="0" w:color="auto"/>
              <w:bottom w:val="single" w:sz="4" w:space="0" w:color="auto"/>
              <w:right w:val="single" w:sz="4" w:space="0" w:color="auto"/>
            </w:tcBorders>
            <w:vAlign w:val="center"/>
          </w:tcPr>
          <w:p w14:paraId="66089979" w14:textId="12BD3E8E"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711" w:type="dxa"/>
            <w:tcBorders>
              <w:top w:val="single" w:sz="4" w:space="0" w:color="auto"/>
              <w:left w:val="single" w:sz="4" w:space="0" w:color="auto"/>
              <w:bottom w:val="single" w:sz="4" w:space="0" w:color="auto"/>
              <w:right w:val="single" w:sz="4" w:space="0" w:color="auto"/>
            </w:tcBorders>
            <w:vAlign w:val="center"/>
          </w:tcPr>
          <w:p w14:paraId="72F49810" w14:textId="01158975"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777" w:type="dxa"/>
            <w:tcBorders>
              <w:top w:val="single" w:sz="4" w:space="0" w:color="auto"/>
              <w:left w:val="single" w:sz="4" w:space="0" w:color="auto"/>
              <w:bottom w:val="single" w:sz="4" w:space="0" w:color="auto"/>
              <w:right w:val="single" w:sz="4" w:space="0" w:color="auto"/>
            </w:tcBorders>
            <w:vAlign w:val="center"/>
          </w:tcPr>
          <w:p w14:paraId="2C7A873D" w14:textId="32470600"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c>
          <w:tcPr>
            <w:tcW w:w="801" w:type="dxa"/>
            <w:tcBorders>
              <w:top w:val="single" w:sz="4" w:space="0" w:color="auto"/>
              <w:left w:val="single" w:sz="4" w:space="0" w:color="auto"/>
              <w:bottom w:val="single" w:sz="4" w:space="0" w:color="auto"/>
              <w:right w:val="single" w:sz="4" w:space="0" w:color="auto"/>
            </w:tcBorders>
            <w:vAlign w:val="center"/>
          </w:tcPr>
          <w:p w14:paraId="73A2F883" w14:textId="69BE0631"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9</w:t>
            </w:r>
          </w:p>
        </w:tc>
        <w:tc>
          <w:tcPr>
            <w:tcW w:w="777" w:type="dxa"/>
            <w:tcBorders>
              <w:top w:val="single" w:sz="4" w:space="0" w:color="auto"/>
              <w:left w:val="single" w:sz="4" w:space="0" w:color="auto"/>
              <w:bottom w:val="single" w:sz="4" w:space="0" w:color="auto"/>
              <w:right w:val="single" w:sz="4" w:space="0" w:color="auto"/>
            </w:tcBorders>
            <w:vAlign w:val="center"/>
          </w:tcPr>
          <w:p w14:paraId="4E24B31F" w14:textId="3A006320"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w:t>
            </w:r>
          </w:p>
        </w:tc>
        <w:tc>
          <w:tcPr>
            <w:tcW w:w="801" w:type="dxa"/>
            <w:tcBorders>
              <w:top w:val="single" w:sz="4" w:space="0" w:color="auto"/>
              <w:left w:val="single" w:sz="4" w:space="0" w:color="auto"/>
              <w:bottom w:val="single" w:sz="4" w:space="0" w:color="auto"/>
              <w:right w:val="single" w:sz="4" w:space="0" w:color="auto"/>
            </w:tcBorders>
            <w:vAlign w:val="center"/>
          </w:tcPr>
          <w:p w14:paraId="70F89DED" w14:textId="3BE79246"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11</w:t>
            </w:r>
          </w:p>
        </w:tc>
      </w:tr>
      <w:tr w:rsidR="008A6DB0" w:rsidRPr="00751614" w14:paraId="0A152114" w14:textId="33FBBCD8"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7CD99153" w14:textId="025B3E81" w:rsidR="008A6DB0" w:rsidRPr="00751614" w:rsidRDefault="008A6DB0" w:rsidP="008A6DB0">
            <w:pPr>
              <w:spacing w:line="228" w:lineRule="auto"/>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Қайта өңделген ауыл шарушы</w:t>
            </w:r>
            <w:r>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лық өнім экспор</w:t>
            </w:r>
            <w:r>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тының көлемі, млн. АҚШ дол</w:t>
            </w:r>
            <w:r>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лары</w:t>
            </w:r>
          </w:p>
        </w:tc>
        <w:tc>
          <w:tcPr>
            <w:tcW w:w="777" w:type="dxa"/>
            <w:tcBorders>
              <w:top w:val="single" w:sz="4" w:space="0" w:color="auto"/>
              <w:left w:val="single" w:sz="4" w:space="0" w:color="auto"/>
              <w:bottom w:val="single" w:sz="4" w:space="0" w:color="auto"/>
              <w:right w:val="single" w:sz="4" w:space="0" w:color="auto"/>
            </w:tcBorders>
            <w:vAlign w:val="center"/>
          </w:tcPr>
          <w:p w14:paraId="41A92140" w14:textId="354646CE"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1081,0</w:t>
            </w:r>
          </w:p>
        </w:tc>
        <w:tc>
          <w:tcPr>
            <w:tcW w:w="711" w:type="dxa"/>
            <w:tcBorders>
              <w:top w:val="single" w:sz="4" w:space="0" w:color="auto"/>
              <w:left w:val="single" w:sz="4" w:space="0" w:color="auto"/>
              <w:bottom w:val="single" w:sz="4" w:space="0" w:color="auto"/>
              <w:right w:val="single" w:sz="4" w:space="0" w:color="auto"/>
            </w:tcBorders>
            <w:vAlign w:val="center"/>
          </w:tcPr>
          <w:p w14:paraId="106D7715" w14:textId="0C1CC0B8"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1241,5</w:t>
            </w:r>
          </w:p>
        </w:tc>
        <w:tc>
          <w:tcPr>
            <w:tcW w:w="777" w:type="dxa"/>
            <w:tcBorders>
              <w:top w:val="single" w:sz="4" w:space="0" w:color="auto"/>
              <w:left w:val="single" w:sz="4" w:space="0" w:color="auto"/>
              <w:bottom w:val="single" w:sz="4" w:space="0" w:color="auto"/>
              <w:right w:val="single" w:sz="4" w:space="0" w:color="auto"/>
            </w:tcBorders>
            <w:vAlign w:val="center"/>
          </w:tcPr>
          <w:p w14:paraId="527E2A82" w14:textId="05E64FC0"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1150,0</w:t>
            </w:r>
          </w:p>
        </w:tc>
        <w:tc>
          <w:tcPr>
            <w:tcW w:w="711" w:type="dxa"/>
            <w:tcBorders>
              <w:top w:val="single" w:sz="4" w:space="0" w:color="auto"/>
              <w:left w:val="single" w:sz="4" w:space="0" w:color="auto"/>
              <w:bottom w:val="single" w:sz="4" w:space="0" w:color="auto"/>
              <w:right w:val="single" w:sz="4" w:space="0" w:color="auto"/>
            </w:tcBorders>
            <w:vAlign w:val="center"/>
          </w:tcPr>
          <w:p w14:paraId="4D319AD0" w14:textId="0ADA86B5"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1366,2</w:t>
            </w:r>
          </w:p>
        </w:tc>
        <w:tc>
          <w:tcPr>
            <w:tcW w:w="777" w:type="dxa"/>
            <w:tcBorders>
              <w:top w:val="single" w:sz="4" w:space="0" w:color="auto"/>
              <w:left w:val="single" w:sz="4" w:space="0" w:color="auto"/>
              <w:bottom w:val="single" w:sz="4" w:space="0" w:color="auto"/>
              <w:right w:val="single" w:sz="4" w:space="0" w:color="auto"/>
            </w:tcBorders>
            <w:vAlign w:val="center"/>
          </w:tcPr>
          <w:p w14:paraId="030CF263" w14:textId="40288F8E"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1270,0</w:t>
            </w:r>
          </w:p>
        </w:tc>
        <w:tc>
          <w:tcPr>
            <w:tcW w:w="711" w:type="dxa"/>
            <w:tcBorders>
              <w:top w:val="single" w:sz="4" w:space="0" w:color="auto"/>
              <w:left w:val="single" w:sz="4" w:space="0" w:color="auto"/>
              <w:bottom w:val="single" w:sz="4" w:space="0" w:color="auto"/>
              <w:right w:val="single" w:sz="4" w:space="0" w:color="auto"/>
            </w:tcBorders>
            <w:vAlign w:val="center"/>
          </w:tcPr>
          <w:p w14:paraId="22BB64C2" w14:textId="76116CE8"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1344,6</w:t>
            </w:r>
          </w:p>
        </w:tc>
        <w:tc>
          <w:tcPr>
            <w:tcW w:w="777" w:type="dxa"/>
            <w:tcBorders>
              <w:top w:val="single" w:sz="4" w:space="0" w:color="auto"/>
              <w:left w:val="single" w:sz="4" w:space="0" w:color="auto"/>
              <w:bottom w:val="single" w:sz="4" w:space="0" w:color="auto"/>
              <w:right w:val="single" w:sz="4" w:space="0" w:color="auto"/>
            </w:tcBorders>
            <w:vAlign w:val="center"/>
          </w:tcPr>
          <w:p w14:paraId="65AC1F09" w14:textId="1CB569D1"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1650</w:t>
            </w:r>
          </w:p>
        </w:tc>
        <w:tc>
          <w:tcPr>
            <w:tcW w:w="801" w:type="dxa"/>
            <w:tcBorders>
              <w:top w:val="single" w:sz="4" w:space="0" w:color="auto"/>
              <w:left w:val="single" w:sz="4" w:space="0" w:color="auto"/>
              <w:bottom w:val="single" w:sz="4" w:space="0" w:color="auto"/>
              <w:right w:val="single" w:sz="4" w:space="0" w:color="auto"/>
            </w:tcBorders>
            <w:vAlign w:val="center"/>
          </w:tcPr>
          <w:p w14:paraId="7E4DB30C" w14:textId="68EED058"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1505,9</w:t>
            </w:r>
          </w:p>
        </w:tc>
        <w:tc>
          <w:tcPr>
            <w:tcW w:w="777" w:type="dxa"/>
            <w:tcBorders>
              <w:top w:val="single" w:sz="4" w:space="0" w:color="auto"/>
              <w:left w:val="single" w:sz="4" w:space="0" w:color="auto"/>
              <w:bottom w:val="single" w:sz="4" w:space="0" w:color="auto"/>
              <w:right w:val="single" w:sz="4" w:space="0" w:color="auto"/>
            </w:tcBorders>
            <w:vAlign w:val="center"/>
          </w:tcPr>
          <w:p w14:paraId="3A456DE2" w14:textId="0705D679" w:rsidR="008A6DB0" w:rsidRPr="00751614" w:rsidRDefault="008A6DB0" w:rsidP="008A6DB0">
            <w:pPr>
              <w:ind w:left="-70" w:right="-69"/>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2400</w:t>
            </w:r>
          </w:p>
        </w:tc>
        <w:tc>
          <w:tcPr>
            <w:tcW w:w="801" w:type="dxa"/>
            <w:tcBorders>
              <w:top w:val="single" w:sz="4" w:space="0" w:color="auto"/>
              <w:left w:val="single" w:sz="4" w:space="0" w:color="auto"/>
              <w:bottom w:val="single" w:sz="4" w:space="0" w:color="auto"/>
              <w:right w:val="single" w:sz="4" w:space="0" w:color="auto"/>
            </w:tcBorders>
            <w:vAlign w:val="center"/>
          </w:tcPr>
          <w:p w14:paraId="5B886CB4" w14:textId="7D0FF395" w:rsidR="008A6DB0" w:rsidRPr="00751614" w:rsidRDefault="008A6DB0" w:rsidP="008A6DB0">
            <w:pPr>
              <w:ind w:left="-70" w:right="-69"/>
              <w:jc w:val="center"/>
              <w:rPr>
                <w:rFonts w:ascii="Times New Roman" w:eastAsia="Times New Roman" w:hAnsi="Times New Roman" w:cs="Times New Roman"/>
                <w:kern w:val="36"/>
                <w:sz w:val="24"/>
                <w:szCs w:val="24"/>
                <w:lang w:eastAsia="ru-RU"/>
              </w:rPr>
            </w:pPr>
            <w:r w:rsidRPr="00751614">
              <w:rPr>
                <w:rFonts w:ascii="Times New Roman" w:eastAsia="Times New Roman" w:hAnsi="Times New Roman" w:cs="Times New Roman"/>
                <w:kern w:val="36"/>
                <w:sz w:val="24"/>
                <w:szCs w:val="24"/>
                <w:lang w:val="kk-KZ" w:eastAsia="ru-RU"/>
              </w:rPr>
              <w:t>1649*</w:t>
            </w:r>
          </w:p>
        </w:tc>
      </w:tr>
      <w:tr w:rsidR="008A6DB0" w:rsidRPr="00751614" w14:paraId="2C55D805" w14:textId="1BBF251C" w:rsidTr="00751614">
        <w:trPr>
          <w:jc w:val="center"/>
        </w:trPr>
        <w:tc>
          <w:tcPr>
            <w:tcW w:w="9587" w:type="dxa"/>
            <w:gridSpan w:val="11"/>
            <w:tcBorders>
              <w:top w:val="single" w:sz="4" w:space="0" w:color="auto"/>
              <w:left w:val="single" w:sz="4" w:space="0" w:color="auto"/>
              <w:bottom w:val="single" w:sz="4" w:space="0" w:color="auto"/>
              <w:right w:val="single" w:sz="4" w:space="0" w:color="auto"/>
            </w:tcBorders>
          </w:tcPr>
          <w:p w14:paraId="0EFF7658" w14:textId="5FF24D54" w:rsidR="008A6DB0" w:rsidRPr="00751614" w:rsidRDefault="008A6DB0" w:rsidP="008A6DB0">
            <w:pPr>
              <w:spacing w:line="228" w:lineRule="auto"/>
              <w:jc w:val="left"/>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Өнеркәсіптегі қайта және айналмалы сумен жабдықтау жүйелеріндегі су көлемі:</w:t>
            </w:r>
          </w:p>
        </w:tc>
      </w:tr>
      <w:tr w:rsidR="008A6DB0" w:rsidRPr="00751614" w14:paraId="2E09BC49" w14:textId="796BD945"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74770FB5" w14:textId="3D4B2820" w:rsidR="008A6DB0" w:rsidRPr="00751614" w:rsidRDefault="008A6DB0" w:rsidP="008A6DB0">
            <w:pPr>
              <w:spacing w:line="228" w:lineRule="auto"/>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kern w:val="36"/>
                <w:sz w:val="24"/>
                <w:szCs w:val="24"/>
                <w:lang w:val="kk-KZ" w:eastAsia="ru-RU"/>
              </w:rPr>
              <w:t>қайталанған, км</w:t>
            </w:r>
            <w:r w:rsidRPr="00751614">
              <w:rPr>
                <w:rFonts w:ascii="Times New Roman" w:eastAsia="Times New Roman" w:hAnsi="Times New Roman"/>
                <w:kern w:val="36"/>
                <w:sz w:val="24"/>
                <w:szCs w:val="24"/>
                <w:vertAlign w:val="superscript"/>
                <w:lang w:eastAsia="ru-RU"/>
              </w:rPr>
              <w:t>3</w:t>
            </w:r>
            <w:r w:rsidRPr="00751614">
              <w:rPr>
                <w:rFonts w:ascii="Times New Roman" w:eastAsia="Times New Roman" w:hAnsi="Times New Roman"/>
                <w:kern w:val="36"/>
                <w:sz w:val="24"/>
                <w:szCs w:val="24"/>
                <w:lang w:val="kk-KZ" w:eastAsia="ru-RU"/>
              </w:rPr>
              <w:t>/га</w:t>
            </w:r>
          </w:p>
        </w:tc>
        <w:tc>
          <w:tcPr>
            <w:tcW w:w="777" w:type="dxa"/>
            <w:tcBorders>
              <w:top w:val="single" w:sz="4" w:space="0" w:color="auto"/>
              <w:left w:val="single" w:sz="4" w:space="0" w:color="auto"/>
              <w:bottom w:val="single" w:sz="4" w:space="0" w:color="auto"/>
              <w:right w:val="single" w:sz="4" w:space="0" w:color="auto"/>
            </w:tcBorders>
            <w:vAlign w:val="center"/>
          </w:tcPr>
          <w:p w14:paraId="16A29176" w14:textId="06EA2D64"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0,70</w:t>
            </w:r>
          </w:p>
        </w:tc>
        <w:tc>
          <w:tcPr>
            <w:tcW w:w="711" w:type="dxa"/>
            <w:tcBorders>
              <w:top w:val="single" w:sz="4" w:space="0" w:color="auto"/>
              <w:left w:val="single" w:sz="4" w:space="0" w:color="auto"/>
              <w:bottom w:val="single" w:sz="4" w:space="0" w:color="auto"/>
              <w:right w:val="single" w:sz="4" w:space="0" w:color="auto"/>
            </w:tcBorders>
            <w:vAlign w:val="center"/>
          </w:tcPr>
          <w:p w14:paraId="75B31556" w14:textId="52706CDD"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0,70</w:t>
            </w:r>
          </w:p>
        </w:tc>
        <w:tc>
          <w:tcPr>
            <w:tcW w:w="777" w:type="dxa"/>
            <w:tcBorders>
              <w:top w:val="single" w:sz="4" w:space="0" w:color="auto"/>
              <w:left w:val="single" w:sz="4" w:space="0" w:color="auto"/>
              <w:bottom w:val="single" w:sz="4" w:space="0" w:color="auto"/>
              <w:right w:val="single" w:sz="4" w:space="0" w:color="auto"/>
            </w:tcBorders>
            <w:vAlign w:val="center"/>
          </w:tcPr>
          <w:p w14:paraId="72466A4B" w14:textId="1AE96591"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0,71</w:t>
            </w:r>
          </w:p>
        </w:tc>
        <w:tc>
          <w:tcPr>
            <w:tcW w:w="711" w:type="dxa"/>
            <w:tcBorders>
              <w:top w:val="single" w:sz="4" w:space="0" w:color="auto"/>
              <w:left w:val="single" w:sz="4" w:space="0" w:color="auto"/>
              <w:bottom w:val="single" w:sz="4" w:space="0" w:color="auto"/>
              <w:right w:val="single" w:sz="4" w:space="0" w:color="auto"/>
            </w:tcBorders>
            <w:vAlign w:val="center"/>
          </w:tcPr>
          <w:p w14:paraId="1268A860" w14:textId="43AAE71F"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0,78</w:t>
            </w:r>
          </w:p>
        </w:tc>
        <w:tc>
          <w:tcPr>
            <w:tcW w:w="777" w:type="dxa"/>
            <w:tcBorders>
              <w:top w:val="single" w:sz="4" w:space="0" w:color="auto"/>
              <w:left w:val="single" w:sz="4" w:space="0" w:color="auto"/>
              <w:bottom w:val="single" w:sz="4" w:space="0" w:color="auto"/>
              <w:right w:val="single" w:sz="4" w:space="0" w:color="auto"/>
            </w:tcBorders>
            <w:vAlign w:val="center"/>
          </w:tcPr>
          <w:p w14:paraId="5410185B" w14:textId="03C046CD"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0,73</w:t>
            </w:r>
          </w:p>
        </w:tc>
        <w:tc>
          <w:tcPr>
            <w:tcW w:w="711" w:type="dxa"/>
            <w:tcBorders>
              <w:top w:val="single" w:sz="4" w:space="0" w:color="auto"/>
              <w:left w:val="single" w:sz="4" w:space="0" w:color="auto"/>
              <w:bottom w:val="single" w:sz="4" w:space="0" w:color="auto"/>
              <w:right w:val="single" w:sz="4" w:space="0" w:color="auto"/>
            </w:tcBorders>
            <w:vAlign w:val="center"/>
          </w:tcPr>
          <w:p w14:paraId="08833EB8" w14:textId="32C8EBD3"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0,73</w:t>
            </w:r>
          </w:p>
        </w:tc>
        <w:tc>
          <w:tcPr>
            <w:tcW w:w="777" w:type="dxa"/>
            <w:tcBorders>
              <w:top w:val="single" w:sz="4" w:space="0" w:color="auto"/>
              <w:left w:val="single" w:sz="4" w:space="0" w:color="auto"/>
              <w:bottom w:val="single" w:sz="4" w:space="0" w:color="auto"/>
              <w:right w:val="single" w:sz="4" w:space="0" w:color="auto"/>
            </w:tcBorders>
            <w:vAlign w:val="center"/>
          </w:tcPr>
          <w:p w14:paraId="3C0E34BB" w14:textId="4D7E5325"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0,75</w:t>
            </w:r>
          </w:p>
        </w:tc>
        <w:tc>
          <w:tcPr>
            <w:tcW w:w="801" w:type="dxa"/>
            <w:tcBorders>
              <w:top w:val="single" w:sz="4" w:space="0" w:color="auto"/>
              <w:left w:val="single" w:sz="4" w:space="0" w:color="auto"/>
              <w:bottom w:val="single" w:sz="4" w:space="0" w:color="auto"/>
              <w:right w:val="single" w:sz="4" w:space="0" w:color="auto"/>
            </w:tcBorders>
            <w:vAlign w:val="center"/>
          </w:tcPr>
          <w:p w14:paraId="3A189E8F" w14:textId="7077C51E"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77" w:type="dxa"/>
            <w:tcBorders>
              <w:top w:val="single" w:sz="4" w:space="0" w:color="auto"/>
              <w:left w:val="single" w:sz="4" w:space="0" w:color="auto"/>
              <w:bottom w:val="single" w:sz="4" w:space="0" w:color="auto"/>
              <w:right w:val="single" w:sz="4" w:space="0" w:color="auto"/>
            </w:tcBorders>
            <w:vAlign w:val="center"/>
          </w:tcPr>
          <w:p w14:paraId="76343981" w14:textId="7A933620"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0,77</w:t>
            </w:r>
          </w:p>
        </w:tc>
        <w:tc>
          <w:tcPr>
            <w:tcW w:w="801" w:type="dxa"/>
            <w:tcBorders>
              <w:top w:val="single" w:sz="4" w:space="0" w:color="auto"/>
              <w:left w:val="single" w:sz="4" w:space="0" w:color="auto"/>
              <w:bottom w:val="single" w:sz="4" w:space="0" w:color="auto"/>
              <w:right w:val="single" w:sz="4" w:space="0" w:color="auto"/>
            </w:tcBorders>
            <w:vAlign w:val="center"/>
          </w:tcPr>
          <w:p w14:paraId="397B1AF6" w14:textId="3DD1FC9F"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r>
      <w:tr w:rsidR="008A6DB0" w:rsidRPr="00751614" w14:paraId="75334A44" w14:textId="42C6229D"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29123704" w14:textId="039DE153" w:rsidR="008A6DB0" w:rsidRPr="00751614" w:rsidRDefault="008A6DB0" w:rsidP="008A6DB0">
            <w:pPr>
              <w:spacing w:line="228" w:lineRule="auto"/>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kern w:val="36"/>
                <w:sz w:val="24"/>
                <w:szCs w:val="24"/>
                <w:lang w:val="kk-KZ" w:eastAsia="ru-RU"/>
              </w:rPr>
              <w:t>борттық, км</w:t>
            </w:r>
            <w:r w:rsidRPr="00751614">
              <w:rPr>
                <w:rFonts w:ascii="Times New Roman" w:eastAsia="Times New Roman" w:hAnsi="Times New Roman"/>
                <w:kern w:val="36"/>
                <w:sz w:val="24"/>
                <w:szCs w:val="24"/>
                <w:vertAlign w:val="superscript"/>
                <w:lang w:eastAsia="ru-RU"/>
              </w:rPr>
              <w:t>3</w:t>
            </w:r>
            <w:r w:rsidRPr="00751614">
              <w:rPr>
                <w:rFonts w:ascii="Times New Roman" w:eastAsia="Times New Roman" w:hAnsi="Times New Roman"/>
                <w:kern w:val="36"/>
                <w:sz w:val="24"/>
                <w:szCs w:val="24"/>
                <w:lang w:val="kk-KZ" w:eastAsia="ru-RU"/>
              </w:rPr>
              <w:t>/га</w:t>
            </w:r>
          </w:p>
        </w:tc>
        <w:tc>
          <w:tcPr>
            <w:tcW w:w="777" w:type="dxa"/>
            <w:tcBorders>
              <w:top w:val="single" w:sz="4" w:space="0" w:color="auto"/>
              <w:left w:val="single" w:sz="4" w:space="0" w:color="auto"/>
              <w:bottom w:val="single" w:sz="4" w:space="0" w:color="auto"/>
              <w:right w:val="single" w:sz="4" w:space="0" w:color="auto"/>
            </w:tcBorders>
            <w:vAlign w:val="center"/>
          </w:tcPr>
          <w:p w14:paraId="3AD56022" w14:textId="01549746"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7,33</w:t>
            </w:r>
          </w:p>
        </w:tc>
        <w:tc>
          <w:tcPr>
            <w:tcW w:w="711" w:type="dxa"/>
            <w:tcBorders>
              <w:top w:val="single" w:sz="4" w:space="0" w:color="auto"/>
              <w:left w:val="single" w:sz="4" w:space="0" w:color="auto"/>
              <w:bottom w:val="single" w:sz="4" w:space="0" w:color="auto"/>
              <w:right w:val="single" w:sz="4" w:space="0" w:color="auto"/>
            </w:tcBorders>
            <w:vAlign w:val="center"/>
          </w:tcPr>
          <w:p w14:paraId="26D5BD5D" w14:textId="08CC629D"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7,35</w:t>
            </w:r>
          </w:p>
        </w:tc>
        <w:tc>
          <w:tcPr>
            <w:tcW w:w="777" w:type="dxa"/>
            <w:tcBorders>
              <w:top w:val="single" w:sz="4" w:space="0" w:color="auto"/>
              <w:left w:val="single" w:sz="4" w:space="0" w:color="auto"/>
              <w:bottom w:val="single" w:sz="4" w:space="0" w:color="auto"/>
              <w:right w:val="single" w:sz="4" w:space="0" w:color="auto"/>
            </w:tcBorders>
            <w:vAlign w:val="center"/>
          </w:tcPr>
          <w:p w14:paraId="70CE576C" w14:textId="1A4EF1B3"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7,38</w:t>
            </w:r>
          </w:p>
        </w:tc>
        <w:tc>
          <w:tcPr>
            <w:tcW w:w="711" w:type="dxa"/>
            <w:tcBorders>
              <w:top w:val="single" w:sz="4" w:space="0" w:color="auto"/>
              <w:left w:val="single" w:sz="4" w:space="0" w:color="auto"/>
              <w:bottom w:val="single" w:sz="4" w:space="0" w:color="auto"/>
              <w:right w:val="single" w:sz="4" w:space="0" w:color="auto"/>
            </w:tcBorders>
            <w:vAlign w:val="center"/>
          </w:tcPr>
          <w:p w14:paraId="36FCC4BE" w14:textId="158CB06E"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8,40</w:t>
            </w:r>
          </w:p>
        </w:tc>
        <w:tc>
          <w:tcPr>
            <w:tcW w:w="777" w:type="dxa"/>
            <w:tcBorders>
              <w:top w:val="single" w:sz="4" w:space="0" w:color="auto"/>
              <w:left w:val="single" w:sz="4" w:space="0" w:color="auto"/>
              <w:bottom w:val="single" w:sz="4" w:space="0" w:color="auto"/>
              <w:right w:val="single" w:sz="4" w:space="0" w:color="auto"/>
            </w:tcBorders>
            <w:vAlign w:val="center"/>
          </w:tcPr>
          <w:p w14:paraId="1A148644" w14:textId="23C3543D"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7,46</w:t>
            </w:r>
          </w:p>
        </w:tc>
        <w:tc>
          <w:tcPr>
            <w:tcW w:w="711" w:type="dxa"/>
            <w:tcBorders>
              <w:top w:val="single" w:sz="4" w:space="0" w:color="auto"/>
              <w:left w:val="single" w:sz="4" w:space="0" w:color="auto"/>
              <w:bottom w:val="single" w:sz="4" w:space="0" w:color="auto"/>
              <w:right w:val="single" w:sz="4" w:space="0" w:color="auto"/>
            </w:tcBorders>
            <w:vAlign w:val="center"/>
          </w:tcPr>
          <w:p w14:paraId="206F9EFE" w14:textId="78C09CD7"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7,46</w:t>
            </w:r>
          </w:p>
        </w:tc>
        <w:tc>
          <w:tcPr>
            <w:tcW w:w="777" w:type="dxa"/>
            <w:tcBorders>
              <w:top w:val="single" w:sz="4" w:space="0" w:color="auto"/>
              <w:left w:val="single" w:sz="4" w:space="0" w:color="auto"/>
              <w:bottom w:val="single" w:sz="4" w:space="0" w:color="auto"/>
              <w:right w:val="single" w:sz="4" w:space="0" w:color="auto"/>
            </w:tcBorders>
            <w:vAlign w:val="center"/>
          </w:tcPr>
          <w:p w14:paraId="75F3BF47" w14:textId="0822DECB"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7,54</w:t>
            </w:r>
          </w:p>
        </w:tc>
        <w:tc>
          <w:tcPr>
            <w:tcW w:w="801" w:type="dxa"/>
            <w:tcBorders>
              <w:top w:val="single" w:sz="4" w:space="0" w:color="auto"/>
              <w:left w:val="single" w:sz="4" w:space="0" w:color="auto"/>
              <w:bottom w:val="single" w:sz="4" w:space="0" w:color="auto"/>
              <w:right w:val="single" w:sz="4" w:space="0" w:color="auto"/>
            </w:tcBorders>
            <w:vAlign w:val="center"/>
          </w:tcPr>
          <w:p w14:paraId="383FDA46" w14:textId="3BD528D1"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77" w:type="dxa"/>
            <w:tcBorders>
              <w:top w:val="single" w:sz="4" w:space="0" w:color="auto"/>
              <w:left w:val="single" w:sz="4" w:space="0" w:color="auto"/>
              <w:bottom w:val="single" w:sz="4" w:space="0" w:color="auto"/>
              <w:right w:val="single" w:sz="4" w:space="0" w:color="auto"/>
            </w:tcBorders>
            <w:vAlign w:val="center"/>
          </w:tcPr>
          <w:p w14:paraId="22ADCC1A" w14:textId="16F2A0F6"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7,62</w:t>
            </w:r>
          </w:p>
        </w:tc>
        <w:tc>
          <w:tcPr>
            <w:tcW w:w="801" w:type="dxa"/>
            <w:tcBorders>
              <w:top w:val="single" w:sz="4" w:space="0" w:color="auto"/>
              <w:left w:val="single" w:sz="4" w:space="0" w:color="auto"/>
              <w:bottom w:val="single" w:sz="4" w:space="0" w:color="auto"/>
              <w:right w:val="single" w:sz="4" w:space="0" w:color="auto"/>
            </w:tcBorders>
            <w:vAlign w:val="center"/>
          </w:tcPr>
          <w:p w14:paraId="462AB34E" w14:textId="7B8BB795"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r>
      <w:tr w:rsidR="008A6DB0" w:rsidRPr="00751614" w14:paraId="5AFC31B3" w14:textId="6F2DA21B" w:rsidTr="00751614">
        <w:trPr>
          <w:jc w:val="center"/>
        </w:trPr>
        <w:tc>
          <w:tcPr>
            <w:tcW w:w="1967" w:type="dxa"/>
            <w:tcBorders>
              <w:top w:val="single" w:sz="4" w:space="0" w:color="auto"/>
              <w:left w:val="single" w:sz="4" w:space="0" w:color="auto"/>
              <w:bottom w:val="single" w:sz="4" w:space="0" w:color="auto"/>
              <w:right w:val="single" w:sz="4" w:space="0" w:color="auto"/>
            </w:tcBorders>
          </w:tcPr>
          <w:p w14:paraId="2E2BC07A" w14:textId="35B4C475" w:rsidR="008A6DB0" w:rsidRPr="00751614" w:rsidRDefault="008A6DB0" w:rsidP="008A6DB0">
            <w:pPr>
              <w:spacing w:line="228" w:lineRule="auto"/>
              <w:rPr>
                <w:rFonts w:ascii="Times New Roman" w:eastAsia="Times New Roman" w:hAnsi="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Суаруға арнал</w:t>
            </w:r>
            <w:r>
              <w:rPr>
                <w:rFonts w:ascii="Times New Roman" w:eastAsia="Times New Roman" w:hAnsi="Times New Roman" w:cs="Times New Roman"/>
                <w:kern w:val="36"/>
                <w:sz w:val="24"/>
                <w:szCs w:val="24"/>
                <w:lang w:val="kk-KZ" w:eastAsia="ru-RU"/>
              </w:rPr>
              <w:t xml:space="preserve"> </w:t>
            </w:r>
            <w:r w:rsidRPr="00751614">
              <w:rPr>
                <w:rFonts w:ascii="Times New Roman" w:eastAsia="Times New Roman" w:hAnsi="Times New Roman" w:cs="Times New Roman"/>
                <w:kern w:val="36"/>
                <w:sz w:val="24"/>
                <w:szCs w:val="24"/>
                <w:lang w:val="kk-KZ" w:eastAsia="ru-RU"/>
              </w:rPr>
              <w:t>ған су шығыны, куб.м/га</w:t>
            </w:r>
          </w:p>
        </w:tc>
        <w:tc>
          <w:tcPr>
            <w:tcW w:w="777" w:type="dxa"/>
            <w:tcBorders>
              <w:top w:val="single" w:sz="4" w:space="0" w:color="auto"/>
              <w:left w:val="single" w:sz="4" w:space="0" w:color="auto"/>
              <w:bottom w:val="single" w:sz="4" w:space="0" w:color="auto"/>
              <w:right w:val="single" w:sz="4" w:space="0" w:color="auto"/>
            </w:tcBorders>
            <w:vAlign w:val="center"/>
          </w:tcPr>
          <w:p w14:paraId="5F83C4C9" w14:textId="44BEF3BC"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8608</w:t>
            </w:r>
          </w:p>
        </w:tc>
        <w:tc>
          <w:tcPr>
            <w:tcW w:w="711" w:type="dxa"/>
            <w:tcBorders>
              <w:top w:val="single" w:sz="4" w:space="0" w:color="auto"/>
              <w:left w:val="single" w:sz="4" w:space="0" w:color="auto"/>
              <w:bottom w:val="single" w:sz="4" w:space="0" w:color="auto"/>
              <w:right w:val="single" w:sz="4" w:space="0" w:color="auto"/>
            </w:tcBorders>
            <w:vAlign w:val="center"/>
          </w:tcPr>
          <w:p w14:paraId="5D214343" w14:textId="5D9F8738" w:rsidR="008A6DB0" w:rsidRPr="00751614" w:rsidRDefault="008A6DB0" w:rsidP="008A6DB0">
            <w:pPr>
              <w:ind w:left="-91" w:right="-7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8593,0</w:t>
            </w:r>
          </w:p>
        </w:tc>
        <w:tc>
          <w:tcPr>
            <w:tcW w:w="777" w:type="dxa"/>
            <w:tcBorders>
              <w:top w:val="single" w:sz="4" w:space="0" w:color="auto"/>
              <w:left w:val="single" w:sz="4" w:space="0" w:color="auto"/>
              <w:bottom w:val="single" w:sz="4" w:space="0" w:color="auto"/>
              <w:right w:val="single" w:sz="4" w:space="0" w:color="auto"/>
            </w:tcBorders>
            <w:vAlign w:val="center"/>
          </w:tcPr>
          <w:p w14:paraId="601E3EEC" w14:textId="5856FBE2" w:rsidR="008A6DB0" w:rsidRPr="00751614" w:rsidRDefault="008A6DB0" w:rsidP="008A6DB0">
            <w:pPr>
              <w:ind w:left="-91" w:right="-7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8223</w:t>
            </w:r>
          </w:p>
        </w:tc>
        <w:tc>
          <w:tcPr>
            <w:tcW w:w="711" w:type="dxa"/>
            <w:tcBorders>
              <w:top w:val="single" w:sz="4" w:space="0" w:color="auto"/>
              <w:left w:val="single" w:sz="4" w:space="0" w:color="auto"/>
              <w:bottom w:val="single" w:sz="4" w:space="0" w:color="auto"/>
              <w:right w:val="single" w:sz="4" w:space="0" w:color="auto"/>
            </w:tcBorders>
            <w:vAlign w:val="center"/>
          </w:tcPr>
          <w:p w14:paraId="0360DEEC" w14:textId="0F027055" w:rsidR="008A6DB0" w:rsidRPr="00751614" w:rsidRDefault="008A6DB0" w:rsidP="008A6DB0">
            <w:pPr>
              <w:ind w:left="-91" w:right="-7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8209,0</w:t>
            </w:r>
          </w:p>
        </w:tc>
        <w:tc>
          <w:tcPr>
            <w:tcW w:w="777" w:type="dxa"/>
            <w:tcBorders>
              <w:top w:val="single" w:sz="4" w:space="0" w:color="auto"/>
              <w:left w:val="single" w:sz="4" w:space="0" w:color="auto"/>
              <w:bottom w:val="single" w:sz="4" w:space="0" w:color="auto"/>
              <w:right w:val="single" w:sz="4" w:space="0" w:color="auto"/>
            </w:tcBorders>
            <w:vAlign w:val="center"/>
          </w:tcPr>
          <w:p w14:paraId="3654A886" w14:textId="7306119F" w:rsidR="008A6DB0" w:rsidRPr="00751614" w:rsidRDefault="008A6DB0" w:rsidP="008A6DB0">
            <w:pPr>
              <w:ind w:left="-91" w:right="-7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7873</w:t>
            </w:r>
          </w:p>
        </w:tc>
        <w:tc>
          <w:tcPr>
            <w:tcW w:w="711" w:type="dxa"/>
            <w:tcBorders>
              <w:top w:val="single" w:sz="4" w:space="0" w:color="auto"/>
              <w:left w:val="single" w:sz="4" w:space="0" w:color="auto"/>
              <w:bottom w:val="single" w:sz="4" w:space="0" w:color="auto"/>
              <w:right w:val="single" w:sz="4" w:space="0" w:color="auto"/>
            </w:tcBorders>
            <w:vAlign w:val="center"/>
          </w:tcPr>
          <w:p w14:paraId="68D1FDA2" w14:textId="4C8C01E9" w:rsidR="008A6DB0" w:rsidRPr="00751614" w:rsidRDefault="008A6DB0" w:rsidP="008A6DB0">
            <w:pPr>
              <w:ind w:left="-91" w:right="-72"/>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7873,0</w:t>
            </w:r>
          </w:p>
        </w:tc>
        <w:tc>
          <w:tcPr>
            <w:tcW w:w="777" w:type="dxa"/>
            <w:tcBorders>
              <w:top w:val="single" w:sz="4" w:space="0" w:color="auto"/>
              <w:left w:val="single" w:sz="4" w:space="0" w:color="auto"/>
              <w:bottom w:val="single" w:sz="4" w:space="0" w:color="auto"/>
              <w:right w:val="single" w:sz="4" w:space="0" w:color="auto"/>
            </w:tcBorders>
            <w:vAlign w:val="center"/>
          </w:tcPr>
          <w:p w14:paraId="03235BA2" w14:textId="6BAED838"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7548</w:t>
            </w:r>
          </w:p>
        </w:tc>
        <w:tc>
          <w:tcPr>
            <w:tcW w:w="801" w:type="dxa"/>
            <w:tcBorders>
              <w:top w:val="single" w:sz="4" w:space="0" w:color="auto"/>
              <w:left w:val="single" w:sz="4" w:space="0" w:color="auto"/>
              <w:bottom w:val="single" w:sz="4" w:space="0" w:color="auto"/>
              <w:right w:val="single" w:sz="4" w:space="0" w:color="auto"/>
            </w:tcBorders>
            <w:vAlign w:val="center"/>
          </w:tcPr>
          <w:p w14:paraId="5A8AB087" w14:textId="3A0ED148"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c>
          <w:tcPr>
            <w:tcW w:w="777" w:type="dxa"/>
            <w:tcBorders>
              <w:top w:val="single" w:sz="4" w:space="0" w:color="auto"/>
              <w:left w:val="single" w:sz="4" w:space="0" w:color="auto"/>
              <w:bottom w:val="single" w:sz="4" w:space="0" w:color="auto"/>
              <w:right w:val="single" w:sz="4" w:space="0" w:color="auto"/>
            </w:tcBorders>
            <w:vAlign w:val="center"/>
          </w:tcPr>
          <w:p w14:paraId="24BEB492" w14:textId="6E93880F"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7348</w:t>
            </w:r>
          </w:p>
        </w:tc>
        <w:tc>
          <w:tcPr>
            <w:tcW w:w="801" w:type="dxa"/>
            <w:tcBorders>
              <w:top w:val="single" w:sz="4" w:space="0" w:color="auto"/>
              <w:left w:val="single" w:sz="4" w:space="0" w:color="auto"/>
              <w:bottom w:val="single" w:sz="4" w:space="0" w:color="auto"/>
              <w:right w:val="single" w:sz="4" w:space="0" w:color="auto"/>
            </w:tcBorders>
            <w:vAlign w:val="center"/>
          </w:tcPr>
          <w:p w14:paraId="44B0DFCB" w14:textId="657F7E43" w:rsidR="008A6DB0" w:rsidRPr="00751614" w:rsidRDefault="008A6DB0" w:rsidP="008A6DB0">
            <w:pPr>
              <w:jc w:val="center"/>
              <w:rPr>
                <w:rFonts w:ascii="Times New Roman" w:eastAsia="Times New Roman" w:hAnsi="Times New Roman" w:cs="Times New Roman"/>
                <w:kern w:val="36"/>
                <w:sz w:val="24"/>
                <w:szCs w:val="24"/>
                <w:lang w:val="kk-KZ" w:eastAsia="ru-RU"/>
              </w:rPr>
            </w:pPr>
            <w:r w:rsidRPr="00751614">
              <w:rPr>
                <w:rFonts w:ascii="Times New Roman" w:eastAsia="Times New Roman" w:hAnsi="Times New Roman" w:cs="Times New Roman"/>
                <w:kern w:val="36"/>
                <w:sz w:val="24"/>
                <w:szCs w:val="24"/>
                <w:lang w:val="kk-KZ" w:eastAsia="ru-RU"/>
              </w:rPr>
              <w:t>-</w:t>
            </w:r>
          </w:p>
        </w:tc>
      </w:tr>
      <w:tr w:rsidR="008A6DB0" w:rsidRPr="00751614" w14:paraId="4F232298" w14:textId="708FE5A4" w:rsidTr="00751614">
        <w:trPr>
          <w:jc w:val="center"/>
        </w:trPr>
        <w:tc>
          <w:tcPr>
            <w:tcW w:w="9587" w:type="dxa"/>
            <w:gridSpan w:val="11"/>
            <w:tcBorders>
              <w:top w:val="single" w:sz="4" w:space="0" w:color="auto"/>
              <w:left w:val="single" w:sz="4" w:space="0" w:color="auto"/>
              <w:bottom w:val="single" w:sz="4" w:space="0" w:color="auto"/>
              <w:right w:val="single" w:sz="4" w:space="0" w:color="auto"/>
            </w:tcBorders>
          </w:tcPr>
          <w:p w14:paraId="5B69B040" w14:textId="60DA19DE" w:rsidR="008A6DB0" w:rsidRPr="00751614" w:rsidRDefault="008A6DB0" w:rsidP="008A6DB0">
            <w:pPr>
              <w:ind w:left="177" w:firstLine="399"/>
              <w:rPr>
                <w:rFonts w:ascii="Times New Roman" w:hAnsi="Times New Roman" w:cs="Times New Roman"/>
                <w:sz w:val="24"/>
                <w:szCs w:val="24"/>
                <w:lang w:val="kk-KZ"/>
              </w:rPr>
            </w:pPr>
            <w:r w:rsidRPr="00751614">
              <w:rPr>
                <w:rFonts w:ascii="Times New Roman" w:eastAsia="Calibri" w:hAnsi="Times New Roman" w:cs="Times New Roman"/>
                <w:sz w:val="24"/>
                <w:szCs w:val="24"/>
              </w:rPr>
              <w:t>Ескерту –</w:t>
            </w:r>
            <w:r w:rsidRPr="00751614">
              <w:rPr>
                <w:rFonts w:ascii="Times New Roman" w:eastAsia="Calibri" w:hAnsi="Times New Roman" w:cs="Times New Roman"/>
                <w:bCs/>
                <w:sz w:val="24"/>
                <w:szCs w:val="24"/>
                <w:lang w:val="kk-KZ"/>
              </w:rPr>
              <w:t xml:space="preserve"> Әдебиет негізінде құралған</w:t>
            </w:r>
            <w:r w:rsidRPr="00751614">
              <w:rPr>
                <w:rFonts w:ascii="Times New Roman" w:hAnsi="Times New Roman" w:cs="Times New Roman"/>
                <w:sz w:val="24"/>
                <w:szCs w:val="24"/>
                <w:lang w:val="kk-KZ"/>
              </w:rPr>
              <w:t xml:space="preserve"> </w:t>
            </w:r>
            <w:r w:rsidRPr="00751614">
              <w:rPr>
                <w:rFonts w:ascii="Times New Roman" w:hAnsi="Times New Roman" w:cs="Times New Roman"/>
                <w:sz w:val="24"/>
                <w:szCs w:val="24"/>
                <w:lang w:val="en-US"/>
              </w:rPr>
              <w:t>[</w:t>
            </w:r>
            <w:r>
              <w:rPr>
                <w:rFonts w:ascii="Times New Roman" w:hAnsi="Times New Roman" w:cs="Times New Roman"/>
                <w:sz w:val="24"/>
                <w:szCs w:val="24"/>
                <w:lang w:val="kk-KZ"/>
              </w:rPr>
              <w:t>7, 52, 62</w:t>
            </w:r>
            <w:r w:rsidRPr="00751614">
              <w:rPr>
                <w:rFonts w:ascii="Times New Roman" w:hAnsi="Times New Roman" w:cs="Times New Roman"/>
                <w:sz w:val="24"/>
                <w:szCs w:val="24"/>
                <w:lang w:val="en-US"/>
              </w:rPr>
              <w:t xml:space="preserve">] </w:t>
            </w:r>
          </w:p>
        </w:tc>
      </w:tr>
    </w:tbl>
    <w:p w14:paraId="213BBAB8" w14:textId="6CF91B90" w:rsidR="00054253" w:rsidRPr="00F1749D" w:rsidRDefault="00F1749D" w:rsidP="00457CE9">
      <w:pPr>
        <w:pStyle w:val="a5"/>
        <w:widowControl w:val="0"/>
        <w:tabs>
          <w:tab w:val="left" w:pos="851"/>
          <w:tab w:val="left" w:pos="993"/>
        </w:tabs>
        <w:spacing w:after="0" w:line="240" w:lineRule="auto"/>
        <w:ind w:left="0" w:firstLine="709"/>
        <w:jc w:val="both"/>
        <w:rPr>
          <w:rFonts w:ascii="Times New Roman" w:eastAsia="Times New Roman" w:hAnsi="Times New Roman"/>
          <w:kern w:val="36"/>
          <w:sz w:val="16"/>
          <w:szCs w:val="16"/>
          <w:lang w:val="kk-KZ" w:eastAsia="ru-RU"/>
        </w:rPr>
      </w:pPr>
      <w:r w:rsidRPr="00F1749D">
        <w:rPr>
          <w:rFonts w:ascii="Times New Roman" w:eastAsia="Times New Roman" w:hAnsi="Times New Roman"/>
          <w:kern w:val="36"/>
          <w:sz w:val="16"/>
          <w:szCs w:val="16"/>
          <w:lang w:val="kk-KZ" w:eastAsia="ru-RU"/>
        </w:rPr>
        <w:t>*- алдын ала деректер бойынша</w:t>
      </w:r>
    </w:p>
    <w:p w14:paraId="3ED591CC" w14:textId="77777777" w:rsidR="00F1749D" w:rsidRDefault="00F1749D" w:rsidP="00457CE9">
      <w:pPr>
        <w:pStyle w:val="a5"/>
        <w:widowControl w:val="0"/>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332473E6" w14:textId="6335E20A" w:rsidR="00AD4D97" w:rsidRPr="00457CE9" w:rsidRDefault="008A6DB0" w:rsidP="008A6DB0">
      <w:pPr>
        <w:pStyle w:val="a5"/>
        <w:tabs>
          <w:tab w:val="left" w:pos="851"/>
        </w:tabs>
        <w:spacing w:after="0" w:line="240" w:lineRule="auto"/>
        <w:ind w:left="0"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 xml:space="preserve">Талданып отырған 2015-2022 жж. аралығында еңбек өнімділігі 1242,3 мың теңгеден 4500,0 мың теңгеге немесе 3,6 есеге өскен, бұл оң деп бағаланады.   </w:t>
      </w:r>
      <w:r w:rsidR="004734CC" w:rsidRPr="00457CE9">
        <w:rPr>
          <w:rFonts w:ascii="Times New Roman" w:eastAsia="Times New Roman" w:hAnsi="Times New Roman"/>
          <w:kern w:val="36"/>
          <w:sz w:val="28"/>
          <w:szCs w:val="28"/>
          <w:lang w:val="kk-KZ" w:eastAsia="ru-RU"/>
        </w:rPr>
        <w:t xml:space="preserve">Оның өсуіне ауыл шаруашылығы өнімдерінің ЖІӨ-нің өсуі мен ауыл шаруашылығында еңбекпен қамтылған халық санының азаюынан болған деуге болады. </w:t>
      </w:r>
      <w:r w:rsidR="0038270D" w:rsidRPr="00457CE9">
        <w:rPr>
          <w:rFonts w:ascii="Times New Roman" w:eastAsia="Times New Roman" w:hAnsi="Times New Roman"/>
          <w:kern w:val="36"/>
          <w:sz w:val="28"/>
          <w:szCs w:val="28"/>
          <w:lang w:val="kk-KZ" w:eastAsia="ru-RU"/>
        </w:rPr>
        <w:t>2</w:t>
      </w:r>
      <w:r w:rsidR="007F5D1B">
        <w:rPr>
          <w:rFonts w:ascii="Times New Roman" w:eastAsia="Times New Roman" w:hAnsi="Times New Roman"/>
          <w:kern w:val="36"/>
          <w:sz w:val="28"/>
          <w:szCs w:val="28"/>
          <w:lang w:val="kk-KZ" w:eastAsia="ru-RU"/>
        </w:rPr>
        <w:t>6</w:t>
      </w:r>
      <w:r w:rsidR="0038270D" w:rsidRPr="00457CE9">
        <w:rPr>
          <w:rFonts w:ascii="Times New Roman" w:eastAsia="Times New Roman" w:hAnsi="Times New Roman"/>
          <w:kern w:val="36"/>
          <w:sz w:val="28"/>
          <w:szCs w:val="28"/>
          <w:lang w:val="kk-KZ" w:eastAsia="ru-RU"/>
        </w:rPr>
        <w:t xml:space="preserve">-кестеден </w:t>
      </w:r>
      <w:r w:rsidR="00AD4D97" w:rsidRPr="00457CE9">
        <w:rPr>
          <w:rFonts w:ascii="Times New Roman" w:eastAsia="Times New Roman" w:hAnsi="Times New Roman"/>
          <w:kern w:val="36"/>
          <w:sz w:val="28"/>
          <w:szCs w:val="28"/>
          <w:lang w:val="kk-KZ" w:eastAsia="ru-RU"/>
        </w:rPr>
        <w:t>ҚР АӨК 2017-2021 жж. дамытуға бағытталған мемлекеттік бағдарламаны іске асыру</w:t>
      </w:r>
      <w:r w:rsidR="00C03472" w:rsidRPr="00457CE9">
        <w:rPr>
          <w:rFonts w:ascii="Times New Roman" w:eastAsia="Times New Roman" w:hAnsi="Times New Roman"/>
          <w:kern w:val="36"/>
          <w:sz w:val="28"/>
          <w:szCs w:val="28"/>
          <w:lang w:val="kk-KZ" w:eastAsia="ru-RU"/>
        </w:rPr>
        <w:t xml:space="preserve"> нәтижесінде анықталған нысаналы индикаторлардың жоспарлы және нақты көрсеткіштері салыстырылып келтірілген, және оның</w:t>
      </w:r>
      <w:r w:rsidR="00AD4D97" w:rsidRPr="00457CE9">
        <w:rPr>
          <w:rFonts w:ascii="Times New Roman" w:eastAsia="Times New Roman" w:hAnsi="Times New Roman"/>
          <w:kern w:val="36"/>
          <w:sz w:val="28"/>
          <w:szCs w:val="28"/>
          <w:lang w:val="kk-KZ" w:eastAsia="ru-RU"/>
        </w:rPr>
        <w:t xml:space="preserve"> әлеуметтік-экономикалық ықпалы</w:t>
      </w:r>
      <w:r w:rsidR="0002031B" w:rsidRPr="00457CE9">
        <w:rPr>
          <w:rFonts w:ascii="Times New Roman" w:eastAsia="Times New Roman" w:hAnsi="Times New Roman"/>
          <w:kern w:val="36"/>
          <w:sz w:val="28"/>
          <w:szCs w:val="28"/>
          <w:lang w:val="kk-KZ" w:eastAsia="ru-RU"/>
        </w:rPr>
        <w:t>н</w:t>
      </w:r>
      <w:r w:rsidR="00AD4D97" w:rsidRPr="00457CE9">
        <w:rPr>
          <w:rFonts w:ascii="Times New Roman" w:eastAsia="Times New Roman" w:hAnsi="Times New Roman"/>
          <w:kern w:val="36"/>
          <w:sz w:val="28"/>
          <w:szCs w:val="28"/>
          <w:lang w:val="kk-KZ" w:eastAsia="ru-RU"/>
        </w:rPr>
        <w:t xml:space="preserve"> келесідей деп бағалаға</w:t>
      </w:r>
      <w:r w:rsidR="0002031B" w:rsidRPr="00457CE9">
        <w:rPr>
          <w:rFonts w:ascii="Times New Roman" w:eastAsia="Times New Roman" w:hAnsi="Times New Roman"/>
          <w:kern w:val="36"/>
          <w:sz w:val="28"/>
          <w:szCs w:val="28"/>
          <w:lang w:val="kk-KZ" w:eastAsia="ru-RU"/>
        </w:rPr>
        <w:t>уға</w:t>
      </w:r>
      <w:r w:rsidR="00AD4D97" w:rsidRPr="00457CE9">
        <w:rPr>
          <w:rFonts w:ascii="Times New Roman" w:eastAsia="Times New Roman" w:hAnsi="Times New Roman"/>
          <w:kern w:val="36"/>
          <w:sz w:val="28"/>
          <w:szCs w:val="28"/>
          <w:lang w:val="kk-KZ" w:eastAsia="ru-RU"/>
        </w:rPr>
        <w:t>:</w:t>
      </w:r>
    </w:p>
    <w:p w14:paraId="187F1673" w14:textId="02078F28" w:rsidR="00AD4D97" w:rsidRPr="00457CE9" w:rsidRDefault="008A6DB0" w:rsidP="0097172E">
      <w:pPr>
        <w:pStyle w:val="a5"/>
        <w:numPr>
          <w:ilvl w:val="0"/>
          <w:numId w:val="65"/>
        </w:numPr>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ж</w:t>
      </w:r>
      <w:r w:rsidR="00AD4D97" w:rsidRPr="00457CE9">
        <w:rPr>
          <w:rFonts w:ascii="Times New Roman" w:eastAsia="Times New Roman" w:hAnsi="Times New Roman"/>
          <w:kern w:val="36"/>
          <w:sz w:val="28"/>
          <w:szCs w:val="28"/>
          <w:lang w:val="kk-KZ" w:eastAsia="ru-RU"/>
        </w:rPr>
        <w:t>оспар бойынша 5 жылда АӨК-де еңбек өнімділігін және қайта өңделген ауыл шаруашылық өнім экспортын 2,5 есе ұлғайту мақсат ретінде қойылған</w:t>
      </w:r>
      <w:r>
        <w:rPr>
          <w:rFonts w:ascii="Times New Roman" w:eastAsia="Times New Roman" w:hAnsi="Times New Roman"/>
          <w:kern w:val="36"/>
          <w:sz w:val="28"/>
          <w:szCs w:val="28"/>
          <w:lang w:val="kk-KZ" w:eastAsia="ru-RU"/>
        </w:rPr>
        <w:t>;</w:t>
      </w:r>
      <w:r w:rsidR="00AD4D97" w:rsidRPr="00457CE9">
        <w:rPr>
          <w:rFonts w:ascii="Times New Roman" w:eastAsia="Times New Roman" w:hAnsi="Times New Roman"/>
          <w:kern w:val="36"/>
          <w:sz w:val="28"/>
          <w:szCs w:val="28"/>
          <w:lang w:val="kk-KZ" w:eastAsia="ru-RU"/>
        </w:rPr>
        <w:t xml:space="preserve"> </w:t>
      </w:r>
    </w:p>
    <w:p w14:paraId="3EC8AAB6" w14:textId="1219EE2F" w:rsidR="008226EB" w:rsidRPr="00457CE9" w:rsidRDefault="008A6DB0" w:rsidP="0097172E">
      <w:pPr>
        <w:pStyle w:val="a5"/>
        <w:numPr>
          <w:ilvl w:val="0"/>
          <w:numId w:val="65"/>
        </w:numPr>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н</w:t>
      </w:r>
      <w:r w:rsidR="00AD4D97" w:rsidRPr="00457CE9">
        <w:rPr>
          <w:rFonts w:ascii="Times New Roman" w:eastAsia="Times New Roman" w:hAnsi="Times New Roman"/>
          <w:kern w:val="36"/>
          <w:sz w:val="28"/>
          <w:szCs w:val="28"/>
          <w:lang w:val="kk-KZ" w:eastAsia="ru-RU"/>
        </w:rPr>
        <w:t xml:space="preserve">ақты ауыл шаруашылығындағы еңбек өнімділігі </w:t>
      </w:r>
      <w:r w:rsidR="001B6DFD" w:rsidRPr="00457CE9">
        <w:rPr>
          <w:rFonts w:ascii="Times New Roman" w:eastAsia="Times New Roman" w:hAnsi="Times New Roman"/>
          <w:kern w:val="36"/>
          <w:sz w:val="28"/>
          <w:szCs w:val="28"/>
          <w:lang w:val="kk-KZ" w:eastAsia="ru-RU"/>
        </w:rPr>
        <w:t>7</w:t>
      </w:r>
      <w:r w:rsidR="00AD4D97" w:rsidRPr="00457CE9">
        <w:rPr>
          <w:rFonts w:ascii="Times New Roman" w:eastAsia="Times New Roman" w:hAnsi="Times New Roman"/>
          <w:kern w:val="36"/>
          <w:sz w:val="28"/>
          <w:szCs w:val="28"/>
          <w:lang w:val="kk-KZ" w:eastAsia="ru-RU"/>
        </w:rPr>
        <w:t xml:space="preserve"> жылда орташа өсу пайызы 118 пайыз</w:t>
      </w:r>
      <w:r w:rsidR="001B6DFD" w:rsidRPr="00457CE9">
        <w:rPr>
          <w:rFonts w:ascii="Times New Roman" w:eastAsia="Times New Roman" w:hAnsi="Times New Roman"/>
          <w:kern w:val="36"/>
          <w:sz w:val="28"/>
          <w:szCs w:val="28"/>
          <w:lang w:val="kk-KZ" w:eastAsia="ru-RU"/>
        </w:rPr>
        <w:t>ға тең болды</w:t>
      </w:r>
      <w:r w:rsidR="00AD4D97" w:rsidRPr="00457CE9">
        <w:rPr>
          <w:rFonts w:ascii="Times New Roman" w:eastAsia="Times New Roman" w:hAnsi="Times New Roman"/>
          <w:kern w:val="36"/>
          <w:sz w:val="28"/>
          <w:szCs w:val="28"/>
          <w:lang w:val="kk-KZ" w:eastAsia="ru-RU"/>
        </w:rPr>
        <w:t xml:space="preserve">, 2020 жылы ол </w:t>
      </w:r>
      <w:r w:rsidR="008226EB" w:rsidRPr="00457CE9">
        <w:rPr>
          <w:rFonts w:ascii="Times New Roman" w:eastAsia="Times New Roman" w:hAnsi="Times New Roman"/>
          <w:kern w:val="36"/>
          <w:sz w:val="28"/>
          <w:szCs w:val="28"/>
          <w:lang w:val="kk-KZ" w:eastAsia="ru-RU"/>
        </w:rPr>
        <w:t>3</w:t>
      </w:r>
      <w:r w:rsidR="00AD4D97" w:rsidRPr="00457CE9">
        <w:rPr>
          <w:rFonts w:ascii="Times New Roman" w:eastAsia="Times New Roman" w:hAnsi="Times New Roman"/>
          <w:kern w:val="36"/>
          <w:sz w:val="28"/>
          <w:szCs w:val="28"/>
          <w:lang w:val="kk-KZ" w:eastAsia="ru-RU"/>
        </w:rPr>
        <w:t>,</w:t>
      </w:r>
      <w:r w:rsidR="008226EB" w:rsidRPr="00457CE9">
        <w:rPr>
          <w:rFonts w:ascii="Times New Roman" w:eastAsia="Times New Roman" w:hAnsi="Times New Roman"/>
          <w:kern w:val="36"/>
          <w:sz w:val="28"/>
          <w:szCs w:val="28"/>
          <w:lang w:val="kk-KZ" w:eastAsia="ru-RU"/>
        </w:rPr>
        <w:t>0</w:t>
      </w:r>
      <w:r w:rsidR="00AD4D97" w:rsidRPr="00457CE9">
        <w:rPr>
          <w:rFonts w:ascii="Times New Roman" w:eastAsia="Times New Roman" w:hAnsi="Times New Roman"/>
          <w:kern w:val="36"/>
          <w:sz w:val="28"/>
          <w:szCs w:val="28"/>
          <w:lang w:val="kk-KZ" w:eastAsia="ru-RU"/>
        </w:rPr>
        <w:t xml:space="preserve"> млн. теңгені, 2021 жылы 3,</w:t>
      </w:r>
      <w:r w:rsidR="008226EB" w:rsidRPr="00457CE9">
        <w:rPr>
          <w:rFonts w:ascii="Times New Roman" w:eastAsia="Times New Roman" w:hAnsi="Times New Roman"/>
          <w:kern w:val="36"/>
          <w:sz w:val="28"/>
          <w:szCs w:val="28"/>
          <w:lang w:val="kk-KZ" w:eastAsia="ru-RU"/>
        </w:rPr>
        <w:t>3</w:t>
      </w:r>
      <w:r w:rsidR="008B76C0">
        <w:rPr>
          <w:rFonts w:ascii="Times New Roman" w:eastAsia="Times New Roman" w:hAnsi="Times New Roman"/>
          <w:kern w:val="36"/>
          <w:sz w:val="28"/>
          <w:szCs w:val="28"/>
          <w:lang w:val="kk-KZ" w:eastAsia="ru-RU"/>
        </w:rPr>
        <w:t> </w:t>
      </w:r>
      <w:r w:rsidR="00AD4D97" w:rsidRPr="00457CE9">
        <w:rPr>
          <w:rFonts w:ascii="Times New Roman" w:eastAsia="Times New Roman" w:hAnsi="Times New Roman"/>
          <w:kern w:val="36"/>
          <w:sz w:val="28"/>
          <w:szCs w:val="28"/>
          <w:lang w:val="kk-KZ" w:eastAsia="ru-RU"/>
        </w:rPr>
        <w:t xml:space="preserve">млн. теңгені </w:t>
      </w:r>
      <w:r w:rsidR="008226EB" w:rsidRPr="00457CE9">
        <w:rPr>
          <w:rFonts w:ascii="Times New Roman" w:eastAsia="Times New Roman" w:hAnsi="Times New Roman"/>
          <w:kern w:val="36"/>
          <w:sz w:val="28"/>
          <w:szCs w:val="28"/>
          <w:lang w:val="kk-KZ" w:eastAsia="ru-RU"/>
        </w:rPr>
        <w:t>құраған</w:t>
      </w:r>
      <w:r w:rsidR="00AD4D97" w:rsidRPr="00457CE9">
        <w:rPr>
          <w:rFonts w:ascii="Times New Roman" w:eastAsia="Times New Roman" w:hAnsi="Times New Roman"/>
          <w:kern w:val="36"/>
          <w:sz w:val="28"/>
          <w:szCs w:val="28"/>
          <w:lang w:val="kk-KZ" w:eastAsia="ru-RU"/>
        </w:rPr>
        <w:t xml:space="preserve">, яғни, бұл стратегиялық көрсеткіштен 3,7 млн. теңгеден </w:t>
      </w:r>
      <w:r w:rsidR="008226EB" w:rsidRPr="00457CE9">
        <w:rPr>
          <w:rFonts w:ascii="Times New Roman" w:eastAsia="Times New Roman" w:hAnsi="Times New Roman"/>
          <w:kern w:val="36"/>
          <w:sz w:val="28"/>
          <w:szCs w:val="28"/>
          <w:lang w:val="kk-KZ" w:eastAsia="ru-RU"/>
        </w:rPr>
        <w:t>4</w:t>
      </w:r>
      <w:r w:rsidR="00AD4D97" w:rsidRPr="00457CE9">
        <w:rPr>
          <w:rFonts w:ascii="Times New Roman" w:eastAsia="Times New Roman" w:hAnsi="Times New Roman"/>
          <w:kern w:val="36"/>
          <w:sz w:val="28"/>
          <w:szCs w:val="28"/>
          <w:lang w:val="kk-KZ" w:eastAsia="ru-RU"/>
        </w:rPr>
        <w:t>00,0 мың теңгеге төмен</w:t>
      </w:r>
      <w:r>
        <w:rPr>
          <w:rFonts w:ascii="Times New Roman" w:eastAsia="Times New Roman" w:hAnsi="Times New Roman"/>
          <w:kern w:val="36"/>
          <w:sz w:val="28"/>
          <w:szCs w:val="28"/>
          <w:lang w:val="kk-KZ" w:eastAsia="ru-RU"/>
        </w:rPr>
        <w:t>;</w:t>
      </w:r>
      <w:r w:rsidR="00061F2F" w:rsidRPr="00457CE9">
        <w:rPr>
          <w:rFonts w:ascii="Times New Roman" w:eastAsia="Times New Roman" w:hAnsi="Times New Roman"/>
          <w:kern w:val="36"/>
          <w:sz w:val="28"/>
          <w:szCs w:val="28"/>
          <w:lang w:val="kk-KZ" w:eastAsia="ru-RU"/>
        </w:rPr>
        <w:t xml:space="preserve"> </w:t>
      </w:r>
      <w:r w:rsidR="00AD4D97" w:rsidRPr="00457CE9">
        <w:rPr>
          <w:rFonts w:ascii="Times New Roman" w:eastAsia="Times New Roman" w:hAnsi="Times New Roman"/>
          <w:kern w:val="36"/>
          <w:sz w:val="28"/>
          <w:szCs w:val="28"/>
          <w:lang w:val="kk-KZ" w:eastAsia="ru-RU"/>
        </w:rPr>
        <w:t xml:space="preserve"> </w:t>
      </w:r>
    </w:p>
    <w:p w14:paraId="5E8CEFB9" w14:textId="4D79CC8C" w:rsidR="00AD4D97" w:rsidRPr="00457CE9" w:rsidRDefault="00AD4D97" w:rsidP="0097172E">
      <w:pPr>
        <w:pStyle w:val="a5"/>
        <w:numPr>
          <w:ilvl w:val="0"/>
          <w:numId w:val="65"/>
        </w:numPr>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2021 ж</w:t>
      </w:r>
      <w:r w:rsidR="001B6DFD" w:rsidRPr="00457CE9">
        <w:rPr>
          <w:rFonts w:ascii="Times New Roman" w:eastAsia="Times New Roman" w:hAnsi="Times New Roman"/>
          <w:kern w:val="36"/>
          <w:sz w:val="28"/>
          <w:szCs w:val="28"/>
          <w:lang w:val="kk-KZ" w:eastAsia="ru-RU"/>
        </w:rPr>
        <w:t>ылы</w:t>
      </w:r>
      <w:r w:rsidRPr="00457CE9">
        <w:rPr>
          <w:rFonts w:ascii="Times New Roman" w:eastAsia="Times New Roman" w:hAnsi="Times New Roman"/>
          <w:kern w:val="36"/>
          <w:sz w:val="28"/>
          <w:szCs w:val="28"/>
          <w:lang w:val="kk-KZ" w:eastAsia="ru-RU"/>
        </w:rPr>
        <w:t xml:space="preserve"> болжау бойынша қайта өңделген ауыл шаруашылық өнімнің экспорты бойынша 4 жылда </w:t>
      </w:r>
      <w:r w:rsidR="001B6DFD" w:rsidRPr="00457CE9">
        <w:rPr>
          <w:rFonts w:ascii="Times New Roman" w:eastAsia="Times New Roman" w:hAnsi="Times New Roman"/>
          <w:kern w:val="36"/>
          <w:sz w:val="28"/>
          <w:szCs w:val="28"/>
          <w:lang w:val="kk-KZ" w:eastAsia="ru-RU"/>
        </w:rPr>
        <w:t>9,5</w:t>
      </w:r>
      <w:r w:rsidRPr="00457CE9">
        <w:rPr>
          <w:rFonts w:ascii="Times New Roman" w:eastAsia="Times New Roman" w:hAnsi="Times New Roman"/>
          <w:kern w:val="36"/>
          <w:sz w:val="28"/>
          <w:szCs w:val="28"/>
          <w:lang w:val="kk-KZ" w:eastAsia="ru-RU"/>
        </w:rPr>
        <w:t xml:space="preserve"> пайызға ғана өскендіктен </w:t>
      </w:r>
      <w:r w:rsidR="001B6DFD" w:rsidRPr="00457CE9">
        <w:rPr>
          <w:rFonts w:ascii="Times New Roman" w:eastAsia="Times New Roman" w:hAnsi="Times New Roman"/>
          <w:kern w:val="36"/>
          <w:sz w:val="28"/>
          <w:szCs w:val="28"/>
          <w:lang w:val="kk-KZ" w:eastAsia="ru-RU"/>
        </w:rPr>
        <w:t>2021 жылы</w:t>
      </w:r>
      <w:r w:rsidRPr="00457CE9">
        <w:rPr>
          <w:rFonts w:ascii="Times New Roman" w:eastAsia="Times New Roman" w:hAnsi="Times New Roman"/>
          <w:kern w:val="36"/>
          <w:sz w:val="28"/>
          <w:szCs w:val="28"/>
          <w:lang w:val="kk-KZ" w:eastAsia="ru-RU"/>
        </w:rPr>
        <w:t xml:space="preserve"> жоспарлы 2400,0 млн. АҚШ долларына, яғни екі есеге өсуі мүмкін емес деп саналады. 201</w:t>
      </w:r>
      <w:r w:rsidR="001B6DFD" w:rsidRPr="00457CE9">
        <w:rPr>
          <w:rFonts w:ascii="Times New Roman" w:eastAsia="Times New Roman" w:hAnsi="Times New Roman"/>
          <w:kern w:val="36"/>
          <w:sz w:val="28"/>
          <w:szCs w:val="28"/>
          <w:lang w:val="kk-KZ" w:eastAsia="ru-RU"/>
        </w:rPr>
        <w:t>7</w:t>
      </w:r>
      <w:r w:rsidRPr="00457CE9">
        <w:rPr>
          <w:rFonts w:ascii="Times New Roman" w:eastAsia="Times New Roman" w:hAnsi="Times New Roman"/>
          <w:kern w:val="36"/>
          <w:sz w:val="28"/>
          <w:szCs w:val="28"/>
          <w:lang w:val="kk-KZ" w:eastAsia="ru-RU"/>
        </w:rPr>
        <w:t>-20</w:t>
      </w:r>
      <w:r w:rsidR="001B6DFD" w:rsidRPr="00457CE9">
        <w:rPr>
          <w:rFonts w:ascii="Times New Roman" w:eastAsia="Times New Roman" w:hAnsi="Times New Roman"/>
          <w:kern w:val="36"/>
          <w:sz w:val="28"/>
          <w:szCs w:val="28"/>
          <w:lang w:val="kk-KZ" w:eastAsia="ru-RU"/>
        </w:rPr>
        <w:t>21</w:t>
      </w:r>
      <w:r w:rsidRPr="00457CE9">
        <w:rPr>
          <w:rFonts w:ascii="Times New Roman" w:eastAsia="Times New Roman" w:hAnsi="Times New Roman"/>
          <w:kern w:val="36"/>
          <w:sz w:val="28"/>
          <w:szCs w:val="28"/>
          <w:lang w:val="kk-KZ" w:eastAsia="ru-RU"/>
        </w:rPr>
        <w:t xml:space="preserve"> жж. еңбек өнімділігінің өсімі байқалады, 20</w:t>
      </w:r>
      <w:r w:rsidR="003248CF" w:rsidRPr="00457CE9">
        <w:rPr>
          <w:rFonts w:ascii="Times New Roman" w:eastAsia="Times New Roman" w:hAnsi="Times New Roman"/>
          <w:kern w:val="36"/>
          <w:sz w:val="28"/>
          <w:szCs w:val="28"/>
          <w:lang w:val="kk-KZ" w:eastAsia="ru-RU"/>
        </w:rPr>
        <w:t>21</w:t>
      </w:r>
      <w:r w:rsidRPr="00457CE9">
        <w:rPr>
          <w:rFonts w:ascii="Times New Roman" w:eastAsia="Times New Roman" w:hAnsi="Times New Roman"/>
          <w:kern w:val="36"/>
          <w:sz w:val="28"/>
          <w:szCs w:val="28"/>
          <w:lang w:val="kk-KZ" w:eastAsia="ru-RU"/>
        </w:rPr>
        <w:t xml:space="preserve"> жылы 2015 базалық жылмен салыстырғанда </w:t>
      </w:r>
      <w:r w:rsidR="003248CF" w:rsidRPr="00457CE9">
        <w:rPr>
          <w:rFonts w:ascii="Times New Roman" w:eastAsia="Times New Roman" w:hAnsi="Times New Roman"/>
          <w:kern w:val="36"/>
          <w:sz w:val="28"/>
          <w:szCs w:val="28"/>
          <w:lang w:val="kk-KZ" w:eastAsia="ru-RU"/>
        </w:rPr>
        <w:t>268</w:t>
      </w:r>
      <w:r w:rsidRPr="00457CE9">
        <w:rPr>
          <w:rFonts w:ascii="Times New Roman" w:eastAsia="Times New Roman" w:hAnsi="Times New Roman"/>
          <w:kern w:val="36"/>
          <w:sz w:val="28"/>
          <w:szCs w:val="28"/>
          <w:lang w:val="kk-KZ" w:eastAsia="ru-RU"/>
        </w:rPr>
        <w:t xml:space="preserve"> пайызға өскен</w:t>
      </w:r>
      <w:r w:rsidR="008A6DB0">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w:t>
      </w:r>
    </w:p>
    <w:p w14:paraId="67C3A980" w14:textId="77777777" w:rsidR="008A6DB0" w:rsidRDefault="008A6DB0" w:rsidP="0097172E">
      <w:pPr>
        <w:pStyle w:val="a5"/>
        <w:numPr>
          <w:ilvl w:val="0"/>
          <w:numId w:val="65"/>
        </w:numPr>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8A6DB0">
        <w:rPr>
          <w:rFonts w:ascii="Times New Roman" w:eastAsia="Times New Roman" w:hAnsi="Times New Roman"/>
          <w:kern w:val="36"/>
          <w:sz w:val="28"/>
          <w:szCs w:val="28"/>
          <w:lang w:val="kk-KZ" w:eastAsia="ru-RU"/>
        </w:rPr>
        <w:t>а</w:t>
      </w:r>
      <w:r w:rsidR="00061F2F" w:rsidRPr="008A6DB0">
        <w:rPr>
          <w:rFonts w:ascii="Times New Roman" w:eastAsia="Times New Roman" w:hAnsi="Times New Roman"/>
          <w:kern w:val="36"/>
          <w:sz w:val="28"/>
          <w:szCs w:val="28"/>
          <w:lang w:val="kk-KZ" w:eastAsia="ru-RU"/>
        </w:rPr>
        <w:t xml:space="preserve">зық-түлік өнімдерінің импортын </w:t>
      </w:r>
      <w:r w:rsidR="00595392" w:rsidRPr="008A6DB0">
        <w:rPr>
          <w:rFonts w:ascii="Times New Roman" w:eastAsia="Times New Roman" w:hAnsi="Times New Roman"/>
          <w:kern w:val="36"/>
          <w:sz w:val="28"/>
          <w:szCs w:val="28"/>
          <w:lang w:val="kk-KZ" w:eastAsia="ru-RU"/>
        </w:rPr>
        <w:t xml:space="preserve">орташа 5 пайызға </w:t>
      </w:r>
      <w:r w:rsidR="00061F2F" w:rsidRPr="008A6DB0">
        <w:rPr>
          <w:rFonts w:ascii="Times New Roman" w:eastAsia="Times New Roman" w:hAnsi="Times New Roman"/>
          <w:kern w:val="36"/>
          <w:sz w:val="28"/>
          <w:szCs w:val="28"/>
          <w:lang w:val="kk-KZ" w:eastAsia="ru-RU"/>
        </w:rPr>
        <w:t>төмендету</w:t>
      </w:r>
      <w:r w:rsidR="00595392" w:rsidRPr="008A6DB0">
        <w:rPr>
          <w:rFonts w:ascii="Times New Roman" w:eastAsia="Times New Roman" w:hAnsi="Times New Roman"/>
          <w:kern w:val="36"/>
          <w:sz w:val="28"/>
          <w:szCs w:val="28"/>
          <w:lang w:val="kk-KZ" w:eastAsia="ru-RU"/>
        </w:rPr>
        <w:t xml:space="preserve"> қарастырылса</w:t>
      </w:r>
      <w:r w:rsidR="00061F2F" w:rsidRPr="008A6DB0">
        <w:rPr>
          <w:rFonts w:ascii="Times New Roman" w:eastAsia="Times New Roman" w:hAnsi="Times New Roman"/>
          <w:kern w:val="36"/>
          <w:sz w:val="28"/>
          <w:szCs w:val="28"/>
          <w:lang w:val="kk-KZ" w:eastAsia="ru-RU"/>
        </w:rPr>
        <w:t xml:space="preserve">, экспортын </w:t>
      </w:r>
      <w:r w:rsidR="00595392" w:rsidRPr="008A6DB0">
        <w:rPr>
          <w:rFonts w:ascii="Times New Roman" w:eastAsia="Times New Roman" w:hAnsi="Times New Roman"/>
          <w:kern w:val="36"/>
          <w:sz w:val="28"/>
          <w:szCs w:val="28"/>
          <w:lang w:val="kk-KZ" w:eastAsia="ru-RU"/>
        </w:rPr>
        <w:t xml:space="preserve">2,5 есе </w:t>
      </w:r>
      <w:r w:rsidR="00061F2F" w:rsidRPr="008A6DB0">
        <w:rPr>
          <w:rFonts w:ascii="Times New Roman" w:eastAsia="Times New Roman" w:hAnsi="Times New Roman"/>
          <w:kern w:val="36"/>
          <w:sz w:val="28"/>
          <w:szCs w:val="28"/>
          <w:lang w:val="kk-KZ" w:eastAsia="ru-RU"/>
        </w:rPr>
        <w:t>жоғарылату ретінде нысаналы индикаторлар қойылғанымен, керісінше импорт көлемі</w:t>
      </w:r>
      <w:r w:rsidR="00595392" w:rsidRPr="008A6DB0">
        <w:rPr>
          <w:rFonts w:ascii="Times New Roman" w:eastAsia="Times New Roman" w:hAnsi="Times New Roman"/>
          <w:kern w:val="36"/>
          <w:sz w:val="28"/>
          <w:szCs w:val="28"/>
          <w:lang w:val="kk-KZ" w:eastAsia="ru-RU"/>
        </w:rPr>
        <w:t xml:space="preserve"> орташа 104,5 пайызға </w:t>
      </w:r>
      <w:r w:rsidR="00061F2F" w:rsidRPr="008A6DB0">
        <w:rPr>
          <w:rFonts w:ascii="Times New Roman" w:eastAsia="Times New Roman" w:hAnsi="Times New Roman"/>
          <w:kern w:val="36"/>
          <w:sz w:val="28"/>
          <w:szCs w:val="28"/>
          <w:lang w:val="kk-KZ" w:eastAsia="ru-RU"/>
        </w:rPr>
        <w:t xml:space="preserve"> өсіп,</w:t>
      </w:r>
      <w:r w:rsidR="005C5EC4" w:rsidRPr="008A6DB0">
        <w:rPr>
          <w:rFonts w:ascii="Times New Roman" w:eastAsia="Times New Roman" w:hAnsi="Times New Roman"/>
          <w:kern w:val="36"/>
          <w:sz w:val="28"/>
          <w:szCs w:val="28"/>
          <w:lang w:val="kk-KZ" w:eastAsia="ru-RU"/>
        </w:rPr>
        <w:t xml:space="preserve"> болжамды 2021 жылы 3601 млн. АҚШ долларын құрауы мүмкін деуге болады, азық-түліктің</w:t>
      </w:r>
      <w:r w:rsidR="00061F2F" w:rsidRPr="008A6DB0">
        <w:rPr>
          <w:rFonts w:ascii="Times New Roman" w:eastAsia="Times New Roman" w:hAnsi="Times New Roman"/>
          <w:kern w:val="36"/>
          <w:sz w:val="28"/>
          <w:szCs w:val="28"/>
          <w:lang w:val="kk-KZ" w:eastAsia="ru-RU"/>
        </w:rPr>
        <w:t xml:space="preserve"> э</w:t>
      </w:r>
      <w:r w:rsidR="00595392" w:rsidRPr="008A6DB0">
        <w:rPr>
          <w:rFonts w:ascii="Times New Roman" w:eastAsia="Times New Roman" w:hAnsi="Times New Roman"/>
          <w:kern w:val="36"/>
          <w:sz w:val="28"/>
          <w:szCs w:val="28"/>
          <w:lang w:val="kk-KZ" w:eastAsia="ru-RU"/>
        </w:rPr>
        <w:t>кспорт көлемі жыл сайын 107 пайызға ғана өсіп отырған</w:t>
      </w:r>
      <w:r w:rsidRPr="008A6DB0">
        <w:rPr>
          <w:rFonts w:ascii="Times New Roman" w:eastAsia="Times New Roman" w:hAnsi="Times New Roman"/>
          <w:kern w:val="36"/>
          <w:sz w:val="28"/>
          <w:szCs w:val="28"/>
          <w:lang w:val="kk-KZ" w:eastAsia="ru-RU"/>
        </w:rPr>
        <w:t>;</w:t>
      </w:r>
    </w:p>
    <w:p w14:paraId="7DC9E9C1" w14:textId="7C33BC17" w:rsidR="00595392" w:rsidRPr="008A6DB0" w:rsidRDefault="00595392" w:rsidP="0097172E">
      <w:pPr>
        <w:pStyle w:val="a5"/>
        <w:numPr>
          <w:ilvl w:val="0"/>
          <w:numId w:val="65"/>
        </w:numPr>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8A6DB0">
        <w:rPr>
          <w:rFonts w:ascii="Times New Roman" w:eastAsia="Times New Roman" w:hAnsi="Times New Roman"/>
          <w:kern w:val="36"/>
          <w:sz w:val="28"/>
          <w:szCs w:val="28"/>
          <w:lang w:val="kk-KZ" w:eastAsia="ru-RU"/>
        </w:rPr>
        <w:t xml:space="preserve">2015 жылдың деңгейіне ауыл шаруашылығындағы негізгі капиталға салынған инвестициялардың нақты көлем индексі 2021 жылы 416,6 пайызды құраған, бұл жоспарлы көрсеткіштен төмен, дегенмен </w:t>
      </w:r>
      <w:r w:rsidR="00EF0E09" w:rsidRPr="008A6DB0">
        <w:rPr>
          <w:rFonts w:ascii="Times New Roman" w:eastAsia="Times New Roman" w:hAnsi="Times New Roman"/>
          <w:kern w:val="36"/>
          <w:sz w:val="28"/>
          <w:szCs w:val="28"/>
          <w:lang w:val="kk-KZ" w:eastAsia="ru-RU"/>
        </w:rPr>
        <w:t xml:space="preserve">негізгі капиталға қомақты инвестициялар </w:t>
      </w:r>
      <w:r w:rsidR="00670642" w:rsidRPr="008A6DB0">
        <w:rPr>
          <w:rFonts w:ascii="Times New Roman" w:eastAsia="Times New Roman" w:hAnsi="Times New Roman"/>
          <w:kern w:val="36"/>
          <w:sz w:val="28"/>
          <w:szCs w:val="28"/>
          <w:lang w:val="kk-KZ" w:eastAsia="ru-RU"/>
        </w:rPr>
        <w:t xml:space="preserve">бюджет қаражаты есебінен </w:t>
      </w:r>
      <w:r w:rsidR="00EF0E09" w:rsidRPr="008A6DB0">
        <w:rPr>
          <w:rFonts w:ascii="Times New Roman" w:eastAsia="Times New Roman" w:hAnsi="Times New Roman"/>
          <w:kern w:val="36"/>
          <w:sz w:val="28"/>
          <w:szCs w:val="28"/>
          <w:lang w:val="kk-KZ" w:eastAsia="ru-RU"/>
        </w:rPr>
        <w:t xml:space="preserve">салынғанын білдіреді. </w:t>
      </w:r>
      <w:r w:rsidR="00670642" w:rsidRPr="008A6DB0">
        <w:rPr>
          <w:rFonts w:ascii="Times New Roman" w:eastAsia="Times New Roman" w:hAnsi="Times New Roman"/>
          <w:kern w:val="36"/>
          <w:sz w:val="28"/>
          <w:szCs w:val="28"/>
          <w:lang w:val="kk-KZ" w:eastAsia="ru-RU"/>
        </w:rPr>
        <w:t>Жыл сайынғы бюджет қаражатының құйылғанына қарамастан саладағы келесідей мәселелер шешімін таппаған:</w:t>
      </w:r>
    </w:p>
    <w:p w14:paraId="3D2D59F5" w14:textId="02A756F0" w:rsidR="00670642" w:rsidRPr="00457CE9" w:rsidRDefault="00670642" w:rsidP="0097172E">
      <w:pPr>
        <w:pStyle w:val="a5"/>
        <w:numPr>
          <w:ilvl w:val="0"/>
          <w:numId w:val="21"/>
        </w:numPr>
        <w:tabs>
          <w:tab w:val="left" w:pos="709"/>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импортқа тәуелділік 2017-2021 жж. аралығында өсімге ие;</w:t>
      </w:r>
    </w:p>
    <w:p w14:paraId="5442F123" w14:textId="50EE7BB4" w:rsidR="00670642" w:rsidRPr="00457CE9" w:rsidRDefault="00670642" w:rsidP="0097172E">
      <w:pPr>
        <w:pStyle w:val="a5"/>
        <w:numPr>
          <w:ilvl w:val="0"/>
          <w:numId w:val="21"/>
        </w:numPr>
        <w:tabs>
          <w:tab w:val="left" w:pos="709"/>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жыл сайын </w:t>
      </w:r>
      <w:r w:rsidR="00CA727B" w:rsidRPr="00457CE9">
        <w:rPr>
          <w:rFonts w:ascii="Times New Roman" w:eastAsia="Times New Roman" w:hAnsi="Times New Roman"/>
          <w:kern w:val="36"/>
          <w:sz w:val="28"/>
          <w:szCs w:val="28"/>
          <w:lang w:val="kk-KZ" w:eastAsia="ru-RU"/>
        </w:rPr>
        <w:t>жеке инвесторлардан тікелей инвестициялар легі азайып отыр, 2016 жылы 50,1 млн. АҚШ долларынан 2019 жылы 10,1 млн. АҚШ долларына дейін төмендеген;</w:t>
      </w:r>
    </w:p>
    <w:p w14:paraId="680C7976" w14:textId="0E06660C" w:rsidR="00CA727B" w:rsidRPr="00457CE9" w:rsidRDefault="00CA727B" w:rsidP="0097172E">
      <w:pPr>
        <w:pStyle w:val="a5"/>
        <w:numPr>
          <w:ilvl w:val="0"/>
          <w:numId w:val="21"/>
        </w:numPr>
        <w:tabs>
          <w:tab w:val="left" w:pos="709"/>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жыл сайын ЖІӨ ауыл шаруашылық өнім өндірісінің үлесі төмендеуде 2015 жылы 4,8 пайыздан 2019 жылы 4,4 пайызға дейін төмендесе, 2020 жылы 5,3 пайызға өскен</w:t>
      </w:r>
      <w:r w:rsidR="00C51D00" w:rsidRPr="00457CE9">
        <w:rPr>
          <w:rFonts w:ascii="Times New Roman" w:eastAsia="Times New Roman" w:hAnsi="Times New Roman"/>
          <w:kern w:val="36"/>
          <w:sz w:val="28"/>
          <w:szCs w:val="28"/>
          <w:lang w:val="kk-KZ" w:eastAsia="ru-RU"/>
        </w:rPr>
        <w:t xml:space="preserve"> [</w:t>
      </w:r>
      <w:r w:rsidR="004330E8">
        <w:rPr>
          <w:rFonts w:ascii="Times New Roman" w:eastAsia="Times New Roman" w:hAnsi="Times New Roman"/>
          <w:kern w:val="36"/>
          <w:sz w:val="28"/>
          <w:szCs w:val="28"/>
          <w:lang w:val="kk-KZ" w:eastAsia="ru-RU"/>
        </w:rPr>
        <w:t>7</w:t>
      </w:r>
      <w:r w:rsidR="00C51D00"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w:t>
      </w:r>
    </w:p>
    <w:p w14:paraId="3B41E567" w14:textId="6B296D39" w:rsidR="00EA4D1C" w:rsidRPr="00457CE9" w:rsidRDefault="00EA4D1C" w:rsidP="00457CE9">
      <w:pPr>
        <w:pStyle w:val="a5"/>
        <w:tabs>
          <w:tab w:val="left" w:pos="709"/>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Бағдарламаны іске асыру кезінде Ауыл шаруашылығы министрлігі орындаушы ретінде жыл сайын ресми сайтта есеп беруді жариялауы тиіс. Бағдарламаны іске асыруда жалпы 15 мемлекеттік орган қатысуы тиіс, алайда бірлесіп орындаушылардан есеп беру келтірілмеген</w:t>
      </w:r>
      <w:r w:rsidR="00CA01DE" w:rsidRPr="00457CE9">
        <w:rPr>
          <w:rFonts w:ascii="Times New Roman" w:eastAsia="Times New Roman" w:hAnsi="Times New Roman"/>
          <w:kern w:val="36"/>
          <w:sz w:val="28"/>
          <w:szCs w:val="28"/>
          <w:lang w:val="kk-KZ" w:eastAsia="ru-RU"/>
        </w:rPr>
        <w:t xml:space="preserve"> [</w:t>
      </w:r>
      <w:r w:rsidR="00363D44">
        <w:rPr>
          <w:rFonts w:ascii="Times New Roman" w:eastAsia="Times New Roman" w:hAnsi="Times New Roman"/>
          <w:kern w:val="36"/>
          <w:sz w:val="28"/>
          <w:szCs w:val="28"/>
          <w:lang w:val="kk-KZ" w:eastAsia="ru-RU"/>
        </w:rPr>
        <w:t>6</w:t>
      </w:r>
      <w:r w:rsidR="004330E8">
        <w:rPr>
          <w:rFonts w:ascii="Times New Roman" w:eastAsia="Times New Roman" w:hAnsi="Times New Roman"/>
          <w:kern w:val="36"/>
          <w:sz w:val="28"/>
          <w:szCs w:val="28"/>
          <w:lang w:val="kk-KZ" w:eastAsia="ru-RU"/>
        </w:rPr>
        <w:t>2</w:t>
      </w:r>
      <w:r w:rsidR="00CA01D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w:t>
      </w:r>
    </w:p>
    <w:p w14:paraId="4980E19D" w14:textId="2603BE6A" w:rsidR="0050575A" w:rsidRPr="00457CE9" w:rsidRDefault="0050575A" w:rsidP="00457CE9">
      <w:pPr>
        <w:pStyle w:val="a5"/>
        <w:tabs>
          <w:tab w:val="left" w:pos="709"/>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Бағдарламаны іске асыру барысында ҚР Президент әкімшілігі тарапынан экспертті бағалау жүзеге асырылған, нәтижесінде ҚР ПӘ Бағдарламаға </w:t>
      </w:r>
      <w:r w:rsidR="00E662ED" w:rsidRPr="00457CE9">
        <w:rPr>
          <w:rFonts w:ascii="Times New Roman" w:eastAsia="Times New Roman" w:hAnsi="Times New Roman"/>
          <w:kern w:val="36"/>
          <w:sz w:val="28"/>
          <w:szCs w:val="28"/>
          <w:lang w:val="kk-KZ" w:eastAsia="ru-RU"/>
        </w:rPr>
        <w:t xml:space="preserve">өзгеріс енгізуді, яғни, биологиялық әртүрлілікті тұрақты сақтау және пайдалану сұрақтарын </w:t>
      </w:r>
      <w:r w:rsidRPr="00457CE9">
        <w:rPr>
          <w:rFonts w:ascii="Times New Roman" w:eastAsia="Times New Roman" w:hAnsi="Times New Roman"/>
          <w:kern w:val="36"/>
          <w:sz w:val="28"/>
          <w:szCs w:val="28"/>
          <w:lang w:val="kk-KZ" w:eastAsia="ru-RU"/>
        </w:rPr>
        <w:t>ұсынға</w:t>
      </w:r>
      <w:r w:rsidR="00E662ED" w:rsidRPr="00457CE9">
        <w:rPr>
          <w:rFonts w:ascii="Times New Roman" w:eastAsia="Times New Roman" w:hAnsi="Times New Roman"/>
          <w:kern w:val="36"/>
          <w:sz w:val="28"/>
          <w:szCs w:val="28"/>
          <w:lang w:val="kk-KZ" w:eastAsia="ru-RU"/>
        </w:rPr>
        <w:t xml:space="preserve">нымен, Ауыл шаруашылық министрлігі бұл тапсырманы орындамаған. Мемлекеттік жоспарлау жүйесімен </w:t>
      </w:r>
      <w:r w:rsidR="000222F0" w:rsidRPr="00457CE9">
        <w:rPr>
          <w:rFonts w:ascii="Times New Roman" w:eastAsia="Times New Roman" w:hAnsi="Times New Roman"/>
          <w:kern w:val="36"/>
          <w:sz w:val="28"/>
          <w:szCs w:val="28"/>
          <w:lang w:val="kk-KZ" w:eastAsia="ru-RU"/>
        </w:rPr>
        <w:t xml:space="preserve">мемлекеттік бағдарламаларды іске асыру барысында ведомствоаралық өзара қатынастарда сәйкестікті қамтамасыз ету қажет деп бекітілген. Алайда Ауыл шаруашылығы министрлігі мен бағдарламаны бірлесіп орындаушы ретінде анықталған мемлекеттік органдармен ведомствоаралық өзара қатынастарда сәйкестік сақталмағандықтан нысаналы индикаторларды, көрсеткіштерді орындауда кемшіліктер жіберілген. </w:t>
      </w:r>
      <w:r w:rsidRPr="00457CE9">
        <w:rPr>
          <w:rFonts w:ascii="Times New Roman" w:eastAsia="Times New Roman" w:hAnsi="Times New Roman"/>
          <w:kern w:val="36"/>
          <w:sz w:val="28"/>
          <w:szCs w:val="28"/>
          <w:lang w:val="kk-KZ" w:eastAsia="ru-RU"/>
        </w:rPr>
        <w:t xml:space="preserve"> </w:t>
      </w:r>
    </w:p>
    <w:p w14:paraId="59217EC1" w14:textId="492B586F" w:rsidR="00213C23" w:rsidRPr="00457CE9" w:rsidRDefault="002E31E5" w:rsidP="00457CE9">
      <w:pPr>
        <w:tabs>
          <w:tab w:val="left" w:pos="851"/>
          <w:tab w:val="left" w:pos="993"/>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Мемлекеттік бағдарламаларды іске асыру әдістемесіне сәйкес ведомствоаралық өзара қатынастар белгілі қағидаларға негізделген. Бұл өз кезегінде мемлекеттік органдардың, квазимемлекеттік сектор ұйымдарының және басқа да ұйымдардың жоспарлы мақсаттарын, нысаналы индикаторларын және стратегиялық, бағдарламалық құжаттардың көрсеткіштерінің нәтижелеріне жетуге, әлеуметтік, экономикалық, экологиялық және басқа да мәселелерін шешу үшін қажет.</w:t>
      </w:r>
      <w:r w:rsidR="0081471A" w:rsidRPr="00457CE9">
        <w:rPr>
          <w:rFonts w:ascii="Times New Roman" w:eastAsia="Times New Roman" w:hAnsi="Times New Roman"/>
          <w:kern w:val="36"/>
          <w:sz w:val="28"/>
          <w:szCs w:val="28"/>
          <w:lang w:val="kk-KZ" w:eastAsia="ru-RU"/>
        </w:rPr>
        <w:t xml:space="preserve"> Мемлекеттік аудит нәтижесі 2017 жылы нысаналы индикаторлар көрсеткіштерінің орындалмауы бірлесіп орындаушылармен ведомствоаралық өзара әрекеттесу деңгейінің төмен</w:t>
      </w:r>
      <w:r w:rsidR="00FE14A8" w:rsidRPr="00457CE9">
        <w:rPr>
          <w:rFonts w:ascii="Times New Roman" w:eastAsia="Times New Roman" w:hAnsi="Times New Roman"/>
          <w:kern w:val="36"/>
          <w:sz w:val="28"/>
          <w:szCs w:val="28"/>
          <w:lang w:val="kk-KZ" w:eastAsia="ru-RU"/>
        </w:rPr>
        <w:t xml:space="preserve"> </w:t>
      </w:r>
      <w:r w:rsidR="0081471A" w:rsidRPr="00457CE9">
        <w:rPr>
          <w:rFonts w:ascii="Times New Roman" w:eastAsia="Times New Roman" w:hAnsi="Times New Roman"/>
          <w:kern w:val="36"/>
          <w:sz w:val="28"/>
          <w:szCs w:val="28"/>
          <w:lang w:val="kk-KZ" w:eastAsia="ru-RU"/>
        </w:rPr>
        <w:t>болған</w:t>
      </w:r>
      <w:r w:rsidR="00FE14A8" w:rsidRPr="00457CE9">
        <w:rPr>
          <w:rFonts w:ascii="Times New Roman" w:eastAsia="Times New Roman" w:hAnsi="Times New Roman"/>
          <w:kern w:val="36"/>
          <w:sz w:val="28"/>
          <w:szCs w:val="28"/>
          <w:lang w:val="kk-KZ" w:eastAsia="ru-RU"/>
        </w:rPr>
        <w:t>ын көрсетеді</w:t>
      </w:r>
      <w:r w:rsidR="0081471A" w:rsidRPr="00457CE9">
        <w:rPr>
          <w:rFonts w:ascii="Times New Roman" w:eastAsia="Times New Roman" w:hAnsi="Times New Roman"/>
          <w:kern w:val="36"/>
          <w:sz w:val="28"/>
          <w:szCs w:val="28"/>
          <w:lang w:val="kk-KZ" w:eastAsia="ru-RU"/>
        </w:rPr>
        <w:t xml:space="preserve">. </w:t>
      </w:r>
      <w:r w:rsidR="00036229" w:rsidRPr="00457CE9">
        <w:rPr>
          <w:rFonts w:ascii="Times New Roman" w:eastAsia="Times New Roman" w:hAnsi="Times New Roman"/>
          <w:kern w:val="36"/>
          <w:sz w:val="28"/>
          <w:szCs w:val="28"/>
          <w:lang w:val="kk-KZ" w:eastAsia="ru-RU"/>
        </w:rPr>
        <w:t>Бұл</w:t>
      </w:r>
      <w:r w:rsidR="0081471A" w:rsidRPr="00457CE9">
        <w:rPr>
          <w:rFonts w:ascii="Times New Roman" w:eastAsia="Times New Roman" w:hAnsi="Times New Roman"/>
          <w:kern w:val="36"/>
          <w:sz w:val="28"/>
          <w:szCs w:val="28"/>
          <w:lang w:val="kk-KZ" w:eastAsia="ru-RU"/>
        </w:rPr>
        <w:t xml:space="preserve"> жерг</w:t>
      </w:r>
      <w:r w:rsidR="00036229" w:rsidRPr="00457CE9">
        <w:rPr>
          <w:rFonts w:ascii="Times New Roman" w:eastAsia="Times New Roman" w:hAnsi="Times New Roman"/>
          <w:kern w:val="36"/>
          <w:sz w:val="28"/>
          <w:szCs w:val="28"/>
          <w:lang w:val="kk-KZ" w:eastAsia="ru-RU"/>
        </w:rPr>
        <w:t>і</w:t>
      </w:r>
      <w:r w:rsidR="0081471A" w:rsidRPr="00457CE9">
        <w:rPr>
          <w:rFonts w:ascii="Times New Roman" w:eastAsia="Times New Roman" w:hAnsi="Times New Roman"/>
          <w:kern w:val="36"/>
          <w:sz w:val="28"/>
          <w:szCs w:val="28"/>
          <w:lang w:val="kk-KZ" w:eastAsia="ru-RU"/>
        </w:rPr>
        <w:t xml:space="preserve">лікті атқарушы органдарының сатып алу шараларын дер кезінде ұйымдастырмағандықтан </w:t>
      </w:r>
      <w:r w:rsidR="00036229" w:rsidRPr="00457CE9">
        <w:rPr>
          <w:rFonts w:ascii="Times New Roman" w:eastAsia="Times New Roman" w:hAnsi="Times New Roman"/>
          <w:kern w:val="36"/>
          <w:sz w:val="28"/>
          <w:szCs w:val="28"/>
          <w:lang w:val="kk-KZ" w:eastAsia="ru-RU"/>
        </w:rPr>
        <w:t xml:space="preserve">және есепке алынбаған тәуекелдерді өткізуден </w:t>
      </w:r>
      <w:r w:rsidR="0081471A" w:rsidRPr="00457CE9">
        <w:rPr>
          <w:rFonts w:ascii="Times New Roman" w:eastAsia="Times New Roman" w:hAnsi="Times New Roman"/>
          <w:kern w:val="36"/>
          <w:sz w:val="28"/>
          <w:szCs w:val="28"/>
          <w:lang w:val="kk-KZ" w:eastAsia="ru-RU"/>
        </w:rPr>
        <w:t>деп көрсетілген.</w:t>
      </w:r>
      <w:r w:rsidR="00036229" w:rsidRPr="00457CE9">
        <w:rPr>
          <w:rFonts w:ascii="Times New Roman" w:eastAsia="Times New Roman" w:hAnsi="Times New Roman"/>
          <w:kern w:val="36"/>
          <w:sz w:val="28"/>
          <w:szCs w:val="28"/>
          <w:lang w:val="kk-KZ" w:eastAsia="ru-RU"/>
        </w:rPr>
        <w:t xml:space="preserve"> </w:t>
      </w:r>
    </w:p>
    <w:p w14:paraId="1CDBED5A" w14:textId="2DEE9671" w:rsidR="00670642" w:rsidRPr="00457CE9" w:rsidRDefault="00213C23" w:rsidP="00457CE9">
      <w:pPr>
        <w:tabs>
          <w:tab w:val="left" w:pos="851"/>
          <w:tab w:val="left" w:pos="993"/>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Сонымен қатар қаржылық ұйымдардан қарыз тарту кезінде </w:t>
      </w:r>
      <w:r w:rsidR="00002705" w:rsidRPr="00457CE9">
        <w:rPr>
          <w:rFonts w:ascii="Times New Roman" w:eastAsia="Times New Roman" w:hAnsi="Times New Roman"/>
          <w:kern w:val="36"/>
          <w:sz w:val="28"/>
          <w:szCs w:val="28"/>
          <w:lang w:val="kk-KZ" w:eastAsia="ru-RU"/>
        </w:rPr>
        <w:t xml:space="preserve">Қарыздар туралы келісім мерзімінің ұзақ қаралуымен байланысты. Нәтижесінде қаражаттар мақсатқа сәйкес жұмсалмай, меңгерілмейді. </w:t>
      </w:r>
      <w:r w:rsidR="00FF0B55" w:rsidRPr="00457CE9">
        <w:rPr>
          <w:rFonts w:ascii="Times New Roman" w:eastAsia="Times New Roman" w:hAnsi="Times New Roman"/>
          <w:kern w:val="36"/>
          <w:sz w:val="28"/>
          <w:szCs w:val="28"/>
          <w:lang w:val="kk-KZ" w:eastAsia="ru-RU"/>
        </w:rPr>
        <w:t>Уақытында қаржы тартылмағандықтан жобаны іске асыру</w:t>
      </w:r>
      <w:r w:rsidR="00B41274" w:rsidRPr="00457CE9">
        <w:rPr>
          <w:rFonts w:ascii="Times New Roman" w:eastAsia="Times New Roman" w:hAnsi="Times New Roman"/>
          <w:kern w:val="36"/>
          <w:sz w:val="28"/>
          <w:szCs w:val="28"/>
          <w:lang w:val="kk-KZ" w:eastAsia="ru-RU"/>
        </w:rPr>
        <w:t xml:space="preserve">, яғни жобалау және оны басқару үрдісі бойынша кеңесшіні таңдау және тағы жұмыстар кестеге сәйкес орындалмайды. Бағдарламаны іске асыру барысында жобаларға бөлінген қаражаттың мақсаты анықталғанымен, оған жету үшін қажетті өлшенетін көрсеткіштері бекітілмеген, соның салдарынан жыл сайынғы нәтижелерді өлшеу мүмкіндігі жоқ. </w:t>
      </w:r>
    </w:p>
    <w:p w14:paraId="01236A52" w14:textId="30D40370" w:rsidR="003050C8" w:rsidRPr="00457CE9" w:rsidRDefault="00426F95" w:rsidP="00457CE9">
      <w:pPr>
        <w:tabs>
          <w:tab w:val="left" w:pos="851"/>
          <w:tab w:val="left" w:pos="993"/>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Бюджеттен қаржы тарту</w:t>
      </w:r>
      <w:r w:rsidRPr="00457CE9">
        <w:rPr>
          <w:rFonts w:ascii="Times New Roman" w:eastAsia="Times New Roman" w:hAnsi="Times New Roman"/>
          <w:kern w:val="36"/>
          <w:sz w:val="28"/>
          <w:szCs w:val="28"/>
          <w:lang w:val="kk-KZ" w:eastAsia="ru-RU"/>
        </w:rPr>
        <w:t xml:space="preserve"> үрдісінде жергілікті атқарушы органның </w:t>
      </w:r>
      <w:r w:rsidR="00232BD1" w:rsidRPr="00457CE9">
        <w:rPr>
          <w:rFonts w:ascii="Times New Roman" w:eastAsia="Times New Roman" w:hAnsi="Times New Roman"/>
          <w:kern w:val="36"/>
          <w:sz w:val="28"/>
          <w:szCs w:val="28"/>
          <w:lang w:val="kk-KZ" w:eastAsia="ru-RU"/>
        </w:rPr>
        <w:t xml:space="preserve">бюджеттік тапсырысы бойынша </w:t>
      </w:r>
      <w:r w:rsidRPr="00457CE9">
        <w:rPr>
          <w:rFonts w:ascii="Times New Roman" w:eastAsia="Times New Roman" w:hAnsi="Times New Roman"/>
          <w:kern w:val="36"/>
          <w:sz w:val="28"/>
          <w:szCs w:val="28"/>
          <w:lang w:val="kk-KZ" w:eastAsia="ru-RU"/>
        </w:rPr>
        <w:t xml:space="preserve">сұратқан </w:t>
      </w:r>
      <w:r w:rsidR="00232BD1" w:rsidRPr="00457CE9">
        <w:rPr>
          <w:rFonts w:ascii="Times New Roman" w:eastAsia="Times New Roman" w:hAnsi="Times New Roman"/>
          <w:kern w:val="36"/>
          <w:sz w:val="28"/>
          <w:szCs w:val="28"/>
          <w:lang w:val="kk-KZ" w:eastAsia="ru-RU"/>
        </w:rPr>
        <w:t>сома</w:t>
      </w:r>
      <w:r w:rsidRPr="00457CE9">
        <w:rPr>
          <w:rFonts w:ascii="Times New Roman" w:eastAsia="Times New Roman" w:hAnsi="Times New Roman"/>
          <w:kern w:val="36"/>
          <w:sz w:val="28"/>
          <w:szCs w:val="28"/>
          <w:lang w:val="kk-KZ" w:eastAsia="ru-RU"/>
        </w:rPr>
        <w:t>сын бюджеттік бағдарлама әкімшілігі</w:t>
      </w:r>
      <w:r w:rsidR="00C321B6" w:rsidRPr="00457CE9">
        <w:rPr>
          <w:rFonts w:ascii="Times New Roman" w:eastAsia="Times New Roman" w:hAnsi="Times New Roman"/>
          <w:kern w:val="36"/>
          <w:sz w:val="28"/>
          <w:szCs w:val="28"/>
          <w:lang w:val="kk-KZ" w:eastAsia="ru-RU"/>
        </w:rPr>
        <w:t>нің</w:t>
      </w:r>
      <w:r w:rsidRPr="00457CE9">
        <w:rPr>
          <w:rFonts w:ascii="Times New Roman" w:eastAsia="Times New Roman" w:hAnsi="Times New Roman"/>
          <w:kern w:val="36"/>
          <w:sz w:val="28"/>
          <w:szCs w:val="28"/>
          <w:lang w:val="kk-KZ" w:eastAsia="ru-RU"/>
        </w:rPr>
        <w:t xml:space="preserve"> толық қанағаттандырмауы, қаржының нақты ағымдағы жылдың мамыр айынан бастап қана түсуі</w:t>
      </w:r>
      <w:r w:rsidR="00C321B6" w:rsidRPr="00457CE9">
        <w:rPr>
          <w:rFonts w:ascii="Times New Roman" w:eastAsia="Times New Roman" w:hAnsi="Times New Roman"/>
          <w:kern w:val="36"/>
          <w:sz w:val="28"/>
          <w:szCs w:val="28"/>
          <w:lang w:val="kk-KZ" w:eastAsia="ru-RU"/>
        </w:rPr>
        <w:t>, бюджеттік тапсырыс бойынша бюджеттік жобалардың болмауы</w:t>
      </w:r>
      <w:r w:rsidRPr="00457CE9">
        <w:rPr>
          <w:rFonts w:ascii="Times New Roman" w:eastAsia="Times New Roman" w:hAnsi="Times New Roman"/>
          <w:kern w:val="36"/>
          <w:sz w:val="28"/>
          <w:szCs w:val="28"/>
          <w:lang w:val="kk-KZ" w:eastAsia="ru-RU"/>
        </w:rPr>
        <w:t xml:space="preserve"> орын </w:t>
      </w:r>
      <w:r w:rsidR="00C321B6" w:rsidRPr="00457CE9">
        <w:rPr>
          <w:rFonts w:ascii="Times New Roman" w:eastAsia="Times New Roman" w:hAnsi="Times New Roman"/>
          <w:kern w:val="36"/>
          <w:sz w:val="28"/>
          <w:szCs w:val="28"/>
          <w:lang w:val="kk-KZ" w:eastAsia="ru-RU"/>
        </w:rPr>
        <w:t>алған</w:t>
      </w:r>
      <w:r w:rsidRPr="00457CE9">
        <w:rPr>
          <w:rFonts w:ascii="Times New Roman" w:eastAsia="Times New Roman" w:hAnsi="Times New Roman"/>
          <w:kern w:val="36"/>
          <w:sz w:val="28"/>
          <w:szCs w:val="28"/>
          <w:lang w:val="kk-KZ" w:eastAsia="ru-RU"/>
        </w:rPr>
        <w:t>.</w:t>
      </w:r>
      <w:r w:rsidR="00C321B6" w:rsidRPr="00457CE9">
        <w:rPr>
          <w:rFonts w:ascii="Times New Roman" w:eastAsia="Times New Roman" w:hAnsi="Times New Roman"/>
          <w:kern w:val="36"/>
          <w:sz w:val="28"/>
          <w:szCs w:val="28"/>
          <w:lang w:val="kk-KZ" w:eastAsia="ru-RU"/>
        </w:rPr>
        <w:t xml:space="preserve"> </w:t>
      </w:r>
      <w:r w:rsidR="00232BD1" w:rsidRPr="00457CE9">
        <w:rPr>
          <w:rFonts w:ascii="Times New Roman" w:eastAsia="Times New Roman" w:hAnsi="Times New Roman"/>
          <w:kern w:val="36"/>
          <w:sz w:val="28"/>
          <w:szCs w:val="28"/>
          <w:lang w:val="kk-KZ" w:eastAsia="ru-RU"/>
        </w:rPr>
        <w:t>Соның негізінде орталық мемлекеттік органның бюджеттік тапсырысы құрылғаны</w:t>
      </w:r>
      <w:r w:rsidR="003050C8" w:rsidRPr="00457CE9">
        <w:rPr>
          <w:rFonts w:ascii="Times New Roman" w:eastAsia="Times New Roman" w:hAnsi="Times New Roman"/>
          <w:kern w:val="36"/>
          <w:sz w:val="28"/>
          <w:szCs w:val="28"/>
          <w:lang w:val="kk-KZ" w:eastAsia="ru-RU"/>
        </w:rPr>
        <w:t xml:space="preserve"> анықталған. Аймақтар бойынша бюджеттік тапсырысты бекіту кезінде кейбір облыстар бойынша қолдамау негізі келтірілмеген. Бюджеттік тапсырысқа заңды тұлғаларға соның ішінде крестьяндық (фермерлік) шаруашылықтарға субсидиялар шығынын есептеу үшін тағайындалған нысандар толтырылмаған. </w:t>
      </w:r>
    </w:p>
    <w:p w14:paraId="37E3DBA2" w14:textId="689B1E15" w:rsidR="002E31E5" w:rsidRPr="00457CE9" w:rsidRDefault="008B7A03" w:rsidP="00457CE9">
      <w:pPr>
        <w:tabs>
          <w:tab w:val="left" w:pos="851"/>
          <w:tab w:val="left" w:pos="993"/>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Бюджеттік бағдарламаларға бюджеттік тапсырыстарды зерттеу барысында бюджеттік заңнаманың, </w:t>
      </w:r>
      <w:r w:rsidR="003050C8" w:rsidRPr="00457CE9">
        <w:rPr>
          <w:rFonts w:ascii="Times New Roman" w:eastAsia="Times New Roman" w:hAnsi="Times New Roman"/>
          <w:kern w:val="36"/>
          <w:sz w:val="28"/>
          <w:szCs w:val="28"/>
          <w:lang w:val="kk-KZ" w:eastAsia="ru-RU"/>
        </w:rPr>
        <w:t xml:space="preserve">№511 Ереже </w:t>
      </w:r>
      <w:r w:rsidRPr="00457CE9">
        <w:rPr>
          <w:rFonts w:ascii="Times New Roman" w:eastAsia="Times New Roman" w:hAnsi="Times New Roman"/>
          <w:kern w:val="36"/>
          <w:sz w:val="28"/>
          <w:szCs w:val="28"/>
          <w:lang w:val="kk-KZ" w:eastAsia="ru-RU"/>
        </w:rPr>
        <w:t xml:space="preserve">24.11.2014 ж. ҚР қаржы министрлігінің бұйрығымен бекітілген </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бюджеттік тапсырысты әзірлеу және ұсыну тәртібінің</w:t>
      </w:r>
      <w:r w:rsidR="003C56BE" w:rsidRPr="00457CE9">
        <w:rPr>
          <w:rFonts w:ascii="Times New Roman" w:eastAsia="Times New Roman" w:hAnsi="Times New Roman"/>
          <w:kern w:val="36"/>
          <w:sz w:val="28"/>
          <w:szCs w:val="28"/>
          <w:lang w:val="kk-KZ" w:eastAsia="ru-RU"/>
        </w:rPr>
        <w:t>»</w:t>
      </w:r>
      <w:r w:rsidR="00C51D00" w:rsidRPr="00457CE9">
        <w:rPr>
          <w:rFonts w:ascii="Times New Roman" w:eastAsia="Times New Roman" w:hAnsi="Times New Roman"/>
          <w:kern w:val="36"/>
          <w:sz w:val="28"/>
          <w:szCs w:val="28"/>
          <w:lang w:val="kk-KZ" w:eastAsia="ru-RU"/>
        </w:rPr>
        <w:t xml:space="preserve"> [</w:t>
      </w:r>
      <w:r w:rsidR="004330E8">
        <w:rPr>
          <w:rFonts w:ascii="Times New Roman" w:eastAsia="Times New Roman" w:hAnsi="Times New Roman"/>
          <w:kern w:val="36"/>
          <w:sz w:val="28"/>
          <w:szCs w:val="28"/>
          <w:lang w:val="kk-KZ" w:eastAsia="ru-RU"/>
        </w:rPr>
        <w:t>102</w:t>
      </w:r>
      <w:r w:rsidR="00C51D00"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w:t>
      </w:r>
      <w:r w:rsidR="009B2A6A" w:rsidRPr="00457CE9">
        <w:rPr>
          <w:rFonts w:ascii="Times New Roman" w:eastAsia="Times New Roman" w:hAnsi="Times New Roman"/>
          <w:kern w:val="36"/>
          <w:sz w:val="28"/>
          <w:szCs w:val="28"/>
          <w:lang w:val="kk-KZ" w:eastAsia="ru-RU"/>
        </w:rPr>
        <w:t xml:space="preserve">30.12.2014 жылғы №195 ҚР Ұлттық экономика министрлігінің бұйрығымен бекітілген </w:t>
      </w:r>
      <w:r w:rsidR="003C56BE" w:rsidRPr="00457CE9">
        <w:rPr>
          <w:rFonts w:ascii="Times New Roman" w:eastAsia="Times New Roman" w:hAnsi="Times New Roman"/>
          <w:kern w:val="36"/>
          <w:sz w:val="28"/>
          <w:szCs w:val="28"/>
          <w:lang w:val="kk-KZ" w:eastAsia="ru-RU"/>
        </w:rPr>
        <w:t>«</w:t>
      </w:r>
      <w:r w:rsidR="009B2A6A" w:rsidRPr="00457CE9">
        <w:rPr>
          <w:rFonts w:ascii="Times New Roman" w:eastAsia="Times New Roman" w:hAnsi="Times New Roman"/>
          <w:kern w:val="36"/>
          <w:sz w:val="28"/>
          <w:szCs w:val="28"/>
          <w:lang w:val="kk-KZ" w:eastAsia="ru-RU"/>
        </w:rPr>
        <w:t xml:space="preserve">Бюджеттік бағдарламаларды (кіші бағдарламалар) </w:t>
      </w:r>
      <w:r w:rsidRPr="00457CE9">
        <w:rPr>
          <w:rFonts w:ascii="Times New Roman" w:eastAsia="Times New Roman" w:hAnsi="Times New Roman"/>
          <w:kern w:val="36"/>
          <w:sz w:val="28"/>
          <w:szCs w:val="28"/>
          <w:lang w:val="kk-KZ" w:eastAsia="ru-RU"/>
        </w:rPr>
        <w:t>әзірле</w:t>
      </w:r>
      <w:r w:rsidR="009B2A6A" w:rsidRPr="00457CE9">
        <w:rPr>
          <w:rFonts w:ascii="Times New Roman" w:eastAsia="Times New Roman" w:hAnsi="Times New Roman"/>
          <w:kern w:val="36"/>
          <w:sz w:val="28"/>
          <w:szCs w:val="28"/>
          <w:lang w:val="kk-KZ" w:eastAsia="ru-RU"/>
        </w:rPr>
        <w:t xml:space="preserve">у және бекіту (қайта бекіту) </w:t>
      </w:r>
      <w:r w:rsidRPr="00457CE9">
        <w:rPr>
          <w:rFonts w:ascii="Times New Roman" w:eastAsia="Times New Roman" w:hAnsi="Times New Roman"/>
          <w:kern w:val="36"/>
          <w:sz w:val="28"/>
          <w:szCs w:val="28"/>
          <w:lang w:val="kk-KZ" w:eastAsia="ru-RU"/>
        </w:rPr>
        <w:t xml:space="preserve">қағидаларын </w:t>
      </w:r>
      <w:r w:rsidR="009B2A6A" w:rsidRPr="00457CE9">
        <w:rPr>
          <w:rFonts w:ascii="Times New Roman" w:eastAsia="Times New Roman" w:hAnsi="Times New Roman"/>
          <w:kern w:val="36"/>
          <w:sz w:val="28"/>
          <w:szCs w:val="28"/>
          <w:lang w:val="kk-KZ" w:eastAsia="ru-RU"/>
        </w:rPr>
        <w:t>және олардың мазмұнына</w:t>
      </w:r>
      <w:r w:rsidRPr="00457CE9">
        <w:rPr>
          <w:rFonts w:ascii="Times New Roman" w:eastAsia="Times New Roman" w:hAnsi="Times New Roman"/>
          <w:kern w:val="36"/>
          <w:sz w:val="28"/>
          <w:szCs w:val="28"/>
          <w:lang w:val="kk-KZ" w:eastAsia="ru-RU"/>
        </w:rPr>
        <w:t xml:space="preserve"> қойылатын</w:t>
      </w:r>
      <w:r w:rsidR="009B2A6A" w:rsidRPr="00457CE9">
        <w:rPr>
          <w:rFonts w:ascii="Times New Roman" w:eastAsia="Times New Roman" w:hAnsi="Times New Roman"/>
          <w:kern w:val="36"/>
          <w:sz w:val="28"/>
          <w:szCs w:val="28"/>
          <w:lang w:val="kk-KZ" w:eastAsia="ru-RU"/>
        </w:rPr>
        <w:t xml:space="preserve"> талаптар</w:t>
      </w:r>
      <w:r w:rsidRPr="00457CE9">
        <w:rPr>
          <w:rFonts w:ascii="Times New Roman" w:eastAsia="Times New Roman" w:hAnsi="Times New Roman"/>
          <w:kern w:val="36"/>
          <w:sz w:val="28"/>
          <w:szCs w:val="28"/>
          <w:lang w:val="kk-KZ" w:eastAsia="ru-RU"/>
        </w:rPr>
        <w:t>ды бекіту</w:t>
      </w:r>
      <w:r w:rsidR="009B2A6A" w:rsidRPr="00457CE9">
        <w:rPr>
          <w:rFonts w:ascii="Times New Roman" w:eastAsia="Times New Roman" w:hAnsi="Times New Roman"/>
          <w:kern w:val="36"/>
          <w:sz w:val="28"/>
          <w:szCs w:val="28"/>
          <w:lang w:val="kk-KZ" w:eastAsia="ru-RU"/>
        </w:rPr>
        <w:t xml:space="preserve"> </w:t>
      </w:r>
      <w:r w:rsidRPr="00457CE9">
        <w:rPr>
          <w:rFonts w:ascii="Times New Roman" w:eastAsia="Times New Roman" w:hAnsi="Times New Roman"/>
          <w:kern w:val="36"/>
          <w:sz w:val="28"/>
          <w:szCs w:val="28"/>
          <w:lang w:val="kk-KZ" w:eastAsia="ru-RU"/>
        </w:rPr>
        <w:t>т</w:t>
      </w:r>
      <w:r w:rsidR="009B2A6A" w:rsidRPr="00457CE9">
        <w:rPr>
          <w:rFonts w:ascii="Times New Roman" w:eastAsia="Times New Roman" w:hAnsi="Times New Roman"/>
          <w:kern w:val="36"/>
          <w:sz w:val="28"/>
          <w:szCs w:val="28"/>
          <w:lang w:val="kk-KZ" w:eastAsia="ru-RU"/>
        </w:rPr>
        <w:t>әртібі</w:t>
      </w:r>
      <w:r w:rsidRPr="00457CE9">
        <w:rPr>
          <w:rFonts w:ascii="Times New Roman" w:eastAsia="Times New Roman" w:hAnsi="Times New Roman"/>
          <w:kern w:val="36"/>
          <w:sz w:val="28"/>
          <w:szCs w:val="28"/>
          <w:lang w:val="kk-KZ" w:eastAsia="ru-RU"/>
        </w:rPr>
        <w:t>нің</w:t>
      </w:r>
      <w:r w:rsidR="003C56BE" w:rsidRPr="00457CE9">
        <w:rPr>
          <w:rFonts w:ascii="Times New Roman" w:eastAsia="Times New Roman" w:hAnsi="Times New Roman"/>
          <w:kern w:val="36"/>
          <w:sz w:val="28"/>
          <w:szCs w:val="28"/>
          <w:lang w:val="kk-KZ" w:eastAsia="ru-RU"/>
        </w:rPr>
        <w:t>»</w:t>
      </w:r>
      <w:r w:rsidR="00C51D00" w:rsidRPr="00457CE9">
        <w:rPr>
          <w:rFonts w:ascii="Times New Roman" w:eastAsia="Times New Roman" w:hAnsi="Times New Roman"/>
          <w:kern w:val="36"/>
          <w:sz w:val="28"/>
          <w:szCs w:val="28"/>
          <w:lang w:val="kk-KZ" w:eastAsia="ru-RU"/>
        </w:rPr>
        <w:t xml:space="preserve"> [</w:t>
      </w:r>
      <w:r w:rsidR="004330E8">
        <w:rPr>
          <w:rFonts w:ascii="Times New Roman" w:eastAsia="Times New Roman" w:hAnsi="Times New Roman"/>
          <w:kern w:val="36"/>
          <w:sz w:val="28"/>
          <w:szCs w:val="28"/>
          <w:lang w:val="kk-KZ" w:eastAsia="ru-RU"/>
        </w:rPr>
        <w:t>103</w:t>
      </w:r>
      <w:r w:rsidR="00C51D00"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талаптарын бұзу анықталған.</w:t>
      </w:r>
      <w:r w:rsidR="00232BD1" w:rsidRPr="00457CE9">
        <w:rPr>
          <w:rFonts w:ascii="Times New Roman" w:eastAsia="Times New Roman" w:hAnsi="Times New Roman"/>
          <w:kern w:val="36"/>
          <w:sz w:val="28"/>
          <w:szCs w:val="28"/>
          <w:lang w:val="kk-KZ" w:eastAsia="ru-RU"/>
        </w:rPr>
        <w:t xml:space="preserve"> </w:t>
      </w:r>
    </w:p>
    <w:p w14:paraId="1C3B7FB9" w14:textId="2CD3908D" w:rsidR="006D2578" w:rsidRDefault="003050C8" w:rsidP="00457CE9">
      <w:pPr>
        <w:tabs>
          <w:tab w:val="left" w:pos="851"/>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№511 Ереже бойынша бюджеттік тапсырысты әзірлеудің </w:t>
      </w:r>
      <w:r w:rsidR="00AF12F6" w:rsidRPr="00457CE9">
        <w:rPr>
          <w:rFonts w:ascii="Times New Roman" w:eastAsia="Times New Roman" w:hAnsi="Times New Roman"/>
          <w:kern w:val="36"/>
          <w:sz w:val="28"/>
          <w:szCs w:val="28"/>
          <w:lang w:val="kk-KZ" w:eastAsia="ru-RU"/>
        </w:rPr>
        <w:t xml:space="preserve">негізгі </w:t>
      </w:r>
      <w:r w:rsidRPr="00457CE9">
        <w:rPr>
          <w:rFonts w:ascii="Times New Roman" w:eastAsia="Times New Roman" w:hAnsi="Times New Roman"/>
          <w:kern w:val="36"/>
          <w:sz w:val="28"/>
          <w:szCs w:val="28"/>
          <w:lang w:val="kk-KZ" w:eastAsia="ru-RU"/>
        </w:rPr>
        <w:t>мақсаты</w:t>
      </w:r>
      <w:r w:rsidR="00AF12F6" w:rsidRPr="00457CE9">
        <w:rPr>
          <w:rFonts w:ascii="Times New Roman" w:eastAsia="Times New Roman" w:hAnsi="Times New Roman"/>
          <w:kern w:val="36"/>
          <w:sz w:val="28"/>
          <w:szCs w:val="28"/>
          <w:lang w:val="kk-KZ" w:eastAsia="ru-RU"/>
        </w:rPr>
        <w:t xml:space="preserve"> қажетті ресурстар мен бюджеттік бағдарламаларды орындау нәтижелері  туралы сандық және қаржылық ақпарат негізінде республикалық және жергілікті бюджет жобасын әзірлеу кезінде шығындар көлемін негіздеу болып табылады. Бюджеттік тапсырыстарға сәйкес өзгерістер енгізу</w:t>
      </w:r>
      <w:r w:rsidR="0057787B" w:rsidRPr="00457CE9">
        <w:rPr>
          <w:rFonts w:ascii="Times New Roman" w:eastAsia="Times New Roman" w:hAnsi="Times New Roman"/>
          <w:kern w:val="36"/>
          <w:sz w:val="28"/>
          <w:szCs w:val="28"/>
          <w:lang w:val="kk-KZ" w:eastAsia="ru-RU"/>
        </w:rPr>
        <w:t xml:space="preserve"> қарастырылған. Соған қарамастан Ауыл шаруашылық министрлігі аймақтардың ауыл шаруашылығын басқарумен көрсетілген бекітілген бюджет бағдарламаларының жүйелі түрде келісілмейтіні аталып өткен.</w:t>
      </w:r>
      <w:r w:rsidR="00C37B51">
        <w:rPr>
          <w:rFonts w:ascii="Times New Roman" w:eastAsia="Times New Roman" w:hAnsi="Times New Roman"/>
          <w:kern w:val="36"/>
          <w:sz w:val="28"/>
          <w:szCs w:val="28"/>
          <w:lang w:val="kk-KZ" w:eastAsia="ru-RU"/>
        </w:rPr>
        <w:t xml:space="preserve"> </w:t>
      </w:r>
      <w:r w:rsidR="0038270D" w:rsidRPr="00457CE9">
        <w:rPr>
          <w:rFonts w:ascii="Times New Roman" w:eastAsia="Times New Roman" w:hAnsi="Times New Roman" w:cs="Times New Roman"/>
          <w:kern w:val="36"/>
          <w:sz w:val="28"/>
          <w:szCs w:val="28"/>
          <w:lang w:val="kk-KZ" w:eastAsia="ru-RU"/>
        </w:rPr>
        <w:t xml:space="preserve">ҚР </w:t>
      </w:r>
      <w:r w:rsidR="00575788">
        <w:rPr>
          <w:rFonts w:ascii="Times New Roman" w:eastAsia="Times New Roman" w:hAnsi="Times New Roman" w:cs="Times New Roman"/>
          <w:kern w:val="36"/>
          <w:sz w:val="28"/>
          <w:szCs w:val="28"/>
          <w:lang w:val="kk-KZ" w:eastAsia="ru-RU"/>
        </w:rPr>
        <w:t>АӨК-н</w:t>
      </w:r>
      <w:r w:rsidR="0038270D" w:rsidRPr="00457CE9">
        <w:rPr>
          <w:rFonts w:ascii="Times New Roman" w:eastAsia="Times New Roman" w:hAnsi="Times New Roman" w:cs="Times New Roman"/>
          <w:kern w:val="36"/>
          <w:sz w:val="28"/>
          <w:szCs w:val="28"/>
          <w:lang w:val="kk-KZ" w:eastAsia="ru-RU"/>
        </w:rPr>
        <w:t xml:space="preserve"> дамытуда бюджет қаражатын тиімсіз пайдалану себептері </w:t>
      </w:r>
      <w:r w:rsidR="005B6DA2" w:rsidRPr="00457CE9">
        <w:rPr>
          <w:rFonts w:ascii="Times New Roman" w:eastAsia="Times New Roman" w:hAnsi="Times New Roman" w:cs="Times New Roman"/>
          <w:kern w:val="36"/>
          <w:sz w:val="28"/>
          <w:szCs w:val="28"/>
          <w:lang w:val="kk-KZ" w:eastAsia="ru-RU"/>
        </w:rPr>
        <w:t>1</w:t>
      </w:r>
      <w:r w:rsidR="00A23F7A">
        <w:rPr>
          <w:rFonts w:ascii="Times New Roman" w:eastAsia="Times New Roman" w:hAnsi="Times New Roman" w:cs="Times New Roman"/>
          <w:kern w:val="36"/>
          <w:sz w:val="28"/>
          <w:szCs w:val="28"/>
          <w:lang w:val="kk-KZ" w:eastAsia="ru-RU"/>
        </w:rPr>
        <w:t>3</w:t>
      </w:r>
      <w:r w:rsidR="0038270D" w:rsidRPr="00457CE9">
        <w:rPr>
          <w:rFonts w:ascii="Times New Roman" w:eastAsia="Times New Roman" w:hAnsi="Times New Roman" w:cs="Times New Roman"/>
          <w:kern w:val="36"/>
          <w:sz w:val="28"/>
          <w:szCs w:val="28"/>
          <w:lang w:val="kk-KZ" w:eastAsia="ru-RU"/>
        </w:rPr>
        <w:t>-суретте көрсетілген.</w:t>
      </w:r>
    </w:p>
    <w:p w14:paraId="04641032" w14:textId="77777777" w:rsidR="00C37B51" w:rsidRDefault="00C37B51" w:rsidP="00457CE9">
      <w:pPr>
        <w:tabs>
          <w:tab w:val="left" w:pos="851"/>
          <w:tab w:val="left" w:pos="993"/>
        </w:tabs>
        <w:spacing w:after="0" w:line="240" w:lineRule="auto"/>
        <w:ind w:firstLine="709"/>
        <w:jc w:val="both"/>
        <w:rPr>
          <w:rFonts w:ascii="Times New Roman" w:eastAsia="Times New Roman" w:hAnsi="Times New Roman" w:cs="Times New Roman"/>
          <w:kern w:val="36"/>
          <w:sz w:val="28"/>
          <w:szCs w:val="28"/>
          <w:lang w:val="kk-KZ" w:eastAsia="ru-RU"/>
        </w:rPr>
      </w:pPr>
    </w:p>
    <w:p w14:paraId="42503C26" w14:textId="1BE9B63C" w:rsidR="00283E33" w:rsidRPr="00457CE9" w:rsidRDefault="008B76C0" w:rsidP="00457CE9">
      <w:pPr>
        <w:pStyle w:val="a5"/>
        <w:tabs>
          <w:tab w:val="left" w:pos="851"/>
        </w:tabs>
        <w:spacing w:after="0" w:line="240" w:lineRule="auto"/>
        <w:ind w:left="0" w:firstLine="567"/>
        <w:jc w:val="both"/>
        <w:rPr>
          <w:rFonts w:ascii="Times New Roman" w:eastAsia="Times New Roman" w:hAnsi="Times New Roman"/>
          <w:kern w:val="36"/>
          <w:sz w:val="28"/>
          <w:szCs w:val="28"/>
          <w:lang w:val="kk-KZ" w:eastAsia="ru-RU"/>
        </w:rPr>
      </w:pPr>
      <w:r>
        <w:rPr>
          <w:rFonts w:ascii="Times New Roman" w:eastAsia="Times New Roman" w:hAnsi="Times New Roman"/>
          <w:noProof/>
          <w:kern w:val="36"/>
          <w:sz w:val="28"/>
          <w:szCs w:val="28"/>
          <w:lang w:eastAsia="ru-RU"/>
        </w:rPr>
        <mc:AlternateContent>
          <mc:Choice Requires="wpg">
            <w:drawing>
              <wp:anchor distT="0" distB="0" distL="114300" distR="114300" simplePos="0" relativeHeight="251729920" behindDoc="0" locked="0" layoutInCell="1" allowOverlap="1" wp14:anchorId="7000D4F7" wp14:editId="1B59B234">
                <wp:simplePos x="0" y="0"/>
                <wp:positionH relativeFrom="column">
                  <wp:posOffset>43815</wp:posOffset>
                </wp:positionH>
                <wp:positionV relativeFrom="paragraph">
                  <wp:posOffset>47625</wp:posOffset>
                </wp:positionV>
                <wp:extent cx="5981700" cy="2711238"/>
                <wp:effectExtent l="0" t="0" r="19050" b="13335"/>
                <wp:wrapNone/>
                <wp:docPr id="7" name="Группа 7"/>
                <wp:cNvGraphicFramePr/>
                <a:graphic xmlns:a="http://schemas.openxmlformats.org/drawingml/2006/main">
                  <a:graphicData uri="http://schemas.microsoft.com/office/word/2010/wordprocessingGroup">
                    <wpg:wgp>
                      <wpg:cNvGrpSpPr/>
                      <wpg:grpSpPr>
                        <a:xfrm>
                          <a:off x="0" y="0"/>
                          <a:ext cx="5981700" cy="2711238"/>
                          <a:chOff x="0" y="0"/>
                          <a:chExt cx="5522595" cy="2711238"/>
                        </a:xfrm>
                      </wpg:grpSpPr>
                      <wps:wsp>
                        <wps:cNvPr id="1120483162" name="Прямоугольник 399"/>
                        <wps:cNvSpPr>
                          <a:spLocks noChangeArrowheads="1"/>
                        </wps:cNvSpPr>
                        <wps:spPr bwMode="auto">
                          <a:xfrm>
                            <a:off x="9525" y="0"/>
                            <a:ext cx="3192780" cy="487680"/>
                          </a:xfrm>
                          <a:prstGeom prst="rect">
                            <a:avLst/>
                          </a:prstGeom>
                          <a:solidFill>
                            <a:srgbClr val="FFFFFF"/>
                          </a:solidFill>
                          <a:ln w="9525">
                            <a:solidFill>
                              <a:srgbClr val="000000"/>
                            </a:solidFill>
                            <a:miter lim="800000"/>
                            <a:headEnd/>
                            <a:tailEnd/>
                          </a:ln>
                        </wps:spPr>
                        <wps:txbx>
                          <w:txbxContent>
                            <w:p w14:paraId="5DBC3E3D" w14:textId="37BE69D3" w:rsidR="00D05956" w:rsidRPr="002532AC" w:rsidRDefault="00D05956" w:rsidP="008B76C0">
                              <w:pPr>
                                <w:spacing w:after="0" w:line="240" w:lineRule="auto"/>
                                <w:jc w:val="center"/>
                                <w:rPr>
                                  <w:rFonts w:ascii="Times New Roman" w:hAnsi="Times New Roman" w:cs="Times New Roman"/>
                                  <w:sz w:val="24"/>
                                  <w:szCs w:val="24"/>
                                  <w:lang w:val="kk-KZ"/>
                                </w:rPr>
                              </w:pPr>
                              <w:r w:rsidRPr="002532AC">
                                <w:rPr>
                                  <w:rFonts w:ascii="Times New Roman" w:hAnsi="Times New Roman" w:cs="Times New Roman"/>
                                  <w:sz w:val="24"/>
                                  <w:szCs w:val="24"/>
                                  <w:lang w:val="kk-KZ"/>
                                </w:rPr>
                                <w:t>Ауыл шаруашылығы министрлігі – орталық мемлекетік орган, жоғарғы бюджет</w:t>
                              </w:r>
                            </w:p>
                          </w:txbxContent>
                        </wps:txbx>
                        <wps:bodyPr rot="0" vert="horz" wrap="square" lIns="91440" tIns="45720" rIns="91440" bIns="45720" anchor="t" anchorCtr="0" upright="1">
                          <a:noAutofit/>
                        </wps:bodyPr>
                      </wps:wsp>
                      <wps:wsp>
                        <wps:cNvPr id="392272712" name="Прямая со стрелкой 394"/>
                        <wps:cNvCnPr>
                          <a:cxnSpLocks noChangeShapeType="1"/>
                        </wps:cNvCnPr>
                        <wps:spPr bwMode="auto">
                          <a:xfrm>
                            <a:off x="1600200" y="495300"/>
                            <a:ext cx="0" cy="180000"/>
                          </a:xfrm>
                          <a:prstGeom prst="straightConnector1">
                            <a:avLst/>
                          </a:prstGeom>
                          <a:noFill/>
                          <a:ln w="9525">
                            <a:solidFill>
                              <a:srgbClr val="000000"/>
                            </a:solidFill>
                            <a:round/>
                            <a:headEnd/>
                            <a:tailEnd type="triangle" w="med" len="med"/>
                          </a:ln>
                        </wps:spPr>
                        <wps:bodyPr/>
                      </wps:wsp>
                      <wps:wsp>
                        <wps:cNvPr id="952308808" name="Прямая со стрелкой 391"/>
                        <wps:cNvCnPr>
                          <a:cxnSpLocks noChangeShapeType="1"/>
                        </wps:cNvCnPr>
                        <wps:spPr bwMode="auto">
                          <a:xfrm>
                            <a:off x="795692" y="1294436"/>
                            <a:ext cx="0" cy="144000"/>
                          </a:xfrm>
                          <a:prstGeom prst="straightConnector1">
                            <a:avLst/>
                          </a:prstGeom>
                          <a:noFill/>
                          <a:ln w="9525">
                            <a:solidFill>
                              <a:srgbClr val="000000"/>
                            </a:solidFill>
                            <a:round/>
                            <a:headEnd/>
                            <a:tailEnd type="triangle" w="med" len="med"/>
                          </a:ln>
                        </wps:spPr>
                        <wps:bodyPr/>
                      </wps:wsp>
                      <wps:wsp>
                        <wps:cNvPr id="271846587" name="Прямоугольник 393"/>
                        <wps:cNvSpPr>
                          <a:spLocks noChangeArrowheads="1"/>
                        </wps:cNvSpPr>
                        <wps:spPr bwMode="auto">
                          <a:xfrm>
                            <a:off x="0" y="675306"/>
                            <a:ext cx="3230880" cy="619125"/>
                          </a:xfrm>
                          <a:prstGeom prst="rect">
                            <a:avLst/>
                          </a:prstGeom>
                          <a:solidFill>
                            <a:srgbClr val="FFFFFF"/>
                          </a:solidFill>
                          <a:ln w="9525">
                            <a:solidFill>
                              <a:srgbClr val="000000"/>
                            </a:solidFill>
                            <a:miter lim="800000"/>
                            <a:headEnd/>
                            <a:tailEnd/>
                          </a:ln>
                        </wps:spPr>
                        <wps:txbx>
                          <w:txbxContent>
                            <w:p w14:paraId="1890B6F6" w14:textId="23602963" w:rsidR="00D05956" w:rsidRPr="002532AC" w:rsidRDefault="00D05956" w:rsidP="0059751A">
                              <w:pPr>
                                <w:spacing w:after="0" w:line="240" w:lineRule="auto"/>
                                <w:ind w:left="-56" w:right="-73"/>
                                <w:jc w:val="center"/>
                                <w:rPr>
                                  <w:rFonts w:ascii="Times New Roman" w:hAnsi="Times New Roman" w:cs="Times New Roman"/>
                                  <w:sz w:val="24"/>
                                  <w:szCs w:val="24"/>
                                  <w:lang w:val="kk-KZ"/>
                                </w:rPr>
                              </w:pPr>
                              <w:r w:rsidRPr="002532AC">
                                <w:rPr>
                                  <w:rFonts w:ascii="Times New Roman" w:hAnsi="Times New Roman" w:cs="Times New Roman"/>
                                  <w:sz w:val="24"/>
                                  <w:szCs w:val="24"/>
                                  <w:lang w:val="kk-KZ"/>
                                </w:rPr>
                                <w:t>Бюджеттік бағдарламалар бойынша бюджет</w:t>
                              </w:r>
                              <w:r>
                                <w:rPr>
                                  <w:rFonts w:ascii="Times New Roman" w:hAnsi="Times New Roman" w:cs="Times New Roman"/>
                                  <w:sz w:val="24"/>
                                  <w:szCs w:val="24"/>
                                  <w:lang w:val="kk-KZ"/>
                                </w:rPr>
                                <w:t xml:space="preserve"> </w:t>
                              </w:r>
                              <w:r w:rsidRPr="002532AC">
                                <w:rPr>
                                  <w:rFonts w:ascii="Times New Roman" w:hAnsi="Times New Roman" w:cs="Times New Roman"/>
                                  <w:sz w:val="24"/>
                                  <w:szCs w:val="24"/>
                                  <w:lang w:val="kk-KZ"/>
                                </w:rPr>
                                <w:t>тік тапсырыстарды құрайды</w:t>
                              </w:r>
                              <w:r>
                                <w:rPr>
                                  <w:rFonts w:ascii="Times New Roman" w:hAnsi="Times New Roman" w:cs="Times New Roman"/>
                                  <w:sz w:val="24"/>
                                  <w:szCs w:val="24"/>
                                  <w:lang w:val="kk-KZ"/>
                                </w:rPr>
                                <w:t>, жоғары және төмен бюджет әкімшілерімен келісіліп бекітіледі</w:t>
                              </w:r>
                            </w:p>
                          </w:txbxContent>
                        </wps:txbx>
                        <wps:bodyPr rot="0" vert="horz" wrap="square" lIns="91440" tIns="45720" rIns="91440" bIns="45720" anchor="t" anchorCtr="0" upright="1">
                          <a:noAutofit/>
                        </wps:bodyPr>
                      </wps:wsp>
                      <wps:wsp>
                        <wps:cNvPr id="976788301" name="Прямоугольник 388"/>
                        <wps:cNvSpPr>
                          <a:spLocks noChangeArrowheads="1"/>
                        </wps:cNvSpPr>
                        <wps:spPr bwMode="auto">
                          <a:xfrm>
                            <a:off x="0" y="1446836"/>
                            <a:ext cx="3221355" cy="640080"/>
                          </a:xfrm>
                          <a:prstGeom prst="rect">
                            <a:avLst/>
                          </a:prstGeom>
                          <a:solidFill>
                            <a:srgbClr val="FFFFFF"/>
                          </a:solidFill>
                          <a:ln w="9525">
                            <a:solidFill>
                              <a:srgbClr val="000000"/>
                            </a:solidFill>
                            <a:miter lim="800000"/>
                            <a:headEnd/>
                            <a:tailEnd/>
                          </a:ln>
                        </wps:spPr>
                        <wps:txbx>
                          <w:txbxContent>
                            <w:p w14:paraId="495B4B7B" w14:textId="5C38B89A" w:rsidR="00D05956" w:rsidRPr="006057B7" w:rsidRDefault="00D05956" w:rsidP="006057B7">
                              <w:pPr>
                                <w:spacing w:after="0" w:line="240" w:lineRule="auto"/>
                                <w:jc w:val="center"/>
                                <w:rPr>
                                  <w:rFonts w:ascii="Times New Roman" w:hAnsi="Times New Roman" w:cs="Times New Roman"/>
                                  <w:sz w:val="24"/>
                                  <w:szCs w:val="24"/>
                                  <w:lang w:val="kk-KZ"/>
                                </w:rPr>
                              </w:pPr>
                              <w:r w:rsidRPr="006057B7">
                                <w:rPr>
                                  <w:rFonts w:ascii="Times New Roman" w:hAnsi="Times New Roman" w:cs="Times New Roman"/>
                                  <w:sz w:val="24"/>
                                  <w:szCs w:val="24"/>
                                  <w:lang w:val="kk-KZ"/>
                                </w:rPr>
                                <w:t>Облыстар, республикалық маңызы бар қалалар, астана – жергілікті атқарушы органдар, төменгі бюджет</w:t>
                              </w:r>
                            </w:p>
                          </w:txbxContent>
                        </wps:txbx>
                        <wps:bodyPr rot="0" vert="horz" wrap="square" lIns="91440" tIns="45720" rIns="91440" bIns="45720" anchor="t" anchorCtr="0" upright="1">
                          <a:noAutofit/>
                        </wps:bodyPr>
                      </wps:wsp>
                      <wps:wsp>
                        <wps:cNvPr id="1254931001" name="Прямая со стрелкой 389"/>
                        <wps:cNvCnPr>
                          <a:cxnSpLocks noChangeShapeType="1"/>
                        </wps:cNvCnPr>
                        <wps:spPr bwMode="auto">
                          <a:xfrm flipV="1">
                            <a:off x="2069139" y="1287021"/>
                            <a:ext cx="0" cy="144000"/>
                          </a:xfrm>
                          <a:prstGeom prst="straightConnector1">
                            <a:avLst/>
                          </a:prstGeom>
                          <a:noFill/>
                          <a:ln w="9525">
                            <a:solidFill>
                              <a:srgbClr val="000000"/>
                            </a:solidFill>
                            <a:round/>
                            <a:headEnd/>
                            <a:tailEnd type="triangle" w="med" len="med"/>
                          </a:ln>
                        </wps:spPr>
                        <wps:bodyPr/>
                      </wps:wsp>
                      <wps:wsp>
                        <wps:cNvPr id="975665151" name="Прямоугольник 382"/>
                        <wps:cNvSpPr>
                          <a:spLocks noChangeArrowheads="1"/>
                        </wps:cNvSpPr>
                        <wps:spPr bwMode="auto">
                          <a:xfrm>
                            <a:off x="12088" y="2254038"/>
                            <a:ext cx="3261360" cy="457200"/>
                          </a:xfrm>
                          <a:prstGeom prst="rect">
                            <a:avLst/>
                          </a:prstGeom>
                          <a:solidFill>
                            <a:srgbClr val="FFFFFF"/>
                          </a:solidFill>
                          <a:ln w="9525">
                            <a:solidFill>
                              <a:srgbClr val="000000"/>
                            </a:solidFill>
                            <a:miter lim="800000"/>
                            <a:headEnd/>
                            <a:tailEnd/>
                          </a:ln>
                        </wps:spPr>
                        <wps:txbx>
                          <w:txbxContent>
                            <w:p w14:paraId="655400D0" w14:textId="1264979C" w:rsidR="00D05956" w:rsidRPr="006057B7" w:rsidRDefault="00D05956" w:rsidP="006057B7">
                              <w:pPr>
                                <w:spacing w:after="0" w:line="240" w:lineRule="auto"/>
                                <w:jc w:val="center"/>
                                <w:rPr>
                                  <w:rFonts w:ascii="Times New Roman" w:hAnsi="Times New Roman" w:cs="Times New Roman"/>
                                  <w:sz w:val="24"/>
                                  <w:szCs w:val="24"/>
                                  <w:lang w:val="kk-KZ"/>
                                </w:rPr>
                              </w:pPr>
                              <w:r w:rsidRPr="006057B7">
                                <w:rPr>
                                  <w:rFonts w:ascii="Times New Roman" w:hAnsi="Times New Roman" w:cs="Times New Roman"/>
                                  <w:sz w:val="24"/>
                                  <w:szCs w:val="24"/>
                                  <w:lang w:val="kk-KZ"/>
                                </w:rPr>
                                <w:t>Бюджеттік тапсырыстарға бюджеттік жобаларды</w:t>
                              </w:r>
                              <w:r>
                                <w:rPr>
                                  <w:rFonts w:ascii="Times New Roman" w:hAnsi="Times New Roman" w:cs="Times New Roman"/>
                                  <w:sz w:val="24"/>
                                  <w:szCs w:val="24"/>
                                  <w:lang w:val="kk-KZ"/>
                                </w:rPr>
                                <w:t xml:space="preserve"> негіздеп</w:t>
                              </w:r>
                              <w:r w:rsidRPr="006057B7">
                                <w:rPr>
                                  <w:rFonts w:ascii="Times New Roman" w:hAnsi="Times New Roman" w:cs="Times New Roman"/>
                                  <w:sz w:val="24"/>
                                  <w:szCs w:val="24"/>
                                  <w:lang w:val="kk-KZ"/>
                                </w:rPr>
                                <w:t xml:space="preserve"> әзірлейді</w:t>
                              </w:r>
                            </w:p>
                          </w:txbxContent>
                        </wps:txbx>
                        <wps:bodyPr rot="0" vert="horz" wrap="square" lIns="91440" tIns="45720" rIns="91440" bIns="45720" anchor="t" anchorCtr="0" upright="1">
                          <a:noAutofit/>
                        </wps:bodyPr>
                      </wps:wsp>
                      <wps:wsp>
                        <wps:cNvPr id="791803204" name="Прямая со стрелкой 384"/>
                        <wps:cNvCnPr>
                          <a:cxnSpLocks noChangeShapeType="1"/>
                        </wps:cNvCnPr>
                        <wps:spPr bwMode="auto">
                          <a:xfrm flipV="1">
                            <a:off x="1630672" y="2068558"/>
                            <a:ext cx="0" cy="182880"/>
                          </a:xfrm>
                          <a:prstGeom prst="straightConnector1">
                            <a:avLst/>
                          </a:prstGeom>
                          <a:noFill/>
                          <a:ln w="9525">
                            <a:solidFill>
                              <a:srgbClr val="000000"/>
                            </a:solidFill>
                            <a:round/>
                            <a:headEnd/>
                            <a:tailEnd type="triangle" w="med" len="med"/>
                          </a:ln>
                        </wps:spPr>
                        <wps:bodyPr/>
                      </wps:wsp>
                      <wps:wsp>
                        <wps:cNvPr id="1568079801" name="Прямоугольник 386"/>
                        <wps:cNvSpPr>
                          <a:spLocks noChangeArrowheads="1"/>
                        </wps:cNvSpPr>
                        <wps:spPr bwMode="auto">
                          <a:xfrm>
                            <a:off x="3686175" y="1572116"/>
                            <a:ext cx="1836420" cy="472440"/>
                          </a:xfrm>
                          <a:prstGeom prst="rect">
                            <a:avLst/>
                          </a:prstGeom>
                          <a:solidFill>
                            <a:srgbClr val="FFFFFF"/>
                          </a:solidFill>
                          <a:ln w="9525">
                            <a:solidFill>
                              <a:srgbClr val="000000"/>
                            </a:solidFill>
                            <a:miter lim="800000"/>
                            <a:headEnd/>
                            <a:tailEnd/>
                          </a:ln>
                        </wps:spPr>
                        <wps:txbx>
                          <w:txbxContent>
                            <w:p w14:paraId="0335E215" w14:textId="7C94316F" w:rsidR="00D05956" w:rsidRPr="001A5A54" w:rsidRDefault="00D05956" w:rsidP="001A5A54">
                              <w:pPr>
                                <w:spacing w:after="0" w:line="240" w:lineRule="auto"/>
                                <w:jc w:val="center"/>
                                <w:rPr>
                                  <w:rFonts w:ascii="Times New Roman" w:hAnsi="Times New Roman" w:cs="Times New Roman"/>
                                  <w:sz w:val="24"/>
                                  <w:szCs w:val="24"/>
                                  <w:lang w:val="kk-KZ"/>
                                </w:rPr>
                              </w:pPr>
                              <w:r w:rsidRPr="001A5A54">
                                <w:rPr>
                                  <w:rFonts w:ascii="Times New Roman" w:hAnsi="Times New Roman" w:cs="Times New Roman"/>
                                  <w:sz w:val="24"/>
                                  <w:szCs w:val="24"/>
                                  <w:lang w:val="kk-KZ"/>
                                </w:rPr>
                                <w:t>Бюджеттік жобалар әзірленбейді</w:t>
                              </w:r>
                            </w:p>
                          </w:txbxContent>
                        </wps:txbx>
                        <wps:bodyPr rot="0" vert="horz" wrap="square" lIns="91440" tIns="45720" rIns="91440" bIns="45720" anchor="t" anchorCtr="0" upright="1">
                          <a:noAutofit/>
                        </wps:bodyPr>
                      </wps:wsp>
                      <wps:wsp>
                        <wps:cNvPr id="1480575902" name="Прямоугольник 400"/>
                        <wps:cNvSpPr>
                          <a:spLocks noChangeArrowheads="1"/>
                        </wps:cNvSpPr>
                        <wps:spPr bwMode="auto">
                          <a:xfrm>
                            <a:off x="3676650" y="9524"/>
                            <a:ext cx="1836420" cy="665711"/>
                          </a:xfrm>
                          <a:prstGeom prst="rect">
                            <a:avLst/>
                          </a:prstGeom>
                          <a:solidFill>
                            <a:srgbClr val="FFFFFF"/>
                          </a:solidFill>
                          <a:ln w="9525">
                            <a:solidFill>
                              <a:srgbClr val="000000"/>
                            </a:solidFill>
                            <a:miter lim="800000"/>
                            <a:headEnd/>
                            <a:tailEnd/>
                          </a:ln>
                        </wps:spPr>
                        <wps:txbx>
                          <w:txbxContent>
                            <w:p w14:paraId="06CA7E61" w14:textId="68DCAF0E" w:rsidR="00D05956" w:rsidRPr="001A5A54" w:rsidRDefault="00D05956" w:rsidP="0059751A">
                              <w:pPr>
                                <w:spacing w:after="0" w:line="240" w:lineRule="auto"/>
                                <w:ind w:left="-84" w:right="-135"/>
                                <w:jc w:val="center"/>
                                <w:rPr>
                                  <w:rFonts w:ascii="Times New Roman" w:hAnsi="Times New Roman" w:cs="Times New Roman"/>
                                  <w:sz w:val="24"/>
                                  <w:szCs w:val="24"/>
                                  <w:lang w:val="kk-KZ"/>
                                </w:rPr>
                              </w:pPr>
                              <w:r>
                                <w:rPr>
                                  <w:rFonts w:ascii="Times New Roman" w:hAnsi="Times New Roman" w:cs="Times New Roman"/>
                                  <w:sz w:val="24"/>
                                  <w:szCs w:val="24"/>
                                  <w:lang w:val="kk-KZ"/>
                                </w:rPr>
                                <w:t>Бюджеттік бағдарламалар ж</w:t>
                              </w:r>
                              <w:r w:rsidRPr="001A5A54">
                                <w:rPr>
                                  <w:rFonts w:ascii="Times New Roman" w:hAnsi="Times New Roman" w:cs="Times New Roman"/>
                                  <w:sz w:val="24"/>
                                  <w:szCs w:val="24"/>
                                  <w:lang w:val="kk-KZ"/>
                                </w:rPr>
                                <w:t xml:space="preserve">оғары және төмен бюджет әкімшілерімен келісілмейді </w:t>
                              </w:r>
                            </w:p>
                          </w:txbxContent>
                        </wps:txbx>
                        <wps:bodyPr rot="0" vert="horz" wrap="square" lIns="91440" tIns="45720" rIns="91440" bIns="45720" anchor="t" anchorCtr="0" upright="1">
                          <a:noAutofit/>
                        </wps:bodyPr>
                      </wps:wsp>
                      <wps:wsp>
                        <wps:cNvPr id="2008548671" name="Прямоугольник 392"/>
                        <wps:cNvSpPr>
                          <a:spLocks noChangeArrowheads="1"/>
                        </wps:cNvSpPr>
                        <wps:spPr bwMode="auto">
                          <a:xfrm>
                            <a:off x="3686175" y="772385"/>
                            <a:ext cx="1836420" cy="664845"/>
                          </a:xfrm>
                          <a:prstGeom prst="rect">
                            <a:avLst/>
                          </a:prstGeom>
                          <a:solidFill>
                            <a:srgbClr val="FFFFFF"/>
                          </a:solidFill>
                          <a:ln w="9525">
                            <a:solidFill>
                              <a:srgbClr val="000000"/>
                            </a:solidFill>
                            <a:miter lim="800000"/>
                            <a:headEnd/>
                            <a:tailEnd/>
                          </a:ln>
                        </wps:spPr>
                        <wps:txbx>
                          <w:txbxContent>
                            <w:p w14:paraId="3466A814" w14:textId="7534A0F9" w:rsidR="00D05956" w:rsidRDefault="00D05956" w:rsidP="0059751A">
                              <w:pPr>
                                <w:spacing w:after="0" w:line="240" w:lineRule="auto"/>
                                <w:ind w:left="-56" w:right="-107"/>
                                <w:jc w:val="center"/>
                                <w:rPr>
                                  <w:rFonts w:ascii="Times New Roman" w:hAnsi="Times New Roman" w:cs="Times New Roman"/>
                                  <w:sz w:val="24"/>
                                  <w:szCs w:val="24"/>
                                  <w:lang w:val="kk-KZ"/>
                                </w:rPr>
                              </w:pPr>
                              <w:r>
                                <w:rPr>
                                  <w:rFonts w:ascii="Times New Roman" w:hAnsi="Times New Roman" w:cs="Times New Roman"/>
                                  <w:sz w:val="24"/>
                                  <w:szCs w:val="24"/>
                                  <w:lang w:val="kk-KZ"/>
                                </w:rPr>
                                <w:t>Бюджеттік тапсырыстарға бюджеттік жобалар бар-жоғы тексерілмейді</w:t>
                              </w:r>
                            </w:p>
                            <w:p w14:paraId="7CD8ACE9" w14:textId="77777777" w:rsidR="00D05956" w:rsidRDefault="00D05956" w:rsidP="0059751A">
                              <w:pPr>
                                <w:spacing w:after="0" w:line="240" w:lineRule="auto"/>
                              </w:pPr>
                            </w:p>
                          </w:txbxContent>
                        </wps:txbx>
                        <wps:bodyPr rot="0" vert="horz" wrap="square" lIns="91440" tIns="45720" rIns="91440" bIns="45720" anchor="t" anchorCtr="0" upright="1">
                          <a:noAutofit/>
                        </wps:bodyPr>
                      </wps:wsp>
                      <wps:wsp>
                        <wps:cNvPr id="274046342" name="Прямая со стрелкой 390"/>
                        <wps:cNvCnPr>
                          <a:cxnSpLocks noChangeShapeType="1"/>
                        </wps:cNvCnPr>
                        <wps:spPr bwMode="auto">
                          <a:xfrm flipH="1" flipV="1">
                            <a:off x="3526155" y="1247775"/>
                            <a:ext cx="160020" cy="0"/>
                          </a:xfrm>
                          <a:prstGeom prst="straightConnector1">
                            <a:avLst/>
                          </a:prstGeom>
                          <a:noFill/>
                          <a:ln w="9525">
                            <a:solidFill>
                              <a:srgbClr val="000000"/>
                            </a:solidFill>
                            <a:round/>
                            <a:headEnd/>
                            <a:tailEnd/>
                          </a:ln>
                        </wps:spPr>
                        <wps:bodyPr/>
                      </wps:wsp>
                      <wps:wsp>
                        <wps:cNvPr id="840064153" name="Прямая со стрелкой 397"/>
                        <wps:cNvCnPr>
                          <a:cxnSpLocks noChangeShapeType="1"/>
                        </wps:cNvCnPr>
                        <wps:spPr bwMode="auto">
                          <a:xfrm flipH="1">
                            <a:off x="3505200" y="219075"/>
                            <a:ext cx="167640" cy="0"/>
                          </a:xfrm>
                          <a:prstGeom prst="straightConnector1">
                            <a:avLst/>
                          </a:prstGeom>
                          <a:noFill/>
                          <a:ln w="9525">
                            <a:solidFill>
                              <a:srgbClr val="000000"/>
                            </a:solidFill>
                            <a:round/>
                            <a:headEnd/>
                            <a:tailEnd/>
                          </a:ln>
                        </wps:spPr>
                        <wps:bodyPr/>
                      </wps:wsp>
                      <wps:wsp>
                        <wps:cNvPr id="2009277094" name="Прямая со стрелкой 398"/>
                        <wps:cNvCnPr>
                          <a:cxnSpLocks noChangeShapeType="1"/>
                        </wps:cNvCnPr>
                        <wps:spPr bwMode="auto">
                          <a:xfrm>
                            <a:off x="3524250" y="219052"/>
                            <a:ext cx="0" cy="1771673"/>
                          </a:xfrm>
                          <a:prstGeom prst="straightConnector1">
                            <a:avLst/>
                          </a:prstGeom>
                          <a:noFill/>
                          <a:ln w="9525">
                            <a:solidFill>
                              <a:srgbClr val="000000"/>
                            </a:solidFill>
                            <a:round/>
                            <a:headEnd/>
                            <a:tailEnd/>
                          </a:ln>
                        </wps:spPr>
                        <wps:bodyPr/>
                      </wps:wsp>
                      <wps:wsp>
                        <wps:cNvPr id="1442069048" name="Прямая со стрелкой 396"/>
                        <wps:cNvCnPr>
                          <a:cxnSpLocks noChangeShapeType="1"/>
                        </wps:cNvCnPr>
                        <wps:spPr bwMode="auto">
                          <a:xfrm flipH="1">
                            <a:off x="3166110" y="371475"/>
                            <a:ext cx="358140" cy="0"/>
                          </a:xfrm>
                          <a:prstGeom prst="straightConnector1">
                            <a:avLst/>
                          </a:prstGeom>
                          <a:noFill/>
                          <a:ln w="9525">
                            <a:solidFill>
                              <a:srgbClr val="000000"/>
                            </a:solidFill>
                            <a:round/>
                            <a:headEnd/>
                            <a:tailEnd type="triangle" w="med" len="med"/>
                          </a:ln>
                        </wps:spPr>
                        <wps:bodyPr/>
                      </wps:wsp>
                      <wps:wsp>
                        <wps:cNvPr id="1564056691" name="Прямая со стрелкой 395"/>
                        <wps:cNvCnPr>
                          <a:cxnSpLocks noChangeShapeType="1"/>
                        </wps:cNvCnPr>
                        <wps:spPr bwMode="auto">
                          <a:xfrm>
                            <a:off x="3371850" y="390484"/>
                            <a:ext cx="0" cy="1476416"/>
                          </a:xfrm>
                          <a:prstGeom prst="straightConnector1">
                            <a:avLst/>
                          </a:prstGeom>
                          <a:noFill/>
                          <a:ln w="9525">
                            <a:solidFill>
                              <a:srgbClr val="000000"/>
                            </a:solidFill>
                            <a:round/>
                            <a:headEnd/>
                            <a:tailEnd/>
                          </a:ln>
                        </wps:spPr>
                        <wps:bodyPr/>
                      </wps:wsp>
                      <wps:wsp>
                        <wps:cNvPr id="1055860099" name="Прямоугольник 381"/>
                        <wps:cNvSpPr>
                          <a:spLocks noChangeArrowheads="1"/>
                        </wps:cNvSpPr>
                        <wps:spPr bwMode="auto">
                          <a:xfrm>
                            <a:off x="3699510" y="2236893"/>
                            <a:ext cx="1813560" cy="434340"/>
                          </a:xfrm>
                          <a:prstGeom prst="rect">
                            <a:avLst/>
                          </a:prstGeom>
                          <a:solidFill>
                            <a:srgbClr val="FFFFFF"/>
                          </a:solidFill>
                          <a:ln w="9525">
                            <a:solidFill>
                              <a:srgbClr val="000000"/>
                            </a:solidFill>
                            <a:miter lim="800000"/>
                            <a:headEnd/>
                            <a:tailEnd/>
                          </a:ln>
                        </wps:spPr>
                        <wps:txbx>
                          <w:txbxContent>
                            <w:p w14:paraId="7184701F" w14:textId="0D5D8BD0" w:rsidR="00D05956" w:rsidRPr="00857DE9" w:rsidRDefault="00D05956" w:rsidP="00857DE9">
                              <w:pPr>
                                <w:spacing w:after="0" w:line="240" w:lineRule="auto"/>
                                <w:jc w:val="center"/>
                                <w:rPr>
                                  <w:rFonts w:ascii="Times New Roman" w:hAnsi="Times New Roman" w:cs="Times New Roman"/>
                                  <w:sz w:val="24"/>
                                  <w:szCs w:val="24"/>
                                  <w:lang w:val="kk-KZ"/>
                                </w:rPr>
                              </w:pPr>
                              <w:r w:rsidRPr="00857DE9">
                                <w:rPr>
                                  <w:rFonts w:ascii="Times New Roman" w:hAnsi="Times New Roman" w:cs="Times New Roman"/>
                                  <w:sz w:val="24"/>
                                  <w:szCs w:val="24"/>
                                  <w:lang w:val="kk-KZ"/>
                                </w:rPr>
                                <w:t>Бюджет қаражаты тиімсіз пайдаланылады</w:t>
                              </w:r>
                            </w:p>
                          </w:txbxContent>
                        </wps:txbx>
                        <wps:bodyPr rot="0" vert="horz" wrap="square" lIns="91440" tIns="45720" rIns="91440" bIns="45720" anchor="t" anchorCtr="0" upright="1">
                          <a:noAutofit/>
                        </wps:bodyPr>
                      </wps:wsp>
                      <wps:wsp>
                        <wps:cNvPr id="1651523106" name="Прямая со стрелкой 383"/>
                        <wps:cNvCnPr>
                          <a:cxnSpLocks noChangeShapeType="1"/>
                        </wps:cNvCnPr>
                        <wps:spPr bwMode="auto">
                          <a:xfrm flipH="1" flipV="1">
                            <a:off x="4596646" y="2044570"/>
                            <a:ext cx="0" cy="182880"/>
                          </a:xfrm>
                          <a:prstGeom prst="straightConnector1">
                            <a:avLst/>
                          </a:prstGeom>
                          <a:noFill/>
                          <a:ln w="952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00D4F7" id="Группа 7" o:spid="_x0000_s1135" style="position:absolute;left:0;text-align:left;margin-left:3.45pt;margin-top:3.75pt;width:471pt;height:213.5pt;z-index:251729920;mso-width-relative:margin;mso-height-relative:margin" coordsize="55225,2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">
                <v:rect id="Прямоугольник 399" o:spid="_x0000_s1136" style="position:absolute;left:95;width:31928;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">
                  <v:textbox>
                    <w:txbxContent>
                      <w:p w14:paraId="5DBC3E3D" w14:textId="37BE69D3" w:rsidR="00D05956" w:rsidRPr="002532AC" w:rsidRDefault="00D05956" w:rsidP="008B76C0">
                        <w:pPr>
                          <w:spacing w:after="0" w:line="240" w:lineRule="auto"/>
                          <w:jc w:val="center"/>
                          <w:rPr>
                            <w:rFonts w:ascii="Times New Roman" w:hAnsi="Times New Roman" w:cs="Times New Roman"/>
                            <w:sz w:val="24"/>
                            <w:szCs w:val="24"/>
                            <w:lang w:val="kk-KZ"/>
                          </w:rPr>
                        </w:pPr>
                        <w:r w:rsidRPr="002532AC">
                          <w:rPr>
                            <w:rFonts w:ascii="Times New Roman" w:hAnsi="Times New Roman" w:cs="Times New Roman"/>
                            <w:sz w:val="24"/>
                            <w:szCs w:val="24"/>
                            <w:lang w:val="kk-KZ"/>
                          </w:rPr>
                          <w:t>Ауыл шаруашылығы министрлігі – орталық мемлекетік орган, жоғарғы бюджет</w:t>
                        </w:r>
                      </w:p>
                    </w:txbxContent>
                  </v:textbox>
                </v:rect>
                <v:shape id="Прямая со стрелкой 394" o:spid="_x0000_s1137" type="#_x0000_t32" style="position:absolute;left:16002;top:495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">
                  <v:stroke endarrow="block"/>
                </v:shape>
                <v:shape id="Прямая со стрелкой 391" o:spid="_x0000_s1138" type="#_x0000_t32" style="position:absolute;left:7956;top:12944;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">
                  <v:stroke endarrow="block"/>
                </v:shape>
                <v:rect id="Прямоугольник 393" o:spid="_x0000_s1139" style="position:absolute;top:6753;width:32308;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">
                  <v:textbox>
                    <w:txbxContent>
                      <w:p w14:paraId="1890B6F6" w14:textId="23602963" w:rsidR="00D05956" w:rsidRPr="002532AC" w:rsidRDefault="00D05956" w:rsidP="0059751A">
                        <w:pPr>
                          <w:spacing w:after="0" w:line="240" w:lineRule="auto"/>
                          <w:ind w:left="-56" w:right="-73"/>
                          <w:jc w:val="center"/>
                          <w:rPr>
                            <w:rFonts w:ascii="Times New Roman" w:hAnsi="Times New Roman" w:cs="Times New Roman"/>
                            <w:sz w:val="24"/>
                            <w:szCs w:val="24"/>
                            <w:lang w:val="kk-KZ"/>
                          </w:rPr>
                        </w:pPr>
                        <w:r w:rsidRPr="002532AC">
                          <w:rPr>
                            <w:rFonts w:ascii="Times New Roman" w:hAnsi="Times New Roman" w:cs="Times New Roman"/>
                            <w:sz w:val="24"/>
                            <w:szCs w:val="24"/>
                            <w:lang w:val="kk-KZ"/>
                          </w:rPr>
                          <w:t>Бюджеттік бағдарламалар бойынша бюджет</w:t>
                        </w:r>
                        <w:r>
                          <w:rPr>
                            <w:rFonts w:ascii="Times New Roman" w:hAnsi="Times New Roman" w:cs="Times New Roman"/>
                            <w:sz w:val="24"/>
                            <w:szCs w:val="24"/>
                            <w:lang w:val="kk-KZ"/>
                          </w:rPr>
                          <w:t xml:space="preserve"> </w:t>
                        </w:r>
                        <w:r w:rsidRPr="002532AC">
                          <w:rPr>
                            <w:rFonts w:ascii="Times New Roman" w:hAnsi="Times New Roman" w:cs="Times New Roman"/>
                            <w:sz w:val="24"/>
                            <w:szCs w:val="24"/>
                            <w:lang w:val="kk-KZ"/>
                          </w:rPr>
                          <w:t>тік тапсырыстарды құрайды</w:t>
                        </w:r>
                        <w:r>
                          <w:rPr>
                            <w:rFonts w:ascii="Times New Roman" w:hAnsi="Times New Roman" w:cs="Times New Roman"/>
                            <w:sz w:val="24"/>
                            <w:szCs w:val="24"/>
                            <w:lang w:val="kk-KZ"/>
                          </w:rPr>
                          <w:t>, жоғары және төмен бюджет әкімшілерімен келісіліп бекітіледі</w:t>
                        </w:r>
                      </w:p>
                    </w:txbxContent>
                  </v:textbox>
                </v:rect>
                <v:rect id="Прямоугольник 388" o:spid="_x0000_s1140" style="position:absolute;top:14468;width:3221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">
                  <v:textbox>
                    <w:txbxContent>
                      <w:p w14:paraId="495B4B7B" w14:textId="5C38B89A" w:rsidR="00D05956" w:rsidRPr="006057B7" w:rsidRDefault="00D05956" w:rsidP="006057B7">
                        <w:pPr>
                          <w:spacing w:after="0" w:line="240" w:lineRule="auto"/>
                          <w:jc w:val="center"/>
                          <w:rPr>
                            <w:rFonts w:ascii="Times New Roman" w:hAnsi="Times New Roman" w:cs="Times New Roman"/>
                            <w:sz w:val="24"/>
                            <w:szCs w:val="24"/>
                            <w:lang w:val="kk-KZ"/>
                          </w:rPr>
                        </w:pPr>
                        <w:r w:rsidRPr="006057B7">
                          <w:rPr>
                            <w:rFonts w:ascii="Times New Roman" w:hAnsi="Times New Roman" w:cs="Times New Roman"/>
                            <w:sz w:val="24"/>
                            <w:szCs w:val="24"/>
                            <w:lang w:val="kk-KZ"/>
                          </w:rPr>
                          <w:t>Облыстар, республикалық маңызы бар қалалар, астана – жергілікті атқарушы органдар, төменгі бюджет</w:t>
                        </w:r>
                      </w:p>
                    </w:txbxContent>
                  </v:textbox>
                </v:rect>
                <v:shape id="Прямая со стрелкой 389" o:spid="_x0000_s1141" type="#_x0000_t32" style="position:absolute;left:20691;top:12870;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">
                  <v:stroke endarrow="block"/>
                </v:shape>
                <v:rect id="Прямоугольник 382" o:spid="_x0000_s1142" style="position:absolute;left:120;top:22540;width:326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">
                  <v:textbox>
                    <w:txbxContent>
                      <w:p w14:paraId="655400D0" w14:textId="1264979C" w:rsidR="00D05956" w:rsidRPr="006057B7" w:rsidRDefault="00D05956" w:rsidP="006057B7">
                        <w:pPr>
                          <w:spacing w:after="0" w:line="240" w:lineRule="auto"/>
                          <w:jc w:val="center"/>
                          <w:rPr>
                            <w:rFonts w:ascii="Times New Roman" w:hAnsi="Times New Roman" w:cs="Times New Roman"/>
                            <w:sz w:val="24"/>
                            <w:szCs w:val="24"/>
                            <w:lang w:val="kk-KZ"/>
                          </w:rPr>
                        </w:pPr>
                        <w:r w:rsidRPr="006057B7">
                          <w:rPr>
                            <w:rFonts w:ascii="Times New Roman" w:hAnsi="Times New Roman" w:cs="Times New Roman"/>
                            <w:sz w:val="24"/>
                            <w:szCs w:val="24"/>
                            <w:lang w:val="kk-KZ"/>
                          </w:rPr>
                          <w:t>Бюджеттік тапсырыстарға бюджеттік жобаларды</w:t>
                        </w:r>
                        <w:r>
                          <w:rPr>
                            <w:rFonts w:ascii="Times New Roman" w:hAnsi="Times New Roman" w:cs="Times New Roman"/>
                            <w:sz w:val="24"/>
                            <w:szCs w:val="24"/>
                            <w:lang w:val="kk-KZ"/>
                          </w:rPr>
                          <w:t xml:space="preserve"> негіздеп</w:t>
                        </w:r>
                        <w:r w:rsidRPr="006057B7">
                          <w:rPr>
                            <w:rFonts w:ascii="Times New Roman" w:hAnsi="Times New Roman" w:cs="Times New Roman"/>
                            <w:sz w:val="24"/>
                            <w:szCs w:val="24"/>
                            <w:lang w:val="kk-KZ"/>
                          </w:rPr>
                          <w:t xml:space="preserve"> әзірлейді</w:t>
                        </w:r>
                      </w:p>
                    </w:txbxContent>
                  </v:textbox>
                </v:rect>
                <v:shape id="Прямая со стрелкой 384" o:spid="_x0000_s1143" type="#_x0000_t32" style="position:absolute;left:16306;top:20685;width:0;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">
                  <v:stroke endarrow="block"/>
                </v:shape>
                <v:rect id="Прямоугольник 386" o:spid="_x0000_s1144" style="position:absolute;left:36861;top:15721;width:18364;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">
                  <v:textbox>
                    <w:txbxContent>
                      <w:p w14:paraId="0335E215" w14:textId="7C94316F" w:rsidR="00D05956" w:rsidRPr="001A5A54" w:rsidRDefault="00D05956" w:rsidP="001A5A54">
                        <w:pPr>
                          <w:spacing w:after="0" w:line="240" w:lineRule="auto"/>
                          <w:jc w:val="center"/>
                          <w:rPr>
                            <w:rFonts w:ascii="Times New Roman" w:hAnsi="Times New Roman" w:cs="Times New Roman"/>
                            <w:sz w:val="24"/>
                            <w:szCs w:val="24"/>
                            <w:lang w:val="kk-KZ"/>
                          </w:rPr>
                        </w:pPr>
                        <w:r w:rsidRPr="001A5A54">
                          <w:rPr>
                            <w:rFonts w:ascii="Times New Roman" w:hAnsi="Times New Roman" w:cs="Times New Roman"/>
                            <w:sz w:val="24"/>
                            <w:szCs w:val="24"/>
                            <w:lang w:val="kk-KZ"/>
                          </w:rPr>
                          <w:t>Бюджеттік жобалар әзірленбейді</w:t>
                        </w:r>
                      </w:p>
                    </w:txbxContent>
                  </v:textbox>
                </v:rect>
                <v:rect id="Прямоугольник 400" o:spid="_x0000_s1145" style="position:absolute;left:36766;top:95;width:18364;height: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">
                  <v:textbox>
                    <w:txbxContent>
                      <w:p w14:paraId="06CA7E61" w14:textId="68DCAF0E" w:rsidR="00D05956" w:rsidRPr="001A5A54" w:rsidRDefault="00D05956" w:rsidP="0059751A">
                        <w:pPr>
                          <w:spacing w:after="0" w:line="240" w:lineRule="auto"/>
                          <w:ind w:left="-84" w:right="-135"/>
                          <w:jc w:val="center"/>
                          <w:rPr>
                            <w:rFonts w:ascii="Times New Roman" w:hAnsi="Times New Roman" w:cs="Times New Roman"/>
                            <w:sz w:val="24"/>
                            <w:szCs w:val="24"/>
                            <w:lang w:val="kk-KZ"/>
                          </w:rPr>
                        </w:pPr>
                        <w:r>
                          <w:rPr>
                            <w:rFonts w:ascii="Times New Roman" w:hAnsi="Times New Roman" w:cs="Times New Roman"/>
                            <w:sz w:val="24"/>
                            <w:szCs w:val="24"/>
                            <w:lang w:val="kk-KZ"/>
                          </w:rPr>
                          <w:t>Бюджеттік бағдарламалар ж</w:t>
                        </w:r>
                        <w:r w:rsidRPr="001A5A54">
                          <w:rPr>
                            <w:rFonts w:ascii="Times New Roman" w:hAnsi="Times New Roman" w:cs="Times New Roman"/>
                            <w:sz w:val="24"/>
                            <w:szCs w:val="24"/>
                            <w:lang w:val="kk-KZ"/>
                          </w:rPr>
                          <w:t xml:space="preserve">оғары және төмен бюджет әкімшілерімен келісілмейді </w:t>
                        </w:r>
                      </w:p>
                    </w:txbxContent>
                  </v:textbox>
                </v:rect>
                <v:rect id="Прямоугольник 392" o:spid="_x0000_s1146" style="position:absolute;left:36861;top:7723;width:18364;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">
                  <v:textbox>
                    <w:txbxContent>
                      <w:p w14:paraId="3466A814" w14:textId="7534A0F9" w:rsidR="00D05956" w:rsidRDefault="00D05956" w:rsidP="0059751A">
                        <w:pPr>
                          <w:spacing w:after="0" w:line="240" w:lineRule="auto"/>
                          <w:ind w:left="-56" w:right="-107"/>
                          <w:jc w:val="center"/>
                          <w:rPr>
                            <w:rFonts w:ascii="Times New Roman" w:hAnsi="Times New Roman" w:cs="Times New Roman"/>
                            <w:sz w:val="24"/>
                            <w:szCs w:val="24"/>
                            <w:lang w:val="kk-KZ"/>
                          </w:rPr>
                        </w:pPr>
                        <w:r>
                          <w:rPr>
                            <w:rFonts w:ascii="Times New Roman" w:hAnsi="Times New Roman" w:cs="Times New Roman"/>
                            <w:sz w:val="24"/>
                            <w:szCs w:val="24"/>
                            <w:lang w:val="kk-KZ"/>
                          </w:rPr>
                          <w:t>Бюджеттік тапсырыстарға бюджеттік жобалар бар-жоғы тексерілмейді</w:t>
                        </w:r>
                      </w:p>
                      <w:p w14:paraId="7CD8ACE9" w14:textId="77777777" w:rsidR="00D05956" w:rsidRDefault="00D05956" w:rsidP="0059751A">
                        <w:pPr>
                          <w:spacing w:after="0" w:line="240" w:lineRule="auto"/>
                        </w:pPr>
                      </w:p>
                    </w:txbxContent>
                  </v:textbox>
                </v:rect>
                <v:shape id="Прямая со стрелкой 390" o:spid="_x0000_s1147" type="#_x0000_t32" style="position:absolute;left:35261;top:12477;width:16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"/>
                <v:shape id="Прямая со стрелкой 397" o:spid="_x0000_s1148" type="#_x0000_t32" style="position:absolute;left:35052;top:2190;width:16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"/>
                <v:shape id="Прямая со стрелкой 398" o:spid="_x0000_s1149" type="#_x0000_t32" style="position:absolute;left:35242;top:2190;width:0;height:17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"/>
                <v:shape id="Прямая со стрелкой 396" o:spid="_x0000_s1150" type="#_x0000_t32" style="position:absolute;left:31661;top:3714;width:35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">
                  <v:stroke endarrow="block"/>
                </v:shape>
                <v:shape id="Прямая со стрелкой 395" o:spid="_x0000_s1151" type="#_x0000_t32" style="position:absolute;left:33718;top:3904;width:0;height:14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"/>
                <v:rect id="Прямоугольник 381" o:spid="_x0000_s1152" style="position:absolute;left:36995;top:22368;width:1813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">
                  <v:textbox>
                    <w:txbxContent>
                      <w:p w14:paraId="7184701F" w14:textId="0D5D8BD0" w:rsidR="00D05956" w:rsidRPr="00857DE9" w:rsidRDefault="00D05956" w:rsidP="00857DE9">
                        <w:pPr>
                          <w:spacing w:after="0" w:line="240" w:lineRule="auto"/>
                          <w:jc w:val="center"/>
                          <w:rPr>
                            <w:rFonts w:ascii="Times New Roman" w:hAnsi="Times New Roman" w:cs="Times New Roman"/>
                            <w:sz w:val="24"/>
                            <w:szCs w:val="24"/>
                            <w:lang w:val="kk-KZ"/>
                          </w:rPr>
                        </w:pPr>
                        <w:r w:rsidRPr="00857DE9">
                          <w:rPr>
                            <w:rFonts w:ascii="Times New Roman" w:hAnsi="Times New Roman" w:cs="Times New Roman"/>
                            <w:sz w:val="24"/>
                            <w:szCs w:val="24"/>
                            <w:lang w:val="kk-KZ"/>
                          </w:rPr>
                          <w:t>Бюджет қаражаты тиімсіз пайдаланылады</w:t>
                        </w:r>
                      </w:p>
                    </w:txbxContent>
                  </v:textbox>
                </v:rect>
                <v:shape id="Прямая со стрелкой 383" o:spid="_x0000_s1153" type="#_x0000_t32" style="position:absolute;left:45966;top:20445;width:0;height:18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">
                  <v:stroke endarrow="block"/>
                </v:shape>
              </v:group>
            </w:pict>
          </mc:Fallback>
        </mc:AlternateContent>
      </w:r>
    </w:p>
    <w:p w14:paraId="1FD5A745" w14:textId="3D825053" w:rsidR="00C443DC" w:rsidRPr="00457CE9" w:rsidRDefault="00C443DC" w:rsidP="00457CE9">
      <w:pPr>
        <w:pStyle w:val="a5"/>
        <w:tabs>
          <w:tab w:val="left" w:pos="851"/>
        </w:tabs>
        <w:spacing w:after="0" w:line="240" w:lineRule="auto"/>
        <w:ind w:left="0" w:firstLine="567"/>
        <w:jc w:val="both"/>
        <w:rPr>
          <w:rFonts w:ascii="Times New Roman" w:eastAsia="Times New Roman" w:hAnsi="Times New Roman"/>
          <w:kern w:val="36"/>
          <w:sz w:val="28"/>
          <w:szCs w:val="28"/>
          <w:lang w:val="kk-KZ" w:eastAsia="ru-RU"/>
        </w:rPr>
      </w:pPr>
    </w:p>
    <w:p w14:paraId="3399D510" w14:textId="38B4EBAC" w:rsidR="00C443DC" w:rsidRPr="00457CE9" w:rsidRDefault="00C443DC" w:rsidP="00457CE9">
      <w:pPr>
        <w:pStyle w:val="a5"/>
        <w:tabs>
          <w:tab w:val="left" w:pos="851"/>
        </w:tabs>
        <w:spacing w:after="0" w:line="240" w:lineRule="auto"/>
        <w:ind w:left="0" w:firstLine="567"/>
        <w:jc w:val="both"/>
        <w:rPr>
          <w:rFonts w:ascii="Times New Roman" w:eastAsia="Times New Roman" w:hAnsi="Times New Roman"/>
          <w:kern w:val="36"/>
          <w:sz w:val="28"/>
          <w:szCs w:val="28"/>
          <w:lang w:val="kk-KZ" w:eastAsia="ru-RU"/>
        </w:rPr>
      </w:pPr>
    </w:p>
    <w:p w14:paraId="6162B197" w14:textId="22F14261" w:rsidR="00C443DC" w:rsidRPr="00457CE9" w:rsidRDefault="00C443D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1D6D880C" w14:textId="73F4085B" w:rsidR="00C443DC" w:rsidRPr="00457CE9" w:rsidRDefault="00C443D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0634541C" w14:textId="1CEBC4D2" w:rsidR="00C443DC" w:rsidRPr="00457CE9" w:rsidRDefault="00C443D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1DBD29DC" w14:textId="544AF387" w:rsidR="00C443DC" w:rsidRPr="00457CE9" w:rsidRDefault="00C443D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40E955CB" w14:textId="5B1C3C2A" w:rsidR="002532AC" w:rsidRPr="00457CE9" w:rsidRDefault="002532A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0C4D5753" w14:textId="107378FF" w:rsidR="002532AC" w:rsidRPr="00457CE9" w:rsidRDefault="002532A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574510FD" w14:textId="3FB16D92" w:rsidR="002532AC" w:rsidRPr="00457CE9" w:rsidRDefault="0059751A"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r w:rsidRPr="00457CE9">
        <w:rPr>
          <w:noProof/>
          <w:lang w:eastAsia="ru-RU"/>
        </w:rPr>
        <mc:AlternateContent>
          <mc:Choice Requires="wps">
            <w:drawing>
              <wp:anchor distT="4294967295" distB="4294967295" distL="114300" distR="114300" simplePos="0" relativeHeight="251721728" behindDoc="0" locked="0" layoutInCell="1" allowOverlap="1" wp14:anchorId="51FFA102" wp14:editId="14C54C8A">
                <wp:simplePos x="0" y="0"/>
                <wp:positionH relativeFrom="column">
                  <wp:posOffset>3568065</wp:posOffset>
                </wp:positionH>
                <wp:positionV relativeFrom="paragraph">
                  <wp:posOffset>193040</wp:posOffset>
                </wp:positionV>
                <wp:extent cx="447675" cy="0"/>
                <wp:effectExtent l="38100" t="76200" r="0" b="95250"/>
                <wp:wrapNone/>
                <wp:docPr id="673447608"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09B35" id="Прямая со стрелкой 385" o:spid="_x0000_s1026" type="#_x0000_t32" style="position:absolute;margin-left:280.95pt;margin-top:15.2pt;width:35.25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">
                <v:stroke endarrow="block"/>
              </v:shape>
            </w:pict>
          </mc:Fallback>
        </mc:AlternateContent>
      </w:r>
      <w:r w:rsidRPr="00457CE9">
        <w:rPr>
          <w:noProof/>
          <w:lang w:eastAsia="ru-RU"/>
        </w:rPr>
        <mc:AlternateContent>
          <mc:Choice Requires="wps">
            <w:drawing>
              <wp:anchor distT="0" distB="0" distL="114300" distR="114300" simplePos="0" relativeHeight="251727872" behindDoc="0" locked="0" layoutInCell="1" allowOverlap="1" wp14:anchorId="3E7BC2DA" wp14:editId="550F3621">
                <wp:simplePos x="0" y="0"/>
                <wp:positionH relativeFrom="column">
                  <wp:posOffset>3545205</wp:posOffset>
                </wp:positionH>
                <wp:positionV relativeFrom="paragraph">
                  <wp:posOffset>75565</wp:posOffset>
                </wp:positionV>
                <wp:extent cx="179705" cy="0"/>
                <wp:effectExtent l="38100" t="76200" r="0" b="95250"/>
                <wp:wrapNone/>
                <wp:docPr id="1144787680"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F6CD0" id="Прямая со стрелкой 387" o:spid="_x0000_s1026" type="#_x0000_t32" style="position:absolute;margin-left:279.15pt;margin-top:5.95pt;width:14.1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">
                <v:stroke endarrow="block"/>
              </v:shape>
            </w:pict>
          </mc:Fallback>
        </mc:AlternateContent>
      </w:r>
    </w:p>
    <w:p w14:paraId="5BD0CA59" w14:textId="64141807" w:rsidR="002532AC" w:rsidRPr="00457CE9" w:rsidRDefault="002532A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4C9307F2" w14:textId="20322B3C" w:rsidR="002532AC" w:rsidRPr="00457CE9" w:rsidRDefault="002532A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29135AFF" w14:textId="1090EB1B" w:rsidR="002532AC" w:rsidRPr="00457CE9" w:rsidRDefault="002532A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3E6AEE1E" w14:textId="0FCB4A1A" w:rsidR="002532AC" w:rsidRPr="00457CE9" w:rsidRDefault="002532AC" w:rsidP="00457CE9">
      <w:pPr>
        <w:widowControl w:val="0"/>
        <w:spacing w:after="0" w:line="240" w:lineRule="auto"/>
        <w:ind w:firstLine="567"/>
        <w:jc w:val="both"/>
        <w:rPr>
          <w:rFonts w:ascii="Times New Roman" w:eastAsia="Times New Roman" w:hAnsi="Times New Roman" w:cs="Times New Roman"/>
          <w:kern w:val="36"/>
          <w:sz w:val="28"/>
          <w:szCs w:val="28"/>
          <w:lang w:val="kk-KZ" w:eastAsia="ru-RU"/>
        </w:rPr>
      </w:pPr>
    </w:p>
    <w:p w14:paraId="56F354F2" w14:textId="77777777" w:rsidR="002532AC" w:rsidRPr="008B76C0" w:rsidRDefault="002532AC" w:rsidP="00457CE9">
      <w:pPr>
        <w:widowControl w:val="0"/>
        <w:spacing w:after="0" w:line="240" w:lineRule="auto"/>
        <w:ind w:firstLine="567"/>
        <w:jc w:val="both"/>
        <w:rPr>
          <w:rFonts w:ascii="Times New Roman" w:eastAsia="Times New Roman" w:hAnsi="Times New Roman" w:cs="Times New Roman"/>
          <w:kern w:val="36"/>
          <w:sz w:val="16"/>
          <w:szCs w:val="16"/>
          <w:lang w:val="kk-KZ" w:eastAsia="ru-RU"/>
        </w:rPr>
      </w:pPr>
    </w:p>
    <w:p w14:paraId="5E826236" w14:textId="550FB6BE" w:rsidR="002532AC" w:rsidRPr="00457CE9" w:rsidRDefault="00857DE9" w:rsidP="008B76C0">
      <w:pPr>
        <w:widowControl w:val="0"/>
        <w:spacing w:after="0" w:line="240" w:lineRule="auto"/>
        <w:jc w:val="center"/>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Сурет </w:t>
      </w:r>
      <w:r w:rsidR="0038270D" w:rsidRPr="00457CE9">
        <w:rPr>
          <w:rFonts w:ascii="Times New Roman" w:eastAsia="Times New Roman" w:hAnsi="Times New Roman" w:cs="Times New Roman"/>
          <w:kern w:val="36"/>
          <w:sz w:val="28"/>
          <w:szCs w:val="28"/>
          <w:lang w:val="kk-KZ" w:eastAsia="ru-RU"/>
        </w:rPr>
        <w:t>1</w:t>
      </w:r>
      <w:r w:rsidR="00A23F7A">
        <w:rPr>
          <w:rFonts w:ascii="Times New Roman" w:eastAsia="Times New Roman" w:hAnsi="Times New Roman" w:cs="Times New Roman"/>
          <w:kern w:val="36"/>
          <w:sz w:val="28"/>
          <w:szCs w:val="28"/>
          <w:lang w:val="kk-KZ" w:eastAsia="ru-RU"/>
        </w:rPr>
        <w:t>3</w:t>
      </w:r>
      <w:r w:rsidRPr="00457CE9">
        <w:rPr>
          <w:rFonts w:ascii="Times New Roman" w:eastAsia="Times New Roman" w:hAnsi="Times New Roman" w:cs="Times New Roman"/>
          <w:kern w:val="36"/>
          <w:sz w:val="28"/>
          <w:szCs w:val="28"/>
          <w:lang w:val="kk-KZ" w:eastAsia="ru-RU"/>
        </w:rPr>
        <w:t xml:space="preserve"> </w:t>
      </w:r>
      <w:r w:rsidR="008B76C0">
        <w:rPr>
          <w:rFonts w:ascii="Times New Roman" w:eastAsia="Times New Roman" w:hAnsi="Times New Roman" w:cs="Times New Roman"/>
          <w:kern w:val="36"/>
          <w:sz w:val="28"/>
          <w:szCs w:val="28"/>
          <w:lang w:val="kk-KZ" w:eastAsia="ru-RU"/>
        </w:rPr>
        <w:t xml:space="preserve">– </w:t>
      </w:r>
      <w:r w:rsidR="0038270D" w:rsidRPr="00457CE9">
        <w:rPr>
          <w:rFonts w:ascii="Times New Roman" w:eastAsia="Times New Roman" w:hAnsi="Times New Roman" w:cs="Times New Roman"/>
          <w:kern w:val="36"/>
          <w:sz w:val="28"/>
          <w:szCs w:val="28"/>
          <w:lang w:val="kk-KZ" w:eastAsia="ru-RU"/>
        </w:rPr>
        <w:t xml:space="preserve">ҚР </w:t>
      </w:r>
      <w:r w:rsidR="00575788">
        <w:rPr>
          <w:rFonts w:ascii="Times New Roman" w:eastAsia="Times New Roman" w:hAnsi="Times New Roman" w:cs="Times New Roman"/>
          <w:kern w:val="36"/>
          <w:sz w:val="28"/>
          <w:szCs w:val="28"/>
          <w:lang w:val="kk-KZ" w:eastAsia="ru-RU"/>
        </w:rPr>
        <w:t>АӨК-н</w:t>
      </w:r>
      <w:r w:rsidR="0038270D" w:rsidRPr="00457CE9">
        <w:rPr>
          <w:rFonts w:ascii="Times New Roman" w:eastAsia="Times New Roman" w:hAnsi="Times New Roman" w:cs="Times New Roman"/>
          <w:kern w:val="36"/>
          <w:sz w:val="28"/>
          <w:szCs w:val="28"/>
          <w:lang w:val="kk-KZ" w:eastAsia="ru-RU"/>
        </w:rPr>
        <w:t xml:space="preserve"> дамытуда б</w:t>
      </w:r>
      <w:r w:rsidRPr="00457CE9">
        <w:rPr>
          <w:rFonts w:ascii="Times New Roman" w:eastAsia="Times New Roman" w:hAnsi="Times New Roman" w:cs="Times New Roman"/>
          <w:kern w:val="36"/>
          <w:sz w:val="28"/>
          <w:szCs w:val="28"/>
          <w:lang w:val="kk-KZ" w:eastAsia="ru-RU"/>
        </w:rPr>
        <w:t xml:space="preserve">юджет қаражатын тиімсіз пайдалану </w:t>
      </w:r>
      <w:r w:rsidR="004177EC" w:rsidRPr="00457CE9">
        <w:rPr>
          <w:rFonts w:ascii="Times New Roman" w:eastAsia="Times New Roman" w:hAnsi="Times New Roman" w:cs="Times New Roman"/>
          <w:kern w:val="36"/>
          <w:sz w:val="28"/>
          <w:szCs w:val="28"/>
          <w:lang w:val="kk-KZ" w:eastAsia="ru-RU"/>
        </w:rPr>
        <w:t>себептер</w:t>
      </w:r>
      <w:r w:rsidRPr="00457CE9">
        <w:rPr>
          <w:rFonts w:ascii="Times New Roman" w:eastAsia="Times New Roman" w:hAnsi="Times New Roman" w:cs="Times New Roman"/>
          <w:kern w:val="36"/>
          <w:sz w:val="28"/>
          <w:szCs w:val="28"/>
          <w:lang w:val="kk-KZ" w:eastAsia="ru-RU"/>
        </w:rPr>
        <w:t>і</w:t>
      </w:r>
    </w:p>
    <w:p w14:paraId="7B2E50ED" w14:textId="77777777" w:rsidR="00463D68" w:rsidRPr="008B76C0" w:rsidRDefault="00463D68" w:rsidP="00457CE9">
      <w:pPr>
        <w:tabs>
          <w:tab w:val="left" w:pos="851"/>
        </w:tabs>
        <w:spacing w:after="0" w:line="240" w:lineRule="auto"/>
        <w:ind w:firstLine="567"/>
        <w:jc w:val="both"/>
        <w:rPr>
          <w:rFonts w:ascii="Times New Roman" w:eastAsia="Times New Roman" w:hAnsi="Times New Roman"/>
          <w:kern w:val="36"/>
          <w:sz w:val="16"/>
          <w:szCs w:val="16"/>
          <w:lang w:val="kk-KZ" w:eastAsia="ru-RU"/>
        </w:rPr>
      </w:pPr>
    </w:p>
    <w:p w14:paraId="54D1B8DD" w14:textId="5E1510E8" w:rsidR="001C4B1D" w:rsidRPr="00457CE9" w:rsidRDefault="00463D68" w:rsidP="008B76C0">
      <w:pPr>
        <w:tabs>
          <w:tab w:val="left" w:pos="851"/>
        </w:tabs>
        <w:spacing w:after="0" w:line="240" w:lineRule="auto"/>
        <w:ind w:firstLine="709"/>
        <w:jc w:val="both"/>
        <w:rPr>
          <w:rFonts w:ascii="Times New Roman" w:eastAsia="Times New Roman" w:hAnsi="Times New Roman"/>
          <w:kern w:val="36"/>
          <w:sz w:val="24"/>
          <w:szCs w:val="24"/>
          <w:lang w:val="kk-KZ" w:eastAsia="ru-RU"/>
        </w:rPr>
      </w:pPr>
      <w:r w:rsidRPr="00EB67B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1C4B1D" w:rsidRPr="00457CE9">
        <w:rPr>
          <w:rFonts w:ascii="Times New Roman" w:eastAsia="Times New Roman" w:hAnsi="Times New Roman"/>
          <w:kern w:val="36"/>
          <w:sz w:val="24"/>
          <w:szCs w:val="24"/>
          <w:lang w:val="kk-KZ" w:eastAsia="ru-RU"/>
        </w:rPr>
        <w:t xml:space="preserve"> </w:t>
      </w:r>
      <w:r w:rsidR="00AA4EAE">
        <w:rPr>
          <w:rFonts w:ascii="Times New Roman" w:eastAsia="Times New Roman" w:hAnsi="Times New Roman"/>
          <w:kern w:val="36"/>
          <w:sz w:val="24"/>
          <w:szCs w:val="24"/>
          <w:lang w:val="kk-KZ" w:eastAsia="ru-RU"/>
        </w:rPr>
        <w:t>[52]</w:t>
      </w:r>
      <w:r w:rsidR="00C51D00" w:rsidRPr="00457CE9">
        <w:rPr>
          <w:rFonts w:ascii="Times New Roman" w:eastAsia="Times New Roman" w:hAnsi="Times New Roman"/>
          <w:kern w:val="36"/>
          <w:sz w:val="24"/>
          <w:szCs w:val="24"/>
          <w:lang w:val="kk-KZ" w:eastAsia="ru-RU"/>
        </w:rPr>
        <w:t xml:space="preserve"> </w:t>
      </w:r>
    </w:p>
    <w:p w14:paraId="4FB0D336" w14:textId="77777777" w:rsidR="00C37B51" w:rsidRDefault="00C37B51" w:rsidP="00C37B51">
      <w:pPr>
        <w:widowControl w:val="0"/>
        <w:tabs>
          <w:tab w:val="left" w:pos="851"/>
        </w:tabs>
        <w:spacing w:after="0" w:line="240" w:lineRule="auto"/>
        <w:ind w:firstLine="709"/>
        <w:jc w:val="both"/>
        <w:rPr>
          <w:rFonts w:ascii="Times New Roman" w:eastAsia="Times New Roman" w:hAnsi="Times New Roman"/>
          <w:kern w:val="36"/>
          <w:sz w:val="28"/>
          <w:szCs w:val="28"/>
          <w:lang w:val="kk-KZ" w:eastAsia="ru-RU"/>
        </w:rPr>
      </w:pPr>
    </w:p>
    <w:p w14:paraId="00A1539B" w14:textId="4811031A" w:rsidR="00C37B51" w:rsidRDefault="00C37B51" w:rsidP="00C37B51">
      <w:pPr>
        <w:widowControl w:val="0"/>
        <w:tabs>
          <w:tab w:val="left" w:pos="851"/>
        </w:tabs>
        <w:spacing w:after="0" w:line="240" w:lineRule="auto"/>
        <w:ind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 xml:space="preserve">Жергілікті атқарушы органдар бюджеттік тапсырысқа қосымша ретінде заңды тұлғаларға (крестьяндық, фермерлік) шаруашылықтарға субсидияларға шығындар негіздеуші құжаттары, потенциалды инвесторлар тізімі, инвестициялық салым салған инвесторлар тізімі және оның көлемі келтірілмеген. Бекітілген ережеге сәйкес бюджеттік тапсырыстар жоғары және төмен бюджеттер әкімшілерінің жетекшілерімен сәйкестеліп отырып бекітіледі. Алайда жоғары тұрған бюджет әкімшілері төмен тұрған бюджет әкімшілерімен бюджеттік тапсырыстарды келісімсіз бекіту фактілері орын алған. </w:t>
      </w:r>
    </w:p>
    <w:p w14:paraId="6F7912F7" w14:textId="2FCA5811" w:rsidR="00C37B51" w:rsidRDefault="00C37B51" w:rsidP="00C37B51">
      <w:pPr>
        <w:tabs>
          <w:tab w:val="left" w:pos="851"/>
        </w:tabs>
        <w:spacing w:after="0" w:line="240" w:lineRule="auto"/>
        <w:ind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 xml:space="preserve">Бюджеттік тапсырыстарға нысаналы трансферттер бойынша бюджетті бағдарламаларға жобалары келтірілмеген. Мәселен, Ауыл шаруашылығы министрлігі бюджеттік тапсырмаларды құру кезінде жергілікті атқарушы органдардан бюджеттік тапсырмалары болмай есептеулер жасалғаны анықталған, бұл өз кезінде республикалық және жергілікті бюджеттерді сапасыз жоспарлау салдарынан болғанын білдіреді. Нәтижесінде дағдарысқа қарсы бағытталған бюджет қаражаттары қажетсіз болып тиімсіз пайдаланылуын көрсетеді. </w:t>
      </w:r>
    </w:p>
    <w:p w14:paraId="2949F95F" w14:textId="5E5E6F3B" w:rsidR="00C80BF1" w:rsidRDefault="001C4B1D" w:rsidP="00C80BF1">
      <w:pPr>
        <w:tabs>
          <w:tab w:val="left" w:pos="851"/>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Ауыл шаруашылығы министрлігі азық-түліктік қауіпсіздікті қамтамасыз ету мақсатында басым тәртіппен субсидиялануға жататын материал тізімін, субсидия нормативтерін әзірлеп бекітеді. Мемлекеттік аудит кезінде субсидияланатын тізімге енгізілмеген жануарлар бойынша субсидиялау фактілері анықталған. Субсидиялау жалпы Ауыл шаруашылығы министрлігі әзірлеп бекіткен </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Субсидиялау ережелері</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бойынша жүзеге асырылады, ережелерде субсидия алушының міндеттеме нысаны қарастырылмаған</w:t>
      </w:r>
      <w:r w:rsidR="0044712E" w:rsidRPr="00457CE9">
        <w:rPr>
          <w:rFonts w:ascii="Times New Roman" w:eastAsia="Times New Roman" w:hAnsi="Times New Roman"/>
          <w:kern w:val="36"/>
          <w:sz w:val="28"/>
          <w:szCs w:val="28"/>
          <w:lang w:val="kk-KZ" w:eastAsia="ru-RU"/>
        </w:rPr>
        <w:t xml:space="preserve"> </w:t>
      </w:r>
      <w:r w:rsidR="0044712E" w:rsidRPr="00AF6490">
        <w:rPr>
          <w:rFonts w:ascii="Times New Roman" w:eastAsia="Times New Roman" w:hAnsi="Times New Roman"/>
          <w:kern w:val="36"/>
          <w:sz w:val="28"/>
          <w:szCs w:val="28"/>
          <w:lang w:val="kk-KZ" w:eastAsia="ru-RU"/>
        </w:rPr>
        <w:t>[</w:t>
      </w:r>
      <w:r w:rsidR="004330E8">
        <w:rPr>
          <w:rFonts w:ascii="Times New Roman" w:eastAsia="Times New Roman" w:hAnsi="Times New Roman"/>
          <w:kern w:val="36"/>
          <w:sz w:val="28"/>
          <w:szCs w:val="28"/>
          <w:lang w:val="kk-KZ" w:eastAsia="ru-RU"/>
        </w:rPr>
        <w:t>104-105</w:t>
      </w:r>
      <w:r w:rsidR="0044712E" w:rsidRPr="00AF6490">
        <w:rPr>
          <w:rFonts w:ascii="Times New Roman" w:eastAsia="Times New Roman" w:hAnsi="Times New Roman"/>
          <w:kern w:val="36"/>
          <w:sz w:val="28"/>
          <w:szCs w:val="28"/>
          <w:lang w:val="kk-KZ" w:eastAsia="ru-RU"/>
        </w:rPr>
        <w:t>]</w:t>
      </w:r>
      <w:r w:rsidRPr="00AF6490">
        <w:rPr>
          <w:rFonts w:ascii="Times New Roman" w:eastAsia="Times New Roman" w:hAnsi="Times New Roman"/>
          <w:kern w:val="36"/>
          <w:sz w:val="28"/>
          <w:szCs w:val="28"/>
          <w:lang w:val="kk-KZ" w:eastAsia="ru-RU"/>
        </w:rPr>
        <w:t>.</w:t>
      </w:r>
      <w:r w:rsidR="004330E8">
        <w:rPr>
          <w:rFonts w:ascii="Times New Roman" w:eastAsia="Times New Roman" w:hAnsi="Times New Roman"/>
          <w:kern w:val="36"/>
          <w:sz w:val="28"/>
          <w:szCs w:val="28"/>
          <w:lang w:val="kk-KZ" w:eastAsia="ru-RU"/>
        </w:rPr>
        <w:t xml:space="preserve"> </w:t>
      </w:r>
      <w:r w:rsidR="00C80BF1" w:rsidRPr="00457CE9">
        <w:rPr>
          <w:rFonts w:ascii="Times New Roman" w:eastAsia="Times New Roman" w:hAnsi="Times New Roman"/>
          <w:kern w:val="36"/>
          <w:sz w:val="28"/>
          <w:szCs w:val="28"/>
          <w:lang w:val="kk-KZ" w:eastAsia="ru-RU"/>
        </w:rPr>
        <w:t>1</w:t>
      </w:r>
      <w:r w:rsidR="00A23F7A">
        <w:rPr>
          <w:rFonts w:ascii="Times New Roman" w:eastAsia="Times New Roman" w:hAnsi="Times New Roman"/>
          <w:kern w:val="36"/>
          <w:sz w:val="28"/>
          <w:szCs w:val="28"/>
          <w:lang w:val="kk-KZ" w:eastAsia="ru-RU"/>
        </w:rPr>
        <w:t>4</w:t>
      </w:r>
      <w:r w:rsidR="00C80BF1" w:rsidRPr="00457CE9">
        <w:rPr>
          <w:rFonts w:ascii="Times New Roman" w:eastAsia="Times New Roman" w:hAnsi="Times New Roman"/>
          <w:kern w:val="36"/>
          <w:sz w:val="28"/>
          <w:szCs w:val="28"/>
          <w:lang w:val="kk-KZ" w:eastAsia="ru-RU"/>
        </w:rPr>
        <w:t>-суреттен</w:t>
      </w:r>
      <w:r w:rsidR="00C80BF1">
        <w:rPr>
          <w:rFonts w:ascii="Times New Roman" w:eastAsia="Times New Roman" w:hAnsi="Times New Roman"/>
          <w:kern w:val="36"/>
          <w:sz w:val="28"/>
          <w:szCs w:val="28"/>
          <w:lang w:val="kk-KZ" w:eastAsia="ru-RU"/>
        </w:rPr>
        <w:t>,</w:t>
      </w:r>
      <w:r w:rsidR="00C80BF1" w:rsidRPr="00457CE9">
        <w:rPr>
          <w:rFonts w:ascii="Times New Roman" w:eastAsia="Times New Roman" w:hAnsi="Times New Roman"/>
          <w:kern w:val="36"/>
          <w:sz w:val="28"/>
          <w:szCs w:val="28"/>
          <w:lang w:val="kk-KZ" w:eastAsia="ru-RU"/>
        </w:rPr>
        <w:t xml:space="preserve"> ҚР Ауыл шаруашылығы министрлігінің АӨК дамыту мақсатында субсидиялау ережелерін іске асыру кезіндегі кемшіліктері көруге болады.</w:t>
      </w:r>
    </w:p>
    <w:p w14:paraId="59E7CA0E" w14:textId="77777777" w:rsidR="00C37B51" w:rsidRPr="00C37B51" w:rsidRDefault="00C37B51" w:rsidP="00C80BF1">
      <w:pPr>
        <w:tabs>
          <w:tab w:val="left" w:pos="851"/>
        </w:tabs>
        <w:spacing w:after="0" w:line="240" w:lineRule="auto"/>
        <w:ind w:firstLine="709"/>
        <w:jc w:val="both"/>
        <w:rPr>
          <w:rFonts w:ascii="Times New Roman" w:eastAsia="Times New Roman" w:hAnsi="Times New Roman"/>
          <w:kern w:val="36"/>
          <w:sz w:val="18"/>
          <w:szCs w:val="18"/>
          <w:lang w:val="kk-KZ" w:eastAsia="ru-RU"/>
        </w:rPr>
      </w:pPr>
    </w:p>
    <w:p w14:paraId="10807C8E" w14:textId="34AEA239" w:rsidR="008B76C0" w:rsidRDefault="007C4115" w:rsidP="008B76C0">
      <w:pPr>
        <w:tabs>
          <w:tab w:val="left" w:pos="851"/>
        </w:tabs>
        <w:spacing w:after="0" w:line="240" w:lineRule="auto"/>
        <w:ind w:firstLine="709"/>
        <w:jc w:val="both"/>
        <w:rPr>
          <w:rFonts w:ascii="Times New Roman" w:eastAsia="Times New Roman" w:hAnsi="Times New Roman"/>
          <w:kern w:val="36"/>
          <w:sz w:val="28"/>
          <w:szCs w:val="28"/>
          <w:lang w:val="kk-KZ" w:eastAsia="ru-RU"/>
        </w:rPr>
      </w:pPr>
      <w:r>
        <w:rPr>
          <w:rFonts w:ascii="Times New Roman" w:eastAsia="Times New Roman" w:hAnsi="Times New Roman"/>
          <w:noProof/>
          <w:kern w:val="36"/>
          <w:sz w:val="28"/>
          <w:szCs w:val="28"/>
          <w:lang w:eastAsia="ru-RU"/>
        </w:rPr>
        <mc:AlternateContent>
          <mc:Choice Requires="wpg">
            <w:drawing>
              <wp:anchor distT="0" distB="0" distL="114300" distR="114300" simplePos="0" relativeHeight="251736064" behindDoc="0" locked="0" layoutInCell="1" allowOverlap="1" wp14:anchorId="7FFA3105" wp14:editId="077CBD68">
                <wp:simplePos x="0" y="0"/>
                <wp:positionH relativeFrom="column">
                  <wp:posOffset>843915</wp:posOffset>
                </wp:positionH>
                <wp:positionV relativeFrom="paragraph">
                  <wp:posOffset>4445</wp:posOffset>
                </wp:positionV>
                <wp:extent cx="4319905" cy="2186305"/>
                <wp:effectExtent l="0" t="0" r="23495" b="23495"/>
                <wp:wrapNone/>
                <wp:docPr id="8" name="Группа 8"/>
                <wp:cNvGraphicFramePr/>
                <a:graphic xmlns:a="http://schemas.openxmlformats.org/drawingml/2006/main">
                  <a:graphicData uri="http://schemas.microsoft.com/office/word/2010/wordprocessingGroup">
                    <wpg:wgp>
                      <wpg:cNvGrpSpPr/>
                      <wpg:grpSpPr>
                        <a:xfrm>
                          <a:off x="0" y="0"/>
                          <a:ext cx="4319905" cy="2186305"/>
                          <a:chOff x="0" y="0"/>
                          <a:chExt cx="4319905" cy="2186305"/>
                        </a:xfrm>
                      </wpg:grpSpPr>
                      <wps:wsp>
                        <wps:cNvPr id="1335825233" name="Прямоугольник 380"/>
                        <wps:cNvSpPr>
                          <a:spLocks noChangeArrowheads="1"/>
                        </wps:cNvSpPr>
                        <wps:spPr bwMode="auto">
                          <a:xfrm>
                            <a:off x="0" y="0"/>
                            <a:ext cx="4319905" cy="468000"/>
                          </a:xfrm>
                          <a:prstGeom prst="rect">
                            <a:avLst/>
                          </a:prstGeom>
                          <a:solidFill>
                            <a:srgbClr val="FFFFFF"/>
                          </a:solidFill>
                          <a:ln w="9525">
                            <a:solidFill>
                              <a:srgbClr val="000000"/>
                            </a:solidFill>
                            <a:miter lim="800000"/>
                            <a:headEnd/>
                            <a:tailEnd/>
                          </a:ln>
                        </wps:spPr>
                        <wps:txbx>
                          <w:txbxContent>
                            <w:p w14:paraId="6D46CA12" w14:textId="66367DFF" w:rsidR="00D05956" w:rsidRPr="00824BE3" w:rsidRDefault="00D05956" w:rsidP="004177EC">
                              <w:pPr>
                                <w:spacing w:after="0" w:line="240" w:lineRule="auto"/>
                                <w:jc w:val="center"/>
                                <w:rPr>
                                  <w:rFonts w:ascii="Times New Roman" w:hAnsi="Times New Roman" w:cs="Times New Roman"/>
                                  <w:sz w:val="24"/>
                                  <w:szCs w:val="24"/>
                                </w:rPr>
                              </w:pPr>
                              <w:r w:rsidRPr="0088331A">
                                <w:rPr>
                                  <w:rFonts w:ascii="Times New Roman" w:hAnsi="Times New Roman" w:cs="Times New Roman"/>
                                  <w:sz w:val="24"/>
                                  <w:szCs w:val="24"/>
                                  <w:lang w:val="kk-KZ"/>
                                </w:rPr>
                                <w:t>Ауыл шаруашылығы министрлігінің жағдайлары</w:t>
                              </w:r>
                              <w:r>
                                <w:rPr>
                                  <w:rFonts w:ascii="Times New Roman" w:hAnsi="Times New Roman" w:cs="Times New Roman"/>
                                  <w:sz w:val="24"/>
                                  <w:szCs w:val="24"/>
                                  <w:lang w:val="kk-KZ"/>
                                </w:rPr>
                                <w:t xml:space="preserve"> ҚР Үкіметінің қаулысына қосымша (23.06.2022ж. №418)</w:t>
                              </w:r>
                            </w:p>
                          </w:txbxContent>
                        </wps:txbx>
                        <wps:bodyPr rot="0" vert="horz" wrap="square" lIns="91440" tIns="45720" rIns="91440" bIns="45720" anchor="t" anchorCtr="0" upright="1">
                          <a:noAutofit/>
                        </wps:bodyPr>
                      </wps:wsp>
                      <wps:wsp>
                        <wps:cNvPr id="314578048" name="Прямоугольник 378"/>
                        <wps:cNvSpPr>
                          <a:spLocks noChangeArrowheads="1"/>
                        </wps:cNvSpPr>
                        <wps:spPr bwMode="auto">
                          <a:xfrm>
                            <a:off x="0" y="590550"/>
                            <a:ext cx="4319905" cy="441960"/>
                          </a:xfrm>
                          <a:prstGeom prst="rect">
                            <a:avLst/>
                          </a:prstGeom>
                          <a:solidFill>
                            <a:srgbClr val="FFFFFF"/>
                          </a:solidFill>
                          <a:ln w="9525">
                            <a:solidFill>
                              <a:srgbClr val="000000"/>
                            </a:solidFill>
                            <a:miter lim="800000"/>
                            <a:headEnd/>
                            <a:tailEnd/>
                          </a:ln>
                        </wps:spPr>
                        <wps:txbx>
                          <w:txbxContent>
                            <w:p w14:paraId="65E5FFB8" w14:textId="5E9D25D0" w:rsidR="00D05956" w:rsidRPr="00824BE3" w:rsidRDefault="00D05956" w:rsidP="00824BE3">
                              <w:pPr>
                                <w:spacing w:after="0" w:line="240" w:lineRule="auto"/>
                                <w:jc w:val="center"/>
                                <w:rPr>
                                  <w:rFonts w:ascii="Times New Roman" w:hAnsi="Times New Roman" w:cs="Times New Roman"/>
                                  <w:sz w:val="24"/>
                                  <w:szCs w:val="24"/>
                                  <w:lang w:val="kk-KZ"/>
                                </w:rPr>
                              </w:pPr>
                              <w:r w:rsidRPr="00824BE3">
                                <w:rPr>
                                  <w:rFonts w:ascii="Times New Roman" w:hAnsi="Times New Roman" w:cs="Times New Roman"/>
                                  <w:sz w:val="24"/>
                                  <w:szCs w:val="24"/>
                                </w:rPr>
                                <w:t>АШМ жер</w:t>
                              </w:r>
                              <w:r w:rsidRPr="00824BE3">
                                <w:rPr>
                                  <w:rFonts w:ascii="Times New Roman" w:hAnsi="Times New Roman" w:cs="Times New Roman"/>
                                  <w:sz w:val="24"/>
                                  <w:szCs w:val="24"/>
                                  <w:lang w:val="kk-KZ"/>
                                </w:rPr>
                                <w:t>гілікті атқарушы органдардың әдістемелік жетекшілігін және үйлестіруін жүзеге асырады</w:t>
                              </w:r>
                            </w:p>
                          </w:txbxContent>
                        </wps:txbx>
                        <wps:bodyPr rot="0" vert="horz" wrap="square" lIns="91440" tIns="45720" rIns="91440" bIns="45720" anchor="t" anchorCtr="0" upright="1">
                          <a:noAutofit/>
                        </wps:bodyPr>
                      </wps:wsp>
                      <wps:wsp>
                        <wps:cNvPr id="1621887853" name="Прямоугольник 376"/>
                        <wps:cNvSpPr>
                          <a:spLocks noChangeArrowheads="1"/>
                        </wps:cNvSpPr>
                        <wps:spPr bwMode="auto">
                          <a:xfrm>
                            <a:off x="0" y="1143000"/>
                            <a:ext cx="4319905" cy="447675"/>
                          </a:xfrm>
                          <a:prstGeom prst="rect">
                            <a:avLst/>
                          </a:prstGeom>
                          <a:solidFill>
                            <a:srgbClr val="FFFFFF"/>
                          </a:solidFill>
                          <a:ln w="9525">
                            <a:solidFill>
                              <a:srgbClr val="000000"/>
                            </a:solidFill>
                            <a:miter lim="800000"/>
                            <a:headEnd/>
                            <a:tailEnd/>
                          </a:ln>
                        </wps:spPr>
                        <wps:txbx>
                          <w:txbxContent>
                            <w:p w14:paraId="605A3A80" w14:textId="635E66B9" w:rsidR="00D05956" w:rsidRPr="00740E44" w:rsidRDefault="00D05956" w:rsidP="00740E44">
                              <w:pPr>
                                <w:spacing w:after="0" w:line="240" w:lineRule="auto"/>
                                <w:jc w:val="center"/>
                                <w:rPr>
                                  <w:rFonts w:ascii="Times New Roman" w:hAnsi="Times New Roman" w:cs="Times New Roman"/>
                                  <w:sz w:val="24"/>
                                  <w:szCs w:val="24"/>
                                  <w:lang w:val="kk-KZ"/>
                                </w:rPr>
                              </w:pPr>
                              <w:r w:rsidRPr="00740E44">
                                <w:rPr>
                                  <w:rFonts w:ascii="Times New Roman" w:hAnsi="Times New Roman" w:cs="Times New Roman"/>
                                  <w:sz w:val="24"/>
                                  <w:szCs w:val="24"/>
                                  <w:lang w:val="kk-KZ"/>
                                </w:rPr>
                                <w:t>Субсидиялау тәртібін әзірлейді және бекітеді, субсидия алушылардың міндеттеме нысанын әзірлейді және бекітеді</w:t>
                              </w:r>
                            </w:p>
                          </w:txbxContent>
                        </wps:txbx>
                        <wps:bodyPr rot="0" vert="horz" wrap="square" lIns="91440" tIns="45720" rIns="91440" bIns="45720" anchor="t" anchorCtr="0" upright="1">
                          <a:noAutofit/>
                        </wps:bodyPr>
                      </wps:wsp>
                      <wps:wsp>
                        <wps:cNvPr id="541744367" name="Прямоугольник 374"/>
                        <wps:cNvSpPr>
                          <a:spLocks noChangeArrowheads="1"/>
                        </wps:cNvSpPr>
                        <wps:spPr bwMode="auto">
                          <a:xfrm>
                            <a:off x="0" y="1700530"/>
                            <a:ext cx="4319905" cy="485775"/>
                          </a:xfrm>
                          <a:prstGeom prst="rect">
                            <a:avLst/>
                          </a:prstGeom>
                          <a:solidFill>
                            <a:srgbClr val="FFFFFF"/>
                          </a:solidFill>
                          <a:ln w="9525">
                            <a:solidFill>
                              <a:srgbClr val="000000"/>
                            </a:solidFill>
                            <a:miter lim="800000"/>
                            <a:headEnd/>
                            <a:tailEnd/>
                          </a:ln>
                        </wps:spPr>
                        <wps:txbx>
                          <w:txbxContent>
                            <w:p w14:paraId="41D7476C" w14:textId="7E22CA9B" w:rsidR="00D05956" w:rsidRPr="001772DD" w:rsidRDefault="00D05956" w:rsidP="007C4115">
                              <w:pPr>
                                <w:spacing w:after="0" w:line="240" w:lineRule="auto"/>
                                <w:ind w:left="-84" w:right="-140"/>
                                <w:jc w:val="center"/>
                                <w:rPr>
                                  <w:rFonts w:ascii="Times New Roman" w:hAnsi="Times New Roman" w:cs="Times New Roman"/>
                                  <w:sz w:val="24"/>
                                  <w:szCs w:val="24"/>
                                  <w:lang w:val="kk-KZ"/>
                                </w:rPr>
                              </w:pPr>
                              <w:r>
                                <w:rPr>
                                  <w:rFonts w:ascii="Times New Roman" w:hAnsi="Times New Roman" w:cs="Times New Roman"/>
                                  <w:sz w:val="24"/>
                                  <w:szCs w:val="24"/>
                                  <w:lang w:val="kk-KZ"/>
                                </w:rPr>
                                <w:t>Субсидия алушылардың міндеттеме нысаны бекітіл мегендіктен, субсидия алушылардың қосқан үлесін бағалау мүмкін еместігі</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FA3105" id="Группа 8" o:spid="_x0000_s1154" style="position:absolute;left:0;text-align:left;margin-left:66.45pt;margin-top:.35pt;width:340.15pt;height:172.15pt;z-index:251736064;mso-height-relative:margin" coordsize="43199,2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">
                <v:rect id="Прямоугольник 380" o:spid="_x0000_s1155" style="position:absolute;width:4319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">
                  <v:textbox>
                    <w:txbxContent>
                      <w:p w14:paraId="6D46CA12" w14:textId="66367DFF" w:rsidR="00D05956" w:rsidRPr="00824BE3" w:rsidRDefault="00D05956" w:rsidP="004177EC">
                        <w:pPr>
                          <w:spacing w:after="0" w:line="240" w:lineRule="auto"/>
                          <w:jc w:val="center"/>
                          <w:rPr>
                            <w:rFonts w:ascii="Times New Roman" w:hAnsi="Times New Roman" w:cs="Times New Roman"/>
                            <w:sz w:val="24"/>
                            <w:szCs w:val="24"/>
                          </w:rPr>
                        </w:pPr>
                        <w:r w:rsidRPr="0088331A">
                          <w:rPr>
                            <w:rFonts w:ascii="Times New Roman" w:hAnsi="Times New Roman" w:cs="Times New Roman"/>
                            <w:sz w:val="24"/>
                            <w:szCs w:val="24"/>
                            <w:lang w:val="kk-KZ"/>
                          </w:rPr>
                          <w:t>Ауыл шаруашылығы министрлігінің жағдайлары</w:t>
                        </w:r>
                        <w:r>
                          <w:rPr>
                            <w:rFonts w:ascii="Times New Roman" w:hAnsi="Times New Roman" w:cs="Times New Roman"/>
                            <w:sz w:val="24"/>
                            <w:szCs w:val="24"/>
                            <w:lang w:val="kk-KZ"/>
                          </w:rPr>
                          <w:t xml:space="preserve"> ҚР Үкіметінің қаулысына қосымша (23.06.2022ж. №418)</w:t>
                        </w:r>
                      </w:p>
                    </w:txbxContent>
                  </v:textbox>
                </v:rect>
                <v:rect id="Прямоугольник 378" o:spid="_x0000_s1156" style="position:absolute;top:5905;width:43199;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">
                  <v:textbox>
                    <w:txbxContent>
                      <w:p w14:paraId="65E5FFB8" w14:textId="5E9D25D0" w:rsidR="00D05956" w:rsidRPr="00824BE3" w:rsidRDefault="00D05956" w:rsidP="00824BE3">
                        <w:pPr>
                          <w:spacing w:after="0" w:line="240" w:lineRule="auto"/>
                          <w:jc w:val="center"/>
                          <w:rPr>
                            <w:rFonts w:ascii="Times New Roman" w:hAnsi="Times New Roman" w:cs="Times New Roman"/>
                            <w:sz w:val="24"/>
                            <w:szCs w:val="24"/>
                            <w:lang w:val="kk-KZ"/>
                          </w:rPr>
                        </w:pPr>
                        <w:r w:rsidRPr="00824BE3">
                          <w:rPr>
                            <w:rFonts w:ascii="Times New Roman" w:hAnsi="Times New Roman" w:cs="Times New Roman"/>
                            <w:sz w:val="24"/>
                            <w:szCs w:val="24"/>
                          </w:rPr>
                          <w:t>АШМ жер</w:t>
                        </w:r>
                        <w:r w:rsidRPr="00824BE3">
                          <w:rPr>
                            <w:rFonts w:ascii="Times New Roman" w:hAnsi="Times New Roman" w:cs="Times New Roman"/>
                            <w:sz w:val="24"/>
                            <w:szCs w:val="24"/>
                            <w:lang w:val="kk-KZ"/>
                          </w:rPr>
                          <w:t>гілікті атқарушы органдардың әдістемелік жетекшілігін және үйлестіруін жүзеге асырады</w:t>
                        </w:r>
                      </w:p>
                    </w:txbxContent>
                  </v:textbox>
                </v:rect>
                <v:rect id="Прямоугольник 376" o:spid="_x0000_s1157" style="position:absolute;top:11430;width:4319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">
                  <v:textbox>
                    <w:txbxContent>
                      <w:p w14:paraId="605A3A80" w14:textId="635E66B9" w:rsidR="00D05956" w:rsidRPr="00740E44" w:rsidRDefault="00D05956" w:rsidP="00740E44">
                        <w:pPr>
                          <w:spacing w:after="0" w:line="240" w:lineRule="auto"/>
                          <w:jc w:val="center"/>
                          <w:rPr>
                            <w:rFonts w:ascii="Times New Roman" w:hAnsi="Times New Roman" w:cs="Times New Roman"/>
                            <w:sz w:val="24"/>
                            <w:szCs w:val="24"/>
                            <w:lang w:val="kk-KZ"/>
                          </w:rPr>
                        </w:pPr>
                        <w:r w:rsidRPr="00740E44">
                          <w:rPr>
                            <w:rFonts w:ascii="Times New Roman" w:hAnsi="Times New Roman" w:cs="Times New Roman"/>
                            <w:sz w:val="24"/>
                            <w:szCs w:val="24"/>
                            <w:lang w:val="kk-KZ"/>
                          </w:rPr>
                          <w:t>Субсидиялау тәртібін әзірлейді және бекітеді, субсидия алушылардың міндеттеме нысанын әзірлейді және бекітеді</w:t>
                        </w:r>
                      </w:p>
                    </w:txbxContent>
                  </v:textbox>
                </v:rect>
                <v:rect id="Прямоугольник 374" o:spid="_x0000_s1158" style="position:absolute;top:17005;width:4319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">
                  <v:textbox>
                    <w:txbxContent>
                      <w:p w14:paraId="41D7476C" w14:textId="7E22CA9B" w:rsidR="00D05956" w:rsidRPr="001772DD" w:rsidRDefault="00D05956" w:rsidP="007C4115">
                        <w:pPr>
                          <w:spacing w:after="0" w:line="240" w:lineRule="auto"/>
                          <w:ind w:left="-84" w:right="-140"/>
                          <w:jc w:val="center"/>
                          <w:rPr>
                            <w:rFonts w:ascii="Times New Roman" w:hAnsi="Times New Roman" w:cs="Times New Roman"/>
                            <w:sz w:val="24"/>
                            <w:szCs w:val="24"/>
                            <w:lang w:val="kk-KZ"/>
                          </w:rPr>
                        </w:pPr>
                        <w:r>
                          <w:rPr>
                            <w:rFonts w:ascii="Times New Roman" w:hAnsi="Times New Roman" w:cs="Times New Roman"/>
                            <w:sz w:val="24"/>
                            <w:szCs w:val="24"/>
                            <w:lang w:val="kk-KZ"/>
                          </w:rPr>
                          <w:t>Субсидия алушылардың міндеттеме нысаны бекітіл мегендіктен, субсидия алушылардың қосқан үлесін бағалау мүмкін еместігі</w:t>
                        </w:r>
                      </w:p>
                    </w:txbxContent>
                  </v:textbox>
                </v:rect>
              </v:group>
            </w:pict>
          </mc:Fallback>
        </mc:AlternateContent>
      </w:r>
    </w:p>
    <w:p w14:paraId="2C37118E" w14:textId="77777777" w:rsidR="008B76C0" w:rsidRDefault="008B76C0" w:rsidP="008B76C0">
      <w:pPr>
        <w:tabs>
          <w:tab w:val="left" w:pos="851"/>
        </w:tabs>
        <w:spacing w:after="0" w:line="240" w:lineRule="auto"/>
        <w:ind w:firstLine="709"/>
        <w:jc w:val="both"/>
        <w:rPr>
          <w:rFonts w:ascii="Times New Roman" w:eastAsia="Times New Roman" w:hAnsi="Times New Roman"/>
          <w:kern w:val="36"/>
          <w:sz w:val="28"/>
          <w:szCs w:val="28"/>
          <w:lang w:val="kk-KZ" w:eastAsia="ru-RU"/>
        </w:rPr>
      </w:pPr>
    </w:p>
    <w:p w14:paraId="57A93061" w14:textId="3DA50772" w:rsidR="008B76C0" w:rsidRDefault="0059751A" w:rsidP="008B76C0">
      <w:pPr>
        <w:tabs>
          <w:tab w:val="left" w:pos="851"/>
        </w:tabs>
        <w:spacing w:after="0" w:line="240" w:lineRule="auto"/>
        <w:ind w:firstLine="709"/>
        <w:jc w:val="both"/>
        <w:rPr>
          <w:rFonts w:ascii="Times New Roman" w:eastAsia="Times New Roman" w:hAnsi="Times New Roman"/>
          <w:kern w:val="36"/>
          <w:sz w:val="28"/>
          <w:szCs w:val="28"/>
          <w:lang w:val="kk-KZ" w:eastAsia="ru-RU"/>
        </w:rPr>
      </w:pPr>
      <w:r w:rsidRPr="00457CE9">
        <w:rPr>
          <w:noProof/>
          <w:lang w:eastAsia="ru-RU"/>
        </w:rPr>
        <mc:AlternateContent>
          <mc:Choice Requires="wps">
            <w:drawing>
              <wp:anchor distT="0" distB="0" distL="114300" distR="114300" simplePos="0" relativeHeight="252540928" behindDoc="0" locked="0" layoutInCell="1" allowOverlap="1" wp14:anchorId="425829A4" wp14:editId="47C2DEBE">
                <wp:simplePos x="0" y="0"/>
                <wp:positionH relativeFrom="column">
                  <wp:posOffset>2964180</wp:posOffset>
                </wp:positionH>
                <wp:positionV relativeFrom="paragraph">
                  <wp:posOffset>72390</wp:posOffset>
                </wp:positionV>
                <wp:extent cx="72000" cy="72000"/>
                <wp:effectExtent l="19050" t="0" r="42545" b="42545"/>
                <wp:wrapNone/>
                <wp:docPr id="841567150" name="Стрелка: вниз 2"/>
                <wp:cNvGraphicFramePr/>
                <a:graphic xmlns:a="http://schemas.openxmlformats.org/drawingml/2006/main">
                  <a:graphicData uri="http://schemas.microsoft.com/office/word/2010/wordprocessingShape">
                    <wps:wsp>
                      <wps:cNvSpPr/>
                      <wps:spPr>
                        <a:xfrm>
                          <a:off x="0" y="0"/>
                          <a:ext cx="72000" cy="720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0F5F3" id="Стрелка: вниз 2" o:spid="_x0000_s1026" type="#_x0000_t67" style="position:absolute;margin-left:233.4pt;margin-top:5.7pt;width:5.65pt;height:5.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" adj="10800" fillcolor="black [3200]" strokecolor="black [480]" strokeweight="2pt"/>
            </w:pict>
          </mc:Fallback>
        </mc:AlternateContent>
      </w:r>
    </w:p>
    <w:p w14:paraId="10B1D122" w14:textId="04ADB9C9" w:rsidR="008B76C0" w:rsidRPr="00457CE9" w:rsidRDefault="008B76C0" w:rsidP="008B76C0">
      <w:pPr>
        <w:tabs>
          <w:tab w:val="left" w:pos="851"/>
        </w:tabs>
        <w:spacing w:after="0" w:line="240" w:lineRule="auto"/>
        <w:ind w:firstLine="709"/>
        <w:jc w:val="both"/>
        <w:rPr>
          <w:rFonts w:ascii="Times New Roman" w:eastAsia="Times New Roman" w:hAnsi="Times New Roman"/>
          <w:kern w:val="36"/>
          <w:sz w:val="28"/>
          <w:szCs w:val="28"/>
          <w:lang w:val="kk-KZ" w:eastAsia="ru-RU"/>
        </w:rPr>
      </w:pPr>
    </w:p>
    <w:p w14:paraId="01697C91" w14:textId="7628F94A" w:rsidR="0088331A" w:rsidRPr="00457CE9" w:rsidRDefault="0088331A" w:rsidP="00457CE9">
      <w:pPr>
        <w:tabs>
          <w:tab w:val="left" w:pos="851"/>
        </w:tabs>
        <w:spacing w:after="0" w:line="240" w:lineRule="auto"/>
        <w:ind w:firstLine="567"/>
        <w:jc w:val="both"/>
        <w:rPr>
          <w:rFonts w:ascii="Times New Roman" w:eastAsia="Times New Roman" w:hAnsi="Times New Roman"/>
          <w:kern w:val="36"/>
          <w:sz w:val="28"/>
          <w:szCs w:val="28"/>
          <w:lang w:val="kk-KZ" w:eastAsia="ru-RU"/>
        </w:rPr>
      </w:pPr>
    </w:p>
    <w:p w14:paraId="156083A9" w14:textId="1CF07562" w:rsidR="0088331A" w:rsidRPr="00457CE9" w:rsidRDefault="00C37B51" w:rsidP="00457CE9">
      <w:pPr>
        <w:tabs>
          <w:tab w:val="left" w:pos="851"/>
        </w:tabs>
        <w:spacing w:after="0" w:line="240" w:lineRule="auto"/>
        <w:ind w:firstLine="567"/>
        <w:jc w:val="both"/>
        <w:rPr>
          <w:rFonts w:ascii="Times New Roman" w:eastAsia="Times New Roman" w:hAnsi="Times New Roman"/>
          <w:kern w:val="36"/>
          <w:sz w:val="28"/>
          <w:szCs w:val="28"/>
          <w:lang w:val="kk-KZ" w:eastAsia="ru-RU"/>
        </w:rPr>
      </w:pPr>
      <w:r w:rsidRPr="00457CE9">
        <w:rPr>
          <w:rFonts w:ascii="Times New Roman" w:eastAsia="Times New Roman" w:hAnsi="Times New Roman"/>
          <w:noProof/>
          <w:kern w:val="36"/>
          <w:sz w:val="28"/>
          <w:szCs w:val="28"/>
          <w:lang w:eastAsia="ru-RU"/>
        </w:rPr>
        <mc:AlternateContent>
          <mc:Choice Requires="wps">
            <w:drawing>
              <wp:anchor distT="0" distB="0" distL="114300" distR="114300" simplePos="0" relativeHeight="252541952" behindDoc="0" locked="0" layoutInCell="1" allowOverlap="1" wp14:anchorId="2D694A31" wp14:editId="1F3D3143">
                <wp:simplePos x="0" y="0"/>
                <wp:positionH relativeFrom="column">
                  <wp:posOffset>2945130</wp:posOffset>
                </wp:positionH>
                <wp:positionV relativeFrom="paragraph">
                  <wp:posOffset>21590</wp:posOffset>
                </wp:positionV>
                <wp:extent cx="72000" cy="72000"/>
                <wp:effectExtent l="19050" t="0" r="42545" b="42545"/>
                <wp:wrapNone/>
                <wp:docPr id="1392575367" name="Стрелка: вниз 3"/>
                <wp:cNvGraphicFramePr/>
                <a:graphic xmlns:a="http://schemas.openxmlformats.org/drawingml/2006/main">
                  <a:graphicData uri="http://schemas.microsoft.com/office/word/2010/wordprocessingShape">
                    <wps:wsp>
                      <wps:cNvSpPr/>
                      <wps:spPr>
                        <a:xfrm>
                          <a:off x="0" y="0"/>
                          <a:ext cx="72000" cy="720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CD78B" id="Стрелка: вниз 3" o:spid="_x0000_s1026" type="#_x0000_t67" style="position:absolute;margin-left:231.9pt;margin-top:1.7pt;width:5.65pt;height:5.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" adj="10800" fillcolor="black [3200]" strokecolor="black [480]" strokeweight="2pt"/>
            </w:pict>
          </mc:Fallback>
        </mc:AlternateContent>
      </w:r>
    </w:p>
    <w:p w14:paraId="6485787E" w14:textId="6A4F9851" w:rsidR="0088331A" w:rsidRPr="00457CE9" w:rsidRDefault="0088331A" w:rsidP="00457CE9">
      <w:pPr>
        <w:tabs>
          <w:tab w:val="left" w:pos="851"/>
        </w:tabs>
        <w:spacing w:after="0" w:line="240" w:lineRule="auto"/>
        <w:ind w:firstLine="567"/>
        <w:jc w:val="both"/>
        <w:rPr>
          <w:rFonts w:ascii="Times New Roman" w:eastAsia="Times New Roman" w:hAnsi="Times New Roman"/>
          <w:kern w:val="36"/>
          <w:sz w:val="28"/>
          <w:szCs w:val="28"/>
          <w:lang w:val="kk-KZ" w:eastAsia="ru-RU"/>
        </w:rPr>
      </w:pPr>
    </w:p>
    <w:p w14:paraId="29FE7DA4" w14:textId="22A88584" w:rsidR="0088331A" w:rsidRPr="00457CE9" w:rsidRDefault="007C4115" w:rsidP="00457CE9">
      <w:pPr>
        <w:tabs>
          <w:tab w:val="left" w:pos="851"/>
        </w:tabs>
        <w:spacing w:after="0" w:line="240" w:lineRule="auto"/>
        <w:ind w:firstLine="567"/>
        <w:jc w:val="both"/>
        <w:rPr>
          <w:rFonts w:ascii="Times New Roman" w:eastAsia="Times New Roman" w:hAnsi="Times New Roman"/>
          <w:kern w:val="36"/>
          <w:sz w:val="28"/>
          <w:szCs w:val="28"/>
          <w:lang w:val="kk-KZ" w:eastAsia="ru-RU"/>
        </w:rPr>
      </w:pPr>
      <w:r w:rsidRPr="00457CE9">
        <w:rPr>
          <w:noProof/>
          <w:lang w:eastAsia="ru-RU"/>
        </w:rPr>
        <mc:AlternateContent>
          <mc:Choice Requires="wps">
            <w:drawing>
              <wp:anchor distT="0" distB="0" distL="114300" distR="114300" simplePos="0" relativeHeight="252539904" behindDoc="0" locked="0" layoutInCell="1" allowOverlap="1" wp14:anchorId="5D30389B" wp14:editId="291BBAA1">
                <wp:simplePos x="0" y="0"/>
                <wp:positionH relativeFrom="column">
                  <wp:posOffset>2966085</wp:posOffset>
                </wp:positionH>
                <wp:positionV relativeFrom="paragraph">
                  <wp:posOffset>187325</wp:posOffset>
                </wp:positionV>
                <wp:extent cx="71755" cy="72000"/>
                <wp:effectExtent l="19050" t="19050" r="42545" b="23495"/>
                <wp:wrapNone/>
                <wp:docPr id="50295186" name="Стрелка: вверх 1"/>
                <wp:cNvGraphicFramePr/>
                <a:graphic xmlns:a="http://schemas.openxmlformats.org/drawingml/2006/main">
                  <a:graphicData uri="http://schemas.microsoft.com/office/word/2010/wordprocessingShape">
                    <wps:wsp>
                      <wps:cNvSpPr/>
                      <wps:spPr>
                        <a:xfrm>
                          <a:off x="0" y="0"/>
                          <a:ext cx="71755" cy="72000"/>
                        </a:xfrm>
                        <a:prstGeom prst="up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713EC" id="Стрелка: вверх 1" o:spid="_x0000_s1026" type="#_x0000_t68" style="position:absolute;margin-left:233.55pt;margin-top:14.75pt;width:5.65pt;height:5.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" adj="10763" fillcolor="black [3200]" strokecolor="black [480]" strokeweight="2pt"/>
            </w:pict>
          </mc:Fallback>
        </mc:AlternateContent>
      </w:r>
    </w:p>
    <w:p w14:paraId="1FCF48A8" w14:textId="62138A2B" w:rsidR="0088331A" w:rsidRPr="00457CE9" w:rsidRDefault="0088331A" w:rsidP="00457CE9">
      <w:pPr>
        <w:tabs>
          <w:tab w:val="left" w:pos="851"/>
        </w:tabs>
        <w:spacing w:after="0" w:line="240" w:lineRule="auto"/>
        <w:ind w:firstLine="567"/>
        <w:jc w:val="both"/>
        <w:rPr>
          <w:rFonts w:ascii="Times New Roman" w:eastAsia="Times New Roman" w:hAnsi="Times New Roman"/>
          <w:kern w:val="36"/>
          <w:sz w:val="28"/>
          <w:szCs w:val="28"/>
          <w:lang w:val="kk-KZ" w:eastAsia="ru-RU"/>
        </w:rPr>
      </w:pPr>
    </w:p>
    <w:p w14:paraId="50BF7843" w14:textId="298187E9" w:rsidR="0088331A" w:rsidRPr="00457CE9" w:rsidRDefault="0088331A" w:rsidP="00457CE9">
      <w:pPr>
        <w:tabs>
          <w:tab w:val="left" w:pos="851"/>
        </w:tabs>
        <w:spacing w:after="0" w:line="240" w:lineRule="auto"/>
        <w:ind w:firstLine="567"/>
        <w:jc w:val="both"/>
        <w:rPr>
          <w:rFonts w:ascii="Times New Roman" w:eastAsia="Times New Roman" w:hAnsi="Times New Roman"/>
          <w:kern w:val="36"/>
          <w:sz w:val="28"/>
          <w:szCs w:val="28"/>
          <w:lang w:val="kk-KZ" w:eastAsia="ru-RU"/>
        </w:rPr>
      </w:pPr>
    </w:p>
    <w:p w14:paraId="7B877484" w14:textId="77777777" w:rsidR="00C9220B" w:rsidRDefault="00C9220B" w:rsidP="00457CE9">
      <w:pPr>
        <w:tabs>
          <w:tab w:val="left" w:pos="851"/>
        </w:tabs>
        <w:spacing w:after="0" w:line="240" w:lineRule="auto"/>
        <w:ind w:firstLine="567"/>
        <w:jc w:val="both"/>
        <w:rPr>
          <w:rFonts w:ascii="Times New Roman" w:eastAsia="Times New Roman" w:hAnsi="Times New Roman"/>
          <w:kern w:val="36"/>
          <w:sz w:val="16"/>
          <w:szCs w:val="16"/>
          <w:lang w:val="kk-KZ" w:eastAsia="ru-RU"/>
        </w:rPr>
      </w:pPr>
    </w:p>
    <w:p w14:paraId="4B0FDB32" w14:textId="77777777" w:rsidR="007C4115" w:rsidRPr="0059751A" w:rsidRDefault="007C4115" w:rsidP="00457CE9">
      <w:pPr>
        <w:tabs>
          <w:tab w:val="left" w:pos="851"/>
        </w:tabs>
        <w:spacing w:after="0" w:line="240" w:lineRule="auto"/>
        <w:ind w:firstLine="567"/>
        <w:jc w:val="both"/>
        <w:rPr>
          <w:rFonts w:ascii="Times New Roman" w:eastAsia="Times New Roman" w:hAnsi="Times New Roman"/>
          <w:kern w:val="36"/>
          <w:sz w:val="16"/>
          <w:szCs w:val="16"/>
          <w:lang w:val="kk-KZ" w:eastAsia="ru-RU"/>
        </w:rPr>
      </w:pPr>
    </w:p>
    <w:p w14:paraId="5F41B9EA" w14:textId="5C8A0740" w:rsidR="00C9220B" w:rsidRPr="00457CE9" w:rsidRDefault="004177EC" w:rsidP="0059751A">
      <w:pPr>
        <w:tabs>
          <w:tab w:val="left" w:pos="851"/>
        </w:tabs>
        <w:spacing w:after="0" w:line="240" w:lineRule="auto"/>
        <w:jc w:val="center"/>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Сурет </w:t>
      </w:r>
      <w:r w:rsidR="0038270D" w:rsidRPr="00457CE9">
        <w:rPr>
          <w:rFonts w:ascii="Times New Roman" w:eastAsia="Times New Roman" w:hAnsi="Times New Roman"/>
          <w:kern w:val="36"/>
          <w:sz w:val="28"/>
          <w:szCs w:val="28"/>
          <w:lang w:val="kk-KZ" w:eastAsia="ru-RU"/>
        </w:rPr>
        <w:t>1</w:t>
      </w:r>
      <w:r w:rsidR="00A23F7A">
        <w:rPr>
          <w:rFonts w:ascii="Times New Roman" w:eastAsia="Times New Roman" w:hAnsi="Times New Roman"/>
          <w:kern w:val="36"/>
          <w:sz w:val="28"/>
          <w:szCs w:val="28"/>
          <w:lang w:val="kk-KZ" w:eastAsia="ru-RU"/>
        </w:rPr>
        <w:t>4</w:t>
      </w:r>
      <w:r w:rsidRPr="00457CE9">
        <w:rPr>
          <w:rFonts w:ascii="Times New Roman" w:eastAsia="Times New Roman" w:hAnsi="Times New Roman"/>
          <w:kern w:val="36"/>
          <w:sz w:val="28"/>
          <w:szCs w:val="28"/>
          <w:lang w:val="kk-KZ" w:eastAsia="ru-RU"/>
        </w:rPr>
        <w:t xml:space="preserve"> </w:t>
      </w:r>
      <w:r w:rsidR="0059751A">
        <w:rPr>
          <w:rFonts w:ascii="Times New Roman" w:eastAsia="Times New Roman" w:hAnsi="Times New Roman" w:cs="Times New Roman"/>
          <w:kern w:val="36"/>
          <w:sz w:val="28"/>
          <w:szCs w:val="28"/>
          <w:lang w:val="kk-KZ" w:eastAsia="ru-RU"/>
        </w:rPr>
        <w:t>–</w:t>
      </w:r>
      <w:r w:rsidR="0059751A">
        <w:rPr>
          <w:rFonts w:ascii="Times New Roman" w:eastAsia="Times New Roman" w:hAnsi="Times New Roman"/>
          <w:kern w:val="36"/>
          <w:sz w:val="28"/>
          <w:szCs w:val="28"/>
          <w:lang w:val="kk-KZ" w:eastAsia="ru-RU"/>
        </w:rPr>
        <w:t xml:space="preserve"> </w:t>
      </w:r>
      <w:r w:rsidRPr="00457CE9">
        <w:rPr>
          <w:rFonts w:ascii="Times New Roman" w:eastAsia="Times New Roman" w:hAnsi="Times New Roman"/>
          <w:kern w:val="36"/>
          <w:sz w:val="28"/>
          <w:szCs w:val="28"/>
          <w:lang w:val="kk-KZ" w:eastAsia="ru-RU"/>
        </w:rPr>
        <w:t>ҚР Ауыл шаруашылығы министрлігінің АӨК дамыту мақсатында субсидиялау ережелерін іске асыру кезіндегі кемшіліктері</w:t>
      </w:r>
    </w:p>
    <w:p w14:paraId="762999E1" w14:textId="77777777" w:rsidR="00463D68" w:rsidRPr="0059751A" w:rsidRDefault="00463D68" w:rsidP="00457CE9">
      <w:pPr>
        <w:tabs>
          <w:tab w:val="left" w:pos="851"/>
        </w:tabs>
        <w:spacing w:after="0" w:line="240" w:lineRule="auto"/>
        <w:ind w:firstLine="567"/>
        <w:jc w:val="both"/>
        <w:rPr>
          <w:rFonts w:ascii="Times New Roman" w:eastAsia="Times New Roman" w:hAnsi="Times New Roman"/>
          <w:kern w:val="36"/>
          <w:sz w:val="16"/>
          <w:szCs w:val="16"/>
          <w:lang w:val="kk-KZ" w:eastAsia="ru-RU"/>
        </w:rPr>
      </w:pPr>
    </w:p>
    <w:p w14:paraId="16B4A342" w14:textId="71F9321B" w:rsidR="004177EC" w:rsidRDefault="00463D68" w:rsidP="0059751A">
      <w:pPr>
        <w:tabs>
          <w:tab w:val="left" w:pos="851"/>
        </w:tabs>
        <w:spacing w:after="0" w:line="240" w:lineRule="auto"/>
        <w:ind w:firstLine="709"/>
        <w:jc w:val="both"/>
        <w:rPr>
          <w:rFonts w:ascii="Times New Roman" w:eastAsia="Times New Roman" w:hAnsi="Times New Roman"/>
          <w:kern w:val="36"/>
          <w:sz w:val="24"/>
          <w:szCs w:val="24"/>
          <w:lang w:val="kk-KZ" w:eastAsia="ru-RU"/>
        </w:rPr>
      </w:pPr>
      <w:r w:rsidRPr="00EB67B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C51D00" w:rsidRPr="00457CE9">
        <w:rPr>
          <w:rFonts w:ascii="Times New Roman" w:eastAsia="Times New Roman" w:hAnsi="Times New Roman"/>
          <w:kern w:val="36"/>
          <w:sz w:val="24"/>
          <w:szCs w:val="24"/>
          <w:lang w:val="kk-KZ" w:eastAsia="ru-RU"/>
        </w:rPr>
        <w:t>[</w:t>
      </w:r>
      <w:r w:rsidR="00363D44">
        <w:rPr>
          <w:rFonts w:ascii="Times New Roman" w:eastAsia="Times New Roman" w:hAnsi="Times New Roman"/>
          <w:kern w:val="36"/>
          <w:sz w:val="24"/>
          <w:szCs w:val="24"/>
          <w:lang w:val="kk-KZ" w:eastAsia="ru-RU"/>
        </w:rPr>
        <w:t>5</w:t>
      </w:r>
      <w:r w:rsidR="00AA4EAE" w:rsidRPr="00252193">
        <w:rPr>
          <w:rFonts w:ascii="Times New Roman" w:eastAsia="Times New Roman" w:hAnsi="Times New Roman"/>
          <w:kern w:val="36"/>
          <w:sz w:val="24"/>
          <w:szCs w:val="24"/>
          <w:lang w:val="kk-KZ" w:eastAsia="ru-RU"/>
        </w:rPr>
        <w:t>2</w:t>
      </w:r>
      <w:r w:rsidR="00363D44">
        <w:rPr>
          <w:rFonts w:ascii="Times New Roman" w:eastAsia="Times New Roman" w:hAnsi="Times New Roman"/>
          <w:kern w:val="36"/>
          <w:sz w:val="24"/>
          <w:szCs w:val="24"/>
          <w:lang w:val="kk-KZ" w:eastAsia="ru-RU"/>
        </w:rPr>
        <w:t xml:space="preserve">, </w:t>
      </w:r>
      <w:r w:rsidR="004330E8">
        <w:rPr>
          <w:rFonts w:ascii="Times New Roman" w:eastAsia="Times New Roman" w:hAnsi="Times New Roman"/>
          <w:kern w:val="36"/>
          <w:sz w:val="24"/>
          <w:szCs w:val="24"/>
          <w:lang w:val="kk-KZ" w:eastAsia="ru-RU"/>
        </w:rPr>
        <w:t>104-105</w:t>
      </w:r>
      <w:r w:rsidR="00C51D00" w:rsidRPr="00457CE9">
        <w:rPr>
          <w:rFonts w:ascii="Times New Roman" w:eastAsia="Times New Roman" w:hAnsi="Times New Roman"/>
          <w:kern w:val="36"/>
          <w:sz w:val="24"/>
          <w:szCs w:val="24"/>
          <w:lang w:val="kk-KZ" w:eastAsia="ru-RU"/>
        </w:rPr>
        <w:t xml:space="preserve">] </w:t>
      </w:r>
    </w:p>
    <w:p w14:paraId="17D1956F" w14:textId="77777777" w:rsidR="00C37B51" w:rsidRPr="00457CE9" w:rsidRDefault="00C37B51" w:rsidP="0059751A">
      <w:pPr>
        <w:tabs>
          <w:tab w:val="left" w:pos="851"/>
        </w:tabs>
        <w:spacing w:after="0" w:line="240" w:lineRule="auto"/>
        <w:ind w:firstLine="709"/>
        <w:jc w:val="both"/>
        <w:rPr>
          <w:rFonts w:ascii="Times New Roman" w:eastAsia="Times New Roman" w:hAnsi="Times New Roman"/>
          <w:kern w:val="36"/>
          <w:sz w:val="24"/>
          <w:szCs w:val="24"/>
          <w:lang w:val="kk-KZ" w:eastAsia="ru-RU"/>
        </w:rPr>
      </w:pPr>
    </w:p>
    <w:p w14:paraId="28F2EB31" w14:textId="762C9CC6" w:rsidR="00363D44" w:rsidRDefault="00363D44" w:rsidP="00363D44">
      <w:pPr>
        <w:tabs>
          <w:tab w:val="left" w:pos="851"/>
        </w:tabs>
        <w:spacing w:after="0" w:line="240" w:lineRule="auto"/>
        <w:ind w:firstLine="709"/>
        <w:jc w:val="both"/>
        <w:rPr>
          <w:rFonts w:ascii="Times New Roman" w:eastAsiaTheme="minorEastAsia" w:hAnsi="Times New Roman"/>
          <w:kern w:val="36"/>
          <w:sz w:val="28"/>
          <w:szCs w:val="28"/>
          <w:lang w:val="kk-KZ" w:eastAsia="zh-CN"/>
        </w:rPr>
      </w:pPr>
      <w:r>
        <w:rPr>
          <w:rFonts w:ascii="Times New Roman" w:eastAsiaTheme="minorEastAsia" w:hAnsi="Times New Roman"/>
          <w:kern w:val="36"/>
          <w:sz w:val="28"/>
          <w:szCs w:val="28"/>
          <w:lang w:val="kk-KZ" w:eastAsia="zh-CN"/>
        </w:rPr>
        <w:t xml:space="preserve">ҚР Жоғары аудиторлық палатасы мемлекеттік аудитті өткізу кезінде </w:t>
      </w:r>
      <w:r w:rsidR="00C37B51">
        <w:rPr>
          <w:rFonts w:ascii="Times New Roman" w:eastAsiaTheme="minorEastAsia" w:hAnsi="Times New Roman"/>
          <w:kern w:val="36"/>
          <w:sz w:val="28"/>
          <w:szCs w:val="28"/>
          <w:lang w:val="kk-KZ" w:eastAsia="zh-CN"/>
        </w:rPr>
        <w:t>белгілеген</w:t>
      </w:r>
      <w:r>
        <w:rPr>
          <w:rFonts w:ascii="Times New Roman" w:eastAsiaTheme="minorEastAsia" w:hAnsi="Times New Roman"/>
          <w:kern w:val="36"/>
          <w:sz w:val="28"/>
          <w:szCs w:val="28"/>
          <w:lang w:val="kk-KZ" w:eastAsia="zh-CN"/>
        </w:rPr>
        <w:t xml:space="preserve"> көрсеткіші «Тиімділік бұл алынған нәтижелердің оларға қол жеткізу үшін пайдаланылған ресурстарды ескере отырып жоспарланғанға арақатынасы» деп анықтаған </w:t>
      </w:r>
      <w:r w:rsidR="00AA4EAE">
        <w:rPr>
          <w:rFonts w:ascii="Times New Roman" w:eastAsiaTheme="minorEastAsia" w:hAnsi="Times New Roman"/>
          <w:kern w:val="36"/>
          <w:sz w:val="28"/>
          <w:szCs w:val="28"/>
          <w:lang w:val="kk-KZ" w:eastAsia="zh-CN"/>
        </w:rPr>
        <w:t>[52]</w:t>
      </w:r>
      <w:r>
        <w:rPr>
          <w:rFonts w:ascii="Times New Roman" w:eastAsiaTheme="minorEastAsia" w:hAnsi="Times New Roman"/>
          <w:kern w:val="36"/>
          <w:sz w:val="28"/>
          <w:szCs w:val="28"/>
          <w:lang w:val="kk-KZ" w:eastAsia="zh-CN"/>
        </w:rPr>
        <w:t xml:space="preserve">. </w:t>
      </w:r>
    </w:p>
    <w:p w14:paraId="436852F4" w14:textId="56C637C6" w:rsidR="00054253" w:rsidRDefault="00C37B51" w:rsidP="00457CE9">
      <w:pPr>
        <w:spacing w:after="0" w:line="240" w:lineRule="auto"/>
        <w:ind w:firstLine="709"/>
        <w:jc w:val="both"/>
        <w:rPr>
          <w:rFonts w:ascii="Times New Roman" w:hAnsi="Times New Roman" w:cs="Times New Roman"/>
          <w:sz w:val="28"/>
          <w:szCs w:val="28"/>
          <w:lang w:val="kk-KZ"/>
        </w:rPr>
      </w:pPr>
      <w:r w:rsidRPr="00C37B51">
        <w:rPr>
          <w:rFonts w:ascii="Times New Roman" w:eastAsiaTheme="minorEastAsia" w:hAnsi="Times New Roman"/>
          <w:kern w:val="36"/>
          <w:sz w:val="28"/>
          <w:szCs w:val="28"/>
          <w:lang w:val="kk-KZ" w:eastAsia="zh-CN"/>
        </w:rPr>
        <w:t>АӨК дамытуға бағытталған бюджет қаражатының тиімділік аудитінің аудиторлық есеп беруінің</w:t>
      </w:r>
      <w:r w:rsidR="004339AC">
        <w:rPr>
          <w:rFonts w:ascii="Times New Roman" w:eastAsiaTheme="minorEastAsia" w:hAnsi="Times New Roman"/>
          <w:kern w:val="36"/>
          <w:sz w:val="28"/>
          <w:szCs w:val="28"/>
          <w:lang w:val="kk-KZ" w:eastAsia="zh-CN"/>
        </w:rPr>
        <w:t xml:space="preserve"> кіріспе бөлімінің</w:t>
      </w:r>
      <w:r w:rsidRPr="00C37B51">
        <w:rPr>
          <w:rFonts w:ascii="Times New Roman" w:eastAsiaTheme="minorEastAsia" w:hAnsi="Times New Roman"/>
          <w:kern w:val="36"/>
          <w:sz w:val="28"/>
          <w:szCs w:val="28"/>
          <w:lang w:val="kk-KZ" w:eastAsia="zh-CN"/>
        </w:rPr>
        <w:t xml:space="preserve"> құрылымы</w:t>
      </w:r>
      <w:r w:rsidRPr="00C37B51">
        <w:rPr>
          <w:rFonts w:ascii="Times New Roman" w:hAnsi="Times New Roman" w:cs="Times New Roman"/>
          <w:sz w:val="28"/>
          <w:szCs w:val="28"/>
          <w:lang w:val="kk-KZ"/>
        </w:rPr>
        <w:t xml:space="preserve"> </w:t>
      </w:r>
      <w:r w:rsidR="002365B2" w:rsidRPr="00C37B51">
        <w:rPr>
          <w:rFonts w:ascii="Times New Roman" w:hAnsi="Times New Roman" w:cs="Times New Roman"/>
          <w:sz w:val="28"/>
          <w:szCs w:val="28"/>
          <w:lang w:val="kk-KZ"/>
        </w:rPr>
        <w:t>1</w:t>
      </w:r>
      <w:r w:rsidR="00A23F7A" w:rsidRPr="00C37B51">
        <w:rPr>
          <w:rFonts w:ascii="Times New Roman" w:hAnsi="Times New Roman" w:cs="Times New Roman"/>
          <w:sz w:val="28"/>
          <w:szCs w:val="28"/>
          <w:lang w:val="kk-KZ"/>
        </w:rPr>
        <w:t>5</w:t>
      </w:r>
      <w:r w:rsidR="00054253" w:rsidRPr="00C37B51">
        <w:rPr>
          <w:rFonts w:ascii="Times New Roman" w:hAnsi="Times New Roman" w:cs="Times New Roman"/>
          <w:sz w:val="28"/>
          <w:szCs w:val="28"/>
          <w:lang w:val="kk-KZ"/>
        </w:rPr>
        <w:t>-</w:t>
      </w:r>
      <w:r w:rsidR="007C4115" w:rsidRPr="00C37B51">
        <w:rPr>
          <w:rFonts w:ascii="Times New Roman" w:hAnsi="Times New Roman" w:cs="Times New Roman"/>
          <w:sz w:val="28"/>
          <w:szCs w:val="28"/>
          <w:lang w:val="kk-KZ"/>
        </w:rPr>
        <w:t>сурет</w:t>
      </w:r>
      <w:r>
        <w:rPr>
          <w:rFonts w:ascii="Times New Roman" w:hAnsi="Times New Roman" w:cs="Times New Roman"/>
          <w:sz w:val="28"/>
          <w:szCs w:val="28"/>
          <w:lang w:val="kk-KZ"/>
        </w:rPr>
        <w:t>те келтірілген, оның</w:t>
      </w:r>
      <w:r w:rsidR="00054253" w:rsidRPr="00C37B51">
        <w:rPr>
          <w:rFonts w:ascii="Times New Roman" w:hAnsi="Times New Roman" w:cs="Times New Roman"/>
          <w:sz w:val="28"/>
          <w:szCs w:val="28"/>
          <w:lang w:val="kk-KZ"/>
        </w:rPr>
        <w:t xml:space="preserve"> мәліметтері бойынша кіріспе бөлімі 12 бөлімшелерден құрастырылған.</w:t>
      </w:r>
      <w:r w:rsidR="00054253" w:rsidRPr="00457CE9">
        <w:rPr>
          <w:rFonts w:ascii="Times New Roman" w:hAnsi="Times New Roman" w:cs="Times New Roman"/>
          <w:sz w:val="28"/>
          <w:szCs w:val="28"/>
          <w:lang w:val="kk-KZ"/>
        </w:rPr>
        <w:t xml:space="preserve"> Мұнда мемлекеттік аудит объектісі «ҚР Ауыл шаруашылығы министрлігі» деп анықталған, ең маңыздысы бұрын болған мемлекеттік аудит  нәтижелері туралы ақпараттың көрсетілуі. </w:t>
      </w:r>
    </w:p>
    <w:p w14:paraId="255CF8F6" w14:textId="77777777" w:rsidR="007C4115" w:rsidRPr="00457CE9" w:rsidRDefault="007C4115" w:rsidP="00457CE9">
      <w:pPr>
        <w:spacing w:after="0" w:line="240" w:lineRule="auto"/>
        <w:ind w:firstLine="709"/>
        <w:jc w:val="both"/>
        <w:rPr>
          <w:rFonts w:ascii="Times New Roman" w:hAnsi="Times New Roman" w:cs="Times New Roman"/>
          <w:sz w:val="28"/>
          <w:szCs w:val="28"/>
          <w:lang w:val="kk-KZ"/>
        </w:rPr>
      </w:pPr>
    </w:p>
    <w:tbl>
      <w:tblPr>
        <w:tblStyle w:val="a3"/>
        <w:tblW w:w="9067" w:type="dxa"/>
        <w:jc w:val="center"/>
        <w:tblLook w:val="04A0" w:firstRow="1" w:lastRow="0" w:firstColumn="1" w:lastColumn="0" w:noHBand="0" w:noVBand="1"/>
      </w:tblPr>
      <w:tblGrid>
        <w:gridCol w:w="9067"/>
      </w:tblGrid>
      <w:tr w:rsidR="00441955" w:rsidRPr="00805B3E" w14:paraId="1E4FE958"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3FCBACC8" w14:textId="4674B9CA" w:rsidR="00441955" w:rsidRPr="00457CE9" w:rsidRDefault="00441955" w:rsidP="007C4115">
            <w:pPr>
              <w:tabs>
                <w:tab w:val="left" w:pos="851"/>
              </w:tabs>
              <w:jc w:val="center"/>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АӨК дамытуға бағытталған бюджет қаражатының тиімділік аудитінің аудиторлық есеп беруінің құрылымы</w:t>
            </w:r>
          </w:p>
        </w:tc>
      </w:tr>
      <w:tr w:rsidR="00441955" w:rsidRPr="00457CE9" w14:paraId="7E8AB5B7"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7186A637"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Кіріспе бөлімі</w:t>
            </w:r>
          </w:p>
        </w:tc>
      </w:tr>
      <w:tr w:rsidR="00441955" w:rsidRPr="00457CE9" w14:paraId="246D316C"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440E9F6D"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объектісінің атауы</w:t>
            </w:r>
          </w:p>
        </w:tc>
      </w:tr>
      <w:tr w:rsidR="00441955" w:rsidRPr="00457CE9" w14:paraId="0BAB893F"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08EBE0F3" w14:textId="070843BE"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Аудиторлық шара атауы</w:t>
            </w:r>
          </w:p>
        </w:tc>
      </w:tr>
      <w:tr w:rsidR="00441955" w:rsidRPr="00457CE9" w14:paraId="5B4E2575"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407C8484" w14:textId="631B7CD4"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объектісіндегі мемлекеттік аудит мақсаты</w:t>
            </w:r>
          </w:p>
        </w:tc>
      </w:tr>
      <w:tr w:rsidR="00441955" w:rsidRPr="00457CE9" w14:paraId="14DE26E2"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75D437B2"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пәні</w:t>
            </w:r>
          </w:p>
        </w:tc>
      </w:tr>
      <w:tr w:rsidR="00441955" w:rsidRPr="00457CE9" w14:paraId="592A288D"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268B7A38"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Аудит типі, тексеру түрі</w:t>
            </w:r>
          </w:p>
        </w:tc>
      </w:tr>
      <w:tr w:rsidR="00441955" w:rsidRPr="00457CE9" w14:paraId="677FC3A1"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7BC668EC"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Мемлекетік аудит тобының құрамы</w:t>
            </w:r>
          </w:p>
        </w:tc>
      </w:tr>
      <w:tr w:rsidR="00441955" w:rsidRPr="00457CE9" w14:paraId="5118E969"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0BDC47CC"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аудитті жүргізуге тапсырма</w:t>
            </w:r>
          </w:p>
        </w:tc>
      </w:tr>
      <w:tr w:rsidR="00441955" w:rsidRPr="00457CE9" w14:paraId="34985D4F"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1CA52BEF"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аудитпен қамтылған кезең</w:t>
            </w:r>
          </w:p>
        </w:tc>
      </w:tr>
      <w:tr w:rsidR="00441955" w:rsidRPr="00457CE9" w14:paraId="23BF4EDB"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4447C590"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аудитті орындау кезеңі</w:t>
            </w:r>
          </w:p>
        </w:tc>
      </w:tr>
      <w:tr w:rsidR="00441955" w:rsidRPr="00457CE9" w14:paraId="7DA8F395"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3D814A09" w14:textId="77777777"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объектісінің лауазымды тұлғалары</w:t>
            </w:r>
          </w:p>
        </w:tc>
      </w:tr>
      <w:tr w:rsidR="00441955" w:rsidRPr="00457CE9" w14:paraId="608EAE7B"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68CDCE1B" w14:textId="3090C2AF"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Қарсы тексеруден өткен объектілер тізімі</w:t>
            </w:r>
          </w:p>
        </w:tc>
      </w:tr>
      <w:tr w:rsidR="00441955" w:rsidRPr="00457CE9" w14:paraId="7C12F54D" w14:textId="77777777" w:rsidTr="00363D44">
        <w:trPr>
          <w:jc w:val="center"/>
        </w:trPr>
        <w:tc>
          <w:tcPr>
            <w:tcW w:w="9067" w:type="dxa"/>
            <w:tcBorders>
              <w:top w:val="single" w:sz="4" w:space="0" w:color="auto"/>
              <w:left w:val="single" w:sz="4" w:space="0" w:color="auto"/>
              <w:bottom w:val="single" w:sz="4" w:space="0" w:color="auto"/>
              <w:right w:val="single" w:sz="4" w:space="0" w:color="auto"/>
            </w:tcBorders>
            <w:hideMark/>
          </w:tcPr>
          <w:p w14:paraId="164562D7" w14:textId="3C897C1B" w:rsidR="00441955" w:rsidRPr="00457CE9" w:rsidRDefault="00441955" w:rsidP="007C4115">
            <w:pPr>
              <w:tabs>
                <w:tab w:val="left" w:pos="851"/>
              </w:tabs>
              <w:jc w:val="left"/>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Өткен мемлекеттік аудит нәтижелері туралы қысқа мәліметтер</w:t>
            </w:r>
          </w:p>
        </w:tc>
      </w:tr>
    </w:tbl>
    <w:p w14:paraId="4DAB2E97" w14:textId="77777777" w:rsidR="00F13F6E" w:rsidRPr="007C4115" w:rsidRDefault="00F13F6E" w:rsidP="00457CE9">
      <w:pPr>
        <w:spacing w:after="0" w:line="240" w:lineRule="auto"/>
        <w:ind w:firstLine="567"/>
        <w:jc w:val="both"/>
        <w:rPr>
          <w:rFonts w:ascii="Times New Roman" w:hAnsi="Times New Roman" w:cs="Times New Roman"/>
          <w:sz w:val="16"/>
          <w:szCs w:val="16"/>
          <w:lang w:val="kk-KZ"/>
        </w:rPr>
      </w:pPr>
    </w:p>
    <w:p w14:paraId="10C8E02D" w14:textId="2D1AF79C" w:rsidR="007C4115" w:rsidRDefault="007C4115" w:rsidP="007C4115">
      <w:pPr>
        <w:tabs>
          <w:tab w:val="left" w:pos="851"/>
        </w:tabs>
        <w:spacing w:after="0" w:line="240" w:lineRule="auto"/>
        <w:jc w:val="center"/>
        <w:rPr>
          <w:rFonts w:ascii="Times New Roman" w:eastAsiaTheme="minorEastAsia" w:hAnsi="Times New Roman"/>
          <w:kern w:val="36"/>
          <w:sz w:val="28"/>
          <w:szCs w:val="28"/>
          <w:lang w:val="kk-KZ" w:eastAsia="zh-CN"/>
        </w:rPr>
      </w:pPr>
      <w:r>
        <w:rPr>
          <w:rFonts w:ascii="Times New Roman" w:eastAsiaTheme="minorEastAsia" w:hAnsi="Times New Roman"/>
          <w:kern w:val="36"/>
          <w:sz w:val="28"/>
          <w:szCs w:val="28"/>
          <w:lang w:val="kk-KZ" w:eastAsia="zh-CN"/>
        </w:rPr>
        <w:t>Сурет</w:t>
      </w:r>
      <w:r w:rsidRPr="00457CE9">
        <w:rPr>
          <w:rFonts w:ascii="Times New Roman" w:eastAsiaTheme="minorEastAsia" w:hAnsi="Times New Roman"/>
          <w:kern w:val="36"/>
          <w:sz w:val="28"/>
          <w:szCs w:val="28"/>
          <w:lang w:val="kk-KZ" w:eastAsia="zh-CN"/>
        </w:rPr>
        <w:t xml:space="preserve"> </w:t>
      </w:r>
      <w:r w:rsidR="002365B2">
        <w:rPr>
          <w:rFonts w:ascii="Times New Roman" w:eastAsiaTheme="minorEastAsia" w:hAnsi="Times New Roman"/>
          <w:kern w:val="36"/>
          <w:sz w:val="28"/>
          <w:szCs w:val="28"/>
          <w:lang w:val="kk-KZ" w:eastAsia="zh-CN"/>
        </w:rPr>
        <w:t>1</w:t>
      </w:r>
      <w:r w:rsidR="00A23F7A">
        <w:rPr>
          <w:rFonts w:ascii="Times New Roman" w:eastAsiaTheme="minorEastAsia" w:hAnsi="Times New Roman"/>
          <w:kern w:val="36"/>
          <w:sz w:val="28"/>
          <w:szCs w:val="28"/>
          <w:lang w:val="kk-KZ" w:eastAsia="zh-CN"/>
        </w:rPr>
        <w:t>5</w:t>
      </w:r>
      <w:r w:rsidRPr="00457CE9">
        <w:rPr>
          <w:rFonts w:ascii="Times New Roman" w:eastAsiaTheme="minorEastAsia" w:hAnsi="Times New Roman"/>
          <w:kern w:val="36"/>
          <w:sz w:val="28"/>
          <w:szCs w:val="28"/>
          <w:lang w:val="kk-KZ" w:eastAsia="zh-CN"/>
        </w:rPr>
        <w:t xml:space="preserve"> – 2017-2021 жж. ҚР АӨК дамытудың мемлекеттік бағдарламасының мемлекеттік аудит бойынша аудиторлық есеп берудің кіріспе бөлімі</w:t>
      </w:r>
    </w:p>
    <w:p w14:paraId="3B92B4DE" w14:textId="77777777" w:rsidR="007C4115" w:rsidRPr="007C4115" w:rsidRDefault="007C4115" w:rsidP="00457CE9">
      <w:pPr>
        <w:tabs>
          <w:tab w:val="left" w:pos="851"/>
        </w:tabs>
        <w:spacing w:after="0" w:line="240" w:lineRule="auto"/>
        <w:ind w:firstLine="567"/>
        <w:jc w:val="both"/>
        <w:rPr>
          <w:rFonts w:ascii="Times New Roman" w:eastAsiaTheme="minorEastAsia" w:hAnsi="Times New Roman"/>
          <w:kern w:val="36"/>
          <w:sz w:val="16"/>
          <w:szCs w:val="16"/>
          <w:lang w:val="kk-KZ" w:eastAsia="zh-CN"/>
        </w:rPr>
      </w:pPr>
    </w:p>
    <w:p w14:paraId="06317D06" w14:textId="7A889E5A" w:rsidR="007C4115" w:rsidRDefault="007C4115" w:rsidP="007C4115">
      <w:pPr>
        <w:tabs>
          <w:tab w:val="left" w:pos="851"/>
        </w:tabs>
        <w:spacing w:after="0" w:line="240" w:lineRule="auto"/>
        <w:ind w:firstLine="709"/>
        <w:jc w:val="both"/>
        <w:rPr>
          <w:rFonts w:ascii="Times New Roman" w:eastAsiaTheme="minorEastAsia" w:hAnsi="Times New Roman"/>
          <w:kern w:val="36"/>
          <w:sz w:val="28"/>
          <w:szCs w:val="28"/>
          <w:lang w:val="kk-KZ" w:eastAsia="zh-CN"/>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457CE9">
        <w:rPr>
          <w:rFonts w:ascii="Times New Roman" w:eastAsiaTheme="minorEastAsia" w:hAnsi="Times New Roman"/>
          <w:kern w:val="36"/>
          <w:sz w:val="24"/>
          <w:szCs w:val="24"/>
          <w:lang w:val="kk-KZ" w:eastAsia="zh-CN"/>
        </w:rPr>
        <w:t xml:space="preserve"> </w:t>
      </w:r>
      <w:r w:rsidR="00AA4EAE">
        <w:rPr>
          <w:rFonts w:ascii="Times New Roman" w:eastAsiaTheme="minorEastAsia" w:hAnsi="Times New Roman"/>
          <w:kern w:val="36"/>
          <w:sz w:val="24"/>
          <w:szCs w:val="24"/>
          <w:lang w:val="kk-KZ" w:eastAsia="zh-CN"/>
        </w:rPr>
        <w:t>[52]</w:t>
      </w:r>
    </w:p>
    <w:p w14:paraId="3395F086" w14:textId="77777777" w:rsidR="007C4115" w:rsidRDefault="007C4115" w:rsidP="00457CE9">
      <w:pPr>
        <w:tabs>
          <w:tab w:val="left" w:pos="851"/>
        </w:tabs>
        <w:spacing w:after="0" w:line="240" w:lineRule="auto"/>
        <w:ind w:firstLine="567"/>
        <w:jc w:val="both"/>
        <w:rPr>
          <w:rFonts w:ascii="Times New Roman" w:eastAsiaTheme="minorEastAsia" w:hAnsi="Times New Roman"/>
          <w:kern w:val="36"/>
          <w:sz w:val="28"/>
          <w:szCs w:val="28"/>
          <w:lang w:val="kk-KZ" w:eastAsia="zh-CN"/>
        </w:rPr>
      </w:pPr>
    </w:p>
    <w:p w14:paraId="29D986BD" w14:textId="5316D9BB" w:rsidR="002430CD" w:rsidRDefault="008D2FEB" w:rsidP="007C4115">
      <w:pPr>
        <w:tabs>
          <w:tab w:val="left" w:pos="851"/>
        </w:tabs>
        <w:spacing w:after="0" w:line="240" w:lineRule="auto"/>
        <w:ind w:firstLine="709"/>
        <w:jc w:val="both"/>
        <w:rPr>
          <w:rFonts w:ascii="Times New Roman" w:eastAsiaTheme="minorEastAsia" w:hAnsi="Times New Roman"/>
          <w:kern w:val="36"/>
          <w:sz w:val="28"/>
          <w:szCs w:val="28"/>
          <w:lang w:val="kk-KZ" w:eastAsia="zh-CN"/>
        </w:rPr>
      </w:pPr>
      <w:r w:rsidRPr="00457CE9">
        <w:rPr>
          <w:rFonts w:ascii="Times New Roman" w:eastAsiaTheme="minorEastAsia" w:hAnsi="Times New Roman"/>
          <w:kern w:val="36"/>
          <w:sz w:val="28"/>
          <w:szCs w:val="28"/>
          <w:lang w:val="kk-KZ" w:eastAsia="zh-CN"/>
        </w:rPr>
        <w:t>2017-2021 жж. ҚР АӨК дамытудың мемлекеттік бағдарламасының мемлекеттік аудит бойынша аудиторлық есеп берудің 2-ші «негізгі бөлімі» деп аталып негізінен</w:t>
      </w:r>
      <w:r w:rsidR="002430CD" w:rsidRPr="00457CE9">
        <w:rPr>
          <w:rFonts w:ascii="Times New Roman" w:eastAsiaTheme="minorEastAsia" w:hAnsi="Times New Roman"/>
          <w:kern w:val="36"/>
          <w:sz w:val="28"/>
          <w:szCs w:val="28"/>
          <w:lang w:val="kk-KZ" w:eastAsia="zh-CN"/>
        </w:rPr>
        <w:t xml:space="preserve"> </w:t>
      </w:r>
      <w:r w:rsidRPr="00457CE9">
        <w:rPr>
          <w:rFonts w:ascii="Times New Roman" w:eastAsiaTheme="minorEastAsia" w:hAnsi="Times New Roman"/>
          <w:kern w:val="36"/>
          <w:sz w:val="28"/>
          <w:szCs w:val="28"/>
          <w:lang w:val="kk-KZ" w:eastAsia="zh-CN"/>
        </w:rPr>
        <w:t xml:space="preserve">10 </w:t>
      </w:r>
      <w:r w:rsidR="002430CD" w:rsidRPr="00457CE9">
        <w:rPr>
          <w:rFonts w:ascii="Times New Roman" w:eastAsiaTheme="minorEastAsia" w:hAnsi="Times New Roman"/>
          <w:kern w:val="36"/>
          <w:sz w:val="28"/>
          <w:szCs w:val="28"/>
          <w:lang w:val="kk-KZ" w:eastAsia="zh-CN"/>
        </w:rPr>
        <w:t>аудиторлық шаралар сұрақтары</w:t>
      </w:r>
      <w:r w:rsidRPr="00457CE9">
        <w:rPr>
          <w:rFonts w:ascii="Times New Roman" w:eastAsiaTheme="minorEastAsia" w:hAnsi="Times New Roman"/>
          <w:kern w:val="36"/>
          <w:sz w:val="28"/>
          <w:szCs w:val="28"/>
          <w:lang w:val="kk-KZ" w:eastAsia="zh-CN"/>
        </w:rPr>
        <w:t>нан құралған</w:t>
      </w:r>
      <w:r w:rsidR="00C37B51">
        <w:rPr>
          <w:rFonts w:ascii="Times New Roman" w:eastAsiaTheme="minorEastAsia" w:hAnsi="Times New Roman"/>
          <w:kern w:val="36"/>
          <w:sz w:val="28"/>
          <w:szCs w:val="28"/>
          <w:lang w:val="kk-KZ" w:eastAsia="zh-CN"/>
        </w:rPr>
        <w:t>, ақпарат</w:t>
      </w:r>
      <w:r w:rsidR="002430CD" w:rsidRPr="00457CE9">
        <w:rPr>
          <w:rFonts w:ascii="Times New Roman" w:eastAsiaTheme="minorEastAsia" w:hAnsi="Times New Roman"/>
          <w:kern w:val="36"/>
          <w:sz w:val="28"/>
          <w:szCs w:val="28"/>
          <w:lang w:val="kk-KZ" w:eastAsia="zh-CN"/>
        </w:rPr>
        <w:t xml:space="preserve"> </w:t>
      </w:r>
      <w:r w:rsidR="0038270D" w:rsidRPr="00457CE9">
        <w:rPr>
          <w:rFonts w:ascii="Times New Roman" w:eastAsiaTheme="minorEastAsia" w:hAnsi="Times New Roman"/>
          <w:kern w:val="36"/>
          <w:sz w:val="28"/>
          <w:szCs w:val="28"/>
          <w:lang w:val="kk-KZ" w:eastAsia="zh-CN"/>
        </w:rPr>
        <w:t>2</w:t>
      </w:r>
      <w:r w:rsidR="00C37B51">
        <w:rPr>
          <w:rFonts w:ascii="Times New Roman" w:eastAsiaTheme="minorEastAsia" w:hAnsi="Times New Roman"/>
          <w:kern w:val="36"/>
          <w:sz w:val="28"/>
          <w:szCs w:val="28"/>
          <w:lang w:val="kk-KZ" w:eastAsia="zh-CN"/>
        </w:rPr>
        <w:t>7</w:t>
      </w:r>
      <w:r w:rsidRPr="00457CE9">
        <w:rPr>
          <w:rFonts w:ascii="Times New Roman" w:eastAsiaTheme="minorEastAsia" w:hAnsi="Times New Roman"/>
          <w:kern w:val="36"/>
          <w:sz w:val="28"/>
          <w:szCs w:val="28"/>
          <w:lang w:val="kk-KZ" w:eastAsia="zh-CN"/>
        </w:rPr>
        <w:t>-</w:t>
      </w:r>
      <w:r w:rsidR="002430CD" w:rsidRPr="00457CE9">
        <w:rPr>
          <w:rFonts w:ascii="Times New Roman" w:eastAsiaTheme="minorEastAsia" w:hAnsi="Times New Roman"/>
          <w:kern w:val="36"/>
          <w:sz w:val="28"/>
          <w:szCs w:val="28"/>
          <w:lang w:val="kk-KZ" w:eastAsia="zh-CN"/>
        </w:rPr>
        <w:t>кестеде келтірілген.</w:t>
      </w:r>
      <w:r w:rsidR="004339AC">
        <w:rPr>
          <w:rFonts w:ascii="Times New Roman" w:eastAsiaTheme="minorEastAsia" w:hAnsi="Times New Roman"/>
          <w:kern w:val="36"/>
          <w:sz w:val="28"/>
          <w:szCs w:val="28"/>
          <w:lang w:val="kk-KZ" w:eastAsia="zh-CN"/>
        </w:rPr>
        <w:t xml:space="preserve"> </w:t>
      </w:r>
    </w:p>
    <w:p w14:paraId="4B2FBFA5" w14:textId="2EABB812" w:rsidR="00F13F6E" w:rsidRDefault="007C4115" w:rsidP="007C4115">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w:t>
      </w:r>
      <w:r w:rsidR="007F5D1B">
        <w:rPr>
          <w:rFonts w:ascii="Times New Roman" w:hAnsi="Times New Roman" w:cs="Times New Roman"/>
          <w:sz w:val="28"/>
          <w:szCs w:val="28"/>
          <w:lang w:val="kk-KZ"/>
        </w:rPr>
        <w:t>7</w:t>
      </w:r>
      <w:r w:rsidRPr="00457CE9">
        <w:rPr>
          <w:rFonts w:ascii="Times New Roman" w:hAnsi="Times New Roman" w:cs="Times New Roman"/>
          <w:sz w:val="28"/>
          <w:szCs w:val="28"/>
          <w:lang w:val="kk-KZ"/>
        </w:rPr>
        <w:t xml:space="preserve">-кесте мәліметтері бойынша аудиторлық есеп берудің негізгі бөлімінде қарастырылған аудиторлық сұрақтар және әр сұрақтар бойынша анықталған кемшіліктері келтірілген. </w:t>
      </w:r>
      <w:r w:rsidR="00363D44">
        <w:rPr>
          <w:rFonts w:ascii="Times New Roman" w:hAnsi="Times New Roman" w:cs="Times New Roman"/>
          <w:sz w:val="28"/>
          <w:szCs w:val="28"/>
          <w:lang w:val="kk-KZ"/>
        </w:rPr>
        <w:t>АӨК</w:t>
      </w:r>
      <w:r w:rsidR="00C37B51">
        <w:rPr>
          <w:rFonts w:ascii="Times New Roman" w:hAnsi="Times New Roman" w:cs="Times New Roman"/>
          <w:sz w:val="28"/>
          <w:szCs w:val="28"/>
          <w:lang w:val="kk-KZ"/>
        </w:rPr>
        <w:t xml:space="preserve">-н </w:t>
      </w:r>
      <w:r w:rsidR="00363D44">
        <w:rPr>
          <w:rFonts w:ascii="Times New Roman" w:hAnsi="Times New Roman" w:cs="Times New Roman"/>
          <w:sz w:val="28"/>
          <w:szCs w:val="28"/>
          <w:lang w:val="kk-KZ"/>
        </w:rPr>
        <w:t>дамыту бағдарламасын іске асыру кезінде бөлінген бюджет қаражатын игерілуінің жоғары үлесі, ал жоспарланған нысаналы индикаторлар, тікелей нәтиже көрсеткіштері мен шаралар орындалмауы байқалады.</w:t>
      </w:r>
      <w:r w:rsidR="00363D44" w:rsidRPr="00363D44">
        <w:rPr>
          <w:rFonts w:ascii="Times New Roman" w:hAnsi="Times New Roman" w:cs="Times New Roman"/>
          <w:sz w:val="28"/>
          <w:szCs w:val="28"/>
          <w:lang w:val="kk-KZ"/>
        </w:rPr>
        <w:t xml:space="preserve"> </w:t>
      </w:r>
      <w:r w:rsidR="00363D44">
        <w:rPr>
          <w:rFonts w:ascii="Times New Roman" w:hAnsi="Times New Roman" w:cs="Times New Roman"/>
          <w:sz w:val="28"/>
          <w:szCs w:val="28"/>
          <w:lang w:val="kk-KZ"/>
        </w:rPr>
        <w:t>Бұл негізінен жоспарлы көрсеткіштер мен бюджет қаражатының арасындағы байланыстың әлсіздігі, саладағы айқын мәселелер мен ұсынылған шаралар арасындағы сәйкестілігінің жоқтығы.</w:t>
      </w:r>
      <w:r w:rsidR="004339AC" w:rsidRPr="004339AC">
        <w:rPr>
          <w:rFonts w:ascii="Times New Roman" w:hAnsi="Times New Roman" w:cs="Times New Roman"/>
          <w:sz w:val="28"/>
          <w:szCs w:val="28"/>
          <w:lang w:val="kk-KZ"/>
        </w:rPr>
        <w:t xml:space="preserve"> </w:t>
      </w:r>
      <w:r w:rsidR="004339AC">
        <w:rPr>
          <w:rFonts w:ascii="Times New Roman" w:hAnsi="Times New Roman" w:cs="Times New Roman"/>
          <w:sz w:val="28"/>
          <w:szCs w:val="28"/>
          <w:lang w:val="kk-KZ"/>
        </w:rPr>
        <w:t>Яғни, басынан бастап жеткіліксіз көрсеткіштер мен шаралар құралуы мен бекітілуі, жоспарланған көрсеткіштер мен шараларды іске асыруды бағалау мүмкіндігінің болмауы, АШМ қолданатын ақпараттық жүйелер бекітілген техникалық-экономикалық негіздерге сәйкес тапсырмалар мен функцияларға толық сәйкессіздігі, тәжірибеде қолданылмауы [52].</w:t>
      </w:r>
    </w:p>
    <w:p w14:paraId="5CC5CD04" w14:textId="77777777" w:rsidR="00C37B51" w:rsidRPr="00457CE9" w:rsidRDefault="00C37B51" w:rsidP="007C4115">
      <w:pPr>
        <w:spacing w:after="0" w:line="240" w:lineRule="auto"/>
        <w:ind w:firstLine="709"/>
        <w:jc w:val="both"/>
        <w:rPr>
          <w:rFonts w:ascii="Times New Roman" w:hAnsi="Times New Roman" w:cs="Times New Roman"/>
          <w:sz w:val="28"/>
          <w:szCs w:val="28"/>
          <w:lang w:val="kk-KZ"/>
        </w:rPr>
      </w:pPr>
    </w:p>
    <w:p w14:paraId="342951E0" w14:textId="7A5096BB" w:rsidR="00F13F6E" w:rsidRDefault="008D2FEB" w:rsidP="00457CE9">
      <w:pPr>
        <w:spacing w:after="0" w:line="240" w:lineRule="auto"/>
        <w:jc w:val="both"/>
        <w:rPr>
          <w:rFonts w:ascii="Times New Roman" w:eastAsiaTheme="minorEastAsia" w:hAnsi="Times New Roman"/>
          <w:kern w:val="36"/>
          <w:sz w:val="28"/>
          <w:szCs w:val="28"/>
          <w:lang w:val="kk-KZ" w:eastAsia="zh-CN"/>
        </w:rPr>
      </w:pPr>
      <w:r w:rsidRPr="00457CE9">
        <w:rPr>
          <w:rFonts w:ascii="Times New Roman" w:hAnsi="Times New Roman" w:cs="Times New Roman"/>
          <w:sz w:val="28"/>
          <w:szCs w:val="28"/>
          <w:lang w:val="kk-KZ"/>
        </w:rPr>
        <w:t xml:space="preserve">Кесте </w:t>
      </w:r>
      <w:r w:rsidR="0038270D" w:rsidRPr="00457CE9">
        <w:rPr>
          <w:rFonts w:ascii="Times New Roman" w:hAnsi="Times New Roman" w:cs="Times New Roman"/>
          <w:sz w:val="28"/>
          <w:szCs w:val="28"/>
          <w:lang w:val="kk-KZ"/>
        </w:rPr>
        <w:t>2</w:t>
      </w:r>
      <w:r w:rsidR="007F5D1B">
        <w:rPr>
          <w:rFonts w:ascii="Times New Roman" w:hAnsi="Times New Roman" w:cs="Times New Roman"/>
          <w:sz w:val="28"/>
          <w:szCs w:val="28"/>
          <w:lang w:val="kk-KZ"/>
        </w:rPr>
        <w:t>7</w:t>
      </w:r>
      <w:r w:rsidRPr="00457CE9">
        <w:rPr>
          <w:rFonts w:ascii="Times New Roman" w:hAnsi="Times New Roman" w:cs="Times New Roman"/>
          <w:sz w:val="28"/>
          <w:szCs w:val="28"/>
          <w:lang w:val="kk-KZ"/>
        </w:rPr>
        <w:t xml:space="preserve"> – </w:t>
      </w:r>
      <w:r w:rsidRPr="00457CE9">
        <w:rPr>
          <w:rFonts w:ascii="Times New Roman" w:eastAsiaTheme="minorEastAsia" w:hAnsi="Times New Roman"/>
          <w:kern w:val="36"/>
          <w:sz w:val="28"/>
          <w:szCs w:val="28"/>
          <w:lang w:val="kk-KZ" w:eastAsia="zh-CN"/>
        </w:rPr>
        <w:t>2017-2021 жж. ҚР АӨК дамытудың мемлекеттік бағдарламасының мемлекеттік аудит бойынша аудиторлық есеп берудің 2-ші «негізгі бөлімі»</w:t>
      </w:r>
    </w:p>
    <w:p w14:paraId="7C28BA9D" w14:textId="77777777" w:rsidR="007C4115" w:rsidRPr="007C4115" w:rsidRDefault="007C4115" w:rsidP="00457CE9">
      <w:pPr>
        <w:spacing w:after="0" w:line="240" w:lineRule="auto"/>
        <w:jc w:val="both"/>
        <w:rPr>
          <w:rFonts w:ascii="Times New Roman" w:hAnsi="Times New Roman" w:cs="Times New Roman"/>
          <w:sz w:val="16"/>
          <w:szCs w:val="16"/>
          <w:lang w:val="kk-KZ"/>
        </w:rPr>
      </w:pPr>
    </w:p>
    <w:tbl>
      <w:tblPr>
        <w:tblStyle w:val="a3"/>
        <w:tblW w:w="0" w:type="auto"/>
        <w:jc w:val="center"/>
        <w:tblLook w:val="04A0" w:firstRow="1" w:lastRow="0" w:firstColumn="1" w:lastColumn="0" w:noHBand="0" w:noVBand="1"/>
      </w:tblPr>
      <w:tblGrid>
        <w:gridCol w:w="1083"/>
        <w:gridCol w:w="4304"/>
        <w:gridCol w:w="4179"/>
      </w:tblGrid>
      <w:tr w:rsidR="00F13F6E" w:rsidRPr="007C4115" w14:paraId="0A025345" w14:textId="77777777" w:rsidTr="00C80BF1">
        <w:trPr>
          <w:jc w:val="center"/>
        </w:trPr>
        <w:tc>
          <w:tcPr>
            <w:tcW w:w="1083" w:type="dxa"/>
          </w:tcPr>
          <w:p w14:paraId="483B6095" w14:textId="0E50D57E" w:rsidR="00F13F6E" w:rsidRPr="007C4115" w:rsidRDefault="008D2FEB" w:rsidP="007C4115">
            <w:pPr>
              <w:tabs>
                <w:tab w:val="left" w:pos="851"/>
              </w:tabs>
              <w:jc w:val="center"/>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Бөлім</w:t>
            </w:r>
          </w:p>
        </w:tc>
        <w:tc>
          <w:tcPr>
            <w:tcW w:w="4304" w:type="dxa"/>
          </w:tcPr>
          <w:p w14:paraId="28F512FD" w14:textId="4E1AF606" w:rsidR="00F13F6E" w:rsidRPr="007C4115" w:rsidRDefault="00C566CC" w:rsidP="007C4115">
            <w:pPr>
              <w:tabs>
                <w:tab w:val="left" w:pos="851"/>
              </w:tabs>
              <w:jc w:val="center"/>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Бөлім а</w:t>
            </w:r>
            <w:r w:rsidR="008D2FEB" w:rsidRPr="007C4115">
              <w:rPr>
                <w:rFonts w:ascii="Times New Roman" w:eastAsiaTheme="minorEastAsia" w:hAnsi="Times New Roman"/>
                <w:kern w:val="36"/>
                <w:sz w:val="24"/>
                <w:szCs w:val="24"/>
                <w:lang w:val="kk-KZ" w:eastAsia="zh-CN"/>
              </w:rPr>
              <w:t>тауы</w:t>
            </w:r>
          </w:p>
        </w:tc>
        <w:tc>
          <w:tcPr>
            <w:tcW w:w="4179" w:type="dxa"/>
          </w:tcPr>
          <w:p w14:paraId="5CE64C19" w14:textId="7B5D274E" w:rsidR="00F13F6E" w:rsidRPr="007C4115" w:rsidRDefault="008D2FEB" w:rsidP="007C4115">
            <w:pPr>
              <w:tabs>
                <w:tab w:val="left" w:pos="851"/>
              </w:tabs>
              <w:jc w:val="center"/>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Ескерту</w:t>
            </w:r>
          </w:p>
        </w:tc>
      </w:tr>
      <w:tr w:rsidR="00785E14" w:rsidRPr="007C4115" w14:paraId="07AAF902" w14:textId="77777777" w:rsidTr="00C80BF1">
        <w:trPr>
          <w:jc w:val="center"/>
        </w:trPr>
        <w:tc>
          <w:tcPr>
            <w:tcW w:w="1083" w:type="dxa"/>
          </w:tcPr>
          <w:p w14:paraId="06C00028" w14:textId="451F7979" w:rsidR="00785E14" w:rsidRPr="007C4115" w:rsidRDefault="00785E14" w:rsidP="002365B2">
            <w:pPr>
              <w:tabs>
                <w:tab w:val="left" w:pos="851"/>
              </w:tabs>
              <w:spacing w:line="228" w:lineRule="auto"/>
              <w:jc w:val="center"/>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1</w:t>
            </w:r>
          </w:p>
        </w:tc>
        <w:tc>
          <w:tcPr>
            <w:tcW w:w="4304" w:type="dxa"/>
          </w:tcPr>
          <w:p w14:paraId="0ED2AD84" w14:textId="6383F630" w:rsidR="00785E14" w:rsidRPr="007C4115" w:rsidRDefault="00785E14" w:rsidP="002365B2">
            <w:pPr>
              <w:tabs>
                <w:tab w:val="left" w:pos="851"/>
              </w:tabs>
              <w:spacing w:line="228" w:lineRule="auto"/>
              <w:jc w:val="center"/>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w:t>
            </w:r>
          </w:p>
        </w:tc>
        <w:tc>
          <w:tcPr>
            <w:tcW w:w="4179" w:type="dxa"/>
          </w:tcPr>
          <w:p w14:paraId="43575028" w14:textId="58888A78" w:rsidR="00785E14" w:rsidRPr="007C4115" w:rsidRDefault="00785E14" w:rsidP="002365B2">
            <w:pPr>
              <w:tabs>
                <w:tab w:val="left" w:pos="851"/>
              </w:tabs>
              <w:spacing w:line="228" w:lineRule="auto"/>
              <w:jc w:val="center"/>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3</w:t>
            </w:r>
          </w:p>
        </w:tc>
      </w:tr>
      <w:tr w:rsidR="002365B2" w:rsidRPr="007C4115" w14:paraId="2713CDBE" w14:textId="77777777" w:rsidTr="00C80BF1">
        <w:trPr>
          <w:jc w:val="center"/>
        </w:trPr>
        <w:tc>
          <w:tcPr>
            <w:tcW w:w="1083" w:type="dxa"/>
          </w:tcPr>
          <w:p w14:paraId="5DBC75F1" w14:textId="0778C80B" w:rsidR="002365B2" w:rsidRPr="007C4115" w:rsidRDefault="002365B2"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w:t>
            </w:r>
          </w:p>
        </w:tc>
        <w:tc>
          <w:tcPr>
            <w:tcW w:w="8483" w:type="dxa"/>
            <w:gridSpan w:val="2"/>
          </w:tcPr>
          <w:p w14:paraId="49218C65" w14:textId="4F49C3AB" w:rsidR="002365B2" w:rsidRPr="007C4115" w:rsidRDefault="002365B2"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Негізгі бөлімі</w:t>
            </w:r>
          </w:p>
        </w:tc>
      </w:tr>
      <w:tr w:rsidR="00C80BF1" w:rsidRPr="007C4115" w14:paraId="5F612FD0" w14:textId="77777777" w:rsidTr="00C80BF1">
        <w:trPr>
          <w:jc w:val="center"/>
        </w:trPr>
        <w:tc>
          <w:tcPr>
            <w:tcW w:w="1083" w:type="dxa"/>
            <w:vMerge w:val="restart"/>
            <w:hideMark/>
          </w:tcPr>
          <w:p w14:paraId="16413F08"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w:t>
            </w:r>
          </w:p>
        </w:tc>
        <w:tc>
          <w:tcPr>
            <w:tcW w:w="4304" w:type="dxa"/>
            <w:hideMark/>
          </w:tcPr>
          <w:p w14:paraId="601BDBE3"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Аудит бағдарламасын ашу</w:t>
            </w:r>
          </w:p>
        </w:tc>
        <w:tc>
          <w:tcPr>
            <w:tcW w:w="4179" w:type="dxa"/>
            <w:vMerge w:val="restart"/>
          </w:tcPr>
          <w:p w14:paraId="27CF8655"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r>
      <w:tr w:rsidR="00C80BF1" w:rsidRPr="00805B3E" w14:paraId="1B18B8F8" w14:textId="77777777" w:rsidTr="00C80BF1">
        <w:trPr>
          <w:jc w:val="center"/>
        </w:trPr>
        <w:tc>
          <w:tcPr>
            <w:tcW w:w="1083" w:type="dxa"/>
            <w:vMerge/>
          </w:tcPr>
          <w:p w14:paraId="2E741C99"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c>
          <w:tcPr>
            <w:tcW w:w="4304" w:type="dxa"/>
            <w:hideMark/>
          </w:tcPr>
          <w:p w14:paraId="3779F1D9" w14:textId="328AD409"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Мемлекеттік аудит жүргізу кезіндегі қолданылатын көрсеткіштер: «Тиімді</w:t>
            </w:r>
            <w:r>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лік» - алынған нәтижелердің оларға же</w:t>
            </w:r>
            <w:r>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ту үшін пайдаланылған ресурстарды ес</w:t>
            </w:r>
            <w:r>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кере отырып жоспарланғанға қатынасы</w:t>
            </w:r>
          </w:p>
        </w:tc>
        <w:tc>
          <w:tcPr>
            <w:tcW w:w="4179" w:type="dxa"/>
            <w:vMerge/>
          </w:tcPr>
          <w:p w14:paraId="5C3FEA9F"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r>
      <w:tr w:rsidR="00C80BF1" w:rsidRPr="00805B3E" w14:paraId="1AEBCA8D" w14:textId="77777777" w:rsidTr="00C80BF1">
        <w:trPr>
          <w:jc w:val="center"/>
        </w:trPr>
        <w:tc>
          <w:tcPr>
            <w:tcW w:w="1083" w:type="dxa"/>
            <w:vMerge/>
          </w:tcPr>
          <w:p w14:paraId="1E7CC874"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c>
          <w:tcPr>
            <w:tcW w:w="4304" w:type="dxa"/>
            <w:hideMark/>
          </w:tcPr>
          <w:p w14:paraId="3422D31F" w14:textId="12F519E4"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Арнайы критерий – АӨК дамытуға бағытталған мемлекетпен қабылдана</w:t>
            </w:r>
            <w:r>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тын шаралар жеткіліктілігі</w:t>
            </w:r>
          </w:p>
        </w:tc>
        <w:tc>
          <w:tcPr>
            <w:tcW w:w="4179" w:type="dxa"/>
            <w:vMerge/>
          </w:tcPr>
          <w:p w14:paraId="370A22F4"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r>
      <w:tr w:rsidR="00C80BF1" w:rsidRPr="007C4115" w14:paraId="7FED3999" w14:textId="77777777" w:rsidTr="00C80BF1">
        <w:trPr>
          <w:jc w:val="center"/>
        </w:trPr>
        <w:tc>
          <w:tcPr>
            <w:tcW w:w="1083" w:type="dxa"/>
            <w:vMerge/>
            <w:tcBorders>
              <w:bottom w:val="single" w:sz="4" w:space="0" w:color="auto"/>
            </w:tcBorders>
          </w:tcPr>
          <w:p w14:paraId="2A2F24AB"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c>
          <w:tcPr>
            <w:tcW w:w="4304" w:type="dxa"/>
            <w:tcBorders>
              <w:top w:val="single" w:sz="4" w:space="0" w:color="auto"/>
              <w:bottom w:val="single" w:sz="4" w:space="0" w:color="auto"/>
            </w:tcBorders>
            <w:hideMark/>
          </w:tcPr>
          <w:p w14:paraId="6D9E790D"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Аудиторлық шаралар сұрақтары</w:t>
            </w:r>
          </w:p>
        </w:tc>
        <w:tc>
          <w:tcPr>
            <w:tcW w:w="4179" w:type="dxa"/>
            <w:vMerge/>
            <w:tcBorders>
              <w:bottom w:val="single" w:sz="4" w:space="0" w:color="auto"/>
            </w:tcBorders>
          </w:tcPr>
          <w:p w14:paraId="7396EC1E" w14:textId="77777777" w:rsidR="00C80BF1" w:rsidRPr="007C4115" w:rsidRDefault="00C80BF1" w:rsidP="002365B2">
            <w:pPr>
              <w:tabs>
                <w:tab w:val="left" w:pos="851"/>
              </w:tabs>
              <w:spacing w:line="228" w:lineRule="auto"/>
              <w:rPr>
                <w:rFonts w:ascii="Times New Roman" w:eastAsiaTheme="minorEastAsia" w:hAnsi="Times New Roman"/>
                <w:kern w:val="36"/>
                <w:sz w:val="24"/>
                <w:szCs w:val="24"/>
                <w:lang w:val="kk-KZ" w:eastAsia="zh-CN"/>
              </w:rPr>
            </w:pPr>
          </w:p>
        </w:tc>
      </w:tr>
      <w:tr w:rsidR="008D2FEB" w:rsidRPr="00805B3E" w14:paraId="510AEBA3"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4AC7A8C7" w14:textId="77777777" w:rsidR="008D2FEB" w:rsidRPr="007C4115" w:rsidRDefault="008D2FEB" w:rsidP="002365B2">
            <w:pPr>
              <w:tabs>
                <w:tab w:val="left" w:pos="851"/>
              </w:tabs>
              <w:spacing w:line="228" w:lineRule="auto"/>
              <w:rPr>
                <w:rFonts w:ascii="Times New Roman" w:eastAsiaTheme="minorEastAsia" w:hAnsi="Times New Roman"/>
                <w:kern w:val="36"/>
                <w:sz w:val="24"/>
                <w:szCs w:val="24"/>
                <w:lang w:eastAsia="zh-CN"/>
              </w:rPr>
            </w:pPr>
            <w:r w:rsidRPr="007C4115">
              <w:rPr>
                <w:rFonts w:ascii="Times New Roman" w:eastAsiaTheme="minorEastAsia" w:hAnsi="Times New Roman"/>
                <w:kern w:val="36"/>
                <w:sz w:val="24"/>
                <w:szCs w:val="24"/>
                <w:lang w:val="kk-KZ" w:eastAsia="zh-CN"/>
              </w:rPr>
              <w:t>2.1.1.</w:t>
            </w:r>
          </w:p>
        </w:tc>
        <w:tc>
          <w:tcPr>
            <w:tcW w:w="4304" w:type="dxa"/>
            <w:tcBorders>
              <w:top w:val="single" w:sz="4" w:space="0" w:color="auto"/>
              <w:left w:val="single" w:sz="4" w:space="0" w:color="auto"/>
              <w:bottom w:val="single" w:sz="4" w:space="0" w:color="auto"/>
              <w:right w:val="single" w:sz="4" w:space="0" w:color="auto"/>
            </w:tcBorders>
            <w:hideMark/>
          </w:tcPr>
          <w:p w14:paraId="68A2C06B" w14:textId="2E53A45D"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ҚР АӨК дамытудың 2017-2021 жыл</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дарға арналған мемлекеттік бағдарла</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масын іске асыру шеңберінде Ауыл ша</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 xml:space="preserve">руашылығын және </w:t>
            </w:r>
            <w:r w:rsidR="00575788">
              <w:rPr>
                <w:rFonts w:ascii="Times New Roman" w:eastAsiaTheme="minorEastAsia" w:hAnsi="Times New Roman"/>
                <w:kern w:val="36"/>
                <w:sz w:val="24"/>
                <w:szCs w:val="24"/>
                <w:lang w:val="kk-KZ" w:eastAsia="zh-CN"/>
              </w:rPr>
              <w:t>АӨК-н</w:t>
            </w:r>
            <w:r w:rsidRPr="007C4115">
              <w:rPr>
                <w:rFonts w:ascii="Times New Roman" w:eastAsiaTheme="minorEastAsia" w:hAnsi="Times New Roman"/>
                <w:kern w:val="36"/>
                <w:sz w:val="24"/>
                <w:szCs w:val="24"/>
                <w:lang w:val="kk-KZ" w:eastAsia="zh-CN"/>
              </w:rPr>
              <w:t xml:space="preserve"> дамытуға бағытталған шаралардың (іс-шаралар</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дың) тиімділігі мен жеткіліктілігін талдау</w:t>
            </w:r>
          </w:p>
        </w:tc>
        <w:tc>
          <w:tcPr>
            <w:tcW w:w="4179" w:type="dxa"/>
            <w:tcBorders>
              <w:top w:val="single" w:sz="4" w:space="0" w:color="auto"/>
              <w:left w:val="single" w:sz="4" w:space="0" w:color="auto"/>
              <w:bottom w:val="single" w:sz="4" w:space="0" w:color="auto"/>
              <w:right w:val="single" w:sz="4" w:space="0" w:color="auto"/>
            </w:tcBorders>
            <w:hideMark/>
          </w:tcPr>
          <w:p w14:paraId="46BCB8D0" w14:textId="77777777"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Орындалуы қиын іс шараларды алып тастау не көрсеткіштерді өзгерту фактілері орын алған</w:t>
            </w:r>
          </w:p>
        </w:tc>
      </w:tr>
      <w:tr w:rsidR="008D2FEB" w:rsidRPr="00805B3E" w14:paraId="1D0758E6"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2AFEB185" w14:textId="77777777"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2.1.2.</w:t>
            </w:r>
          </w:p>
        </w:tc>
        <w:tc>
          <w:tcPr>
            <w:tcW w:w="4304" w:type="dxa"/>
            <w:tcBorders>
              <w:top w:val="single" w:sz="4" w:space="0" w:color="auto"/>
              <w:left w:val="single" w:sz="4" w:space="0" w:color="auto"/>
              <w:bottom w:val="single" w:sz="4" w:space="0" w:color="auto"/>
              <w:right w:val="single" w:sz="4" w:space="0" w:color="auto"/>
            </w:tcBorders>
            <w:hideMark/>
          </w:tcPr>
          <w:p w14:paraId="07ED04FA" w14:textId="69C70D62"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 xml:space="preserve">Мемлекеттік органның ҚР АӨК дамытуды </w:t>
            </w:r>
            <w:r w:rsidR="00054253" w:rsidRPr="007C4115">
              <w:rPr>
                <w:rFonts w:ascii="Times New Roman" w:eastAsiaTheme="minorEastAsia" w:hAnsi="Times New Roman"/>
                <w:kern w:val="36"/>
                <w:sz w:val="24"/>
                <w:szCs w:val="24"/>
                <w:lang w:val="kk-KZ" w:eastAsia="zh-CN"/>
              </w:rPr>
              <w:t>2017-2021 жж. арналған мемлекеттік бағдарламасын іске асыру барысы туралы мониторинг жүргізуін және мемлекеттік бағдарламаны іске асыруға қатысатын мемлекеттік орган</w:t>
            </w:r>
            <w:r w:rsidR="007C4115">
              <w:rPr>
                <w:rFonts w:ascii="Times New Roman" w:eastAsiaTheme="minorEastAsia" w:hAnsi="Times New Roman"/>
                <w:kern w:val="36"/>
                <w:sz w:val="24"/>
                <w:szCs w:val="24"/>
                <w:lang w:val="kk-KZ" w:eastAsia="zh-CN"/>
              </w:rPr>
              <w:t xml:space="preserve"> </w:t>
            </w:r>
            <w:r w:rsidR="00054253" w:rsidRPr="007C4115">
              <w:rPr>
                <w:rFonts w:ascii="Times New Roman" w:eastAsiaTheme="minorEastAsia" w:hAnsi="Times New Roman"/>
                <w:kern w:val="36"/>
                <w:sz w:val="24"/>
                <w:szCs w:val="24"/>
                <w:lang w:val="kk-KZ" w:eastAsia="zh-CN"/>
              </w:rPr>
              <w:t>дардың</w:t>
            </w:r>
            <w:r w:rsidR="007C4115" w:rsidRPr="007C4115">
              <w:rPr>
                <w:rFonts w:ascii="Times New Roman" w:eastAsiaTheme="minorEastAsia" w:hAnsi="Times New Roman"/>
                <w:kern w:val="36"/>
                <w:sz w:val="24"/>
                <w:szCs w:val="24"/>
                <w:lang w:val="kk-KZ" w:eastAsia="zh-CN"/>
              </w:rPr>
              <w:t xml:space="preserve"> ведомствоаралық өзара іс қимылын талдау</w:t>
            </w:r>
          </w:p>
        </w:tc>
        <w:tc>
          <w:tcPr>
            <w:tcW w:w="4179" w:type="dxa"/>
            <w:tcBorders>
              <w:top w:val="single" w:sz="4" w:space="0" w:color="auto"/>
              <w:left w:val="single" w:sz="4" w:space="0" w:color="auto"/>
              <w:bottom w:val="single" w:sz="4" w:space="0" w:color="auto"/>
              <w:right w:val="single" w:sz="4" w:space="0" w:color="auto"/>
            </w:tcBorders>
            <w:hideMark/>
          </w:tcPr>
          <w:p w14:paraId="2AE48D24" w14:textId="1E037B50"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Бағдарламаны бірлесіп орындаушы</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 xml:space="preserve">лар </w:t>
            </w:r>
            <w:r w:rsidR="00054253" w:rsidRPr="007C4115">
              <w:rPr>
                <w:rFonts w:ascii="Times New Roman" w:eastAsiaTheme="minorEastAsia" w:hAnsi="Times New Roman"/>
                <w:kern w:val="36"/>
                <w:sz w:val="24"/>
                <w:szCs w:val="24"/>
                <w:lang w:val="kk-KZ" w:eastAsia="zh-CN"/>
              </w:rPr>
              <w:t>арасындағы өзара байланыс әлсіздігі</w:t>
            </w:r>
          </w:p>
        </w:tc>
      </w:tr>
      <w:tr w:rsidR="008D2FEB" w:rsidRPr="00805B3E" w14:paraId="177077CB"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3DEA3996" w14:textId="77777777"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2.1.3.</w:t>
            </w:r>
          </w:p>
        </w:tc>
        <w:tc>
          <w:tcPr>
            <w:tcW w:w="4304" w:type="dxa"/>
            <w:tcBorders>
              <w:top w:val="single" w:sz="4" w:space="0" w:color="auto"/>
              <w:left w:val="single" w:sz="4" w:space="0" w:color="auto"/>
              <w:bottom w:val="single" w:sz="4" w:space="0" w:color="auto"/>
              <w:right w:val="single" w:sz="4" w:space="0" w:color="auto"/>
            </w:tcBorders>
            <w:hideMark/>
          </w:tcPr>
          <w:p w14:paraId="5DAFF4A6" w14:textId="14595207"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Бюджеттің барлық деңгейлерінде дағ</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дарысқа қарсы шараларды іске асыруға бағытталатын қаражатты жоспарлау мен пайдаланудың негізділігін талдау және тиімділігін бағалау</w:t>
            </w:r>
          </w:p>
        </w:tc>
        <w:tc>
          <w:tcPr>
            <w:tcW w:w="4179" w:type="dxa"/>
            <w:tcBorders>
              <w:top w:val="single" w:sz="4" w:space="0" w:color="auto"/>
              <w:left w:val="single" w:sz="4" w:space="0" w:color="auto"/>
              <w:bottom w:val="single" w:sz="4" w:space="0" w:color="auto"/>
              <w:right w:val="single" w:sz="4" w:space="0" w:color="auto"/>
            </w:tcBorders>
            <w:hideMark/>
          </w:tcPr>
          <w:p w14:paraId="4249773F" w14:textId="6DADD028"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Бюджеттік бағдарлама бойынша қаражат қажеттілігі бойынша жос</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парлау дұрыс болмауы, бюджеттік бағдарламалар бойынша қаражат</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 xml:space="preserve">тарды қайта бөлу </w:t>
            </w:r>
          </w:p>
        </w:tc>
      </w:tr>
      <w:tr w:rsidR="008D2FEB" w:rsidRPr="00805B3E" w14:paraId="3C62D6EB"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50B05A4C" w14:textId="77777777"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2.1.4.</w:t>
            </w:r>
          </w:p>
        </w:tc>
        <w:tc>
          <w:tcPr>
            <w:tcW w:w="4304" w:type="dxa"/>
            <w:tcBorders>
              <w:top w:val="single" w:sz="4" w:space="0" w:color="auto"/>
              <w:left w:val="single" w:sz="4" w:space="0" w:color="auto"/>
              <w:bottom w:val="single" w:sz="4" w:space="0" w:color="auto"/>
              <w:right w:val="single" w:sz="4" w:space="0" w:color="auto"/>
            </w:tcBorders>
            <w:hideMark/>
          </w:tcPr>
          <w:p w14:paraId="1884EE41" w14:textId="470A08B1"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АӨК дамытудың 2017-2021 жж. арнал</w:t>
            </w:r>
            <w:r w:rsidR="002365B2">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ған мемлекеттік бағдарламасын іске асыру шеңберінде АӨК субъектілерін субсидиялау, несиелеу тетігінің тиімділігін бағалау</w:t>
            </w:r>
          </w:p>
        </w:tc>
        <w:tc>
          <w:tcPr>
            <w:tcW w:w="4179" w:type="dxa"/>
            <w:tcBorders>
              <w:top w:val="single" w:sz="4" w:space="0" w:color="auto"/>
              <w:left w:val="single" w:sz="4" w:space="0" w:color="auto"/>
              <w:bottom w:val="single" w:sz="4" w:space="0" w:color="auto"/>
              <w:right w:val="single" w:sz="4" w:space="0" w:color="auto"/>
            </w:tcBorders>
            <w:hideMark/>
          </w:tcPr>
          <w:p w14:paraId="3EB4E285" w14:textId="34F7F9FC"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Субсидия алушылардың міндеттеме нысаны бекітілмеген, Министрлік та</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рапынан субсидия нәтижелігі бойын</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ша мониторинг жүргізілмеуі, субси</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 xml:space="preserve">дия беру жүйесінің балансталмауы </w:t>
            </w:r>
          </w:p>
        </w:tc>
      </w:tr>
      <w:tr w:rsidR="008D2FEB" w:rsidRPr="00805B3E" w14:paraId="6CCED801"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36DBBD9A" w14:textId="77777777"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2.1.5.</w:t>
            </w:r>
          </w:p>
        </w:tc>
        <w:tc>
          <w:tcPr>
            <w:tcW w:w="4304" w:type="dxa"/>
            <w:tcBorders>
              <w:top w:val="single" w:sz="4" w:space="0" w:color="auto"/>
              <w:left w:val="single" w:sz="4" w:space="0" w:color="auto"/>
              <w:bottom w:val="single" w:sz="4" w:space="0" w:color="auto"/>
              <w:right w:val="single" w:sz="4" w:space="0" w:color="auto"/>
            </w:tcBorders>
            <w:hideMark/>
          </w:tcPr>
          <w:p w14:paraId="27059AAF" w14:textId="60C6EED5" w:rsidR="008D2FEB" w:rsidRPr="007C4115" w:rsidRDefault="008D2FEB"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ҚР АӨК дамытудың 2017-2021 жж. арналған бағдарламасын іске асыру туралы, мақсаттары, күтілетін нәтижелері мен іс-шаралары туралы халықты мемлекеттік органмен хабар</w:t>
            </w:r>
            <w:r w:rsidR="002365B2">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дар етуі</w:t>
            </w:r>
          </w:p>
        </w:tc>
        <w:tc>
          <w:tcPr>
            <w:tcW w:w="4179" w:type="dxa"/>
            <w:tcBorders>
              <w:top w:val="single" w:sz="4" w:space="0" w:color="auto"/>
              <w:left w:val="single" w:sz="4" w:space="0" w:color="auto"/>
              <w:bottom w:val="single" w:sz="4" w:space="0" w:color="auto"/>
              <w:right w:val="single" w:sz="4" w:space="0" w:color="auto"/>
            </w:tcBorders>
            <w:hideMark/>
          </w:tcPr>
          <w:p w14:paraId="1D0BE7F8" w14:textId="4AC54243" w:rsidR="008D2FEB" w:rsidRPr="002365B2" w:rsidRDefault="008D2FEB" w:rsidP="002365B2">
            <w:pPr>
              <w:tabs>
                <w:tab w:val="left" w:pos="851"/>
              </w:tabs>
              <w:spacing w:line="228" w:lineRule="auto"/>
              <w:rPr>
                <w:rFonts w:ascii="Times New Roman" w:eastAsiaTheme="minorEastAsia" w:hAnsi="Times New Roman"/>
                <w:spacing w:val="-4"/>
                <w:kern w:val="36"/>
                <w:sz w:val="24"/>
                <w:szCs w:val="24"/>
                <w:lang w:val="kk-KZ" w:eastAsia="zh-CN"/>
              </w:rPr>
            </w:pPr>
            <w:r w:rsidRPr="002365B2">
              <w:rPr>
                <w:rFonts w:ascii="Times New Roman" w:eastAsiaTheme="minorEastAsia" w:hAnsi="Times New Roman"/>
                <w:spacing w:val="-4"/>
                <w:kern w:val="36"/>
                <w:sz w:val="24"/>
                <w:szCs w:val="24"/>
                <w:lang w:val="kk-KZ" w:eastAsia="zh-CN"/>
              </w:rPr>
              <w:t>Тұрғындарды іске асырылатын бағдар</w:t>
            </w:r>
            <w:r w:rsidR="002365B2">
              <w:rPr>
                <w:rFonts w:ascii="Times New Roman" w:eastAsiaTheme="minorEastAsia" w:hAnsi="Times New Roman"/>
                <w:spacing w:val="-4"/>
                <w:kern w:val="36"/>
                <w:sz w:val="24"/>
                <w:szCs w:val="24"/>
                <w:lang w:val="kk-KZ" w:eastAsia="zh-CN"/>
              </w:rPr>
              <w:t xml:space="preserve"> </w:t>
            </w:r>
            <w:r w:rsidRPr="002365B2">
              <w:rPr>
                <w:rFonts w:ascii="Times New Roman" w:eastAsiaTheme="minorEastAsia" w:hAnsi="Times New Roman"/>
                <w:spacing w:val="-4"/>
                <w:kern w:val="36"/>
                <w:sz w:val="24"/>
                <w:szCs w:val="24"/>
                <w:lang w:val="kk-KZ" w:eastAsia="zh-CN"/>
              </w:rPr>
              <w:t>лама туралы ақпараттандыру бойынша бюджет қаражатын қысқарту, хабар жасау, ток-шоу өткізу мерзімдерінің сақталмауы, тапсырыс бойынша талаптарға сәйкес келмеу фактілері</w:t>
            </w:r>
          </w:p>
        </w:tc>
      </w:tr>
      <w:tr w:rsidR="00785E14" w:rsidRPr="00805B3E" w14:paraId="78CAC9F1" w14:textId="77777777" w:rsidTr="00C80BF1">
        <w:trPr>
          <w:jc w:val="center"/>
        </w:trPr>
        <w:tc>
          <w:tcPr>
            <w:tcW w:w="1083" w:type="dxa"/>
            <w:tcBorders>
              <w:top w:val="single" w:sz="4" w:space="0" w:color="auto"/>
              <w:left w:val="single" w:sz="4" w:space="0" w:color="auto"/>
              <w:bottom w:val="nil"/>
              <w:right w:val="single" w:sz="4" w:space="0" w:color="auto"/>
            </w:tcBorders>
          </w:tcPr>
          <w:p w14:paraId="36C28321" w14:textId="47A99732" w:rsidR="00785E14" w:rsidRPr="007C4115" w:rsidRDefault="00785E14" w:rsidP="002365B2">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2.1.6.</w:t>
            </w:r>
          </w:p>
        </w:tc>
        <w:tc>
          <w:tcPr>
            <w:tcW w:w="4304" w:type="dxa"/>
            <w:tcBorders>
              <w:top w:val="single" w:sz="4" w:space="0" w:color="auto"/>
              <w:left w:val="single" w:sz="4" w:space="0" w:color="auto"/>
              <w:bottom w:val="nil"/>
              <w:right w:val="single" w:sz="4" w:space="0" w:color="auto"/>
            </w:tcBorders>
          </w:tcPr>
          <w:p w14:paraId="5F2D5770" w14:textId="0650F3F0" w:rsidR="00785E14" w:rsidRPr="007C4115" w:rsidRDefault="00785E14" w:rsidP="00C80BF1">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 xml:space="preserve">Мемлекеттік бағдарлама мазмұнының жоғары тұрған стратегиялық және </w:t>
            </w:r>
            <w:r w:rsidR="00363D44" w:rsidRPr="007C4115">
              <w:rPr>
                <w:rFonts w:ascii="Times New Roman" w:eastAsiaTheme="minorEastAsia" w:hAnsi="Times New Roman"/>
                <w:kern w:val="36"/>
                <w:sz w:val="24"/>
                <w:szCs w:val="24"/>
                <w:lang w:val="kk-KZ" w:eastAsia="zh-CN"/>
              </w:rPr>
              <w:t>басқа да мемлекеттік бағдарламаларға қойылған мақсаттарға, міндеттерге, құ</w:t>
            </w:r>
            <w:r w:rsidR="00363D44">
              <w:rPr>
                <w:rFonts w:ascii="Times New Roman" w:eastAsiaTheme="minorEastAsia" w:hAnsi="Times New Roman"/>
                <w:kern w:val="36"/>
                <w:sz w:val="24"/>
                <w:szCs w:val="24"/>
                <w:lang w:val="kk-KZ" w:eastAsia="zh-CN"/>
              </w:rPr>
              <w:t xml:space="preserve"> </w:t>
            </w:r>
            <w:r w:rsidR="00363D44" w:rsidRPr="007C4115">
              <w:rPr>
                <w:rFonts w:ascii="Times New Roman" w:eastAsiaTheme="minorEastAsia" w:hAnsi="Times New Roman"/>
                <w:kern w:val="36"/>
                <w:sz w:val="24"/>
                <w:szCs w:val="24"/>
                <w:lang w:val="kk-KZ" w:eastAsia="zh-CN"/>
              </w:rPr>
              <w:t>жаттарға, сондай-ақ бюджеттік бағдар</w:t>
            </w:r>
            <w:r w:rsidR="00363D44">
              <w:rPr>
                <w:rFonts w:ascii="Times New Roman" w:eastAsiaTheme="minorEastAsia" w:hAnsi="Times New Roman"/>
                <w:kern w:val="36"/>
                <w:sz w:val="24"/>
                <w:szCs w:val="24"/>
                <w:lang w:val="kk-KZ" w:eastAsia="zh-CN"/>
              </w:rPr>
              <w:t xml:space="preserve"> </w:t>
            </w:r>
            <w:r w:rsidR="00363D44" w:rsidRPr="007C4115">
              <w:rPr>
                <w:rFonts w:ascii="Times New Roman" w:eastAsiaTheme="minorEastAsia" w:hAnsi="Times New Roman"/>
                <w:kern w:val="36"/>
                <w:sz w:val="24"/>
                <w:szCs w:val="24"/>
                <w:lang w:val="kk-KZ" w:eastAsia="zh-CN"/>
              </w:rPr>
              <w:t>ламалар нәтижелерінің көрсеткіште ріне сәйкестігін талдау</w:t>
            </w:r>
          </w:p>
        </w:tc>
        <w:tc>
          <w:tcPr>
            <w:tcW w:w="4179" w:type="dxa"/>
            <w:tcBorders>
              <w:top w:val="single" w:sz="4" w:space="0" w:color="auto"/>
              <w:left w:val="single" w:sz="4" w:space="0" w:color="auto"/>
              <w:bottom w:val="nil"/>
              <w:right w:val="single" w:sz="4" w:space="0" w:color="auto"/>
            </w:tcBorders>
          </w:tcPr>
          <w:p w14:paraId="69804458" w14:textId="6FD48AEE" w:rsidR="00785E14" w:rsidRPr="007C4115" w:rsidRDefault="00785E14" w:rsidP="00C80BF1">
            <w:pPr>
              <w:tabs>
                <w:tab w:val="left" w:pos="851"/>
              </w:tabs>
              <w:spacing w:line="228" w:lineRule="auto"/>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Мемлекеттік бағдарлама мазмұны жоғары тұрған стратегиялық құжат</w:t>
            </w:r>
            <w:r w:rsidR="007C4115">
              <w:rPr>
                <w:rFonts w:ascii="Times New Roman" w:eastAsiaTheme="minorEastAsia" w:hAnsi="Times New Roman"/>
                <w:kern w:val="36"/>
                <w:sz w:val="24"/>
                <w:szCs w:val="24"/>
                <w:lang w:val="kk-KZ" w:eastAsia="zh-CN"/>
              </w:rPr>
              <w:t xml:space="preserve"> </w:t>
            </w:r>
            <w:r w:rsidR="00363D44" w:rsidRPr="007C4115">
              <w:rPr>
                <w:rFonts w:ascii="Times New Roman" w:eastAsiaTheme="minorEastAsia" w:hAnsi="Times New Roman"/>
                <w:kern w:val="36"/>
                <w:sz w:val="24"/>
                <w:szCs w:val="24"/>
                <w:lang w:val="kk-KZ" w:eastAsia="zh-CN"/>
              </w:rPr>
              <w:t>тарда анықталған мақсаттарға іске асырылатын іс-шаралар сәйкес келмеу фактілері</w:t>
            </w:r>
          </w:p>
        </w:tc>
      </w:tr>
      <w:tr w:rsidR="002365B2" w:rsidRPr="007C4115" w14:paraId="07CB48BC" w14:textId="77777777" w:rsidTr="00C80BF1">
        <w:trPr>
          <w:jc w:val="center"/>
        </w:trPr>
        <w:tc>
          <w:tcPr>
            <w:tcW w:w="9566" w:type="dxa"/>
            <w:gridSpan w:val="3"/>
            <w:tcBorders>
              <w:top w:val="nil"/>
              <w:left w:val="nil"/>
              <w:bottom w:val="single" w:sz="4" w:space="0" w:color="auto"/>
              <w:right w:val="nil"/>
            </w:tcBorders>
          </w:tcPr>
          <w:p w14:paraId="280A37EB" w14:textId="02A47BAC" w:rsidR="002365B2" w:rsidRPr="002365B2" w:rsidRDefault="002365B2" w:rsidP="002365B2">
            <w:pPr>
              <w:tabs>
                <w:tab w:val="left" w:pos="851"/>
              </w:tabs>
              <w:ind w:hanging="125"/>
              <w:rPr>
                <w:rFonts w:ascii="Times New Roman" w:eastAsiaTheme="minorEastAsia" w:hAnsi="Times New Roman"/>
                <w:kern w:val="36"/>
                <w:sz w:val="28"/>
                <w:szCs w:val="28"/>
                <w:lang w:val="kk-KZ" w:eastAsia="zh-CN"/>
              </w:rPr>
            </w:pPr>
            <w:r w:rsidRPr="002365B2">
              <w:rPr>
                <w:rFonts w:ascii="Times New Roman" w:eastAsiaTheme="minorEastAsia" w:hAnsi="Times New Roman"/>
                <w:kern w:val="36"/>
                <w:sz w:val="28"/>
                <w:szCs w:val="28"/>
                <w:lang w:val="kk-KZ" w:eastAsia="zh-CN"/>
              </w:rPr>
              <w:t>2</w:t>
            </w:r>
            <w:r w:rsidR="007F5D1B">
              <w:rPr>
                <w:rFonts w:ascii="Times New Roman" w:eastAsiaTheme="minorEastAsia" w:hAnsi="Times New Roman"/>
                <w:kern w:val="36"/>
                <w:sz w:val="28"/>
                <w:szCs w:val="28"/>
                <w:lang w:val="kk-KZ" w:eastAsia="zh-CN"/>
              </w:rPr>
              <w:t>7</w:t>
            </w:r>
            <w:r w:rsidRPr="002365B2">
              <w:rPr>
                <w:rFonts w:ascii="Times New Roman" w:eastAsiaTheme="minorEastAsia" w:hAnsi="Times New Roman"/>
                <w:kern w:val="36"/>
                <w:sz w:val="28"/>
                <w:szCs w:val="28"/>
                <w:lang w:val="kk-KZ" w:eastAsia="zh-CN"/>
              </w:rPr>
              <w:t>-кестенің жалғасы</w:t>
            </w:r>
          </w:p>
          <w:p w14:paraId="7C2DE586" w14:textId="77777777" w:rsidR="002365B2" w:rsidRPr="002365B2" w:rsidRDefault="002365B2" w:rsidP="002365B2">
            <w:pPr>
              <w:tabs>
                <w:tab w:val="left" w:pos="851"/>
              </w:tabs>
              <w:ind w:hanging="125"/>
              <w:rPr>
                <w:rFonts w:ascii="Times New Roman" w:eastAsiaTheme="minorEastAsia" w:hAnsi="Times New Roman"/>
                <w:kern w:val="36"/>
                <w:sz w:val="16"/>
                <w:szCs w:val="16"/>
                <w:lang w:val="kk-KZ" w:eastAsia="zh-CN"/>
              </w:rPr>
            </w:pPr>
          </w:p>
        </w:tc>
      </w:tr>
      <w:tr w:rsidR="002365B2" w:rsidRPr="007C4115" w14:paraId="1CB011B9"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tcPr>
          <w:p w14:paraId="140A708E" w14:textId="29A49A82" w:rsidR="002365B2" w:rsidRPr="007C4115" w:rsidRDefault="002365B2" w:rsidP="002365B2">
            <w:pPr>
              <w:tabs>
                <w:tab w:val="left" w:pos="851"/>
              </w:tabs>
              <w:jc w:val="center"/>
              <w:rPr>
                <w:rFonts w:ascii="Times New Roman" w:eastAsiaTheme="minorEastAsia" w:hAnsi="Times New Roman"/>
                <w:kern w:val="36"/>
                <w:sz w:val="24"/>
                <w:szCs w:val="24"/>
                <w:lang w:val="kk-KZ" w:eastAsia="zh-CN"/>
              </w:rPr>
            </w:pPr>
            <w:r>
              <w:rPr>
                <w:rFonts w:ascii="Times New Roman" w:eastAsiaTheme="minorEastAsia" w:hAnsi="Times New Roman"/>
                <w:kern w:val="36"/>
                <w:sz w:val="24"/>
                <w:szCs w:val="24"/>
                <w:lang w:val="kk-KZ" w:eastAsia="zh-CN"/>
              </w:rPr>
              <w:t>1</w:t>
            </w:r>
          </w:p>
        </w:tc>
        <w:tc>
          <w:tcPr>
            <w:tcW w:w="4304" w:type="dxa"/>
            <w:tcBorders>
              <w:top w:val="single" w:sz="4" w:space="0" w:color="auto"/>
              <w:left w:val="single" w:sz="4" w:space="0" w:color="auto"/>
              <w:bottom w:val="single" w:sz="4" w:space="0" w:color="auto"/>
              <w:right w:val="single" w:sz="4" w:space="0" w:color="auto"/>
            </w:tcBorders>
          </w:tcPr>
          <w:p w14:paraId="6F8CB3D3" w14:textId="2AC83ED3" w:rsidR="002365B2" w:rsidRPr="007C4115" w:rsidRDefault="002365B2" w:rsidP="002365B2">
            <w:pPr>
              <w:tabs>
                <w:tab w:val="left" w:pos="851"/>
              </w:tabs>
              <w:jc w:val="center"/>
              <w:rPr>
                <w:rFonts w:ascii="Times New Roman" w:eastAsiaTheme="minorEastAsia" w:hAnsi="Times New Roman"/>
                <w:kern w:val="36"/>
                <w:sz w:val="24"/>
                <w:szCs w:val="24"/>
                <w:lang w:val="kk-KZ" w:eastAsia="zh-CN"/>
              </w:rPr>
            </w:pPr>
            <w:r>
              <w:rPr>
                <w:rFonts w:ascii="Times New Roman" w:eastAsiaTheme="minorEastAsia" w:hAnsi="Times New Roman"/>
                <w:kern w:val="36"/>
                <w:sz w:val="24"/>
                <w:szCs w:val="24"/>
                <w:lang w:val="kk-KZ" w:eastAsia="zh-CN"/>
              </w:rPr>
              <w:t>2</w:t>
            </w:r>
          </w:p>
        </w:tc>
        <w:tc>
          <w:tcPr>
            <w:tcW w:w="4179" w:type="dxa"/>
            <w:tcBorders>
              <w:top w:val="single" w:sz="4" w:space="0" w:color="auto"/>
              <w:left w:val="single" w:sz="4" w:space="0" w:color="auto"/>
              <w:bottom w:val="single" w:sz="4" w:space="0" w:color="auto"/>
              <w:right w:val="single" w:sz="4" w:space="0" w:color="auto"/>
            </w:tcBorders>
          </w:tcPr>
          <w:p w14:paraId="03DBA75B" w14:textId="5F1EF712" w:rsidR="002365B2" w:rsidRPr="007C4115" w:rsidRDefault="002365B2" w:rsidP="002365B2">
            <w:pPr>
              <w:tabs>
                <w:tab w:val="left" w:pos="851"/>
              </w:tabs>
              <w:jc w:val="center"/>
              <w:rPr>
                <w:rFonts w:ascii="Times New Roman" w:eastAsiaTheme="minorEastAsia" w:hAnsi="Times New Roman"/>
                <w:kern w:val="36"/>
                <w:sz w:val="24"/>
                <w:szCs w:val="24"/>
                <w:lang w:val="kk-KZ" w:eastAsia="zh-CN"/>
              </w:rPr>
            </w:pPr>
            <w:r>
              <w:rPr>
                <w:rFonts w:ascii="Times New Roman" w:eastAsiaTheme="minorEastAsia" w:hAnsi="Times New Roman"/>
                <w:kern w:val="36"/>
                <w:sz w:val="24"/>
                <w:szCs w:val="24"/>
                <w:lang w:val="kk-KZ" w:eastAsia="zh-CN"/>
              </w:rPr>
              <w:t>3</w:t>
            </w:r>
          </w:p>
        </w:tc>
      </w:tr>
      <w:tr w:rsidR="008D2FEB" w:rsidRPr="00805B3E" w14:paraId="58D50299"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1B9CB2E6" w14:textId="77777777"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2.1.7.</w:t>
            </w:r>
          </w:p>
        </w:tc>
        <w:tc>
          <w:tcPr>
            <w:tcW w:w="4304" w:type="dxa"/>
            <w:tcBorders>
              <w:top w:val="single" w:sz="4" w:space="0" w:color="auto"/>
              <w:left w:val="single" w:sz="4" w:space="0" w:color="auto"/>
              <w:bottom w:val="single" w:sz="4" w:space="0" w:color="auto"/>
              <w:right w:val="single" w:sz="4" w:space="0" w:color="auto"/>
            </w:tcBorders>
            <w:hideMark/>
          </w:tcPr>
          <w:p w14:paraId="6587DE52" w14:textId="6C0B4590"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ҚР АӨК дамытуды 2017-2021 жж. арналған бағдарламасын іске асыру жөніндегі іс-шаралар жоспарының сәйкестігін айқындай отырып, оның мақсатына, нысаналы индикато</w:t>
            </w:r>
            <w:r w:rsidR="00C83FCC">
              <w:rPr>
                <w:rFonts w:ascii="Times New Roman" w:eastAsiaTheme="minorEastAsia" w:hAnsi="Times New Roman"/>
                <w:kern w:val="36"/>
                <w:sz w:val="24"/>
                <w:szCs w:val="24"/>
                <w:lang w:val="kk-KZ" w:eastAsia="zh-CN"/>
              </w:rPr>
              <w:t>р</w:t>
            </w:r>
            <w:r w:rsidRPr="007C4115">
              <w:rPr>
                <w:rFonts w:ascii="Times New Roman" w:eastAsiaTheme="minorEastAsia" w:hAnsi="Times New Roman"/>
                <w:kern w:val="36"/>
                <w:sz w:val="24"/>
                <w:szCs w:val="24"/>
                <w:lang w:val="kk-KZ" w:eastAsia="zh-CN"/>
              </w:rPr>
              <w:t>лар</w:t>
            </w:r>
            <w:r w:rsidR="00C83FCC">
              <w:rPr>
                <w:rFonts w:ascii="Times New Roman" w:eastAsiaTheme="minorEastAsia" w:hAnsi="Times New Roman"/>
                <w:kern w:val="36"/>
                <w:sz w:val="24"/>
                <w:szCs w:val="24"/>
                <w:lang w:val="kk-KZ" w:eastAsia="zh-CN"/>
              </w:rPr>
              <w:t xml:space="preserve">ы </w:t>
            </w:r>
            <w:r w:rsidRPr="007C4115">
              <w:rPr>
                <w:rFonts w:ascii="Times New Roman" w:eastAsiaTheme="minorEastAsia" w:hAnsi="Times New Roman"/>
                <w:kern w:val="36"/>
                <w:sz w:val="24"/>
                <w:szCs w:val="24"/>
                <w:lang w:val="kk-KZ" w:eastAsia="zh-CN"/>
              </w:rPr>
              <w:t xml:space="preserve">на, міндеттеріне, көрсеткіштеріне қол жеткізуді, не қол жеткізбеу себептерін (олар орын алған кезде) талдау </w:t>
            </w:r>
          </w:p>
        </w:tc>
        <w:tc>
          <w:tcPr>
            <w:tcW w:w="4179" w:type="dxa"/>
            <w:tcBorders>
              <w:top w:val="single" w:sz="4" w:space="0" w:color="auto"/>
              <w:left w:val="single" w:sz="4" w:space="0" w:color="auto"/>
              <w:bottom w:val="single" w:sz="4" w:space="0" w:color="auto"/>
              <w:right w:val="single" w:sz="4" w:space="0" w:color="auto"/>
            </w:tcBorders>
            <w:hideMark/>
          </w:tcPr>
          <w:p w14:paraId="2868D58B" w14:textId="3AF0244B"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Мемлекеттік аудит нәтижелері Бағ</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дарламада қойылған нысаналы инди</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каторлар, міндеттер, нәтиже көрсет</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 xml:space="preserve">кіштері толығымен орындалмаған, ал бюджет қаражаты толық игерілген </w:t>
            </w:r>
          </w:p>
        </w:tc>
      </w:tr>
      <w:tr w:rsidR="008D2FEB" w:rsidRPr="00805B3E" w14:paraId="1E65490D"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7ED17DE5" w14:textId="77777777"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2.1.8.</w:t>
            </w:r>
          </w:p>
        </w:tc>
        <w:tc>
          <w:tcPr>
            <w:tcW w:w="4304" w:type="dxa"/>
            <w:tcBorders>
              <w:top w:val="single" w:sz="4" w:space="0" w:color="auto"/>
              <w:left w:val="single" w:sz="4" w:space="0" w:color="auto"/>
              <w:bottom w:val="single" w:sz="4" w:space="0" w:color="auto"/>
              <w:right w:val="single" w:sz="4" w:space="0" w:color="auto"/>
            </w:tcBorders>
            <w:hideMark/>
          </w:tcPr>
          <w:p w14:paraId="45D7C3FC" w14:textId="55B7498B"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Бюджеттік бағдарламаларды іске асы</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руға бөлінген республикалық бюджет қаражатын пайдаланудың бюджеттік шығыстарды жүзеге асыруды регла</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менттейтін қолданыстағы заңнаманың талаптарына сәйкестігі</w:t>
            </w:r>
          </w:p>
        </w:tc>
        <w:tc>
          <w:tcPr>
            <w:tcW w:w="4179" w:type="dxa"/>
            <w:vMerge w:val="restart"/>
            <w:tcBorders>
              <w:top w:val="single" w:sz="4" w:space="0" w:color="auto"/>
              <w:left w:val="single" w:sz="4" w:space="0" w:color="auto"/>
              <w:bottom w:val="single" w:sz="4" w:space="0" w:color="auto"/>
              <w:right w:val="single" w:sz="4" w:space="0" w:color="auto"/>
            </w:tcBorders>
            <w:hideMark/>
          </w:tcPr>
          <w:p w14:paraId="018675E3" w14:textId="5EB02D97"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Бюджеттік өтінімге яғни</w:t>
            </w:r>
            <w:r w:rsidR="00C566CC" w:rsidRPr="007C4115">
              <w:rPr>
                <w:rFonts w:ascii="Times New Roman" w:eastAsiaTheme="minorEastAsia" w:hAnsi="Times New Roman"/>
                <w:kern w:val="36"/>
                <w:sz w:val="24"/>
                <w:szCs w:val="24"/>
                <w:lang w:val="kk-KZ" w:eastAsia="zh-CN"/>
              </w:rPr>
              <w:t>,</w:t>
            </w:r>
            <w:r w:rsidRPr="007C4115">
              <w:rPr>
                <w:rFonts w:ascii="Times New Roman" w:eastAsiaTheme="minorEastAsia" w:hAnsi="Times New Roman"/>
                <w:kern w:val="36"/>
                <w:sz w:val="24"/>
                <w:szCs w:val="24"/>
                <w:lang w:val="kk-KZ" w:eastAsia="zh-CN"/>
              </w:rPr>
              <w:t xml:space="preserve"> қаржы</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ландыру көлеміне қажеттілігін негіз</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деуге бюджет жобалары келтіріл</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меген, жоғары және төмен тұрған бюджет өзара келісілмеуі, дер кезінде өзгерістер енгізілмеуі</w:t>
            </w:r>
          </w:p>
        </w:tc>
      </w:tr>
      <w:tr w:rsidR="008D2FEB" w:rsidRPr="00805B3E" w14:paraId="09CE210B"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2EB04B6C" w14:textId="77777777"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2.1.8.1.</w:t>
            </w:r>
          </w:p>
        </w:tc>
        <w:tc>
          <w:tcPr>
            <w:tcW w:w="4304" w:type="dxa"/>
            <w:tcBorders>
              <w:top w:val="single" w:sz="4" w:space="0" w:color="auto"/>
              <w:left w:val="single" w:sz="4" w:space="0" w:color="auto"/>
              <w:bottom w:val="single" w:sz="4" w:space="0" w:color="auto"/>
              <w:right w:val="single" w:sz="4" w:space="0" w:color="auto"/>
            </w:tcBorders>
            <w:hideMark/>
          </w:tcPr>
          <w:p w14:paraId="3C4A2917" w14:textId="27D1D2DF"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Бюджеттік өтінімді жасау және ұсыну тәртібінің сақталуы және қаржылан</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 xml:space="preserve">дыру көлеміне қажеттіліктің негізділігі </w:t>
            </w:r>
          </w:p>
        </w:tc>
        <w:tc>
          <w:tcPr>
            <w:tcW w:w="4179" w:type="dxa"/>
            <w:vMerge/>
            <w:tcBorders>
              <w:top w:val="single" w:sz="4" w:space="0" w:color="auto"/>
              <w:left w:val="single" w:sz="4" w:space="0" w:color="auto"/>
              <w:bottom w:val="single" w:sz="4" w:space="0" w:color="auto"/>
              <w:right w:val="single" w:sz="4" w:space="0" w:color="auto"/>
            </w:tcBorders>
            <w:vAlign w:val="center"/>
            <w:hideMark/>
          </w:tcPr>
          <w:p w14:paraId="0417380E" w14:textId="77777777" w:rsidR="008D2FEB" w:rsidRPr="007C4115" w:rsidRDefault="008D2FEB" w:rsidP="00457CE9">
            <w:pPr>
              <w:rPr>
                <w:rFonts w:ascii="Times New Roman" w:eastAsiaTheme="minorEastAsia" w:hAnsi="Times New Roman"/>
                <w:kern w:val="36"/>
                <w:sz w:val="24"/>
                <w:szCs w:val="24"/>
                <w:lang w:val="kk-KZ" w:eastAsia="zh-CN"/>
              </w:rPr>
            </w:pPr>
          </w:p>
        </w:tc>
      </w:tr>
      <w:tr w:rsidR="008D2FEB" w:rsidRPr="00805B3E" w14:paraId="34CE8DEB"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43D66010" w14:textId="77777777"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2.1.8.2.</w:t>
            </w:r>
          </w:p>
        </w:tc>
        <w:tc>
          <w:tcPr>
            <w:tcW w:w="4304" w:type="dxa"/>
            <w:tcBorders>
              <w:top w:val="single" w:sz="4" w:space="0" w:color="auto"/>
              <w:left w:val="single" w:sz="4" w:space="0" w:color="auto"/>
              <w:bottom w:val="single" w:sz="4" w:space="0" w:color="auto"/>
              <w:right w:val="single" w:sz="4" w:space="0" w:color="auto"/>
            </w:tcBorders>
            <w:hideMark/>
          </w:tcPr>
          <w:p w14:paraId="12302114" w14:textId="14E712EF"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Бюджеттік бағдарламалардың (аудит</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пен қамтылған бюджеттік бағдарла</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малар) тікелей және түпкілікті нәтиже</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леріне қол жеткізуі, қол жет</w:t>
            </w:r>
            <w:r w:rsidR="007C4115">
              <w:rPr>
                <w:rFonts w:ascii="Times New Roman" w:eastAsiaTheme="minorEastAsia" w:hAnsi="Times New Roman"/>
                <w:kern w:val="36"/>
                <w:sz w:val="24"/>
                <w:szCs w:val="24"/>
                <w:lang w:val="kk-KZ" w:eastAsia="zh-CN"/>
              </w:rPr>
              <w:t>кізілмеген немесе толық көлемде</w:t>
            </w:r>
            <w:r w:rsidRPr="007C4115">
              <w:rPr>
                <w:rFonts w:ascii="Times New Roman" w:eastAsiaTheme="minorEastAsia" w:hAnsi="Times New Roman"/>
                <w:kern w:val="36"/>
                <w:sz w:val="24"/>
                <w:szCs w:val="24"/>
                <w:lang w:val="kk-KZ" w:eastAsia="zh-CN"/>
              </w:rPr>
              <w:t xml:space="preserve"> қол жеткізіл</w:t>
            </w:r>
            <w:r w:rsidR="007C4115">
              <w:rPr>
                <w:rFonts w:ascii="Times New Roman" w:eastAsiaTheme="minorEastAsia" w:hAnsi="Times New Roman"/>
                <w:kern w:val="36"/>
                <w:sz w:val="24"/>
                <w:szCs w:val="24"/>
                <w:lang w:val="kk-KZ" w:eastAsia="zh-CN"/>
              </w:rPr>
              <w:t xml:space="preserve"> </w:t>
            </w:r>
            <w:r w:rsidRPr="007C4115">
              <w:rPr>
                <w:rFonts w:ascii="Times New Roman" w:eastAsiaTheme="minorEastAsia" w:hAnsi="Times New Roman"/>
                <w:kern w:val="36"/>
                <w:sz w:val="24"/>
                <w:szCs w:val="24"/>
                <w:lang w:val="kk-KZ" w:eastAsia="zh-CN"/>
              </w:rPr>
              <w:t>меген жағдайларда олардың себептерін талдау</w:t>
            </w:r>
          </w:p>
        </w:tc>
        <w:tc>
          <w:tcPr>
            <w:tcW w:w="4179" w:type="dxa"/>
            <w:tcBorders>
              <w:top w:val="single" w:sz="4" w:space="0" w:color="auto"/>
              <w:left w:val="single" w:sz="4" w:space="0" w:color="auto"/>
              <w:bottom w:val="single" w:sz="4" w:space="0" w:color="auto"/>
              <w:right w:val="single" w:sz="4" w:space="0" w:color="auto"/>
            </w:tcBorders>
            <w:hideMark/>
          </w:tcPr>
          <w:p w14:paraId="5B71B8E2" w14:textId="77777777" w:rsidR="008D2FEB" w:rsidRPr="007C4115" w:rsidRDefault="008D2FEB" w:rsidP="00457CE9">
            <w:pPr>
              <w:tabs>
                <w:tab w:val="left" w:pos="851"/>
              </w:tabs>
              <w:rPr>
                <w:rFonts w:ascii="Times New Roman" w:eastAsiaTheme="minorEastAsia" w:hAnsi="Times New Roman"/>
                <w:kern w:val="36"/>
                <w:sz w:val="24"/>
                <w:szCs w:val="24"/>
                <w:lang w:val="kk-KZ" w:eastAsia="zh-CN"/>
              </w:rPr>
            </w:pPr>
            <w:r w:rsidRPr="007C4115">
              <w:rPr>
                <w:rFonts w:ascii="Times New Roman" w:eastAsiaTheme="minorEastAsia" w:hAnsi="Times New Roman"/>
                <w:kern w:val="36"/>
                <w:sz w:val="24"/>
                <w:szCs w:val="24"/>
                <w:lang w:val="kk-KZ" w:eastAsia="zh-CN"/>
              </w:rPr>
              <w:t>Бағдарламаны іске асыру кезеңінде жоспарлы тікелей және түпкілікті көрсеткіштер деңгейде толық орындалмаған, оның себебі дұрыс жоспарланбауы, табиғи климаттық жағдайлар, қаржы қысқаруы, тартылған қаржы уақытында түспеуі</w:t>
            </w:r>
          </w:p>
        </w:tc>
      </w:tr>
      <w:tr w:rsidR="008D2FEB" w:rsidRPr="00805B3E" w14:paraId="3490D23B"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hideMark/>
          </w:tcPr>
          <w:p w14:paraId="732745B6" w14:textId="77777777" w:rsidR="008D2FEB" w:rsidRPr="00C80BF1" w:rsidRDefault="008D2FEB"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2.1.8.3.</w:t>
            </w:r>
          </w:p>
        </w:tc>
        <w:tc>
          <w:tcPr>
            <w:tcW w:w="4304" w:type="dxa"/>
            <w:tcBorders>
              <w:top w:val="single" w:sz="4" w:space="0" w:color="auto"/>
              <w:left w:val="single" w:sz="4" w:space="0" w:color="auto"/>
              <w:bottom w:val="single" w:sz="4" w:space="0" w:color="auto"/>
              <w:right w:val="single" w:sz="4" w:space="0" w:color="auto"/>
            </w:tcBorders>
            <w:hideMark/>
          </w:tcPr>
          <w:p w14:paraId="44AA530C" w14:textId="7FCE0ADA" w:rsidR="008D2FEB" w:rsidRPr="00C80BF1" w:rsidRDefault="008D2FEB"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Тауарларды (жұмыстарды, қызмет</w:t>
            </w:r>
            <w:r w:rsidR="007C4115" w:rsidRPr="00C80BF1">
              <w:rPr>
                <w:rFonts w:ascii="Times New Roman" w:eastAsiaTheme="minorEastAsia" w:hAnsi="Times New Roman"/>
                <w:kern w:val="36"/>
                <w:sz w:val="24"/>
                <w:szCs w:val="24"/>
                <w:lang w:val="kk-KZ" w:eastAsia="zh-CN"/>
              </w:rPr>
              <w:t xml:space="preserve"> </w:t>
            </w:r>
            <w:r w:rsidRPr="00C80BF1">
              <w:rPr>
                <w:rFonts w:ascii="Times New Roman" w:eastAsiaTheme="minorEastAsia" w:hAnsi="Times New Roman"/>
                <w:kern w:val="36"/>
                <w:sz w:val="24"/>
                <w:szCs w:val="24"/>
                <w:lang w:val="kk-KZ" w:eastAsia="zh-CN"/>
              </w:rPr>
              <w:t xml:space="preserve">терді) </w:t>
            </w:r>
            <w:r w:rsidR="00054253" w:rsidRPr="00C80BF1">
              <w:rPr>
                <w:rFonts w:ascii="Times New Roman" w:eastAsiaTheme="minorEastAsia" w:hAnsi="Times New Roman"/>
                <w:kern w:val="36"/>
                <w:sz w:val="24"/>
                <w:szCs w:val="24"/>
                <w:lang w:val="kk-KZ" w:eastAsia="zh-CN"/>
              </w:rPr>
              <w:t>жеткізу келісім шарттарын жасасу кезінде ҚР мемлекеттік сатып алу туралы заңнамасын сақтау</w:t>
            </w:r>
          </w:p>
        </w:tc>
        <w:tc>
          <w:tcPr>
            <w:tcW w:w="4179" w:type="dxa"/>
            <w:tcBorders>
              <w:top w:val="single" w:sz="4" w:space="0" w:color="auto"/>
              <w:left w:val="single" w:sz="4" w:space="0" w:color="auto"/>
              <w:bottom w:val="single" w:sz="4" w:space="0" w:color="auto"/>
              <w:right w:val="single" w:sz="4" w:space="0" w:color="auto"/>
            </w:tcBorders>
            <w:hideMark/>
          </w:tcPr>
          <w:p w14:paraId="5540DDFB" w14:textId="383C4441" w:rsidR="00054253" w:rsidRPr="00C80BF1" w:rsidRDefault="008D2FEB"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 xml:space="preserve">Тауарларды (жұмыс, қызмет) сатып алу </w:t>
            </w:r>
            <w:r w:rsidR="00054253" w:rsidRPr="00C80BF1">
              <w:rPr>
                <w:rFonts w:ascii="Times New Roman" w:eastAsiaTheme="minorEastAsia" w:hAnsi="Times New Roman"/>
                <w:kern w:val="36"/>
                <w:sz w:val="24"/>
                <w:szCs w:val="24"/>
                <w:lang w:val="kk-KZ" w:eastAsia="zh-CN"/>
              </w:rPr>
              <w:t>кезінде конкурсы бір жабдық</w:t>
            </w:r>
            <w:r w:rsidR="007C4115" w:rsidRPr="00C80BF1">
              <w:rPr>
                <w:rFonts w:ascii="Times New Roman" w:eastAsiaTheme="minorEastAsia" w:hAnsi="Times New Roman"/>
                <w:kern w:val="36"/>
                <w:sz w:val="24"/>
                <w:szCs w:val="24"/>
                <w:lang w:val="kk-KZ" w:eastAsia="zh-CN"/>
              </w:rPr>
              <w:t xml:space="preserve"> </w:t>
            </w:r>
            <w:r w:rsidR="00054253" w:rsidRPr="00C80BF1">
              <w:rPr>
                <w:rFonts w:ascii="Times New Roman" w:eastAsiaTheme="minorEastAsia" w:hAnsi="Times New Roman"/>
                <w:kern w:val="36"/>
                <w:sz w:val="24"/>
                <w:szCs w:val="24"/>
                <w:lang w:val="kk-KZ" w:eastAsia="zh-CN"/>
              </w:rPr>
              <w:t>таушымен келісім</w:t>
            </w:r>
            <w:r w:rsidR="004339AC">
              <w:rPr>
                <w:rFonts w:ascii="Times New Roman" w:eastAsiaTheme="minorEastAsia" w:hAnsi="Times New Roman"/>
                <w:kern w:val="36"/>
                <w:sz w:val="24"/>
                <w:szCs w:val="24"/>
                <w:lang w:val="kk-KZ" w:eastAsia="zh-CN"/>
              </w:rPr>
              <w:t>-</w:t>
            </w:r>
            <w:r w:rsidR="00054253" w:rsidRPr="00C80BF1">
              <w:rPr>
                <w:rFonts w:ascii="Times New Roman" w:eastAsiaTheme="minorEastAsia" w:hAnsi="Times New Roman"/>
                <w:kern w:val="36"/>
                <w:sz w:val="24"/>
                <w:szCs w:val="24"/>
                <w:lang w:val="kk-KZ" w:eastAsia="zh-CN"/>
              </w:rPr>
              <w:t>шарт жасау фак</w:t>
            </w:r>
            <w:r w:rsidR="007C4115" w:rsidRPr="00C80BF1">
              <w:rPr>
                <w:rFonts w:ascii="Times New Roman" w:eastAsiaTheme="minorEastAsia" w:hAnsi="Times New Roman"/>
                <w:kern w:val="36"/>
                <w:sz w:val="24"/>
                <w:szCs w:val="24"/>
                <w:lang w:val="kk-KZ" w:eastAsia="zh-CN"/>
              </w:rPr>
              <w:t xml:space="preserve"> </w:t>
            </w:r>
            <w:r w:rsidR="00054253" w:rsidRPr="00C80BF1">
              <w:rPr>
                <w:rFonts w:ascii="Times New Roman" w:eastAsiaTheme="minorEastAsia" w:hAnsi="Times New Roman"/>
                <w:kern w:val="36"/>
                <w:sz w:val="24"/>
                <w:szCs w:val="24"/>
                <w:lang w:val="kk-KZ" w:eastAsia="zh-CN"/>
              </w:rPr>
              <w:t>тілері орын алған, мемлекеттік сатып алу заңнамасын дұрыс қолданбау</w:t>
            </w:r>
          </w:p>
        </w:tc>
      </w:tr>
      <w:tr w:rsidR="007C4115" w:rsidRPr="00005151" w14:paraId="5AB955F8" w14:textId="77777777" w:rsidTr="00C80BF1">
        <w:trPr>
          <w:jc w:val="center"/>
        </w:trPr>
        <w:tc>
          <w:tcPr>
            <w:tcW w:w="1083" w:type="dxa"/>
            <w:tcBorders>
              <w:top w:val="single" w:sz="4" w:space="0" w:color="auto"/>
              <w:left w:val="single" w:sz="4" w:space="0" w:color="auto"/>
              <w:bottom w:val="single" w:sz="4" w:space="0" w:color="auto"/>
              <w:right w:val="single" w:sz="4" w:space="0" w:color="auto"/>
            </w:tcBorders>
          </w:tcPr>
          <w:p w14:paraId="78C94A7A" w14:textId="63F65ADF" w:rsidR="007C4115" w:rsidRPr="00C80BF1" w:rsidRDefault="002365B2"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2.1.9.</w:t>
            </w:r>
          </w:p>
        </w:tc>
        <w:tc>
          <w:tcPr>
            <w:tcW w:w="4304" w:type="dxa"/>
            <w:tcBorders>
              <w:top w:val="single" w:sz="4" w:space="0" w:color="auto"/>
              <w:left w:val="single" w:sz="4" w:space="0" w:color="auto"/>
              <w:bottom w:val="single" w:sz="4" w:space="0" w:color="auto"/>
              <w:right w:val="single" w:sz="4" w:space="0" w:color="auto"/>
            </w:tcBorders>
          </w:tcPr>
          <w:p w14:paraId="5D3B2101" w14:textId="0C98A5D8" w:rsidR="007C4115" w:rsidRPr="00C80BF1" w:rsidRDefault="002365B2"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АӨК ақпараттық жүйелерінің міндеттері мен функцияларын олардың техникалық-экономикалық негіздеріне сәйкестігін талдау</w:t>
            </w:r>
          </w:p>
        </w:tc>
        <w:tc>
          <w:tcPr>
            <w:tcW w:w="4179" w:type="dxa"/>
            <w:tcBorders>
              <w:top w:val="single" w:sz="4" w:space="0" w:color="auto"/>
              <w:left w:val="single" w:sz="4" w:space="0" w:color="auto"/>
              <w:bottom w:val="single" w:sz="4" w:space="0" w:color="auto"/>
              <w:right w:val="single" w:sz="4" w:space="0" w:color="auto"/>
            </w:tcBorders>
          </w:tcPr>
          <w:p w14:paraId="406E18C7" w14:textId="15A558ED" w:rsidR="007C4115" w:rsidRPr="00C80BF1" w:rsidRDefault="002365B2"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 xml:space="preserve">АӨК саласында тиімді басқару шешімдерін қабылдау мақсатында «E-agricultural» деп аталатын АӨК салаларын басқарудың бірегей автоматтандырылған басқару жүйесін әзірлеуге 2007-2011 жж. </w:t>
            </w:r>
            <w:r w:rsidR="00C83FCC">
              <w:rPr>
                <w:rFonts w:ascii="Times New Roman" w:eastAsiaTheme="minorEastAsia" w:hAnsi="Times New Roman"/>
                <w:kern w:val="36"/>
                <w:sz w:val="24"/>
                <w:szCs w:val="24"/>
                <w:lang w:val="kk-KZ" w:eastAsia="zh-CN"/>
              </w:rPr>
              <w:t>РБ-н</w:t>
            </w:r>
            <w:r w:rsidRPr="00C80BF1">
              <w:rPr>
                <w:rFonts w:ascii="Times New Roman" w:eastAsiaTheme="minorEastAsia" w:hAnsi="Times New Roman"/>
                <w:kern w:val="36"/>
                <w:sz w:val="24"/>
                <w:szCs w:val="24"/>
                <w:lang w:val="kk-KZ" w:eastAsia="zh-CN"/>
              </w:rPr>
              <w:t xml:space="preserve"> 1494,5 млн. теңге жұмсалған, іс жүзінде тәжірибеде қолданылмайды</w:t>
            </w:r>
          </w:p>
        </w:tc>
      </w:tr>
      <w:tr w:rsidR="002365B2" w:rsidRPr="00805B3E" w14:paraId="18D6F1A1" w14:textId="77777777" w:rsidTr="00C80BF1">
        <w:trPr>
          <w:jc w:val="center"/>
        </w:trPr>
        <w:tc>
          <w:tcPr>
            <w:tcW w:w="1083" w:type="dxa"/>
            <w:tcBorders>
              <w:top w:val="single" w:sz="4" w:space="0" w:color="auto"/>
              <w:left w:val="single" w:sz="4" w:space="0" w:color="auto"/>
              <w:bottom w:val="nil"/>
              <w:right w:val="single" w:sz="4" w:space="0" w:color="auto"/>
            </w:tcBorders>
          </w:tcPr>
          <w:p w14:paraId="69D465F0" w14:textId="201477B3" w:rsidR="002365B2" w:rsidRPr="00C80BF1" w:rsidRDefault="002365B2" w:rsidP="00457CE9">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2.1.10.</w:t>
            </w:r>
          </w:p>
        </w:tc>
        <w:tc>
          <w:tcPr>
            <w:tcW w:w="4304" w:type="dxa"/>
            <w:tcBorders>
              <w:top w:val="single" w:sz="4" w:space="0" w:color="auto"/>
              <w:left w:val="single" w:sz="4" w:space="0" w:color="auto"/>
              <w:bottom w:val="nil"/>
              <w:right w:val="single" w:sz="4" w:space="0" w:color="auto"/>
            </w:tcBorders>
          </w:tcPr>
          <w:p w14:paraId="14579690" w14:textId="1D49A62A" w:rsidR="002365B2" w:rsidRPr="00C80BF1" w:rsidRDefault="002365B2" w:rsidP="00C80BF1">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 xml:space="preserve">Аудит жүргізу барысында туындайтын және аудиторлық іс-шараға жататын өзге де мәселелер, ауыл шаруашылығы өнімінің бәсекеге қаблеттілігін арттыру жобасы, 255/103 «Өсімдік шаруашылы </w:t>
            </w:r>
            <w:r w:rsidR="00363D44" w:rsidRPr="00C80BF1">
              <w:rPr>
                <w:rFonts w:ascii="Times New Roman" w:eastAsiaTheme="minorEastAsia" w:hAnsi="Times New Roman"/>
                <w:kern w:val="36"/>
                <w:sz w:val="24"/>
                <w:szCs w:val="24"/>
                <w:lang w:val="kk-KZ" w:eastAsia="zh-CN"/>
              </w:rPr>
              <w:t>ғындағы сақтандыруды қолдау» бағдар ламасы бойынша дебиторлық берешек, АӨК және ауыл шаруашылығы саласын дағы «Қарапайым заттар экономикасы» бағдарламасын іске асыру</w:t>
            </w:r>
          </w:p>
        </w:tc>
        <w:tc>
          <w:tcPr>
            <w:tcW w:w="4179" w:type="dxa"/>
            <w:tcBorders>
              <w:top w:val="single" w:sz="4" w:space="0" w:color="auto"/>
              <w:left w:val="single" w:sz="4" w:space="0" w:color="auto"/>
              <w:bottom w:val="nil"/>
              <w:right w:val="single" w:sz="4" w:space="0" w:color="auto"/>
            </w:tcBorders>
          </w:tcPr>
          <w:p w14:paraId="7F37C03D" w14:textId="7B1338CB" w:rsidR="002365B2" w:rsidRPr="00C80BF1" w:rsidRDefault="002365B2" w:rsidP="00C80BF1">
            <w:pPr>
              <w:tabs>
                <w:tab w:val="left" w:pos="851"/>
              </w:tabs>
              <w:rPr>
                <w:rFonts w:ascii="Times New Roman" w:eastAsiaTheme="minorEastAsia" w:hAnsi="Times New Roman"/>
                <w:kern w:val="36"/>
                <w:sz w:val="24"/>
                <w:szCs w:val="24"/>
                <w:lang w:val="kk-KZ" w:eastAsia="zh-CN"/>
              </w:rPr>
            </w:pPr>
            <w:r w:rsidRPr="00C80BF1">
              <w:rPr>
                <w:rFonts w:ascii="Times New Roman" w:eastAsiaTheme="minorEastAsia" w:hAnsi="Times New Roman"/>
                <w:kern w:val="36"/>
                <w:sz w:val="24"/>
                <w:szCs w:val="24"/>
                <w:lang w:val="kk-KZ" w:eastAsia="zh-CN"/>
              </w:rPr>
              <w:t>«Өсімдік шаруашылығындағы сақтан дыруды қолдау» бағдарламасы бойын</w:t>
            </w:r>
            <w:r w:rsidR="00C80BF1">
              <w:rPr>
                <w:rFonts w:ascii="Times New Roman" w:eastAsiaTheme="minorEastAsia" w:hAnsi="Times New Roman"/>
                <w:kern w:val="36"/>
                <w:sz w:val="24"/>
                <w:szCs w:val="24"/>
                <w:lang w:val="kk-KZ" w:eastAsia="zh-CN"/>
              </w:rPr>
              <w:t xml:space="preserve"> </w:t>
            </w:r>
            <w:r w:rsidRPr="00C80BF1">
              <w:rPr>
                <w:rFonts w:ascii="Times New Roman" w:eastAsiaTheme="minorEastAsia" w:hAnsi="Times New Roman"/>
                <w:kern w:val="36"/>
                <w:sz w:val="24"/>
                <w:szCs w:val="24"/>
                <w:lang w:val="kk-KZ" w:eastAsia="zh-CN"/>
              </w:rPr>
              <w:t>ша 2020 ж. Міндетті сақтандырудан ерікті сақтандыру жүйесі болған, сақ</w:t>
            </w:r>
            <w:r w:rsidR="00C80BF1">
              <w:rPr>
                <w:rFonts w:ascii="Times New Roman" w:eastAsiaTheme="minorEastAsia" w:hAnsi="Times New Roman"/>
                <w:kern w:val="36"/>
                <w:sz w:val="24"/>
                <w:szCs w:val="24"/>
                <w:lang w:val="kk-KZ" w:eastAsia="zh-CN"/>
              </w:rPr>
              <w:t xml:space="preserve"> </w:t>
            </w:r>
            <w:r w:rsidRPr="00C80BF1">
              <w:rPr>
                <w:rFonts w:ascii="Times New Roman" w:eastAsiaTheme="minorEastAsia" w:hAnsi="Times New Roman"/>
                <w:kern w:val="36"/>
                <w:sz w:val="24"/>
                <w:szCs w:val="24"/>
                <w:lang w:val="kk-KZ" w:eastAsia="zh-CN"/>
              </w:rPr>
              <w:t xml:space="preserve">тандыру оқиғасы болуын растайтын </w:t>
            </w:r>
            <w:r w:rsidR="00363D44" w:rsidRPr="00C80BF1">
              <w:rPr>
                <w:rFonts w:ascii="Times New Roman" w:eastAsiaTheme="minorEastAsia" w:hAnsi="Times New Roman"/>
                <w:kern w:val="36"/>
                <w:sz w:val="24"/>
                <w:szCs w:val="24"/>
                <w:lang w:val="kk-KZ" w:eastAsia="zh-CN"/>
              </w:rPr>
              <w:t xml:space="preserve">құжаттар берілмегенде сақтандыру төлемін төлеу өтінімдері түскен фактілер орын алған. «Қарапайым заттар экономикасы» бағдарламасы </w:t>
            </w:r>
            <w:r w:rsidR="00C83FCC" w:rsidRPr="00C80BF1">
              <w:rPr>
                <w:rFonts w:ascii="Times New Roman" w:eastAsiaTheme="minorEastAsia" w:hAnsi="Times New Roman"/>
                <w:kern w:val="36"/>
                <w:sz w:val="24"/>
                <w:szCs w:val="24"/>
                <w:lang w:val="kk-KZ" w:eastAsia="zh-CN"/>
              </w:rPr>
              <w:t>инвестициялық жобаларды қаржылан</w:t>
            </w:r>
            <w:r w:rsidR="00C83FCC">
              <w:rPr>
                <w:rFonts w:ascii="Times New Roman" w:eastAsiaTheme="minorEastAsia" w:hAnsi="Times New Roman"/>
                <w:kern w:val="36"/>
                <w:sz w:val="24"/>
                <w:szCs w:val="24"/>
                <w:lang w:val="kk-KZ" w:eastAsia="zh-CN"/>
              </w:rPr>
              <w:t xml:space="preserve"> </w:t>
            </w:r>
            <w:r w:rsidR="00C83FCC" w:rsidRPr="00C80BF1">
              <w:rPr>
                <w:rFonts w:ascii="Times New Roman" w:eastAsiaTheme="minorEastAsia" w:hAnsi="Times New Roman"/>
                <w:kern w:val="36"/>
                <w:sz w:val="24"/>
                <w:szCs w:val="24"/>
                <w:lang w:val="kk-KZ" w:eastAsia="zh-CN"/>
              </w:rPr>
              <w:t>дыру әлсіздігі аталған</w:t>
            </w:r>
          </w:p>
        </w:tc>
      </w:tr>
      <w:tr w:rsidR="002365B2" w:rsidRPr="007C4115" w14:paraId="245CC5AC" w14:textId="77777777" w:rsidTr="00C80BF1">
        <w:trPr>
          <w:jc w:val="center"/>
        </w:trPr>
        <w:tc>
          <w:tcPr>
            <w:tcW w:w="9566" w:type="dxa"/>
            <w:gridSpan w:val="3"/>
            <w:tcBorders>
              <w:top w:val="single" w:sz="4" w:space="0" w:color="auto"/>
              <w:left w:val="single" w:sz="4" w:space="0" w:color="auto"/>
              <w:bottom w:val="single" w:sz="4" w:space="0" w:color="auto"/>
              <w:right w:val="single" w:sz="4" w:space="0" w:color="auto"/>
            </w:tcBorders>
          </w:tcPr>
          <w:p w14:paraId="53CAC10C" w14:textId="58D8EDD1" w:rsidR="002365B2" w:rsidRPr="00C83FCC" w:rsidRDefault="002365B2" w:rsidP="00C80BF1">
            <w:pPr>
              <w:tabs>
                <w:tab w:val="left" w:pos="851"/>
              </w:tabs>
              <w:ind w:firstLine="565"/>
              <w:rPr>
                <w:rFonts w:ascii="Times New Roman" w:eastAsiaTheme="minorEastAsia" w:hAnsi="Times New Roman"/>
                <w:kern w:val="36"/>
                <w:sz w:val="24"/>
                <w:szCs w:val="24"/>
                <w:lang w:val="kk-KZ" w:eastAsia="zh-CN"/>
              </w:rPr>
            </w:pPr>
            <w:r w:rsidRPr="00C83FCC">
              <w:rPr>
                <w:rFonts w:ascii="Times New Roman" w:eastAsia="Calibri" w:hAnsi="Times New Roman" w:cs="Times New Roman"/>
                <w:sz w:val="24"/>
                <w:szCs w:val="24"/>
              </w:rPr>
              <w:t>Ескерту –</w:t>
            </w:r>
            <w:r w:rsidRPr="00C83FCC">
              <w:rPr>
                <w:rFonts w:ascii="Times New Roman" w:eastAsia="Calibri" w:hAnsi="Times New Roman" w:cs="Times New Roman"/>
                <w:bCs/>
                <w:sz w:val="24"/>
                <w:szCs w:val="24"/>
                <w:lang w:val="kk-KZ"/>
              </w:rPr>
              <w:t xml:space="preserve"> Әдебиет негізінде құралған</w:t>
            </w:r>
            <w:r w:rsidRPr="00C83FCC">
              <w:rPr>
                <w:rFonts w:ascii="Times New Roman" w:eastAsiaTheme="minorEastAsia" w:hAnsi="Times New Roman"/>
                <w:kern w:val="36"/>
                <w:sz w:val="24"/>
                <w:szCs w:val="24"/>
                <w:lang w:val="kk-KZ" w:eastAsia="zh-CN"/>
              </w:rPr>
              <w:t xml:space="preserve"> </w:t>
            </w:r>
            <w:r w:rsidR="00AA4EAE">
              <w:rPr>
                <w:rFonts w:ascii="Times New Roman" w:eastAsiaTheme="minorEastAsia" w:hAnsi="Times New Roman"/>
                <w:kern w:val="36"/>
                <w:sz w:val="24"/>
                <w:szCs w:val="24"/>
                <w:lang w:val="kk-KZ" w:eastAsia="zh-CN"/>
              </w:rPr>
              <w:t>[52]</w:t>
            </w:r>
          </w:p>
        </w:tc>
      </w:tr>
    </w:tbl>
    <w:p w14:paraId="159CA9D5" w14:textId="10566564" w:rsidR="008D2FEB" w:rsidRDefault="00FE14A8" w:rsidP="00457CE9">
      <w:pPr>
        <w:spacing w:after="0" w:line="240" w:lineRule="auto"/>
        <w:ind w:firstLine="709"/>
        <w:jc w:val="both"/>
        <w:rPr>
          <w:rFonts w:ascii="Times New Roman" w:eastAsiaTheme="minorEastAsia" w:hAnsi="Times New Roman"/>
          <w:kern w:val="36"/>
          <w:sz w:val="28"/>
          <w:szCs w:val="28"/>
          <w:lang w:val="kk-KZ" w:eastAsia="zh-CN"/>
        </w:rPr>
      </w:pPr>
      <w:r w:rsidRPr="00457CE9">
        <w:rPr>
          <w:rFonts w:ascii="Times New Roman" w:hAnsi="Times New Roman" w:cs="Times New Roman"/>
          <w:sz w:val="28"/>
          <w:szCs w:val="28"/>
          <w:lang w:val="kk-KZ"/>
        </w:rPr>
        <w:t xml:space="preserve">  2017-2021 жж. аралығында АӨК дамытуға жұмсалған қомақты бюджет қаражатына қарамастан, ел экономикасындағы келесі мәселелері сақталған: жыл сайын импорт тәуелділігінің өсімі, ауыл шаруашылық саласына шетелдік тікелей инвестиция көлемінің қысқаруы, ЖІӨ ауыл шаруашылық өнім үлесінің азаюы</w:t>
      </w:r>
      <w:r w:rsidR="004339AC">
        <w:rPr>
          <w:rFonts w:ascii="Times New Roman" w:hAnsi="Times New Roman" w:cs="Times New Roman"/>
          <w:sz w:val="28"/>
          <w:szCs w:val="28"/>
          <w:lang w:val="kk-KZ"/>
        </w:rPr>
        <w:t>, азық-түліктік қауіпсіздігі көрсеткіштерінің орындалмауы,</w:t>
      </w:r>
      <w:r w:rsidRPr="00457CE9">
        <w:rPr>
          <w:rFonts w:ascii="Times New Roman" w:hAnsi="Times New Roman" w:cs="Times New Roman"/>
          <w:sz w:val="28"/>
          <w:szCs w:val="28"/>
          <w:lang w:val="kk-KZ"/>
        </w:rPr>
        <w:t xml:space="preserve"> Бағдарламаны іске асыру кезеңінде АӨК сақтандыру жүйесі міндетті сақтандырудан ерікті сақтандыруға ауысқандықтан, бөлінген бюджет қаражаты игерілмей қал</w:t>
      </w:r>
      <w:r w:rsidR="004339AC">
        <w:rPr>
          <w:rFonts w:ascii="Times New Roman" w:hAnsi="Times New Roman" w:cs="Times New Roman"/>
          <w:sz w:val="28"/>
          <w:szCs w:val="28"/>
          <w:lang w:val="kk-KZ"/>
        </w:rPr>
        <w:t>уы,</w:t>
      </w:r>
      <w:r w:rsidR="00054253" w:rsidRPr="00457CE9">
        <w:rPr>
          <w:rFonts w:ascii="Times New Roman" w:hAnsi="Times New Roman" w:cs="Times New Roman"/>
          <w:sz w:val="28"/>
          <w:szCs w:val="28"/>
          <w:lang w:val="kk-KZ"/>
        </w:rPr>
        <w:t xml:space="preserve"> АӨК дамыту бағдарламасының мониторингі </w:t>
      </w:r>
      <w:r w:rsidR="00C83FCC">
        <w:rPr>
          <w:rFonts w:ascii="Times New Roman" w:hAnsi="Times New Roman" w:cs="Times New Roman"/>
          <w:sz w:val="28"/>
          <w:szCs w:val="28"/>
          <w:lang w:val="kk-KZ"/>
        </w:rPr>
        <w:t>АШМ</w:t>
      </w:r>
      <w:r w:rsidR="00054253" w:rsidRPr="00457CE9">
        <w:rPr>
          <w:rFonts w:ascii="Times New Roman" w:hAnsi="Times New Roman" w:cs="Times New Roman"/>
          <w:sz w:val="28"/>
          <w:szCs w:val="28"/>
          <w:lang w:val="kk-KZ"/>
        </w:rPr>
        <w:t xml:space="preserve"> оны іске асыру мерзімдерін және ережелерін бұзушылықтармен атқарылғаны, Президент әкімшілігінің жеке тапсырмаларын орындамауы анықталған.</w:t>
      </w:r>
      <w:r w:rsidR="00C83FCC">
        <w:rPr>
          <w:rFonts w:ascii="Times New Roman" w:hAnsi="Times New Roman" w:cs="Times New Roman"/>
          <w:sz w:val="28"/>
          <w:szCs w:val="28"/>
          <w:lang w:val="kk-KZ"/>
        </w:rPr>
        <w:t xml:space="preserve"> </w:t>
      </w:r>
      <w:r w:rsidR="0038270D" w:rsidRPr="00457CE9">
        <w:rPr>
          <w:rFonts w:ascii="Times New Roman" w:eastAsiaTheme="minorEastAsia" w:hAnsi="Times New Roman"/>
          <w:kern w:val="36"/>
          <w:sz w:val="28"/>
          <w:szCs w:val="28"/>
          <w:lang w:val="kk-KZ" w:eastAsia="zh-CN"/>
        </w:rPr>
        <w:t>ҚР АӨК дамытудың бағдарламасының аудиті бойынша аудиторлық есеп берудің 3-ші «қорытынды бөлімі» 2</w:t>
      </w:r>
      <w:r w:rsidR="007F5D1B">
        <w:rPr>
          <w:rFonts w:ascii="Times New Roman" w:eastAsiaTheme="minorEastAsia" w:hAnsi="Times New Roman"/>
          <w:kern w:val="36"/>
          <w:sz w:val="28"/>
          <w:szCs w:val="28"/>
          <w:lang w:val="kk-KZ" w:eastAsia="zh-CN"/>
        </w:rPr>
        <w:t>8</w:t>
      </w:r>
      <w:r w:rsidR="0038270D" w:rsidRPr="00457CE9">
        <w:rPr>
          <w:rFonts w:ascii="Times New Roman" w:eastAsiaTheme="minorEastAsia" w:hAnsi="Times New Roman"/>
          <w:kern w:val="36"/>
          <w:sz w:val="28"/>
          <w:szCs w:val="28"/>
          <w:lang w:val="kk-KZ" w:eastAsia="zh-CN"/>
        </w:rPr>
        <w:t>-кестеде көрсетілген.</w:t>
      </w:r>
    </w:p>
    <w:p w14:paraId="73A1E870" w14:textId="77777777" w:rsidR="002365B2" w:rsidRPr="00C83FCC" w:rsidRDefault="002365B2" w:rsidP="00457CE9">
      <w:pPr>
        <w:spacing w:after="0" w:line="240" w:lineRule="auto"/>
        <w:ind w:firstLine="709"/>
        <w:jc w:val="both"/>
        <w:rPr>
          <w:rFonts w:ascii="Times New Roman" w:hAnsi="Times New Roman" w:cs="Times New Roman"/>
          <w:sz w:val="20"/>
          <w:szCs w:val="20"/>
          <w:lang w:val="kk-KZ"/>
        </w:rPr>
      </w:pPr>
    </w:p>
    <w:p w14:paraId="3B5768F8" w14:textId="68F31058" w:rsidR="008D2FEB" w:rsidRDefault="00C566CC" w:rsidP="00457CE9">
      <w:pPr>
        <w:spacing w:after="0" w:line="240" w:lineRule="auto"/>
        <w:jc w:val="both"/>
        <w:rPr>
          <w:rFonts w:ascii="Times New Roman" w:eastAsiaTheme="minorEastAsia" w:hAnsi="Times New Roman"/>
          <w:kern w:val="36"/>
          <w:sz w:val="28"/>
          <w:szCs w:val="28"/>
          <w:lang w:val="kk-KZ" w:eastAsia="zh-CN"/>
        </w:rPr>
      </w:pPr>
      <w:r w:rsidRPr="00457CE9">
        <w:rPr>
          <w:rFonts w:ascii="Times New Roman" w:eastAsiaTheme="minorEastAsia" w:hAnsi="Times New Roman"/>
          <w:kern w:val="36"/>
          <w:sz w:val="28"/>
          <w:szCs w:val="28"/>
          <w:lang w:val="kk-KZ" w:eastAsia="zh-CN"/>
        </w:rPr>
        <w:t xml:space="preserve">Кесте </w:t>
      </w:r>
      <w:r w:rsidR="0038270D" w:rsidRPr="00457CE9">
        <w:rPr>
          <w:rFonts w:ascii="Times New Roman" w:eastAsiaTheme="minorEastAsia" w:hAnsi="Times New Roman"/>
          <w:kern w:val="36"/>
          <w:sz w:val="28"/>
          <w:szCs w:val="28"/>
          <w:lang w:val="kk-KZ" w:eastAsia="zh-CN"/>
        </w:rPr>
        <w:t>2</w:t>
      </w:r>
      <w:r w:rsidR="007F5D1B">
        <w:rPr>
          <w:rFonts w:ascii="Times New Roman" w:eastAsiaTheme="minorEastAsia" w:hAnsi="Times New Roman"/>
          <w:kern w:val="36"/>
          <w:sz w:val="28"/>
          <w:szCs w:val="28"/>
          <w:lang w:val="kk-KZ" w:eastAsia="zh-CN"/>
        </w:rPr>
        <w:t>8</w:t>
      </w:r>
      <w:r w:rsidRPr="00457CE9">
        <w:rPr>
          <w:rFonts w:ascii="Times New Roman" w:eastAsiaTheme="minorEastAsia" w:hAnsi="Times New Roman"/>
          <w:kern w:val="36"/>
          <w:sz w:val="28"/>
          <w:szCs w:val="28"/>
          <w:lang w:val="kk-KZ" w:eastAsia="zh-CN"/>
        </w:rPr>
        <w:t xml:space="preserve"> – 2017-2021 жж. ҚР АӨК дамытудың мемлекеттік бағдарламасының аудиті бойынша аудиторлық есеп берудің 3-ші «қорытынды бөлімі»</w:t>
      </w:r>
    </w:p>
    <w:p w14:paraId="255F17B6" w14:textId="77777777" w:rsidR="002365B2" w:rsidRPr="002365B2" w:rsidRDefault="002365B2" w:rsidP="00457CE9">
      <w:pPr>
        <w:spacing w:after="0" w:line="240" w:lineRule="auto"/>
        <w:jc w:val="both"/>
        <w:rPr>
          <w:rFonts w:ascii="Times New Roman" w:hAnsi="Times New Roman" w:cs="Times New Roman"/>
          <w:sz w:val="16"/>
          <w:szCs w:val="16"/>
          <w:lang w:val="kk-KZ"/>
        </w:rPr>
      </w:pPr>
    </w:p>
    <w:tbl>
      <w:tblPr>
        <w:tblStyle w:val="a3"/>
        <w:tblW w:w="0" w:type="auto"/>
        <w:jc w:val="center"/>
        <w:tblLook w:val="04A0" w:firstRow="1" w:lastRow="0" w:firstColumn="1" w:lastColumn="0" w:noHBand="0" w:noVBand="1"/>
      </w:tblPr>
      <w:tblGrid>
        <w:gridCol w:w="813"/>
        <w:gridCol w:w="4433"/>
        <w:gridCol w:w="4382"/>
      </w:tblGrid>
      <w:tr w:rsidR="00F13F6E" w:rsidRPr="00457CE9" w14:paraId="62373037" w14:textId="77777777" w:rsidTr="00C83FCC">
        <w:trPr>
          <w:jc w:val="center"/>
        </w:trPr>
        <w:tc>
          <w:tcPr>
            <w:tcW w:w="704" w:type="dxa"/>
            <w:tcBorders>
              <w:top w:val="single" w:sz="4" w:space="0" w:color="auto"/>
              <w:left w:val="single" w:sz="4" w:space="0" w:color="auto"/>
              <w:bottom w:val="single" w:sz="4" w:space="0" w:color="auto"/>
              <w:right w:val="single" w:sz="4" w:space="0" w:color="auto"/>
            </w:tcBorders>
          </w:tcPr>
          <w:p w14:paraId="539E190B" w14:textId="6217D091" w:rsidR="00F13F6E" w:rsidRPr="00457CE9" w:rsidRDefault="00C566CC" w:rsidP="002365B2">
            <w:pPr>
              <w:tabs>
                <w:tab w:val="left" w:pos="851"/>
              </w:tabs>
              <w:jc w:val="center"/>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Бөлім</w:t>
            </w:r>
          </w:p>
        </w:tc>
        <w:tc>
          <w:tcPr>
            <w:tcW w:w="4438" w:type="dxa"/>
            <w:tcBorders>
              <w:top w:val="single" w:sz="4" w:space="0" w:color="auto"/>
              <w:left w:val="single" w:sz="4" w:space="0" w:color="auto"/>
              <w:bottom w:val="single" w:sz="4" w:space="0" w:color="auto"/>
              <w:right w:val="single" w:sz="4" w:space="0" w:color="auto"/>
            </w:tcBorders>
          </w:tcPr>
          <w:p w14:paraId="7333A88A" w14:textId="46A93C91" w:rsidR="00F13F6E" w:rsidRPr="00457CE9" w:rsidRDefault="00C566CC" w:rsidP="002365B2">
            <w:pPr>
              <w:tabs>
                <w:tab w:val="left" w:pos="851"/>
              </w:tabs>
              <w:jc w:val="center"/>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Бөлім атауы</w:t>
            </w:r>
          </w:p>
        </w:tc>
        <w:tc>
          <w:tcPr>
            <w:tcW w:w="4387" w:type="dxa"/>
            <w:tcBorders>
              <w:top w:val="single" w:sz="4" w:space="0" w:color="auto"/>
              <w:left w:val="single" w:sz="4" w:space="0" w:color="auto"/>
              <w:bottom w:val="single" w:sz="4" w:space="0" w:color="auto"/>
              <w:right w:val="single" w:sz="4" w:space="0" w:color="auto"/>
            </w:tcBorders>
          </w:tcPr>
          <w:p w14:paraId="1FD5A567" w14:textId="6585641C" w:rsidR="00F13F6E" w:rsidRPr="00457CE9" w:rsidRDefault="00C566CC" w:rsidP="002365B2">
            <w:pPr>
              <w:tabs>
                <w:tab w:val="left" w:pos="851"/>
              </w:tabs>
              <w:jc w:val="center"/>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Ескерту</w:t>
            </w:r>
          </w:p>
        </w:tc>
      </w:tr>
      <w:tr w:rsidR="002365B2" w:rsidRPr="00457CE9" w14:paraId="72EE32D8" w14:textId="77777777" w:rsidTr="00C83FCC">
        <w:trPr>
          <w:jc w:val="center"/>
        </w:trPr>
        <w:tc>
          <w:tcPr>
            <w:tcW w:w="704" w:type="dxa"/>
            <w:tcBorders>
              <w:top w:val="single" w:sz="4" w:space="0" w:color="auto"/>
              <w:left w:val="single" w:sz="4" w:space="0" w:color="auto"/>
              <w:bottom w:val="single" w:sz="4" w:space="0" w:color="auto"/>
              <w:right w:val="single" w:sz="4" w:space="0" w:color="auto"/>
            </w:tcBorders>
          </w:tcPr>
          <w:p w14:paraId="318B2AE7" w14:textId="7E89EFEE" w:rsidR="002365B2" w:rsidRPr="00457CE9" w:rsidRDefault="002365B2"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3.</w:t>
            </w:r>
          </w:p>
        </w:tc>
        <w:tc>
          <w:tcPr>
            <w:tcW w:w="8825" w:type="dxa"/>
            <w:gridSpan w:val="2"/>
            <w:tcBorders>
              <w:top w:val="single" w:sz="4" w:space="0" w:color="auto"/>
              <w:left w:val="single" w:sz="4" w:space="0" w:color="auto"/>
              <w:bottom w:val="single" w:sz="4" w:space="0" w:color="auto"/>
              <w:right w:val="single" w:sz="4" w:space="0" w:color="auto"/>
            </w:tcBorders>
          </w:tcPr>
          <w:p w14:paraId="7FD6EA79" w14:textId="7D9BCAB7" w:rsidR="002365B2" w:rsidRPr="00457CE9" w:rsidRDefault="002365B2"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Қорытынды бөлімі</w:t>
            </w:r>
          </w:p>
        </w:tc>
      </w:tr>
      <w:tr w:rsidR="00C566CC" w:rsidRPr="00805B3E" w14:paraId="28ED9102" w14:textId="77777777" w:rsidTr="00C83FCC">
        <w:trPr>
          <w:jc w:val="center"/>
        </w:trPr>
        <w:tc>
          <w:tcPr>
            <w:tcW w:w="704" w:type="dxa"/>
            <w:tcBorders>
              <w:top w:val="single" w:sz="4" w:space="0" w:color="auto"/>
              <w:left w:val="single" w:sz="4" w:space="0" w:color="auto"/>
              <w:bottom w:val="single" w:sz="4" w:space="0" w:color="auto"/>
              <w:right w:val="single" w:sz="4" w:space="0" w:color="auto"/>
            </w:tcBorders>
            <w:hideMark/>
          </w:tcPr>
          <w:p w14:paraId="7A4198FA"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3.1.</w:t>
            </w:r>
          </w:p>
        </w:tc>
        <w:tc>
          <w:tcPr>
            <w:tcW w:w="4438" w:type="dxa"/>
            <w:tcBorders>
              <w:top w:val="single" w:sz="4" w:space="0" w:color="auto"/>
              <w:left w:val="single" w:sz="4" w:space="0" w:color="auto"/>
              <w:bottom w:val="single" w:sz="4" w:space="0" w:color="auto"/>
              <w:right w:val="single" w:sz="4" w:space="0" w:color="auto"/>
            </w:tcBorders>
            <w:hideMark/>
          </w:tcPr>
          <w:p w14:paraId="41969758"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объектісі бойынша жалпы қорытынды</w:t>
            </w:r>
          </w:p>
        </w:tc>
        <w:tc>
          <w:tcPr>
            <w:tcW w:w="4387" w:type="dxa"/>
            <w:tcBorders>
              <w:top w:val="single" w:sz="4" w:space="0" w:color="auto"/>
              <w:left w:val="single" w:sz="4" w:space="0" w:color="auto"/>
              <w:bottom w:val="single" w:sz="4" w:space="0" w:color="auto"/>
              <w:right w:val="single" w:sz="4" w:space="0" w:color="auto"/>
            </w:tcBorders>
            <w:hideMark/>
          </w:tcPr>
          <w:p w14:paraId="4938F3CB" w14:textId="0124BBED"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Бағдарламада көрсетілген проблемалар мен оны шешу шаралары арасындағы сәйкестіктің болмауы,  нақты шешім талап еткен проблемаларға тиісті шара</w:t>
            </w:r>
            <w:r w:rsidR="002365B2">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 xml:space="preserve">лар мен көрсеткіштер жоспарланбаған </w:t>
            </w:r>
          </w:p>
        </w:tc>
      </w:tr>
      <w:tr w:rsidR="00C80BF1" w:rsidRPr="00805B3E" w14:paraId="12A611EF" w14:textId="77777777" w:rsidTr="00C83FCC">
        <w:trPr>
          <w:trHeight w:val="3592"/>
          <w:jc w:val="center"/>
        </w:trPr>
        <w:tc>
          <w:tcPr>
            <w:tcW w:w="704" w:type="dxa"/>
            <w:tcBorders>
              <w:top w:val="single" w:sz="4" w:space="0" w:color="auto"/>
              <w:left w:val="single" w:sz="4" w:space="0" w:color="auto"/>
              <w:right w:val="single" w:sz="4" w:space="0" w:color="auto"/>
            </w:tcBorders>
            <w:hideMark/>
          </w:tcPr>
          <w:p w14:paraId="3CE0C089" w14:textId="77777777" w:rsidR="00C80BF1" w:rsidRPr="00457CE9" w:rsidRDefault="00C80BF1"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3.1.1.</w:t>
            </w:r>
          </w:p>
        </w:tc>
        <w:tc>
          <w:tcPr>
            <w:tcW w:w="4438" w:type="dxa"/>
            <w:tcBorders>
              <w:top w:val="single" w:sz="4" w:space="0" w:color="auto"/>
              <w:left w:val="single" w:sz="4" w:space="0" w:color="auto"/>
              <w:right w:val="single" w:sz="4" w:space="0" w:color="auto"/>
            </w:tcBorders>
            <w:hideMark/>
          </w:tcPr>
          <w:p w14:paraId="15471433" w14:textId="10471BCC" w:rsidR="00C80BF1" w:rsidRPr="00457CE9" w:rsidRDefault="00C80BF1"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Бағдарламаның мақсатына, көрсет</w:t>
            </w:r>
            <w:r>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кіштеріне (критерийлеріне) сәйкес заңнаманың, ішкі нормативтік актілердің, құжаттардың сақталуын және мемлекеттік аудит объектісі қызметінің тиімділігін бағалау</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Бюджет қаражаты мен активтерді жүйелі кемшіліктермен, тиімсіз жоспарлаумен және пайдалану</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мен, нәтижелерге қол жеткізбеумен байланысты бұзушылықтарға ықпал еткен себептер мен жағдайларды, сондай-ақ мемлекеттік аудит объектісі қызметіндегі өзге де проблемалық мәселелер бойынша талдау</w:t>
            </w:r>
          </w:p>
        </w:tc>
        <w:tc>
          <w:tcPr>
            <w:tcW w:w="4387" w:type="dxa"/>
            <w:tcBorders>
              <w:top w:val="single" w:sz="4" w:space="0" w:color="auto"/>
              <w:left w:val="single" w:sz="4" w:space="0" w:color="auto"/>
              <w:right w:val="single" w:sz="4" w:space="0" w:color="auto"/>
            </w:tcBorders>
            <w:hideMark/>
          </w:tcPr>
          <w:p w14:paraId="62DEA67E" w14:textId="3C48EA6C" w:rsidR="00C80BF1" w:rsidRPr="00457CE9" w:rsidRDefault="00C80BF1" w:rsidP="00C83FCC">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 xml:space="preserve">Бағдарламада шаралар жеткіліксіз. </w:t>
            </w:r>
            <w:r w:rsidR="00C83FCC">
              <w:rPr>
                <w:rFonts w:ascii="Times New Roman" w:eastAsiaTheme="minorEastAsia" w:hAnsi="Times New Roman"/>
                <w:kern w:val="36"/>
                <w:sz w:val="24"/>
                <w:szCs w:val="24"/>
                <w:lang w:val="kk-KZ" w:eastAsia="zh-CN"/>
              </w:rPr>
              <w:t>Оны</w:t>
            </w:r>
            <w:r w:rsidRPr="00457CE9">
              <w:rPr>
                <w:rFonts w:ascii="Times New Roman" w:eastAsiaTheme="minorEastAsia" w:hAnsi="Times New Roman"/>
                <w:kern w:val="36"/>
                <w:sz w:val="24"/>
                <w:szCs w:val="24"/>
                <w:lang w:val="kk-KZ" w:eastAsia="zh-CN"/>
              </w:rPr>
              <w:t xml:space="preserve"> іске асыру кезінде қомақты бюджет қаражаты жұмсалғанымен ел экономика</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сындағы проблемалар шешімін таппа</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 xml:space="preserve">ған: импорт тәуелділігі, шетелдік тікелей инвестиция көлемінің қысқаруы, ЖІӨ құрамындағы ауыл шаруашылық өнім үлесінің қысқаруы. </w:t>
            </w:r>
            <w:r w:rsidR="00C83FCC">
              <w:rPr>
                <w:rFonts w:ascii="Times New Roman" w:eastAsiaTheme="minorEastAsia" w:hAnsi="Times New Roman"/>
                <w:kern w:val="36"/>
                <w:sz w:val="24"/>
                <w:szCs w:val="24"/>
                <w:lang w:val="kk-KZ" w:eastAsia="zh-CN"/>
              </w:rPr>
              <w:t>АШМ</w:t>
            </w:r>
            <w:r w:rsidRPr="00457CE9">
              <w:rPr>
                <w:rFonts w:ascii="Times New Roman" w:eastAsiaTheme="minorEastAsia" w:hAnsi="Times New Roman"/>
                <w:kern w:val="36"/>
                <w:sz w:val="24"/>
                <w:szCs w:val="24"/>
                <w:lang w:val="kk-KZ" w:eastAsia="zh-CN"/>
              </w:rPr>
              <w:t xml:space="preserve"> тарапы</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нан Бағдарламаны іске асыру монито</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рингін жүргізу мерзімдерінің бұзылуы фактілері, қол жеткізілмеген көрсет</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кіштер бойынша себебін анықтау мақса</w:t>
            </w:r>
            <w:r w:rsidR="00C83FCC">
              <w:rPr>
                <w:rFonts w:ascii="Times New Roman" w:eastAsiaTheme="minorEastAsia" w:hAnsi="Times New Roman"/>
                <w:kern w:val="36"/>
                <w:sz w:val="24"/>
                <w:szCs w:val="24"/>
                <w:lang w:val="kk-KZ" w:eastAsia="zh-CN"/>
              </w:rPr>
              <w:t xml:space="preserve"> </w:t>
            </w:r>
            <w:r w:rsidRPr="00457CE9">
              <w:rPr>
                <w:rFonts w:ascii="Times New Roman" w:eastAsiaTheme="minorEastAsia" w:hAnsi="Times New Roman"/>
                <w:kern w:val="36"/>
                <w:sz w:val="24"/>
                <w:szCs w:val="24"/>
                <w:lang w:val="kk-KZ" w:eastAsia="zh-CN"/>
              </w:rPr>
              <w:t>тында талдау жасалмауы, іске асыру кезінде жүйелі кемшіліктердің болуы</w:t>
            </w:r>
          </w:p>
        </w:tc>
      </w:tr>
      <w:tr w:rsidR="00C566CC" w:rsidRPr="00805B3E" w14:paraId="2B6FEBB9" w14:textId="77777777" w:rsidTr="00C83FCC">
        <w:trPr>
          <w:jc w:val="center"/>
        </w:trPr>
        <w:tc>
          <w:tcPr>
            <w:tcW w:w="704" w:type="dxa"/>
            <w:tcBorders>
              <w:top w:val="single" w:sz="4" w:space="0" w:color="auto"/>
              <w:left w:val="single" w:sz="4" w:space="0" w:color="auto"/>
              <w:bottom w:val="single" w:sz="4" w:space="0" w:color="auto"/>
              <w:right w:val="single" w:sz="4" w:space="0" w:color="auto"/>
            </w:tcBorders>
            <w:hideMark/>
          </w:tcPr>
          <w:p w14:paraId="5A2F29F7"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3.1.2.</w:t>
            </w:r>
          </w:p>
        </w:tc>
        <w:tc>
          <w:tcPr>
            <w:tcW w:w="4438" w:type="dxa"/>
            <w:tcBorders>
              <w:top w:val="single" w:sz="4" w:space="0" w:color="auto"/>
              <w:left w:val="single" w:sz="4" w:space="0" w:color="auto"/>
              <w:bottom w:val="single" w:sz="4" w:space="0" w:color="auto"/>
              <w:right w:val="single" w:sz="4" w:space="0" w:color="auto"/>
            </w:tcBorders>
            <w:hideMark/>
          </w:tcPr>
          <w:p w14:paraId="5E69D9B9" w14:textId="54560A19"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объектісінің жіберіп алған пайдасы мен экономикалық ысырабының анықталған фактілері</w:t>
            </w:r>
          </w:p>
        </w:tc>
        <w:tc>
          <w:tcPr>
            <w:tcW w:w="4387" w:type="dxa"/>
            <w:tcBorders>
              <w:top w:val="single" w:sz="4" w:space="0" w:color="auto"/>
              <w:left w:val="single" w:sz="4" w:space="0" w:color="auto"/>
              <w:bottom w:val="single" w:sz="4" w:space="0" w:color="auto"/>
              <w:right w:val="single" w:sz="4" w:space="0" w:color="auto"/>
            </w:tcBorders>
          </w:tcPr>
          <w:p w14:paraId="1DD264C0" w14:textId="11E15FAD" w:rsidR="00C566CC" w:rsidRPr="00457CE9" w:rsidRDefault="00C566CC" w:rsidP="00457CE9">
            <w:pPr>
              <w:tabs>
                <w:tab w:val="left" w:pos="851"/>
              </w:tabs>
              <w:rPr>
                <w:rFonts w:ascii="Times New Roman" w:eastAsiaTheme="minorEastAsia" w:hAnsi="Times New Roman"/>
                <w:kern w:val="36"/>
                <w:sz w:val="24"/>
                <w:szCs w:val="24"/>
                <w:lang w:val="kk-KZ" w:eastAsia="zh-CN"/>
              </w:rPr>
            </w:pPr>
          </w:p>
        </w:tc>
      </w:tr>
      <w:tr w:rsidR="00C566CC" w:rsidRPr="00457CE9" w14:paraId="5023983B" w14:textId="77777777" w:rsidTr="00C83FCC">
        <w:trPr>
          <w:jc w:val="center"/>
        </w:trPr>
        <w:tc>
          <w:tcPr>
            <w:tcW w:w="704" w:type="dxa"/>
            <w:tcBorders>
              <w:top w:val="single" w:sz="4" w:space="0" w:color="auto"/>
              <w:left w:val="single" w:sz="4" w:space="0" w:color="auto"/>
              <w:bottom w:val="single" w:sz="4" w:space="0" w:color="auto"/>
              <w:right w:val="single" w:sz="4" w:space="0" w:color="auto"/>
            </w:tcBorders>
            <w:hideMark/>
          </w:tcPr>
          <w:p w14:paraId="7FB2E71A"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3.2.</w:t>
            </w:r>
          </w:p>
        </w:tc>
        <w:tc>
          <w:tcPr>
            <w:tcW w:w="4438" w:type="dxa"/>
            <w:tcBorders>
              <w:top w:val="single" w:sz="4" w:space="0" w:color="auto"/>
              <w:left w:val="single" w:sz="4" w:space="0" w:color="auto"/>
              <w:bottom w:val="single" w:sz="4" w:space="0" w:color="auto"/>
              <w:right w:val="single" w:sz="4" w:space="0" w:color="auto"/>
            </w:tcBorders>
            <w:hideMark/>
          </w:tcPr>
          <w:p w14:paraId="0D58DAEB"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аудитті жүргізудегі кедергілер</w:t>
            </w:r>
          </w:p>
        </w:tc>
        <w:tc>
          <w:tcPr>
            <w:tcW w:w="4387" w:type="dxa"/>
            <w:tcBorders>
              <w:top w:val="single" w:sz="4" w:space="0" w:color="auto"/>
              <w:left w:val="single" w:sz="4" w:space="0" w:color="auto"/>
              <w:bottom w:val="single" w:sz="4" w:space="0" w:color="auto"/>
              <w:right w:val="single" w:sz="4" w:space="0" w:color="auto"/>
            </w:tcBorders>
          </w:tcPr>
          <w:p w14:paraId="24D31043" w14:textId="4F6BE9CE" w:rsidR="00C566CC" w:rsidRPr="00457CE9" w:rsidRDefault="003E33AA" w:rsidP="00457CE9">
            <w:pPr>
              <w:tabs>
                <w:tab w:val="left" w:pos="851"/>
              </w:tabs>
              <w:rPr>
                <w:rFonts w:ascii="Times New Roman" w:eastAsiaTheme="minorEastAsia" w:hAnsi="Times New Roman"/>
                <w:kern w:val="36"/>
                <w:sz w:val="24"/>
                <w:szCs w:val="24"/>
                <w:lang w:val="kk-KZ" w:eastAsia="zh-CN"/>
              </w:rPr>
            </w:pPr>
            <w:r>
              <w:rPr>
                <w:rFonts w:ascii="Times New Roman" w:eastAsiaTheme="minorEastAsia" w:hAnsi="Times New Roman"/>
                <w:kern w:val="36"/>
                <w:sz w:val="24"/>
                <w:szCs w:val="24"/>
                <w:lang w:val="kk-KZ" w:eastAsia="zh-CN"/>
              </w:rPr>
              <w:t>Кедергілер болмаған</w:t>
            </w:r>
          </w:p>
        </w:tc>
      </w:tr>
      <w:tr w:rsidR="00C566CC" w:rsidRPr="00805B3E" w14:paraId="2F5F2915" w14:textId="77777777" w:rsidTr="00C83FCC">
        <w:trPr>
          <w:jc w:val="center"/>
        </w:trPr>
        <w:tc>
          <w:tcPr>
            <w:tcW w:w="704" w:type="dxa"/>
            <w:tcBorders>
              <w:top w:val="single" w:sz="4" w:space="0" w:color="auto"/>
              <w:left w:val="single" w:sz="4" w:space="0" w:color="auto"/>
              <w:bottom w:val="single" w:sz="4" w:space="0" w:color="auto"/>
              <w:right w:val="single" w:sz="4" w:space="0" w:color="auto"/>
            </w:tcBorders>
            <w:hideMark/>
          </w:tcPr>
          <w:p w14:paraId="0093EAA0"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 xml:space="preserve">3.3.  </w:t>
            </w:r>
          </w:p>
        </w:tc>
        <w:tc>
          <w:tcPr>
            <w:tcW w:w="4438" w:type="dxa"/>
            <w:tcBorders>
              <w:top w:val="single" w:sz="4" w:space="0" w:color="auto"/>
              <w:left w:val="single" w:sz="4" w:space="0" w:color="auto"/>
              <w:bottom w:val="single" w:sz="4" w:space="0" w:color="auto"/>
              <w:right w:val="single" w:sz="4" w:space="0" w:color="auto"/>
            </w:tcBorders>
            <w:hideMark/>
          </w:tcPr>
          <w:p w14:paraId="459CB1C6"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r w:rsidRPr="00457CE9">
              <w:rPr>
                <w:rFonts w:ascii="Times New Roman" w:eastAsiaTheme="minorEastAsia" w:hAnsi="Times New Roman"/>
                <w:kern w:val="36"/>
                <w:sz w:val="24"/>
                <w:szCs w:val="24"/>
                <w:lang w:val="kk-KZ" w:eastAsia="zh-CN"/>
              </w:rPr>
              <w:t>Мемлекеттік аудит барысында қолданылған шаралар</w:t>
            </w:r>
          </w:p>
        </w:tc>
        <w:tc>
          <w:tcPr>
            <w:tcW w:w="4387" w:type="dxa"/>
            <w:tcBorders>
              <w:top w:val="single" w:sz="4" w:space="0" w:color="auto"/>
              <w:left w:val="single" w:sz="4" w:space="0" w:color="auto"/>
              <w:bottom w:val="single" w:sz="4" w:space="0" w:color="auto"/>
              <w:right w:val="single" w:sz="4" w:space="0" w:color="auto"/>
            </w:tcBorders>
          </w:tcPr>
          <w:p w14:paraId="275CD4DF" w14:textId="77777777" w:rsidR="00C566CC" w:rsidRPr="00457CE9" w:rsidRDefault="00C566CC" w:rsidP="00457CE9">
            <w:pPr>
              <w:tabs>
                <w:tab w:val="left" w:pos="851"/>
              </w:tabs>
              <w:rPr>
                <w:rFonts w:ascii="Times New Roman" w:eastAsiaTheme="minorEastAsia" w:hAnsi="Times New Roman"/>
                <w:kern w:val="36"/>
                <w:sz w:val="24"/>
                <w:szCs w:val="24"/>
                <w:lang w:val="kk-KZ" w:eastAsia="zh-CN"/>
              </w:rPr>
            </w:pPr>
          </w:p>
        </w:tc>
      </w:tr>
      <w:tr w:rsidR="00E4753E" w:rsidRPr="00457CE9" w14:paraId="013D21F7" w14:textId="77777777" w:rsidTr="002365B2">
        <w:trPr>
          <w:jc w:val="center"/>
        </w:trPr>
        <w:tc>
          <w:tcPr>
            <w:tcW w:w="9529" w:type="dxa"/>
            <w:gridSpan w:val="3"/>
            <w:tcBorders>
              <w:top w:val="single" w:sz="4" w:space="0" w:color="auto"/>
              <w:left w:val="single" w:sz="4" w:space="0" w:color="auto"/>
              <w:bottom w:val="single" w:sz="4" w:space="0" w:color="auto"/>
              <w:right w:val="single" w:sz="4" w:space="0" w:color="auto"/>
            </w:tcBorders>
            <w:hideMark/>
          </w:tcPr>
          <w:p w14:paraId="58745065" w14:textId="44892DCE" w:rsidR="00E4753E" w:rsidRPr="00457CE9" w:rsidRDefault="00463D68" w:rsidP="002365B2">
            <w:pPr>
              <w:tabs>
                <w:tab w:val="left" w:pos="851"/>
              </w:tabs>
              <w:ind w:firstLine="598"/>
              <w:rPr>
                <w:rFonts w:ascii="Times New Roman" w:eastAsiaTheme="minorEastAsia" w:hAnsi="Times New Roman"/>
                <w:kern w:val="36"/>
                <w:sz w:val="24"/>
                <w:szCs w:val="24"/>
                <w:lang w:val="kk-KZ" w:eastAsia="zh-CN"/>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E4753E" w:rsidRPr="00457CE9">
              <w:rPr>
                <w:rFonts w:ascii="Times New Roman" w:eastAsiaTheme="minorEastAsia" w:hAnsi="Times New Roman"/>
                <w:kern w:val="36"/>
                <w:sz w:val="24"/>
                <w:szCs w:val="24"/>
                <w:lang w:val="kk-KZ" w:eastAsia="zh-CN"/>
              </w:rPr>
              <w:t xml:space="preserve"> </w:t>
            </w:r>
            <w:r w:rsidR="00AA4EAE">
              <w:rPr>
                <w:rFonts w:ascii="Times New Roman" w:eastAsiaTheme="minorEastAsia" w:hAnsi="Times New Roman"/>
                <w:kern w:val="36"/>
                <w:sz w:val="24"/>
                <w:szCs w:val="24"/>
                <w:lang w:val="kk-KZ" w:eastAsia="zh-CN"/>
              </w:rPr>
              <w:t>[52]</w:t>
            </w:r>
            <w:r w:rsidR="00C51D00" w:rsidRPr="00457CE9">
              <w:rPr>
                <w:rFonts w:ascii="Times New Roman" w:eastAsiaTheme="minorEastAsia" w:hAnsi="Times New Roman"/>
                <w:kern w:val="36"/>
                <w:sz w:val="24"/>
                <w:szCs w:val="24"/>
                <w:lang w:val="kk-KZ" w:eastAsia="zh-CN"/>
              </w:rPr>
              <w:t xml:space="preserve"> </w:t>
            </w:r>
          </w:p>
        </w:tc>
      </w:tr>
    </w:tbl>
    <w:p w14:paraId="0608229E" w14:textId="77777777" w:rsidR="004339AC" w:rsidRDefault="004339AC" w:rsidP="00C83FCC">
      <w:pPr>
        <w:spacing w:after="0" w:line="240" w:lineRule="auto"/>
        <w:ind w:firstLine="709"/>
        <w:jc w:val="both"/>
        <w:rPr>
          <w:rFonts w:ascii="Times New Roman" w:eastAsia="Times New Roman" w:hAnsi="Times New Roman"/>
          <w:kern w:val="36"/>
          <w:sz w:val="28"/>
          <w:szCs w:val="28"/>
          <w:lang w:val="kk-KZ" w:eastAsia="ru-RU"/>
        </w:rPr>
      </w:pPr>
    </w:p>
    <w:p w14:paraId="7ECAA7DC" w14:textId="28A10593" w:rsidR="00C83FCC" w:rsidRDefault="004330E8" w:rsidP="00C83FCC">
      <w:pPr>
        <w:spacing w:after="0" w:line="240" w:lineRule="auto"/>
        <w:ind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С</w:t>
      </w:r>
      <w:r w:rsidR="00C83FCC">
        <w:rPr>
          <w:rFonts w:ascii="Times New Roman" w:eastAsia="Times New Roman" w:hAnsi="Times New Roman"/>
          <w:kern w:val="36"/>
          <w:sz w:val="28"/>
          <w:szCs w:val="28"/>
          <w:lang w:val="kk-KZ" w:eastAsia="ru-RU"/>
        </w:rPr>
        <w:t xml:space="preserve">убсидия алушыларда </w:t>
      </w:r>
      <w:r w:rsidR="00A41E51">
        <w:rPr>
          <w:rFonts w:ascii="Times New Roman" w:eastAsia="Times New Roman" w:hAnsi="Times New Roman"/>
          <w:kern w:val="36"/>
          <w:sz w:val="28"/>
          <w:szCs w:val="28"/>
          <w:lang w:val="kk-KZ" w:eastAsia="ru-RU"/>
        </w:rPr>
        <w:t xml:space="preserve">субсидия беру </w:t>
      </w:r>
      <w:r w:rsidR="0077753B">
        <w:rPr>
          <w:rFonts w:ascii="Times New Roman" w:eastAsia="Times New Roman" w:hAnsi="Times New Roman"/>
          <w:kern w:val="36"/>
          <w:sz w:val="28"/>
          <w:szCs w:val="28"/>
          <w:lang w:val="kk-KZ" w:eastAsia="ru-RU"/>
        </w:rPr>
        <w:t>қағидаларында</w:t>
      </w:r>
      <w:r w:rsidR="00A41E51">
        <w:rPr>
          <w:rFonts w:ascii="Times New Roman" w:eastAsia="Times New Roman" w:hAnsi="Times New Roman"/>
          <w:kern w:val="36"/>
          <w:sz w:val="28"/>
          <w:szCs w:val="28"/>
          <w:lang w:val="kk-KZ" w:eastAsia="ru-RU"/>
        </w:rPr>
        <w:t xml:space="preserve"> </w:t>
      </w:r>
      <w:r w:rsidR="00C83FCC">
        <w:rPr>
          <w:rFonts w:ascii="Times New Roman" w:eastAsia="Times New Roman" w:hAnsi="Times New Roman"/>
          <w:kern w:val="36"/>
          <w:sz w:val="28"/>
          <w:szCs w:val="28"/>
          <w:lang w:val="kk-KZ" w:eastAsia="ru-RU"/>
        </w:rPr>
        <w:t>жауапкершілік деңгейі қалыптастырылма</w:t>
      </w:r>
      <w:r w:rsidR="003E33AA">
        <w:rPr>
          <w:rFonts w:ascii="Times New Roman" w:eastAsia="Times New Roman" w:hAnsi="Times New Roman"/>
          <w:kern w:val="36"/>
          <w:sz w:val="28"/>
          <w:szCs w:val="28"/>
          <w:lang w:val="kk-KZ" w:eastAsia="ru-RU"/>
        </w:rPr>
        <w:t>ған</w:t>
      </w:r>
      <w:r w:rsidR="00C83FCC">
        <w:rPr>
          <w:rFonts w:ascii="Times New Roman" w:eastAsia="Times New Roman" w:hAnsi="Times New Roman"/>
          <w:kern w:val="36"/>
          <w:sz w:val="28"/>
          <w:szCs w:val="28"/>
          <w:lang w:val="kk-KZ" w:eastAsia="ru-RU"/>
        </w:rPr>
        <w:t xml:space="preserve">. Мемлекеттік орган тарапынан субсидия алушылармен тікелей жеткізілген нәтижелері бойынша мониторинг жүргізу механизмі әзірленбеген. Бұл өз кезегінде мемлекеттік бағдарламалардың, стратегиялық жоспарлардың тікелей көрсеткіштерінің, нысаналы индикаторларының орындалмау тәуекелдері туындауына алып келеді. Тек 2019 жылы субсидия алу ережелерінде субсидия алушының міндеттеме нысаны ретінде алынған материалды тіркеу деп бекітілген. </w:t>
      </w:r>
    </w:p>
    <w:p w14:paraId="72ABE035" w14:textId="7AA384C3" w:rsidR="00FE14A8" w:rsidRPr="00457CE9" w:rsidRDefault="001C4B1D" w:rsidP="002365B2">
      <w:pPr>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Алайд</w:t>
      </w:r>
      <w:r w:rsidR="002D23A5" w:rsidRPr="00457CE9">
        <w:rPr>
          <w:rFonts w:ascii="Times New Roman" w:eastAsia="Times New Roman" w:hAnsi="Times New Roman"/>
          <w:kern w:val="36"/>
          <w:sz w:val="28"/>
          <w:szCs w:val="28"/>
          <w:lang w:val="kk-KZ" w:eastAsia="ru-RU"/>
        </w:rPr>
        <w:t>а</w:t>
      </w:r>
      <w:r w:rsidRPr="00457CE9">
        <w:rPr>
          <w:rFonts w:ascii="Times New Roman" w:eastAsia="Times New Roman" w:hAnsi="Times New Roman"/>
          <w:kern w:val="36"/>
          <w:sz w:val="28"/>
          <w:szCs w:val="28"/>
          <w:lang w:val="kk-KZ" w:eastAsia="ru-RU"/>
        </w:rPr>
        <w:t xml:space="preserve"> республика бойынша мал шаруашылығының жалпы өнім құны статистикалық мәліметтер бойынша 2017-2019 жж. аралығында 1810914,1 млн. теңгеден 2319496,7 млн. теңгеге дейін өссе, соның ішінде субсидия алушылар өндірген өнім 35 пайыздан төмен, демек субсидия беру жалпы балансталмағанын көрсетеді. </w:t>
      </w:r>
      <w:r w:rsidR="00055A77">
        <w:rPr>
          <w:rFonts w:ascii="Times New Roman" w:eastAsia="Times New Roman" w:hAnsi="Times New Roman"/>
          <w:kern w:val="36"/>
          <w:sz w:val="28"/>
          <w:szCs w:val="28"/>
          <w:lang w:val="kk-KZ" w:eastAsia="ru-RU"/>
        </w:rPr>
        <w:t xml:space="preserve">Яғни, </w:t>
      </w:r>
      <w:r w:rsidRPr="00457CE9">
        <w:rPr>
          <w:rFonts w:ascii="Times New Roman" w:eastAsia="Times New Roman" w:hAnsi="Times New Roman"/>
          <w:kern w:val="36"/>
          <w:sz w:val="28"/>
          <w:szCs w:val="28"/>
          <w:lang w:val="kk-KZ" w:eastAsia="ru-RU"/>
        </w:rPr>
        <w:t>субсидия алушы</w:t>
      </w:r>
      <w:r w:rsidR="00055A77">
        <w:rPr>
          <w:rFonts w:ascii="Times New Roman" w:eastAsia="Times New Roman" w:hAnsi="Times New Roman"/>
          <w:kern w:val="36"/>
          <w:sz w:val="28"/>
          <w:szCs w:val="28"/>
          <w:lang w:val="kk-KZ" w:eastAsia="ru-RU"/>
        </w:rPr>
        <w:t xml:space="preserve"> ретінде</w:t>
      </w:r>
      <w:r w:rsidRPr="00457CE9">
        <w:rPr>
          <w:rFonts w:ascii="Times New Roman" w:eastAsia="Times New Roman" w:hAnsi="Times New Roman"/>
          <w:kern w:val="36"/>
          <w:sz w:val="28"/>
          <w:szCs w:val="28"/>
          <w:lang w:val="kk-KZ" w:eastAsia="ru-RU"/>
        </w:rPr>
        <w:t xml:space="preserve"> ірі ауыл шаруашылық құрылымдар артықшылықтарға ие екендігін, олардың масылдығын және саланың тұрақсыздығына алып келеді. Республиканың ауыл шаруашылық өнімінің қомақты бөлігі </w:t>
      </w:r>
      <w:r w:rsidR="00055A77">
        <w:rPr>
          <w:rFonts w:ascii="Times New Roman" w:eastAsia="Times New Roman" w:hAnsi="Times New Roman"/>
          <w:kern w:val="36"/>
          <w:sz w:val="28"/>
          <w:szCs w:val="28"/>
          <w:lang w:val="kk-KZ" w:eastAsia="ru-RU"/>
        </w:rPr>
        <w:t>фермерлік шаруа қожалықтары және жеке қосалқы</w:t>
      </w:r>
      <w:r w:rsidRPr="00457CE9">
        <w:rPr>
          <w:rFonts w:ascii="Times New Roman" w:eastAsia="Times New Roman" w:hAnsi="Times New Roman"/>
          <w:kern w:val="36"/>
          <w:sz w:val="28"/>
          <w:szCs w:val="28"/>
          <w:lang w:val="kk-KZ" w:eastAsia="ru-RU"/>
        </w:rPr>
        <w:t xml:space="preserve"> шаруашыл</w:t>
      </w:r>
      <w:r w:rsidR="00055A77">
        <w:rPr>
          <w:rFonts w:ascii="Times New Roman" w:eastAsia="Times New Roman" w:hAnsi="Times New Roman"/>
          <w:kern w:val="36"/>
          <w:sz w:val="28"/>
          <w:szCs w:val="28"/>
          <w:lang w:val="kk-KZ" w:eastAsia="ru-RU"/>
        </w:rPr>
        <w:t>ықтарымен (30</w:t>
      </w:r>
      <w:r w:rsidR="00055A77" w:rsidRPr="00055A77">
        <w:rPr>
          <w:rFonts w:ascii="Times New Roman" w:eastAsia="Times New Roman" w:hAnsi="Times New Roman"/>
          <w:kern w:val="36"/>
          <w:sz w:val="28"/>
          <w:szCs w:val="28"/>
          <w:lang w:val="kk-KZ" w:eastAsia="ru-RU"/>
        </w:rPr>
        <w:t>%-</w:t>
      </w:r>
      <w:r w:rsidR="00055A77">
        <w:rPr>
          <w:rFonts w:ascii="Times New Roman" w:eastAsia="Times New Roman" w:hAnsi="Times New Roman"/>
          <w:kern w:val="36"/>
          <w:sz w:val="28"/>
          <w:szCs w:val="28"/>
          <w:lang w:val="kk-KZ" w:eastAsia="ru-RU"/>
        </w:rPr>
        <w:t>дан астам)</w:t>
      </w:r>
      <w:r w:rsidRPr="00457CE9">
        <w:rPr>
          <w:rFonts w:ascii="Times New Roman" w:eastAsia="Times New Roman" w:hAnsi="Times New Roman"/>
          <w:kern w:val="36"/>
          <w:sz w:val="28"/>
          <w:szCs w:val="28"/>
          <w:lang w:val="kk-KZ" w:eastAsia="ru-RU"/>
        </w:rPr>
        <w:t xml:space="preserve"> өндірілген</w:t>
      </w:r>
      <w:r w:rsidR="00055A77">
        <w:rPr>
          <w:rFonts w:ascii="Times New Roman" w:eastAsia="Times New Roman" w:hAnsi="Times New Roman"/>
          <w:kern w:val="36"/>
          <w:sz w:val="28"/>
          <w:szCs w:val="28"/>
          <w:lang w:val="kk-KZ" w:eastAsia="ru-RU"/>
        </w:rPr>
        <w:t>ін</w:t>
      </w:r>
      <w:r w:rsidRPr="00457CE9">
        <w:rPr>
          <w:rFonts w:ascii="Times New Roman" w:eastAsia="Times New Roman" w:hAnsi="Times New Roman"/>
          <w:kern w:val="36"/>
          <w:sz w:val="28"/>
          <w:szCs w:val="28"/>
          <w:lang w:val="kk-KZ" w:eastAsia="ru-RU"/>
        </w:rPr>
        <w:t xml:space="preserve">, олар субсидия алушыларға қойылған талаптарға сәйкес келмегендіктен мемлекеттік қолдауға қолы жетпей келеді. </w:t>
      </w:r>
      <w:r w:rsidRPr="00055A77">
        <w:rPr>
          <w:rFonts w:ascii="Times New Roman" w:eastAsia="Times New Roman" w:hAnsi="Times New Roman"/>
          <w:i/>
          <w:iCs/>
          <w:kern w:val="36"/>
          <w:sz w:val="28"/>
          <w:szCs w:val="28"/>
          <w:lang w:val="kk-KZ" w:eastAsia="ru-RU"/>
        </w:rPr>
        <w:t>Бұл тез арада субсидия алушының міндеттеме нысанын, субсидиялау деңгейлерін түзетуді, субсидия алушыларды субсидиялау нәтижелілігін есепке алу механизмін әзірлеуді  қажет етеді</w:t>
      </w:r>
      <w:r w:rsidRPr="00457CE9">
        <w:rPr>
          <w:rFonts w:ascii="Times New Roman" w:eastAsia="Times New Roman" w:hAnsi="Times New Roman"/>
          <w:kern w:val="36"/>
          <w:sz w:val="28"/>
          <w:szCs w:val="28"/>
          <w:lang w:val="kk-KZ" w:eastAsia="ru-RU"/>
        </w:rPr>
        <w:t xml:space="preserve">.  </w:t>
      </w:r>
      <w:r w:rsidR="00FE14A8" w:rsidRPr="00457CE9">
        <w:rPr>
          <w:rFonts w:ascii="Times New Roman" w:eastAsia="Times New Roman" w:hAnsi="Times New Roman"/>
          <w:kern w:val="36"/>
          <w:sz w:val="28"/>
          <w:szCs w:val="28"/>
          <w:lang w:val="kk-KZ" w:eastAsia="ru-RU"/>
        </w:rPr>
        <w:t xml:space="preserve">ҚР 2017-2021 жж. АӨК дамытуға бағытталған бюджет қаражатының тиімділік аудиті </w:t>
      </w:r>
      <w:r w:rsidR="005D497B" w:rsidRPr="00457CE9">
        <w:rPr>
          <w:rFonts w:ascii="Times New Roman" w:eastAsia="Times New Roman" w:hAnsi="Times New Roman"/>
          <w:kern w:val="36"/>
          <w:sz w:val="28"/>
          <w:szCs w:val="28"/>
          <w:lang w:val="kk-KZ" w:eastAsia="ru-RU"/>
        </w:rPr>
        <w:t xml:space="preserve">бойынша </w:t>
      </w:r>
      <w:r w:rsidR="00FE14A8" w:rsidRPr="00457CE9">
        <w:rPr>
          <w:rFonts w:ascii="Times New Roman" w:eastAsia="Times New Roman" w:hAnsi="Times New Roman"/>
          <w:kern w:val="36"/>
          <w:sz w:val="28"/>
          <w:szCs w:val="28"/>
          <w:lang w:val="kk-KZ" w:eastAsia="ru-RU"/>
        </w:rPr>
        <w:t xml:space="preserve">оны тиімсіз пайдаланудың негізгі себептері </w:t>
      </w:r>
      <w:r w:rsidR="002365B2">
        <w:rPr>
          <w:rFonts w:ascii="Times New Roman" w:eastAsia="Times New Roman" w:hAnsi="Times New Roman"/>
          <w:kern w:val="36"/>
          <w:sz w:val="28"/>
          <w:szCs w:val="28"/>
          <w:lang w:val="kk-KZ" w:eastAsia="ru-RU"/>
        </w:rPr>
        <w:t>16-суретте</w:t>
      </w:r>
      <w:r w:rsidR="00E4753E" w:rsidRPr="00457CE9">
        <w:rPr>
          <w:rFonts w:ascii="Times New Roman" w:eastAsia="Times New Roman" w:hAnsi="Times New Roman"/>
          <w:kern w:val="36"/>
          <w:sz w:val="28"/>
          <w:szCs w:val="28"/>
          <w:lang w:val="kk-KZ" w:eastAsia="ru-RU"/>
        </w:rPr>
        <w:t xml:space="preserve"> келтірілген.</w:t>
      </w:r>
      <w:r w:rsidR="00FE14A8" w:rsidRPr="00457CE9">
        <w:rPr>
          <w:rFonts w:ascii="Times New Roman" w:eastAsia="Times New Roman" w:hAnsi="Times New Roman"/>
          <w:kern w:val="36"/>
          <w:sz w:val="28"/>
          <w:szCs w:val="28"/>
          <w:lang w:val="kk-KZ" w:eastAsia="ru-RU"/>
        </w:rPr>
        <w:t xml:space="preserve"> </w:t>
      </w:r>
    </w:p>
    <w:p w14:paraId="049C5676" w14:textId="3D74DEF9" w:rsidR="00E4753E" w:rsidRPr="00457CE9" w:rsidRDefault="00E4753E" w:rsidP="00457CE9">
      <w:pPr>
        <w:tabs>
          <w:tab w:val="left" w:pos="851"/>
        </w:tabs>
        <w:spacing w:after="0" w:line="240" w:lineRule="auto"/>
        <w:jc w:val="both"/>
        <w:rPr>
          <w:rFonts w:ascii="Times New Roman" w:eastAsia="Times New Roman" w:hAnsi="Times New Roman"/>
          <w:kern w:val="36"/>
          <w:sz w:val="28"/>
          <w:szCs w:val="28"/>
          <w:lang w:val="kk-KZ" w:eastAsia="ru-RU"/>
        </w:rPr>
      </w:pPr>
    </w:p>
    <w:tbl>
      <w:tblPr>
        <w:tblStyle w:val="a3"/>
        <w:tblW w:w="9498" w:type="dxa"/>
        <w:jc w:val="center"/>
        <w:tblLook w:val="04A0" w:firstRow="1" w:lastRow="0" w:firstColumn="1" w:lastColumn="0" w:noHBand="0" w:noVBand="1"/>
      </w:tblPr>
      <w:tblGrid>
        <w:gridCol w:w="9498"/>
      </w:tblGrid>
      <w:tr w:rsidR="00441955" w:rsidRPr="00805B3E" w14:paraId="599A6698" w14:textId="77777777" w:rsidTr="004330E8">
        <w:trPr>
          <w:trHeight w:val="291"/>
          <w:jc w:val="center"/>
        </w:trPr>
        <w:tc>
          <w:tcPr>
            <w:tcW w:w="9498" w:type="dxa"/>
            <w:vAlign w:val="center"/>
          </w:tcPr>
          <w:p w14:paraId="6BD20A1F" w14:textId="16D275F3" w:rsidR="00441955" w:rsidRPr="00457CE9" w:rsidRDefault="00441955" w:rsidP="00C80BF1">
            <w:pPr>
              <w:tabs>
                <w:tab w:val="left" w:pos="851"/>
              </w:tabs>
              <w:jc w:val="center"/>
              <w:rPr>
                <w:rFonts w:ascii="Times New Roman" w:eastAsia="Times New Roman" w:hAnsi="Times New Roman"/>
                <w:kern w:val="36"/>
                <w:sz w:val="24"/>
                <w:szCs w:val="24"/>
                <w:lang w:val="kk-KZ" w:eastAsia="ru-RU"/>
              </w:rPr>
            </w:pPr>
            <w:r w:rsidRPr="00457CE9">
              <w:rPr>
                <w:rFonts w:ascii="Times New Roman" w:eastAsia="Times New Roman" w:hAnsi="Times New Roman"/>
                <w:kern w:val="36"/>
                <w:sz w:val="24"/>
                <w:szCs w:val="24"/>
                <w:lang w:val="kk-KZ" w:eastAsia="ru-RU"/>
              </w:rPr>
              <w:t>АӨК дамытуға бағытталған бюджет қаражатының тиімділік аудиті оны тиімсіз пайдаланудың негізгі себептері</w:t>
            </w:r>
          </w:p>
        </w:tc>
      </w:tr>
      <w:tr w:rsidR="00441955" w:rsidRPr="00805B3E" w14:paraId="57A16ACB" w14:textId="77777777" w:rsidTr="004330E8">
        <w:trPr>
          <w:jc w:val="center"/>
        </w:trPr>
        <w:tc>
          <w:tcPr>
            <w:tcW w:w="9498" w:type="dxa"/>
          </w:tcPr>
          <w:p w14:paraId="07E42D10" w14:textId="4FD1292B" w:rsidR="00441955" w:rsidRPr="00841527" w:rsidRDefault="00013321" w:rsidP="001B239D">
            <w:pPr>
              <w:tabs>
                <w:tab w:val="left" w:pos="851"/>
              </w:tabs>
              <w:jc w:val="center"/>
              <w:rPr>
                <w:rFonts w:ascii="Times New Roman" w:eastAsia="Times New Roman" w:hAnsi="Times New Roman"/>
                <w:b/>
                <w:bCs/>
                <w:kern w:val="36"/>
                <w:sz w:val="24"/>
                <w:szCs w:val="24"/>
                <w:lang w:val="kk-KZ" w:eastAsia="ru-RU"/>
              </w:rPr>
            </w:pPr>
            <w:r w:rsidRPr="00841527">
              <w:rPr>
                <w:rFonts w:ascii="Times New Roman" w:eastAsia="Times New Roman" w:hAnsi="Times New Roman"/>
                <w:b/>
                <w:bCs/>
                <w:kern w:val="36"/>
                <w:sz w:val="24"/>
                <w:szCs w:val="24"/>
                <w:lang w:val="kk-KZ" w:eastAsia="ru-RU"/>
              </w:rPr>
              <w:t>1.</w:t>
            </w:r>
            <w:r w:rsidR="00441955" w:rsidRPr="00841527">
              <w:rPr>
                <w:rFonts w:ascii="Times New Roman" w:eastAsia="Times New Roman" w:hAnsi="Times New Roman"/>
                <w:b/>
                <w:bCs/>
                <w:kern w:val="36"/>
                <w:sz w:val="24"/>
                <w:szCs w:val="24"/>
                <w:lang w:val="kk-KZ" w:eastAsia="ru-RU"/>
              </w:rPr>
              <w:t>Ауыл шаруашылығы министрлігі жұмысын сапасының төмендігін сипаттайтын кемшіліктер</w:t>
            </w:r>
          </w:p>
        </w:tc>
      </w:tr>
      <w:tr w:rsidR="00441955" w:rsidRPr="00805B3E" w14:paraId="76F1E160" w14:textId="77777777" w:rsidTr="004330E8">
        <w:trPr>
          <w:jc w:val="center"/>
        </w:trPr>
        <w:tc>
          <w:tcPr>
            <w:tcW w:w="9498" w:type="dxa"/>
          </w:tcPr>
          <w:p w14:paraId="23F262B6" w14:textId="6A5EBFE1" w:rsidR="00441955" w:rsidRPr="00457CE9" w:rsidRDefault="00441955" w:rsidP="001B239D">
            <w:pPr>
              <w:tabs>
                <w:tab w:val="left" w:pos="851"/>
              </w:tabs>
              <w:jc w:val="center"/>
              <w:rPr>
                <w:rFonts w:ascii="Times New Roman" w:eastAsia="Times New Roman" w:hAnsi="Times New Roman"/>
                <w:kern w:val="36"/>
                <w:sz w:val="24"/>
                <w:szCs w:val="24"/>
                <w:lang w:val="kk-KZ" w:eastAsia="ru-RU"/>
              </w:rPr>
            </w:pPr>
            <w:r w:rsidRPr="00457CE9">
              <w:rPr>
                <w:rFonts w:ascii="Times New Roman" w:eastAsia="Times New Roman" w:hAnsi="Times New Roman"/>
                <w:kern w:val="36"/>
                <w:sz w:val="24"/>
                <w:szCs w:val="24"/>
                <w:lang w:val="kk-KZ" w:eastAsia="ru-RU"/>
              </w:rPr>
              <w:t xml:space="preserve">«Қазақстан 2050» стратегиясында қойылған </w:t>
            </w:r>
            <w:r w:rsidRPr="00457CE9">
              <w:rPr>
                <w:rFonts w:ascii="Times New Roman" w:hAnsi="Times New Roman" w:cs="Times New Roman"/>
                <w:sz w:val="24"/>
                <w:szCs w:val="24"/>
                <w:lang w:val="kk-KZ"/>
              </w:rPr>
              <w:t>жеке міндеттемелерді орындауды жоспарламау</w:t>
            </w:r>
          </w:p>
        </w:tc>
      </w:tr>
      <w:tr w:rsidR="00441955" w:rsidRPr="00805B3E" w14:paraId="790752BA" w14:textId="77777777" w:rsidTr="004330E8">
        <w:trPr>
          <w:jc w:val="center"/>
        </w:trPr>
        <w:tc>
          <w:tcPr>
            <w:tcW w:w="9498" w:type="dxa"/>
          </w:tcPr>
          <w:p w14:paraId="5956BAF4" w14:textId="30C5437A" w:rsidR="00441955" w:rsidRPr="00457CE9" w:rsidRDefault="00441955" w:rsidP="001B239D">
            <w:pPr>
              <w:tabs>
                <w:tab w:val="left" w:pos="851"/>
              </w:tabs>
              <w:jc w:val="center"/>
              <w:rPr>
                <w:rFonts w:ascii="Times New Roman" w:eastAsia="Times New Roman" w:hAnsi="Times New Roman"/>
                <w:kern w:val="36"/>
                <w:sz w:val="24"/>
                <w:szCs w:val="24"/>
                <w:lang w:val="kk-KZ" w:eastAsia="ru-RU"/>
              </w:rPr>
            </w:pPr>
            <w:r w:rsidRPr="00457CE9">
              <w:rPr>
                <w:rFonts w:ascii="Times New Roman" w:hAnsi="Times New Roman" w:cs="Times New Roman"/>
                <w:sz w:val="24"/>
                <w:szCs w:val="24"/>
                <w:lang w:val="kk-KZ"/>
              </w:rPr>
              <w:t>Бағдарлама мен «Негізгі ұлттық индикаторлардың стратегиялық картасы» арасында көлеңкелі экономикасы көлемін азайту аясында өзара байланыстың жоқтығы</w:t>
            </w:r>
          </w:p>
        </w:tc>
      </w:tr>
      <w:tr w:rsidR="00441955" w:rsidRPr="00805B3E" w14:paraId="474A1A96" w14:textId="77777777" w:rsidTr="004330E8">
        <w:trPr>
          <w:jc w:val="center"/>
        </w:trPr>
        <w:tc>
          <w:tcPr>
            <w:tcW w:w="9498" w:type="dxa"/>
          </w:tcPr>
          <w:p w14:paraId="67AF3326" w14:textId="493B9282" w:rsidR="00441955" w:rsidRPr="00457CE9" w:rsidRDefault="00441955" w:rsidP="001B239D">
            <w:pPr>
              <w:tabs>
                <w:tab w:val="left" w:pos="851"/>
              </w:tabs>
              <w:jc w:val="center"/>
              <w:rPr>
                <w:rFonts w:ascii="Times New Roman" w:hAnsi="Times New Roman" w:cs="Times New Roman"/>
                <w:sz w:val="24"/>
                <w:szCs w:val="24"/>
                <w:lang w:val="kk-KZ"/>
              </w:rPr>
            </w:pPr>
            <w:r w:rsidRPr="00457CE9">
              <w:rPr>
                <w:rFonts w:ascii="Times New Roman" w:hAnsi="Times New Roman"/>
                <w:sz w:val="24"/>
                <w:szCs w:val="24"/>
                <w:lang w:val="kk-KZ"/>
              </w:rPr>
              <w:t xml:space="preserve">Нысаналы индикаторлардың, </w:t>
            </w:r>
            <w:r w:rsidR="00575788">
              <w:rPr>
                <w:rFonts w:ascii="Times New Roman" w:hAnsi="Times New Roman"/>
                <w:sz w:val="24"/>
                <w:szCs w:val="24"/>
                <w:lang w:val="kk-KZ"/>
              </w:rPr>
              <w:t>АӨК-н</w:t>
            </w:r>
            <w:r w:rsidRPr="00457CE9">
              <w:rPr>
                <w:rFonts w:ascii="Times New Roman" w:hAnsi="Times New Roman"/>
                <w:sz w:val="24"/>
                <w:szCs w:val="24"/>
                <w:lang w:val="kk-KZ"/>
              </w:rPr>
              <w:t xml:space="preserve"> дамыту тапсырмаларын, іс-шараларын жүзеге асыруға қатысатын квазисубъектілердің міндеттерінің </w:t>
            </w:r>
            <w:r w:rsidR="00013321">
              <w:rPr>
                <w:rFonts w:ascii="Times New Roman" w:hAnsi="Times New Roman"/>
                <w:sz w:val="24"/>
                <w:szCs w:val="24"/>
                <w:lang w:val="kk-KZ"/>
              </w:rPr>
              <w:t>МЖЖ</w:t>
            </w:r>
            <w:r w:rsidRPr="00457CE9">
              <w:rPr>
                <w:rFonts w:ascii="Times New Roman" w:hAnsi="Times New Roman"/>
                <w:sz w:val="24"/>
                <w:szCs w:val="24"/>
                <w:lang w:val="kk-KZ"/>
              </w:rPr>
              <w:t xml:space="preserve"> мен стратегиялық құжаттардағы мақсаттарына, міндеттеріне сәйкес келмеу жағдайларының болуы</w:t>
            </w:r>
          </w:p>
        </w:tc>
      </w:tr>
      <w:tr w:rsidR="00441955" w:rsidRPr="00805B3E" w14:paraId="6D859006" w14:textId="77777777" w:rsidTr="004330E8">
        <w:trPr>
          <w:jc w:val="center"/>
        </w:trPr>
        <w:tc>
          <w:tcPr>
            <w:tcW w:w="9498" w:type="dxa"/>
          </w:tcPr>
          <w:p w14:paraId="099C7621" w14:textId="61E6D5FB" w:rsidR="00441955" w:rsidRPr="00457CE9" w:rsidRDefault="00441955" w:rsidP="001B239D">
            <w:pPr>
              <w:tabs>
                <w:tab w:val="left" w:pos="851"/>
              </w:tabs>
              <w:jc w:val="center"/>
              <w:rPr>
                <w:rFonts w:ascii="Times New Roman" w:eastAsia="Times New Roman" w:hAnsi="Times New Roman"/>
                <w:kern w:val="36"/>
                <w:sz w:val="24"/>
                <w:szCs w:val="24"/>
                <w:lang w:val="kk-KZ" w:eastAsia="ru-RU"/>
              </w:rPr>
            </w:pPr>
            <w:r w:rsidRPr="00457CE9">
              <w:rPr>
                <w:rFonts w:ascii="Times New Roman" w:hAnsi="Times New Roman" w:cs="Times New Roman"/>
                <w:sz w:val="24"/>
                <w:szCs w:val="24"/>
                <w:lang w:val="kk-KZ"/>
              </w:rPr>
              <w:t>Министрлік қол жеткізілмеген көрсеткіштердің себептеріне талдауы жасалм</w:t>
            </w:r>
            <w:r w:rsidR="00055A77">
              <w:rPr>
                <w:rFonts w:ascii="Times New Roman" w:hAnsi="Times New Roman" w:cs="Times New Roman"/>
                <w:sz w:val="24"/>
                <w:szCs w:val="24"/>
                <w:lang w:val="kk-KZ"/>
              </w:rPr>
              <w:t>ауы</w:t>
            </w:r>
          </w:p>
        </w:tc>
      </w:tr>
      <w:tr w:rsidR="00441955" w:rsidRPr="00805B3E" w14:paraId="41CF4ECB" w14:textId="77777777" w:rsidTr="004330E8">
        <w:trPr>
          <w:jc w:val="center"/>
        </w:trPr>
        <w:tc>
          <w:tcPr>
            <w:tcW w:w="9498" w:type="dxa"/>
            <w:tcBorders>
              <w:top w:val="single" w:sz="4" w:space="0" w:color="auto"/>
              <w:left w:val="single" w:sz="4" w:space="0" w:color="auto"/>
              <w:bottom w:val="single" w:sz="4" w:space="0" w:color="auto"/>
            </w:tcBorders>
            <w:hideMark/>
          </w:tcPr>
          <w:p w14:paraId="3AF86EF2" w14:textId="1404736A" w:rsidR="00441955" w:rsidRPr="00457CE9" w:rsidRDefault="00013321" w:rsidP="001B239D">
            <w:pPr>
              <w:tabs>
                <w:tab w:val="left" w:pos="851"/>
              </w:tabs>
              <w:jc w:val="center"/>
              <w:rPr>
                <w:rFonts w:ascii="Times New Roman" w:hAnsi="Times New Roman"/>
                <w:sz w:val="24"/>
                <w:szCs w:val="24"/>
                <w:lang w:val="kk-KZ"/>
              </w:rPr>
            </w:pPr>
            <w:r>
              <w:rPr>
                <w:rFonts w:ascii="Times New Roman" w:hAnsi="Times New Roman"/>
                <w:sz w:val="24"/>
                <w:szCs w:val="24"/>
                <w:lang w:val="kk-KZ"/>
              </w:rPr>
              <w:t>АШМ</w:t>
            </w:r>
            <w:r w:rsidR="00441955" w:rsidRPr="00457CE9">
              <w:rPr>
                <w:rFonts w:ascii="Times New Roman" w:hAnsi="Times New Roman"/>
                <w:sz w:val="24"/>
                <w:szCs w:val="24"/>
                <w:lang w:val="kk-KZ"/>
              </w:rPr>
              <w:t xml:space="preserve"> мен жергілікті атқарушы органдар арасындағы өзара байланыс әлсіздігі не жоқтығы</w:t>
            </w:r>
          </w:p>
        </w:tc>
      </w:tr>
      <w:tr w:rsidR="00013321" w:rsidRPr="00805B3E" w14:paraId="26E0A23F" w14:textId="77777777" w:rsidTr="004330E8">
        <w:trPr>
          <w:jc w:val="center"/>
        </w:trPr>
        <w:tc>
          <w:tcPr>
            <w:tcW w:w="9498" w:type="dxa"/>
            <w:tcBorders>
              <w:top w:val="single" w:sz="4" w:space="0" w:color="auto"/>
              <w:left w:val="single" w:sz="4" w:space="0" w:color="auto"/>
              <w:bottom w:val="single" w:sz="4" w:space="0" w:color="auto"/>
            </w:tcBorders>
          </w:tcPr>
          <w:p w14:paraId="556F38BE" w14:textId="7DDA0694" w:rsidR="00013321" w:rsidRDefault="00013321" w:rsidP="00013321">
            <w:pPr>
              <w:widowControl w:val="0"/>
              <w:tabs>
                <w:tab w:val="left" w:pos="851"/>
              </w:tabs>
              <w:jc w:val="center"/>
              <w:rPr>
                <w:rFonts w:ascii="Times New Roman" w:hAnsi="Times New Roman"/>
                <w:sz w:val="24"/>
                <w:szCs w:val="24"/>
                <w:lang w:val="kk-KZ"/>
              </w:rPr>
            </w:pPr>
            <w:r>
              <w:rPr>
                <w:rFonts w:ascii="Times New Roman" w:hAnsi="Times New Roman"/>
                <w:sz w:val="24"/>
                <w:szCs w:val="24"/>
                <w:lang w:val="kk-KZ"/>
              </w:rPr>
              <w:t>АШМ қызметкерлерінің мемлекеттік сатып алу туралы ҚР заңнамасын дұрыс қолданбау фактілері</w:t>
            </w:r>
          </w:p>
        </w:tc>
      </w:tr>
      <w:tr w:rsidR="00055A77" w:rsidRPr="00805B3E" w14:paraId="086ED9FB" w14:textId="77777777" w:rsidTr="00055A77">
        <w:tblPrEx>
          <w:jc w:val="left"/>
        </w:tblPrEx>
        <w:tc>
          <w:tcPr>
            <w:tcW w:w="9498" w:type="dxa"/>
            <w:tcBorders>
              <w:top w:val="single" w:sz="4" w:space="0" w:color="auto"/>
              <w:left w:val="single" w:sz="4" w:space="0" w:color="auto"/>
              <w:bottom w:val="single" w:sz="4" w:space="0" w:color="auto"/>
              <w:right w:val="single" w:sz="4" w:space="0" w:color="auto"/>
            </w:tcBorders>
          </w:tcPr>
          <w:p w14:paraId="09E3EFB0" w14:textId="3037D93F" w:rsidR="00055A77" w:rsidRDefault="00055A77" w:rsidP="00055A77">
            <w:pPr>
              <w:tabs>
                <w:tab w:val="left" w:pos="851"/>
              </w:tabs>
              <w:ind w:left="-80" w:right="-8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Нысаналы индикаторлар мен нәтиже көрсеткіштерінің орындалмауы, </w:t>
            </w:r>
            <w:r>
              <w:rPr>
                <w:rFonts w:ascii="Times New Roman" w:hAnsi="Times New Roman"/>
                <w:sz w:val="24"/>
                <w:szCs w:val="24"/>
                <w:lang w:val="kk-KZ"/>
              </w:rPr>
              <w:t>көрсеткіштер саны ның қысқаруы, жоспарлы мәндері бойынша нақты мәліметтердің болмауы немесе керісінше</w:t>
            </w:r>
          </w:p>
        </w:tc>
      </w:tr>
      <w:tr w:rsidR="00055A77" w:rsidRPr="00805B3E" w14:paraId="4E710E40" w14:textId="77777777" w:rsidTr="00055A77">
        <w:tblPrEx>
          <w:jc w:val="left"/>
        </w:tblPrEx>
        <w:tc>
          <w:tcPr>
            <w:tcW w:w="9498" w:type="dxa"/>
            <w:tcBorders>
              <w:top w:val="single" w:sz="4" w:space="0" w:color="auto"/>
              <w:left w:val="single" w:sz="4" w:space="0" w:color="auto"/>
              <w:bottom w:val="single" w:sz="4" w:space="0" w:color="auto"/>
              <w:right w:val="single" w:sz="4" w:space="0" w:color="auto"/>
            </w:tcBorders>
          </w:tcPr>
          <w:p w14:paraId="1FAD17A6" w14:textId="699615AF" w:rsidR="00055A77" w:rsidRDefault="00055A77" w:rsidP="00055A77">
            <w:pPr>
              <w:tabs>
                <w:tab w:val="left" w:pos="851"/>
              </w:tabs>
              <w:ind w:left="-80" w:right="-87"/>
              <w:jc w:val="center"/>
              <w:rPr>
                <w:rFonts w:ascii="Times New Roman" w:hAnsi="Times New Roman"/>
                <w:sz w:val="24"/>
                <w:szCs w:val="24"/>
                <w:lang w:val="kk-KZ"/>
              </w:rPr>
            </w:pPr>
            <w:r>
              <w:rPr>
                <w:rFonts w:ascii="Times New Roman" w:hAnsi="Times New Roman"/>
                <w:sz w:val="24"/>
                <w:szCs w:val="24"/>
                <w:lang w:val="kk-KZ"/>
              </w:rPr>
              <w:t>АШМ мен жергілікті атқарушы орган арасындағы ведомствоаралық өзара әрекеттерінің жеткіліксіз деңгейі, жұмыс сапасының төмендігі</w:t>
            </w:r>
          </w:p>
        </w:tc>
      </w:tr>
      <w:tr w:rsidR="00055A77" w:rsidRPr="00805B3E" w14:paraId="478769FC" w14:textId="77777777" w:rsidTr="00055A77">
        <w:tblPrEx>
          <w:jc w:val="left"/>
        </w:tblPrEx>
        <w:tc>
          <w:tcPr>
            <w:tcW w:w="9498" w:type="dxa"/>
            <w:tcBorders>
              <w:top w:val="single" w:sz="4" w:space="0" w:color="auto"/>
              <w:left w:val="single" w:sz="4" w:space="0" w:color="auto"/>
              <w:bottom w:val="single" w:sz="4" w:space="0" w:color="auto"/>
              <w:right w:val="single" w:sz="4" w:space="0" w:color="auto"/>
            </w:tcBorders>
          </w:tcPr>
          <w:p w14:paraId="623C8A02" w14:textId="3DCAC593" w:rsidR="00055A77" w:rsidRDefault="00055A77" w:rsidP="00055A77">
            <w:pPr>
              <w:tabs>
                <w:tab w:val="left" w:pos="851"/>
              </w:tabs>
              <w:jc w:val="center"/>
              <w:rPr>
                <w:rFonts w:ascii="Times New Roman" w:hAnsi="Times New Roman" w:cs="Times New Roman"/>
                <w:sz w:val="24"/>
                <w:szCs w:val="24"/>
                <w:lang w:val="kk-KZ"/>
              </w:rPr>
            </w:pPr>
            <w:r>
              <w:rPr>
                <w:rFonts w:ascii="Times New Roman" w:hAnsi="Times New Roman"/>
                <w:sz w:val="24"/>
                <w:szCs w:val="24"/>
                <w:lang w:val="kk-KZ"/>
              </w:rPr>
              <w:t>АШМ, жергілікті атқарушы органдар, Ұлттық экономика министрлігінің Статистика комитеті арасындағы өзара әрекетінде проблемалар болуы</w:t>
            </w:r>
          </w:p>
        </w:tc>
      </w:tr>
      <w:tr w:rsidR="00055A77" w:rsidRPr="00805B3E" w14:paraId="16230070" w14:textId="77777777" w:rsidTr="00055A77">
        <w:tblPrEx>
          <w:jc w:val="left"/>
        </w:tblPrEx>
        <w:tc>
          <w:tcPr>
            <w:tcW w:w="9498" w:type="dxa"/>
          </w:tcPr>
          <w:p w14:paraId="0CC25426" w14:textId="2D098241" w:rsidR="00055A77" w:rsidRDefault="00055A77" w:rsidP="00055A77">
            <w:pPr>
              <w:tabs>
                <w:tab w:val="left" w:pos="851"/>
              </w:tabs>
              <w:jc w:val="center"/>
              <w:rPr>
                <w:rFonts w:ascii="Times New Roman" w:hAnsi="Times New Roman"/>
                <w:sz w:val="24"/>
                <w:szCs w:val="24"/>
                <w:lang w:val="kk-KZ"/>
              </w:rPr>
            </w:pPr>
            <w:r>
              <w:rPr>
                <w:rFonts w:ascii="Times New Roman" w:hAnsi="Times New Roman"/>
                <w:sz w:val="24"/>
                <w:szCs w:val="24"/>
                <w:lang w:val="kk-KZ"/>
              </w:rPr>
              <w:t>АШМ, Индустриалдық дамыту министрілігі, «Атамекен» ҚР Ұлттық кәсіпкерлер палатасы ведомстволық өзара іс-қимылдың жеткіліксіз деңгейі</w:t>
            </w:r>
          </w:p>
        </w:tc>
      </w:tr>
    </w:tbl>
    <w:p w14:paraId="479AD7DD" w14:textId="26A5B1DC" w:rsidR="002365B2" w:rsidRDefault="00013321" w:rsidP="00013321">
      <w:pPr>
        <w:pStyle w:val="a5"/>
        <w:widowControl w:val="0"/>
        <w:tabs>
          <w:tab w:val="left" w:pos="851"/>
          <w:tab w:val="left" w:pos="993"/>
        </w:tabs>
        <w:spacing w:after="0" w:line="240" w:lineRule="auto"/>
        <w:ind w:left="0"/>
        <w:jc w:val="center"/>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Сурет 16 – ҚР 2017-2021 жж. АӨК дамытуға бағытталған бюджет қаражатының тиімділік аудиті бойынша оны тиімсіз пайдаланудың негізгі себептері, парақ 1</w:t>
      </w:r>
    </w:p>
    <w:tbl>
      <w:tblPr>
        <w:tblStyle w:val="a3"/>
        <w:tblW w:w="9498" w:type="dxa"/>
        <w:tblInd w:w="108" w:type="dxa"/>
        <w:tblLook w:val="04A0" w:firstRow="1" w:lastRow="0" w:firstColumn="1" w:lastColumn="0" w:noHBand="0" w:noVBand="1"/>
      </w:tblPr>
      <w:tblGrid>
        <w:gridCol w:w="9498"/>
      </w:tblGrid>
      <w:tr w:rsidR="00013321" w:rsidRPr="00805B3E" w14:paraId="0C0EF425" w14:textId="77777777" w:rsidTr="00013321">
        <w:tc>
          <w:tcPr>
            <w:tcW w:w="9498" w:type="dxa"/>
            <w:hideMark/>
          </w:tcPr>
          <w:p w14:paraId="1A500CFD" w14:textId="77777777" w:rsidR="00013321" w:rsidRDefault="00013321">
            <w:pPr>
              <w:tabs>
                <w:tab w:val="left" w:pos="851"/>
              </w:tabs>
              <w:jc w:val="center"/>
              <w:rPr>
                <w:rFonts w:ascii="Times New Roman" w:hAnsi="Times New Roman"/>
                <w:sz w:val="24"/>
                <w:szCs w:val="24"/>
                <w:lang w:val="kk-KZ"/>
              </w:rPr>
            </w:pPr>
            <w:r>
              <w:rPr>
                <w:rFonts w:ascii="Times New Roman" w:hAnsi="Times New Roman"/>
                <w:sz w:val="24"/>
                <w:szCs w:val="24"/>
                <w:lang w:val="kk-KZ"/>
              </w:rPr>
              <w:t>Жобаларды іске асыруда техникалық-экономикалық негіздердің, жобалық-сметалық құжаттаманың болмауы, дер кезінде нормативті-құқықтық актілерге өзгеріс енгізілмеуі</w:t>
            </w:r>
          </w:p>
        </w:tc>
      </w:tr>
      <w:tr w:rsidR="00013321" w:rsidRPr="00805B3E" w14:paraId="34507E42" w14:textId="77777777" w:rsidTr="00013321">
        <w:tc>
          <w:tcPr>
            <w:tcW w:w="9498" w:type="dxa"/>
            <w:hideMark/>
          </w:tcPr>
          <w:p w14:paraId="34B8E5B1" w14:textId="77777777" w:rsidR="00013321" w:rsidRDefault="00013321">
            <w:pPr>
              <w:tabs>
                <w:tab w:val="left" w:pos="851"/>
              </w:tabs>
              <w:jc w:val="center"/>
              <w:rPr>
                <w:rFonts w:ascii="Times New Roman" w:hAnsi="Times New Roman"/>
                <w:sz w:val="24"/>
                <w:szCs w:val="24"/>
                <w:lang w:val="kk-KZ"/>
              </w:rPr>
            </w:pPr>
            <w:r>
              <w:rPr>
                <w:rFonts w:ascii="Times New Roman" w:hAnsi="Times New Roman"/>
                <w:sz w:val="24"/>
                <w:szCs w:val="24"/>
                <w:lang w:val="kk-KZ"/>
              </w:rPr>
              <w:t>ауыл шаруашылығы саласына тікелей инвестициялар тарту үшін қабылданған іс-шаралар мен нормативтік-құқықтық базаның болмауы</w:t>
            </w:r>
          </w:p>
        </w:tc>
      </w:tr>
      <w:tr w:rsidR="00013321" w:rsidRPr="00805B3E" w14:paraId="54C9D9B1" w14:textId="77777777" w:rsidTr="00013321">
        <w:tc>
          <w:tcPr>
            <w:tcW w:w="9498" w:type="dxa"/>
            <w:hideMark/>
          </w:tcPr>
          <w:p w14:paraId="0F088458" w14:textId="77777777" w:rsidR="00013321" w:rsidRDefault="00013321">
            <w:pPr>
              <w:tabs>
                <w:tab w:val="left" w:pos="851"/>
              </w:tabs>
              <w:jc w:val="center"/>
              <w:rPr>
                <w:rFonts w:ascii="Times New Roman" w:hAnsi="Times New Roman"/>
                <w:sz w:val="24"/>
                <w:szCs w:val="24"/>
                <w:lang w:val="kk-KZ"/>
              </w:rPr>
            </w:pPr>
            <w:r>
              <w:rPr>
                <w:rFonts w:ascii="Times New Roman" w:hAnsi="Times New Roman"/>
                <w:sz w:val="24"/>
                <w:szCs w:val="24"/>
                <w:lang w:val="kk-KZ"/>
              </w:rPr>
              <w:t>мемлекеттік тапсырыс конкурстарын өткізу уақытының ұзақтығы</w:t>
            </w:r>
          </w:p>
        </w:tc>
      </w:tr>
      <w:tr w:rsidR="00013321" w:rsidRPr="00805B3E" w14:paraId="50AC481A" w14:textId="77777777" w:rsidTr="00013321">
        <w:tc>
          <w:tcPr>
            <w:tcW w:w="9498" w:type="dxa"/>
            <w:hideMark/>
          </w:tcPr>
          <w:p w14:paraId="5EB13E34" w14:textId="77777777" w:rsidR="00013321" w:rsidRDefault="00013321">
            <w:pPr>
              <w:tabs>
                <w:tab w:val="left" w:pos="851"/>
              </w:tabs>
              <w:jc w:val="center"/>
              <w:rPr>
                <w:rFonts w:ascii="Times New Roman" w:eastAsia="Times New Roman" w:hAnsi="Times New Roman"/>
                <w:kern w:val="36"/>
                <w:sz w:val="24"/>
                <w:szCs w:val="24"/>
                <w:lang w:val="kk-KZ" w:eastAsia="ru-RU"/>
              </w:rPr>
            </w:pPr>
            <w:r>
              <w:rPr>
                <w:rFonts w:ascii="Times New Roman" w:hAnsi="Times New Roman"/>
                <w:sz w:val="24"/>
                <w:szCs w:val="24"/>
                <w:lang w:val="kk-KZ"/>
              </w:rPr>
              <w:t>субсидия алушылардың міндеттеме нысаны бекітілмеуі</w:t>
            </w:r>
          </w:p>
        </w:tc>
      </w:tr>
      <w:tr w:rsidR="00013321" w:rsidRPr="00805B3E" w14:paraId="2CE54DD7" w14:textId="77777777" w:rsidTr="00013321">
        <w:tc>
          <w:tcPr>
            <w:tcW w:w="9498" w:type="dxa"/>
            <w:hideMark/>
          </w:tcPr>
          <w:p w14:paraId="7C56E6E8" w14:textId="77777777" w:rsidR="00013321" w:rsidRDefault="00013321">
            <w:pPr>
              <w:tabs>
                <w:tab w:val="left" w:pos="851"/>
              </w:tabs>
              <w:jc w:val="center"/>
              <w:rPr>
                <w:rFonts w:ascii="Times New Roman" w:eastAsia="Times New Roman" w:hAnsi="Times New Roman"/>
                <w:kern w:val="36"/>
                <w:sz w:val="24"/>
                <w:szCs w:val="24"/>
                <w:lang w:val="kk-KZ" w:eastAsia="ru-RU"/>
              </w:rPr>
            </w:pPr>
            <w:r>
              <w:rPr>
                <w:rFonts w:ascii="Times New Roman" w:hAnsi="Times New Roman"/>
                <w:sz w:val="24"/>
                <w:szCs w:val="24"/>
                <w:lang w:val="kk-KZ"/>
              </w:rPr>
              <w:t>субсидиялау нәтижелілігін есепке алу механизмінің болмауы</w:t>
            </w:r>
          </w:p>
        </w:tc>
      </w:tr>
      <w:tr w:rsidR="00013321" w:rsidRPr="00805B3E" w14:paraId="254116E2" w14:textId="77777777" w:rsidTr="00013321">
        <w:tc>
          <w:tcPr>
            <w:tcW w:w="9498" w:type="dxa"/>
            <w:hideMark/>
          </w:tcPr>
          <w:p w14:paraId="73E7F8CF" w14:textId="77777777" w:rsidR="00013321" w:rsidRDefault="00013321">
            <w:pPr>
              <w:tabs>
                <w:tab w:val="left" w:pos="851"/>
              </w:tabs>
              <w:ind w:left="-80"/>
              <w:jc w:val="center"/>
              <w:rPr>
                <w:rFonts w:ascii="Times New Roman" w:hAnsi="Times New Roman"/>
                <w:sz w:val="24"/>
                <w:szCs w:val="24"/>
                <w:lang w:val="kk-KZ"/>
              </w:rPr>
            </w:pPr>
            <w:r>
              <w:rPr>
                <w:rFonts w:ascii="Times New Roman" w:eastAsia="Times New Roman" w:hAnsi="Times New Roman"/>
                <w:kern w:val="36"/>
                <w:sz w:val="24"/>
                <w:szCs w:val="24"/>
                <w:lang w:val="kk-KZ" w:eastAsia="ru-RU"/>
              </w:rPr>
              <w:t>субсидия алушылармен тікелей жеткізілген нәтижелері бойынша мониторинг жүргізілмеуі</w:t>
            </w:r>
          </w:p>
        </w:tc>
      </w:tr>
      <w:tr w:rsidR="00013321" w:rsidRPr="00805B3E" w14:paraId="2194B142" w14:textId="77777777" w:rsidTr="00013321">
        <w:tc>
          <w:tcPr>
            <w:tcW w:w="9498" w:type="dxa"/>
            <w:hideMark/>
          </w:tcPr>
          <w:p w14:paraId="4D17B557" w14:textId="77777777" w:rsidR="00013321" w:rsidRDefault="00013321">
            <w:pPr>
              <w:tabs>
                <w:tab w:val="left" w:pos="851"/>
              </w:tabs>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субсидияларды субсидия алушыларға бөлу әділетсіздігі</w:t>
            </w:r>
          </w:p>
        </w:tc>
      </w:tr>
      <w:tr w:rsidR="00013321" w:rsidRPr="00805B3E" w14:paraId="05088FB0" w14:textId="77777777" w:rsidTr="00013321">
        <w:tc>
          <w:tcPr>
            <w:tcW w:w="9498" w:type="dxa"/>
            <w:hideMark/>
          </w:tcPr>
          <w:p w14:paraId="606104F8" w14:textId="77777777" w:rsidR="00013321" w:rsidRDefault="00013321">
            <w:pPr>
              <w:tabs>
                <w:tab w:val="left" w:pos="851"/>
              </w:tabs>
              <w:jc w:val="center"/>
              <w:rPr>
                <w:rFonts w:ascii="Times New Roman" w:eastAsia="Times New Roman" w:hAnsi="Times New Roman"/>
                <w:kern w:val="36"/>
                <w:sz w:val="24"/>
                <w:szCs w:val="24"/>
                <w:lang w:val="kk-KZ" w:eastAsia="ru-RU"/>
              </w:rPr>
            </w:pPr>
            <w:r>
              <w:rPr>
                <w:rFonts w:ascii="Times New Roman" w:hAnsi="Times New Roman"/>
                <w:sz w:val="24"/>
                <w:szCs w:val="24"/>
                <w:lang w:val="kk-KZ"/>
              </w:rPr>
              <w:t>бюджеттік бағдарламалар мақсатының қаншалықты тиімді екенін бағалау үшін нақты тікелей көрсеткіштердің болмауы</w:t>
            </w:r>
          </w:p>
        </w:tc>
      </w:tr>
      <w:tr w:rsidR="00013321" w:rsidRPr="00805B3E" w14:paraId="3D8849DE" w14:textId="77777777" w:rsidTr="00013321">
        <w:tc>
          <w:tcPr>
            <w:tcW w:w="9498" w:type="dxa"/>
            <w:hideMark/>
          </w:tcPr>
          <w:p w14:paraId="347D1480" w14:textId="77777777" w:rsidR="00013321" w:rsidRDefault="00013321">
            <w:pPr>
              <w:tabs>
                <w:tab w:val="left" w:pos="851"/>
              </w:tabs>
              <w:jc w:val="center"/>
              <w:rPr>
                <w:rFonts w:ascii="Times New Roman" w:eastAsia="Times New Roman" w:hAnsi="Times New Roman"/>
                <w:kern w:val="36"/>
                <w:sz w:val="24"/>
                <w:szCs w:val="24"/>
                <w:lang w:val="kk-KZ" w:eastAsia="ru-RU"/>
              </w:rPr>
            </w:pPr>
            <w:r>
              <w:rPr>
                <w:rFonts w:ascii="Times New Roman" w:hAnsi="Times New Roman"/>
                <w:sz w:val="24"/>
                <w:szCs w:val="24"/>
                <w:lang w:val="kk-KZ"/>
              </w:rPr>
              <w:t>мемлекеттік қолдау нақты жағдайға емес қалған қаражатқа қарай қолдау көрсету қағидасына негізделген</w:t>
            </w:r>
          </w:p>
        </w:tc>
      </w:tr>
      <w:tr w:rsidR="00013321" w14:paraId="370A11CB" w14:textId="77777777" w:rsidTr="00013321">
        <w:tc>
          <w:tcPr>
            <w:tcW w:w="9498" w:type="dxa"/>
            <w:hideMark/>
          </w:tcPr>
          <w:p w14:paraId="30869B8C" w14:textId="77777777" w:rsidR="00013321" w:rsidRDefault="00013321">
            <w:pPr>
              <w:tabs>
                <w:tab w:val="left" w:pos="851"/>
              </w:tabs>
              <w:jc w:val="center"/>
              <w:rPr>
                <w:rFonts w:ascii="Times New Roman" w:hAnsi="Times New Roman"/>
                <w:sz w:val="24"/>
                <w:szCs w:val="24"/>
                <w:lang w:val="kk-KZ"/>
              </w:rPr>
            </w:pPr>
            <w:r>
              <w:rPr>
                <w:rFonts w:ascii="Times New Roman" w:hAnsi="Times New Roman"/>
                <w:sz w:val="24"/>
                <w:szCs w:val="24"/>
                <w:lang w:val="kk-KZ"/>
              </w:rPr>
              <w:t>міндеттерді орындауға шаралардың бекітілмеуі</w:t>
            </w:r>
          </w:p>
        </w:tc>
      </w:tr>
      <w:tr w:rsidR="00013321" w14:paraId="36F5DF8D" w14:textId="77777777" w:rsidTr="00013321">
        <w:tc>
          <w:tcPr>
            <w:tcW w:w="9498" w:type="dxa"/>
            <w:hideMark/>
          </w:tcPr>
          <w:p w14:paraId="18595A9C" w14:textId="77777777" w:rsidR="00013321" w:rsidRDefault="00013321">
            <w:pPr>
              <w:tabs>
                <w:tab w:val="left" w:pos="851"/>
              </w:tabs>
              <w:jc w:val="center"/>
              <w:rPr>
                <w:rFonts w:ascii="Times New Roman" w:hAnsi="Times New Roman"/>
                <w:sz w:val="24"/>
                <w:szCs w:val="24"/>
                <w:lang w:val="kk-KZ"/>
              </w:rPr>
            </w:pPr>
            <w:r>
              <w:rPr>
                <w:rFonts w:ascii="Times New Roman" w:hAnsi="Times New Roman"/>
                <w:sz w:val="24"/>
                <w:szCs w:val="24"/>
                <w:lang w:val="kk-KZ"/>
              </w:rPr>
              <w:t>АӨК саласындағы дайындаушы ұйымдарды аккредиттеу қағидаларында тізімді құру және олардан алып тастау тәртібі келтірілмеген</w:t>
            </w:r>
          </w:p>
        </w:tc>
      </w:tr>
      <w:tr w:rsidR="00C80BF1" w:rsidRPr="00005151" w14:paraId="6425DFB0" w14:textId="77777777" w:rsidTr="00013321">
        <w:tc>
          <w:tcPr>
            <w:tcW w:w="9498" w:type="dxa"/>
            <w:tcBorders>
              <w:top w:val="single" w:sz="4" w:space="0" w:color="auto"/>
              <w:left w:val="single" w:sz="4" w:space="0" w:color="auto"/>
              <w:bottom w:val="single" w:sz="4" w:space="0" w:color="auto"/>
            </w:tcBorders>
          </w:tcPr>
          <w:p w14:paraId="210F5468" w14:textId="71FE398B" w:rsidR="00C80BF1" w:rsidRPr="00457CE9" w:rsidRDefault="00C80BF1"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 xml:space="preserve">егіс алқаптарының құрылымын әртараптандыру ұсынысты сипатта, жергілікті мемлекеттік органдарынан </w:t>
            </w:r>
            <w:r w:rsidR="00013321">
              <w:rPr>
                <w:rFonts w:ascii="Times New Roman" w:hAnsi="Times New Roman"/>
                <w:sz w:val="24"/>
                <w:szCs w:val="24"/>
                <w:lang w:val="kk-KZ"/>
              </w:rPr>
              <w:t>АШМ</w:t>
            </w:r>
            <w:r w:rsidRPr="00457CE9">
              <w:rPr>
                <w:rFonts w:ascii="Times New Roman" w:hAnsi="Times New Roman"/>
                <w:sz w:val="24"/>
                <w:szCs w:val="24"/>
                <w:lang w:val="kk-KZ"/>
              </w:rPr>
              <w:t xml:space="preserve"> оны орындауды талап ете алмауы, ал жергілікті мемлекеттік органдар кәсіпкерлік қызметке араласуға құқығы жоқ</w:t>
            </w:r>
          </w:p>
        </w:tc>
      </w:tr>
      <w:tr w:rsidR="00C80BF1" w:rsidRPr="00005151" w14:paraId="4400DFC5" w14:textId="77777777" w:rsidTr="00013321">
        <w:tc>
          <w:tcPr>
            <w:tcW w:w="9498" w:type="dxa"/>
            <w:tcBorders>
              <w:top w:val="single" w:sz="4" w:space="0" w:color="auto"/>
              <w:left w:val="single" w:sz="4" w:space="0" w:color="auto"/>
              <w:bottom w:val="single" w:sz="4" w:space="0" w:color="auto"/>
            </w:tcBorders>
          </w:tcPr>
          <w:p w14:paraId="45F430CC" w14:textId="01861526" w:rsidR="00C80BF1" w:rsidRPr="00457CE9" w:rsidRDefault="00C80BF1"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минералды тыңайтқыштарды қолдану көлемінің субсидия азаюымен байланысты төмендеуі</w:t>
            </w:r>
          </w:p>
        </w:tc>
      </w:tr>
      <w:tr w:rsidR="001B239D" w:rsidRPr="00005151" w14:paraId="4653B1D7" w14:textId="77777777" w:rsidTr="00013321">
        <w:tc>
          <w:tcPr>
            <w:tcW w:w="9498" w:type="dxa"/>
            <w:tcBorders>
              <w:top w:val="single" w:sz="4" w:space="0" w:color="auto"/>
              <w:left w:val="single" w:sz="4" w:space="0" w:color="auto"/>
              <w:bottom w:val="single" w:sz="4" w:space="0" w:color="auto"/>
            </w:tcBorders>
          </w:tcPr>
          <w:p w14:paraId="46BFC775" w14:textId="2C01CA57" w:rsidR="001B239D" w:rsidRPr="00841527" w:rsidRDefault="00013321" w:rsidP="00FB37D3">
            <w:pPr>
              <w:tabs>
                <w:tab w:val="left" w:pos="851"/>
              </w:tabs>
              <w:jc w:val="center"/>
              <w:rPr>
                <w:rFonts w:ascii="Times New Roman" w:hAnsi="Times New Roman"/>
                <w:b/>
                <w:bCs/>
                <w:sz w:val="24"/>
                <w:szCs w:val="24"/>
                <w:lang w:val="kk-KZ"/>
              </w:rPr>
            </w:pPr>
            <w:r w:rsidRPr="00841527">
              <w:rPr>
                <w:rFonts w:ascii="Times New Roman" w:hAnsi="Times New Roman"/>
                <w:b/>
                <w:bCs/>
                <w:sz w:val="24"/>
                <w:szCs w:val="24"/>
                <w:lang w:val="kk-KZ"/>
              </w:rPr>
              <w:t>2.АШМ</w:t>
            </w:r>
            <w:r w:rsidR="001B239D" w:rsidRPr="00841527">
              <w:rPr>
                <w:rFonts w:ascii="Times New Roman" w:hAnsi="Times New Roman"/>
                <w:b/>
                <w:bCs/>
                <w:sz w:val="24"/>
                <w:szCs w:val="24"/>
                <w:lang w:val="kk-KZ"/>
              </w:rPr>
              <w:t xml:space="preserve"> қарамағындағы ұйымдар жұмысы сапасының төмендігін сипаттайтын кемшіліктер</w:t>
            </w:r>
          </w:p>
        </w:tc>
      </w:tr>
      <w:tr w:rsidR="001B239D" w:rsidRPr="00005151" w14:paraId="39AA7068" w14:textId="77777777" w:rsidTr="00013321">
        <w:tc>
          <w:tcPr>
            <w:tcW w:w="9498" w:type="dxa"/>
            <w:tcBorders>
              <w:top w:val="single" w:sz="4" w:space="0" w:color="auto"/>
              <w:left w:val="single" w:sz="4" w:space="0" w:color="auto"/>
              <w:bottom w:val="single" w:sz="4" w:space="0" w:color="auto"/>
            </w:tcBorders>
            <w:hideMark/>
          </w:tcPr>
          <w:p w14:paraId="13DA52E2" w14:textId="77777777"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квазимемлекеттік сектор субъектілерінің қолма қол ақша бақылау шотында үлкен сомалар қалдығы</w:t>
            </w:r>
          </w:p>
        </w:tc>
      </w:tr>
      <w:tr w:rsidR="001B239D" w:rsidRPr="00005151" w14:paraId="5A15B5AE" w14:textId="77777777" w:rsidTr="00013321">
        <w:tc>
          <w:tcPr>
            <w:tcW w:w="9498" w:type="dxa"/>
            <w:tcBorders>
              <w:top w:val="single" w:sz="4" w:space="0" w:color="auto"/>
              <w:left w:val="single" w:sz="4" w:space="0" w:color="auto"/>
              <w:bottom w:val="single" w:sz="4" w:space="0" w:color="auto"/>
            </w:tcBorders>
            <w:hideMark/>
          </w:tcPr>
          <w:p w14:paraId="5AA72A7C" w14:textId="77777777"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АӨК дамыту мақсатында несиелеуді іске асыратын операторлар инвестициялық жобаларды қаржыландыруды оның төлем қаблеттілігі, салым құрамына қарай мақұлдау немесе бас тартуды дербес шешеді, сондықтан несиелеуге бөлінген қаржыны игерудің төмен деңгейі байқалады</w:t>
            </w:r>
          </w:p>
        </w:tc>
      </w:tr>
      <w:tr w:rsidR="001B239D" w:rsidRPr="00457CE9" w14:paraId="0E6B7F1C" w14:textId="77777777" w:rsidTr="00013321">
        <w:tc>
          <w:tcPr>
            <w:tcW w:w="9498" w:type="dxa"/>
            <w:tcBorders>
              <w:top w:val="single" w:sz="4" w:space="0" w:color="auto"/>
              <w:left w:val="single" w:sz="4" w:space="0" w:color="auto"/>
              <w:bottom w:val="single" w:sz="4" w:space="0" w:color="auto"/>
            </w:tcBorders>
            <w:hideMark/>
          </w:tcPr>
          <w:p w14:paraId="0DE7BDDD" w14:textId="77777777"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несиелеу операторларының төмен менеджменті</w:t>
            </w:r>
          </w:p>
        </w:tc>
      </w:tr>
      <w:tr w:rsidR="001B239D" w:rsidRPr="00457CE9" w14:paraId="644AE4A3" w14:textId="77777777" w:rsidTr="00013321">
        <w:tc>
          <w:tcPr>
            <w:tcW w:w="9498" w:type="dxa"/>
            <w:tcBorders>
              <w:top w:val="single" w:sz="4" w:space="0" w:color="auto"/>
              <w:left w:val="single" w:sz="4" w:space="0" w:color="auto"/>
              <w:bottom w:val="single" w:sz="4" w:space="0" w:color="auto"/>
            </w:tcBorders>
            <w:hideMark/>
          </w:tcPr>
          <w:p w14:paraId="4CF81503" w14:textId="6CA46031" w:rsidR="001B239D" w:rsidRPr="00055A77" w:rsidRDefault="001B239D" w:rsidP="001B239D">
            <w:pPr>
              <w:tabs>
                <w:tab w:val="left" w:pos="851"/>
              </w:tabs>
              <w:ind w:left="-94" w:right="-101"/>
              <w:jc w:val="center"/>
              <w:rPr>
                <w:rFonts w:ascii="Times New Roman" w:hAnsi="Times New Roman"/>
                <w:sz w:val="24"/>
                <w:szCs w:val="24"/>
                <w:lang w:val="kk-KZ"/>
              </w:rPr>
            </w:pPr>
            <w:r w:rsidRPr="00457CE9">
              <w:rPr>
                <w:rFonts w:ascii="Times New Roman" w:hAnsi="Times New Roman"/>
                <w:sz w:val="24"/>
                <w:szCs w:val="24"/>
                <w:lang w:val="kk-KZ"/>
              </w:rPr>
              <w:t>екінші деңгейлі банктер тәуекелі жоғары ауыл шаруашылық саласын несиелеуге дайын емес</w:t>
            </w:r>
            <w:r w:rsidR="00055A77">
              <w:rPr>
                <w:rFonts w:ascii="Times New Roman" w:hAnsi="Times New Roman"/>
                <w:sz w:val="24"/>
                <w:szCs w:val="24"/>
                <w:lang w:val="kk-KZ"/>
              </w:rPr>
              <w:t>тігі</w:t>
            </w:r>
          </w:p>
        </w:tc>
      </w:tr>
      <w:tr w:rsidR="001B239D" w:rsidRPr="00457CE9" w14:paraId="26C8C84D" w14:textId="77777777" w:rsidTr="00013321">
        <w:tc>
          <w:tcPr>
            <w:tcW w:w="9498" w:type="dxa"/>
            <w:tcBorders>
              <w:top w:val="single" w:sz="4" w:space="0" w:color="auto"/>
              <w:left w:val="single" w:sz="4" w:space="0" w:color="auto"/>
              <w:bottom w:val="single" w:sz="4" w:space="0" w:color="auto"/>
            </w:tcBorders>
            <w:hideMark/>
          </w:tcPr>
          <w:p w14:paraId="2832252C" w14:textId="77777777"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несиелеу механизмдерінің икемсіздігі</w:t>
            </w:r>
          </w:p>
        </w:tc>
      </w:tr>
      <w:tr w:rsidR="001B239D" w:rsidRPr="00457CE9" w14:paraId="7612FE3E" w14:textId="77777777" w:rsidTr="00013321">
        <w:tc>
          <w:tcPr>
            <w:tcW w:w="9498" w:type="dxa"/>
            <w:tcBorders>
              <w:top w:val="single" w:sz="4" w:space="0" w:color="auto"/>
              <w:left w:val="single" w:sz="4" w:space="0" w:color="auto"/>
              <w:bottom w:val="single" w:sz="4" w:space="0" w:color="auto"/>
            </w:tcBorders>
          </w:tcPr>
          <w:p w14:paraId="7FB8F81A" w14:textId="3A965C65"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АШМ көрсеткіштердің орындалуы туралы шынайы емес ақпарат бер</w:t>
            </w:r>
            <w:r w:rsidR="00055A77">
              <w:rPr>
                <w:rFonts w:ascii="Times New Roman" w:hAnsi="Times New Roman"/>
                <w:sz w:val="24"/>
                <w:szCs w:val="24"/>
                <w:lang w:val="kk-KZ"/>
              </w:rPr>
              <w:t>іл</w:t>
            </w:r>
            <w:r w:rsidRPr="00457CE9">
              <w:rPr>
                <w:rFonts w:ascii="Times New Roman" w:hAnsi="Times New Roman"/>
                <w:sz w:val="24"/>
                <w:szCs w:val="24"/>
                <w:lang w:val="kk-KZ"/>
              </w:rPr>
              <w:t>уі</w:t>
            </w:r>
          </w:p>
        </w:tc>
      </w:tr>
      <w:tr w:rsidR="001B239D" w:rsidRPr="00457CE9" w14:paraId="7F117147" w14:textId="77777777" w:rsidTr="00013321">
        <w:tc>
          <w:tcPr>
            <w:tcW w:w="9498" w:type="dxa"/>
            <w:tcBorders>
              <w:top w:val="single" w:sz="4" w:space="0" w:color="auto"/>
              <w:left w:val="single" w:sz="4" w:space="0" w:color="auto"/>
              <w:bottom w:val="single" w:sz="4" w:space="0" w:color="auto"/>
            </w:tcBorders>
          </w:tcPr>
          <w:p w14:paraId="51B09A04" w14:textId="2BE2B716" w:rsidR="001B239D" w:rsidRPr="00841527" w:rsidRDefault="00013321" w:rsidP="00FB37D3">
            <w:pPr>
              <w:tabs>
                <w:tab w:val="left" w:pos="851"/>
              </w:tabs>
              <w:jc w:val="center"/>
              <w:rPr>
                <w:rFonts w:ascii="Times New Roman" w:hAnsi="Times New Roman"/>
                <w:b/>
                <w:bCs/>
                <w:sz w:val="24"/>
                <w:szCs w:val="24"/>
                <w:lang w:val="kk-KZ"/>
              </w:rPr>
            </w:pPr>
            <w:r w:rsidRPr="00841527">
              <w:rPr>
                <w:rFonts w:ascii="Times New Roman" w:hAnsi="Times New Roman"/>
                <w:b/>
                <w:bCs/>
                <w:sz w:val="24"/>
                <w:szCs w:val="24"/>
                <w:lang w:val="kk-KZ"/>
              </w:rPr>
              <w:t>3.</w:t>
            </w:r>
            <w:r w:rsidR="001B239D" w:rsidRPr="00841527">
              <w:rPr>
                <w:rFonts w:ascii="Times New Roman" w:hAnsi="Times New Roman"/>
                <w:b/>
                <w:bCs/>
                <w:sz w:val="24"/>
                <w:szCs w:val="24"/>
                <w:lang w:val="kk-KZ"/>
              </w:rPr>
              <w:t>АӨК дамытуға кері әсерін тигізетін сыртқы факторлар</w:t>
            </w:r>
          </w:p>
        </w:tc>
      </w:tr>
      <w:tr w:rsidR="001B239D" w:rsidRPr="00457CE9" w14:paraId="683CA244" w14:textId="77777777" w:rsidTr="00013321">
        <w:tc>
          <w:tcPr>
            <w:tcW w:w="9498" w:type="dxa"/>
          </w:tcPr>
          <w:p w14:paraId="5B33AB39" w14:textId="77777777"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шетелдік жабдықтаушылармен жоғары бәсекелестік</w:t>
            </w:r>
          </w:p>
        </w:tc>
      </w:tr>
      <w:tr w:rsidR="001B239D" w:rsidRPr="00457CE9" w14:paraId="58AFC8F7" w14:textId="77777777" w:rsidTr="00013321">
        <w:tc>
          <w:tcPr>
            <w:tcW w:w="9498" w:type="dxa"/>
          </w:tcPr>
          <w:p w14:paraId="7929EE81" w14:textId="77777777"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кей өнімдерге сұраныстың төмендеуі</w:t>
            </w:r>
          </w:p>
        </w:tc>
      </w:tr>
      <w:tr w:rsidR="001B239D" w:rsidRPr="00457CE9" w14:paraId="07C4D528" w14:textId="77777777" w:rsidTr="00013321">
        <w:tc>
          <w:tcPr>
            <w:tcW w:w="9498" w:type="dxa"/>
          </w:tcPr>
          <w:p w14:paraId="6ABDA08B" w14:textId="42092280" w:rsidR="001B239D" w:rsidRPr="00457CE9" w:rsidRDefault="001B239D" w:rsidP="00FB37D3">
            <w:pPr>
              <w:tabs>
                <w:tab w:val="left" w:pos="851"/>
              </w:tabs>
              <w:jc w:val="center"/>
              <w:rPr>
                <w:rFonts w:ascii="Times New Roman" w:hAnsi="Times New Roman"/>
                <w:sz w:val="24"/>
                <w:szCs w:val="24"/>
                <w:lang w:val="kk-KZ"/>
              </w:rPr>
            </w:pPr>
            <w:r w:rsidRPr="00457CE9">
              <w:rPr>
                <w:rFonts w:ascii="Times New Roman" w:hAnsi="Times New Roman"/>
                <w:sz w:val="24"/>
                <w:szCs w:val="24"/>
                <w:lang w:val="kk-KZ"/>
              </w:rPr>
              <w:t>әлемдік нарықта бағаның төмендеуі</w:t>
            </w:r>
            <w:r w:rsidR="00013321">
              <w:rPr>
                <w:rFonts w:ascii="Times New Roman" w:hAnsi="Times New Roman"/>
                <w:sz w:val="24"/>
                <w:szCs w:val="24"/>
                <w:lang w:val="kk-KZ"/>
              </w:rPr>
              <w:t>,</w:t>
            </w:r>
            <w:r w:rsidR="00013321" w:rsidRPr="00457CE9">
              <w:rPr>
                <w:rFonts w:ascii="Times New Roman" w:hAnsi="Times New Roman"/>
                <w:sz w:val="24"/>
                <w:szCs w:val="24"/>
                <w:lang w:val="kk-KZ"/>
              </w:rPr>
              <w:t xml:space="preserve"> табиғи климаттық жағдайлар</w:t>
            </w:r>
          </w:p>
        </w:tc>
      </w:tr>
    </w:tbl>
    <w:p w14:paraId="7B953D1B" w14:textId="32FF72CE" w:rsidR="001B239D" w:rsidRPr="001B239D" w:rsidRDefault="001B239D" w:rsidP="00013321">
      <w:pPr>
        <w:pStyle w:val="a5"/>
        <w:widowControl w:val="0"/>
        <w:tabs>
          <w:tab w:val="left" w:pos="851"/>
          <w:tab w:val="left" w:pos="993"/>
        </w:tabs>
        <w:spacing w:after="0" w:line="240" w:lineRule="auto"/>
        <w:ind w:left="0"/>
        <w:jc w:val="center"/>
        <w:rPr>
          <w:rFonts w:ascii="Times New Roman" w:eastAsia="Times New Roman" w:hAnsi="Times New Roman"/>
          <w:kern w:val="36"/>
          <w:sz w:val="28"/>
          <w:szCs w:val="28"/>
          <w:lang w:val="kk-KZ" w:eastAsia="ru-RU"/>
        </w:rPr>
      </w:pPr>
      <w:r w:rsidRPr="001B239D">
        <w:rPr>
          <w:rFonts w:ascii="Times New Roman" w:eastAsia="Times New Roman" w:hAnsi="Times New Roman"/>
          <w:kern w:val="36"/>
          <w:sz w:val="28"/>
          <w:szCs w:val="28"/>
          <w:lang w:val="kk-KZ" w:eastAsia="ru-RU"/>
        </w:rPr>
        <w:t xml:space="preserve">Сурет </w:t>
      </w:r>
      <w:r>
        <w:rPr>
          <w:rFonts w:ascii="Times New Roman" w:eastAsia="Times New Roman" w:hAnsi="Times New Roman"/>
          <w:kern w:val="36"/>
          <w:sz w:val="28"/>
          <w:szCs w:val="28"/>
          <w:lang w:val="kk-KZ" w:eastAsia="ru-RU"/>
        </w:rPr>
        <w:t>16, парақ 2</w:t>
      </w:r>
    </w:p>
    <w:p w14:paraId="40A5FB81" w14:textId="22D82DE8" w:rsidR="002365B2" w:rsidRDefault="002365B2" w:rsidP="00013321">
      <w:pPr>
        <w:pStyle w:val="a5"/>
        <w:widowControl w:val="0"/>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1B239D">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w:t>
      </w:r>
      <w:r w:rsidRPr="00457CE9">
        <w:rPr>
          <w:rFonts w:ascii="Times New Roman" w:eastAsiaTheme="minorEastAsia" w:hAnsi="Times New Roman"/>
          <w:kern w:val="36"/>
          <w:sz w:val="24"/>
          <w:szCs w:val="24"/>
          <w:lang w:val="kk-KZ" w:eastAsia="zh-CN"/>
        </w:rPr>
        <w:t xml:space="preserve"> </w:t>
      </w:r>
      <w:r w:rsidR="00AA4EAE">
        <w:rPr>
          <w:rFonts w:ascii="Times New Roman" w:eastAsiaTheme="minorEastAsia" w:hAnsi="Times New Roman"/>
          <w:kern w:val="36"/>
          <w:sz w:val="24"/>
          <w:szCs w:val="24"/>
          <w:lang w:val="kk-KZ" w:eastAsia="zh-CN"/>
        </w:rPr>
        <w:t>[52]</w:t>
      </w:r>
    </w:p>
    <w:p w14:paraId="41370362" w14:textId="77777777" w:rsidR="004330E8" w:rsidRDefault="004330E8" w:rsidP="004B0187">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6FF19646" w14:textId="29EDAD02" w:rsidR="004B0187" w:rsidRDefault="004B0187" w:rsidP="004B0187">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1</w:t>
      </w:r>
      <w:r>
        <w:rPr>
          <w:rFonts w:ascii="Times New Roman" w:eastAsia="Times New Roman" w:hAnsi="Times New Roman"/>
          <w:kern w:val="36"/>
          <w:sz w:val="28"/>
          <w:szCs w:val="28"/>
          <w:lang w:val="kk-KZ" w:eastAsia="ru-RU"/>
        </w:rPr>
        <w:t>7</w:t>
      </w:r>
      <w:r w:rsidRPr="00457CE9">
        <w:rPr>
          <w:rFonts w:ascii="Times New Roman" w:eastAsia="Times New Roman" w:hAnsi="Times New Roman"/>
          <w:kern w:val="36"/>
          <w:sz w:val="28"/>
          <w:szCs w:val="28"/>
          <w:lang w:val="kk-KZ" w:eastAsia="ru-RU"/>
        </w:rPr>
        <w:t>-суретте</w:t>
      </w:r>
      <w:r>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w:t>
      </w:r>
      <w:r w:rsidR="00093D19">
        <w:rPr>
          <w:rFonts w:ascii="Times New Roman" w:eastAsia="Times New Roman" w:hAnsi="Times New Roman"/>
          <w:kern w:val="36"/>
          <w:sz w:val="28"/>
          <w:szCs w:val="28"/>
          <w:lang w:val="kk-KZ" w:eastAsia="ru-RU"/>
        </w:rPr>
        <w:t xml:space="preserve">жүрзігілген зерттеулер негізінде </w:t>
      </w:r>
      <w:r w:rsidRPr="00457CE9">
        <w:rPr>
          <w:rFonts w:ascii="Times New Roman" w:eastAsia="Times New Roman" w:hAnsi="Times New Roman"/>
          <w:kern w:val="36"/>
          <w:sz w:val="28"/>
          <w:szCs w:val="28"/>
          <w:lang w:val="kk-KZ" w:eastAsia="ru-RU"/>
        </w:rPr>
        <w:t xml:space="preserve">ҚР </w:t>
      </w:r>
      <w:r w:rsidR="00575788">
        <w:rPr>
          <w:rFonts w:ascii="Times New Roman" w:eastAsia="Times New Roman" w:hAnsi="Times New Roman"/>
          <w:kern w:val="36"/>
          <w:sz w:val="28"/>
          <w:szCs w:val="28"/>
          <w:lang w:val="kk-KZ" w:eastAsia="ru-RU"/>
        </w:rPr>
        <w:t>АӨК-н</w:t>
      </w:r>
      <w:r w:rsidRPr="00457CE9">
        <w:rPr>
          <w:rFonts w:ascii="Times New Roman" w:eastAsia="Times New Roman" w:hAnsi="Times New Roman"/>
          <w:kern w:val="36"/>
          <w:sz w:val="28"/>
          <w:szCs w:val="28"/>
          <w:lang w:val="kk-KZ" w:eastAsia="ru-RU"/>
        </w:rPr>
        <w:t xml:space="preserve"> 2017-2021 жж. дамытуға бағытталған бюджет қаражатын пайдаланудың жүргізілген мемлекеттік аудит нәтижелері негізінде </w:t>
      </w:r>
      <w:r w:rsidR="00093D19">
        <w:rPr>
          <w:rFonts w:ascii="Times New Roman" w:eastAsia="Times New Roman" w:hAnsi="Times New Roman"/>
          <w:kern w:val="36"/>
          <w:sz w:val="28"/>
          <w:szCs w:val="28"/>
          <w:lang w:val="kk-KZ" w:eastAsia="ru-RU"/>
        </w:rPr>
        <w:t xml:space="preserve">біздің ойымызша </w:t>
      </w:r>
      <w:r w:rsidRPr="00457CE9">
        <w:rPr>
          <w:rFonts w:ascii="Times New Roman" w:eastAsia="Times New Roman" w:hAnsi="Times New Roman"/>
          <w:kern w:val="36"/>
          <w:sz w:val="28"/>
          <w:szCs w:val="28"/>
          <w:lang w:val="kk-KZ" w:eastAsia="ru-RU"/>
        </w:rPr>
        <w:t>бюджет қаражатын пайдалану тиімділігі төмен деген қорытынды жасау нәтижелері келтірілген.</w:t>
      </w:r>
      <w:r w:rsidR="00093D19">
        <w:rPr>
          <w:rFonts w:ascii="Times New Roman" w:eastAsia="Times New Roman" w:hAnsi="Times New Roman"/>
          <w:kern w:val="36"/>
          <w:sz w:val="28"/>
          <w:szCs w:val="28"/>
          <w:lang w:val="kk-KZ" w:eastAsia="ru-RU"/>
        </w:rPr>
        <w:t xml:space="preserve"> Алайда аудиторлық есепте нақты аудиторлық пікір келтірілмеген, бұл ақпарат пайдаланушыға есеп нәтижелерін түсінуін қиындаталы деуге болады.</w:t>
      </w:r>
    </w:p>
    <w:p w14:paraId="1701BE46" w14:textId="77777777" w:rsidR="005E24D0" w:rsidRDefault="005E24D0" w:rsidP="005E24D0">
      <w:pPr>
        <w:tabs>
          <w:tab w:val="left" w:pos="851"/>
          <w:tab w:val="left" w:pos="993"/>
        </w:tabs>
        <w:spacing w:after="0" w:line="240" w:lineRule="auto"/>
        <w:ind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 xml:space="preserve">ҚР АӨК дамытуға бағытталған бюджет қаражатын пайдаланудың тиімділік аудиті кезінде жіберілген кемшіліктерді жүйелеу арқылы, себеп салдарын анықтау және оны алып тастау бойынша ұсыныстар жасау ұсынылады. </w:t>
      </w:r>
    </w:p>
    <w:p w14:paraId="3FC353B2" w14:textId="10209BD4"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rFonts w:ascii="Times New Roman" w:hAnsi="Times New Roman"/>
          <w:noProof/>
          <w:sz w:val="24"/>
          <w:szCs w:val="24"/>
          <w:lang w:eastAsia="ru-RU"/>
        </w:rPr>
        <mc:AlternateContent>
          <mc:Choice Requires="wps">
            <w:drawing>
              <wp:anchor distT="0" distB="0" distL="114300" distR="114300" simplePos="0" relativeHeight="252600320" behindDoc="0" locked="0" layoutInCell="1" allowOverlap="1" wp14:anchorId="350DA398" wp14:editId="33B1795A">
                <wp:simplePos x="0" y="0"/>
                <wp:positionH relativeFrom="page">
                  <wp:posOffset>1592581</wp:posOffset>
                </wp:positionH>
                <wp:positionV relativeFrom="paragraph">
                  <wp:posOffset>62230</wp:posOffset>
                </wp:positionV>
                <wp:extent cx="2979420" cy="562610"/>
                <wp:effectExtent l="0" t="0" r="11430" b="27940"/>
                <wp:wrapNone/>
                <wp:docPr id="5889342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9420" cy="5626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749C759"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ҚР-дағы Мемлекеттік жоспарлау жүйесін бекіту туралы қаулысын бұзу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DA398" id="Прямоугольник 45" o:spid="_x0000_s1159" style="position:absolute;left:0;text-align:left;margin-left:125.4pt;margin-top:4.9pt;width:234.6pt;height:44.3pt;z-index:2526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" fillcolor="white [3201]" strokecolor="black [3200]" strokeweight=".25pt">
                <v:path arrowok="t"/>
                <v:textbox>
                  <w:txbxContent>
                    <w:p w14:paraId="6749C759"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ҚР-дағы Мемлекеттік жоспарлау жүйесін бекіту туралы қаулысын бұзу</w:t>
                      </w:r>
                    </w:p>
                  </w:txbxContent>
                </v:textbox>
                <w10:wrap anchorx="page"/>
              </v:rect>
            </w:pict>
          </mc:Fallback>
        </mc:AlternateContent>
      </w:r>
    </w:p>
    <w:p w14:paraId="436EB66B" w14:textId="1E02D21A"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89056" behindDoc="0" locked="0" layoutInCell="1" allowOverlap="1" wp14:anchorId="0941FB5E" wp14:editId="35325AEE">
                <wp:simplePos x="0" y="0"/>
                <wp:positionH relativeFrom="column">
                  <wp:posOffset>278130</wp:posOffset>
                </wp:positionH>
                <wp:positionV relativeFrom="paragraph">
                  <wp:posOffset>78740</wp:posOffset>
                </wp:positionV>
                <wp:extent cx="228600" cy="0"/>
                <wp:effectExtent l="38100" t="76200" r="0" b="95250"/>
                <wp:wrapNone/>
                <wp:docPr id="14658163" name="Прямая со стрелкой 42"/>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423D9" id="Прямая со стрелкой 42" o:spid="_x0000_s1026" type="#_x0000_t32" style="position:absolute;margin-left:21.9pt;margin-top:6.2pt;width:18pt;height:0;flip:x;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" strokecolor="#4579b8 [3044]">
                <v:stroke endarrow="block"/>
              </v:shape>
            </w:pict>
          </mc:Fallback>
        </mc:AlternateContent>
      </w:r>
      <w:r>
        <w:rPr>
          <w:noProof/>
          <w:lang w:eastAsia="ru-RU"/>
        </w:rPr>
        <mc:AlternateContent>
          <mc:Choice Requires="wps">
            <w:drawing>
              <wp:anchor distT="0" distB="0" distL="114300" distR="114300" simplePos="0" relativeHeight="252588032" behindDoc="0" locked="0" layoutInCell="1" allowOverlap="1" wp14:anchorId="0B7E59A6" wp14:editId="4DC2F794">
                <wp:simplePos x="0" y="0"/>
                <wp:positionH relativeFrom="column">
                  <wp:posOffset>262890</wp:posOffset>
                </wp:positionH>
                <wp:positionV relativeFrom="paragraph">
                  <wp:posOffset>45720</wp:posOffset>
                </wp:positionV>
                <wp:extent cx="0" cy="7077075"/>
                <wp:effectExtent l="0" t="0" r="38100" b="28575"/>
                <wp:wrapNone/>
                <wp:docPr id="2116655697" name="Прямая соединительная линия 43"/>
                <wp:cNvGraphicFramePr/>
                <a:graphic xmlns:a="http://schemas.openxmlformats.org/drawingml/2006/main">
                  <a:graphicData uri="http://schemas.microsoft.com/office/word/2010/wordprocessingShape">
                    <wps:wsp>
                      <wps:cNvCnPr/>
                      <wps:spPr>
                        <a:xfrm>
                          <a:off x="0" y="0"/>
                          <a:ext cx="0" cy="7077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996B2" id="Прямая соединительная линия 43" o:spid="_x0000_s1026" style="position:absolute;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6pt" to="20.7pt,5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" strokecolor="#4579b8 [3044]"/>
            </w:pict>
          </mc:Fallback>
        </mc:AlternateContent>
      </w:r>
      <w:r>
        <w:rPr>
          <w:noProof/>
          <w:lang w:eastAsia="ru-RU"/>
        </w:rPr>
        <mc:AlternateContent>
          <mc:Choice Requires="wps">
            <w:drawing>
              <wp:anchor distT="0" distB="0" distL="114300" distR="114300" simplePos="0" relativeHeight="252570624" behindDoc="0" locked="0" layoutInCell="1" allowOverlap="1" wp14:anchorId="3F7F2369" wp14:editId="490D2641">
                <wp:simplePos x="0" y="0"/>
                <wp:positionH relativeFrom="page">
                  <wp:posOffset>5073015</wp:posOffset>
                </wp:positionH>
                <wp:positionV relativeFrom="paragraph">
                  <wp:posOffset>422275</wp:posOffset>
                </wp:positionV>
                <wp:extent cx="1962785" cy="1089660"/>
                <wp:effectExtent l="0" t="0" r="18415" b="15240"/>
                <wp:wrapNone/>
                <wp:docPr id="140172386"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785" cy="1089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4F24574"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 дамытудың ұлттық жобасына алдын-ала сараптамалық-талдау іс-шараларын жүргізу, баға беру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F2369" id="Прямоугольник 44" o:spid="_x0000_s1160" style="position:absolute;left:0;text-align:left;margin-left:399.45pt;margin-top:33.25pt;width:154.55pt;height:85.8pt;z-index:2525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" fillcolor="white [3201]" strokecolor="black [3200]" strokeweight=".25pt">
                <v:path arrowok="t"/>
                <v:textbox>
                  <w:txbxContent>
                    <w:p w14:paraId="14F24574"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 дамытудың ұлттық жобасына алдын-ала сараптамалық-талдау іс-шараларын жүргізу, баға беру</w:t>
                      </w:r>
                    </w:p>
                  </w:txbxContent>
                </v:textbox>
                <w10:wrap anchorx="page"/>
              </v:rect>
            </w:pict>
          </mc:Fallback>
        </mc:AlternateContent>
      </w:r>
      <w:r>
        <w:rPr>
          <w:noProof/>
          <w:lang w:eastAsia="ru-RU"/>
        </w:rPr>
        <mc:AlternateContent>
          <mc:Choice Requires="wps">
            <w:drawing>
              <wp:anchor distT="0" distB="0" distL="114300" distR="114300" simplePos="0" relativeHeight="252590080" behindDoc="0" locked="0" layoutInCell="1" allowOverlap="1" wp14:anchorId="4354F241" wp14:editId="055609D1">
                <wp:simplePos x="0" y="0"/>
                <wp:positionH relativeFrom="column">
                  <wp:posOffset>276225</wp:posOffset>
                </wp:positionH>
                <wp:positionV relativeFrom="paragraph">
                  <wp:posOffset>915670</wp:posOffset>
                </wp:positionV>
                <wp:extent cx="228600" cy="0"/>
                <wp:effectExtent l="38100" t="76200" r="0" b="95250"/>
                <wp:wrapNone/>
                <wp:docPr id="1313509487" name="Прямая со стрелкой 41"/>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878B0" id="Прямая со стрелкой 41" o:spid="_x0000_s1026" type="#_x0000_t32" style="position:absolute;margin-left:21.75pt;margin-top:72.1pt;width:18pt;height:0;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" strokecolor="#4579b8 [3044]">
                <v:stroke endarrow="block"/>
              </v:shape>
            </w:pict>
          </mc:Fallback>
        </mc:AlternateContent>
      </w:r>
      <w:r>
        <w:rPr>
          <w:noProof/>
          <w:lang w:eastAsia="ru-RU"/>
        </w:rPr>
        <mc:AlternateContent>
          <mc:Choice Requires="wps">
            <w:drawing>
              <wp:anchor distT="0" distB="0" distL="114300" distR="114300" simplePos="0" relativeHeight="252591104" behindDoc="0" locked="0" layoutInCell="1" allowOverlap="1" wp14:anchorId="2CDE8ECB" wp14:editId="5A9B0EDE">
                <wp:simplePos x="0" y="0"/>
                <wp:positionH relativeFrom="column">
                  <wp:posOffset>285750</wp:posOffset>
                </wp:positionH>
                <wp:positionV relativeFrom="paragraph">
                  <wp:posOffset>1851025</wp:posOffset>
                </wp:positionV>
                <wp:extent cx="228600" cy="0"/>
                <wp:effectExtent l="38100" t="76200" r="0" b="95250"/>
                <wp:wrapNone/>
                <wp:docPr id="178978539" name="Прямая со стрелкой 4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46734" id="Прямая со стрелкой 40" o:spid="_x0000_s1026" type="#_x0000_t32" style="position:absolute;margin-left:22.5pt;margin-top:145.75pt;width:18pt;height:0;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" strokecolor="#4579b8 [3044]">
                <v:stroke endarrow="block"/>
              </v:shape>
            </w:pict>
          </mc:Fallback>
        </mc:AlternateContent>
      </w:r>
      <w:r>
        <w:rPr>
          <w:noProof/>
          <w:lang w:eastAsia="ru-RU"/>
        </w:rPr>
        <mc:AlternateContent>
          <mc:Choice Requires="wps">
            <w:drawing>
              <wp:anchor distT="0" distB="0" distL="114300" distR="114300" simplePos="0" relativeHeight="252554240" behindDoc="0" locked="0" layoutInCell="1" allowOverlap="1" wp14:anchorId="7118B9CA" wp14:editId="00F726F3">
                <wp:simplePos x="0" y="0"/>
                <wp:positionH relativeFrom="page">
                  <wp:posOffset>1603375</wp:posOffset>
                </wp:positionH>
                <wp:positionV relativeFrom="paragraph">
                  <wp:posOffset>662940</wp:posOffset>
                </wp:positionV>
                <wp:extent cx="2980690" cy="483870"/>
                <wp:effectExtent l="0" t="0" r="10160" b="11430"/>
                <wp:wrapNone/>
                <wp:docPr id="808985173"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690" cy="4838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64A10B"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АӨК-ін дамыту бағдарламаларын, жобаларын әзірлеуде кемшіліктер жіберу</w:t>
                            </w:r>
                          </w:p>
                          <w:p w14:paraId="2A82FCC3"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8B9CA" id="Прямоугольник 39" o:spid="_x0000_s1161" style="position:absolute;left:0;text-align:left;margin-left:126.25pt;margin-top:52.2pt;width:234.7pt;height:38.1pt;z-index:2525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" fillcolor="white [3201]" strokecolor="black [3200]" strokeweight=".25pt">
                <v:path arrowok="t"/>
                <v:textbox>
                  <w:txbxContent>
                    <w:p w14:paraId="3764A10B"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АӨК-ін дамыту бағдарламаларын, жобаларын әзірлеуде кемшіліктер жіберу</w:t>
                      </w:r>
                    </w:p>
                    <w:p w14:paraId="2A82FCC3"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v:textbox>
                <w10:wrap anchorx="page"/>
              </v:rect>
            </w:pict>
          </mc:Fallback>
        </mc:AlternateContent>
      </w:r>
      <w:r>
        <w:rPr>
          <w:noProof/>
          <w:lang w:eastAsia="ru-RU"/>
        </w:rPr>
        <mc:AlternateContent>
          <mc:Choice Requires="wps">
            <w:drawing>
              <wp:anchor distT="0" distB="0" distL="114300" distR="114300" simplePos="0" relativeHeight="252555264" behindDoc="0" locked="0" layoutInCell="1" allowOverlap="1" wp14:anchorId="5C9C757D" wp14:editId="1CF88FEF">
                <wp:simplePos x="0" y="0"/>
                <wp:positionH relativeFrom="column">
                  <wp:posOffset>1617345</wp:posOffset>
                </wp:positionH>
                <wp:positionV relativeFrom="paragraph">
                  <wp:posOffset>369570</wp:posOffset>
                </wp:positionV>
                <wp:extent cx="228600" cy="272415"/>
                <wp:effectExtent l="19050" t="0" r="19050" b="32385"/>
                <wp:wrapNone/>
                <wp:docPr id="7071614" name="Стрелка: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769BB" id="Стрелка: вниз 38" o:spid="_x0000_s1026" type="#_x0000_t67" style="position:absolute;margin-left:127.35pt;margin-top:29.1pt;width:18pt;height:21.4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" adj="12537" fillcolor="white [3201]" strokecolor="black [3200]" strokeweight=".25pt">
                <v:path arrowok="t"/>
              </v:shape>
            </w:pict>
          </mc:Fallback>
        </mc:AlternateContent>
      </w:r>
      <w:r>
        <w:rPr>
          <w:noProof/>
          <w:lang w:eastAsia="ru-RU"/>
        </w:rPr>
        <mc:AlternateContent>
          <mc:Choice Requires="wps">
            <w:drawing>
              <wp:anchor distT="0" distB="0" distL="114300" distR="114300" simplePos="0" relativeHeight="252556288" behindDoc="0" locked="0" layoutInCell="1" allowOverlap="1" wp14:anchorId="79542708" wp14:editId="7A877397">
                <wp:simplePos x="0" y="0"/>
                <wp:positionH relativeFrom="column">
                  <wp:posOffset>1657985</wp:posOffset>
                </wp:positionH>
                <wp:positionV relativeFrom="paragraph">
                  <wp:posOffset>1162685</wp:posOffset>
                </wp:positionV>
                <wp:extent cx="228600" cy="272415"/>
                <wp:effectExtent l="19050" t="0" r="19050" b="32385"/>
                <wp:wrapNone/>
                <wp:docPr id="575863689"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FC1DF" id="Стрелка: вниз 37" o:spid="_x0000_s1026" type="#_x0000_t67" style="position:absolute;margin-left:130.55pt;margin-top:91.55pt;width:18pt;height:21.4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" adj="12537" fillcolor="white [3201]" strokecolor="black [3200]" strokeweight=".25pt">
                <v:path arrowok="t"/>
              </v:shape>
            </w:pict>
          </mc:Fallback>
        </mc:AlternateContent>
      </w:r>
      <w:r>
        <w:rPr>
          <w:noProof/>
          <w:lang w:eastAsia="ru-RU"/>
        </w:rPr>
        <mc:AlternateContent>
          <mc:Choice Requires="wps">
            <w:drawing>
              <wp:anchor distT="0" distB="0" distL="114300" distR="114300" simplePos="0" relativeHeight="252557312" behindDoc="0" locked="0" layoutInCell="1" allowOverlap="1" wp14:anchorId="2C6A49F4" wp14:editId="21D193EA">
                <wp:simplePos x="0" y="0"/>
                <wp:positionH relativeFrom="page">
                  <wp:posOffset>1628140</wp:posOffset>
                </wp:positionH>
                <wp:positionV relativeFrom="paragraph">
                  <wp:posOffset>1502410</wp:posOffset>
                </wp:positionV>
                <wp:extent cx="2981325" cy="624205"/>
                <wp:effectExtent l="0" t="0" r="28575" b="23495"/>
                <wp:wrapNone/>
                <wp:docPr id="1321549924"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242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BAA502"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Бағдарлама, жоба тапсырмаларындағы жіберілген қателіктер бюджет қаражатын  пайдалану тиімсіз жоспарын бекіту</w:t>
                            </w:r>
                          </w:p>
                          <w:p w14:paraId="69590B93"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6A49F4" id="Прямоугольник 36" o:spid="_x0000_s1162" style="position:absolute;left:0;text-align:left;margin-left:128.2pt;margin-top:118.3pt;width:234.75pt;height:49.15pt;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" fillcolor="white [3201]" strokecolor="black [3200]" strokeweight=".25pt">
                <v:path arrowok="t"/>
                <v:textbox>
                  <w:txbxContent>
                    <w:p w14:paraId="4EBAA502"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Бағдарлама, жоба тапсырмаларындағы жіберілген қателіктер бюджет қаражатын  пайдалану тиімсіз жоспарын бекіту</w:t>
                      </w:r>
                    </w:p>
                    <w:p w14:paraId="69590B93"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v:textbox>
                <w10:wrap anchorx="page"/>
              </v:rect>
            </w:pict>
          </mc:Fallback>
        </mc:AlternateContent>
      </w:r>
      <w:r>
        <w:rPr>
          <w:noProof/>
          <w:lang w:eastAsia="ru-RU"/>
        </w:rPr>
        <mc:AlternateContent>
          <mc:Choice Requires="wps">
            <w:drawing>
              <wp:anchor distT="0" distB="0" distL="114300" distR="114300" simplePos="0" relativeHeight="252571648" behindDoc="0" locked="0" layoutInCell="1" allowOverlap="1" wp14:anchorId="04A3ECC9" wp14:editId="05165C87">
                <wp:simplePos x="0" y="0"/>
                <wp:positionH relativeFrom="column">
                  <wp:posOffset>3704590</wp:posOffset>
                </wp:positionH>
                <wp:positionV relativeFrom="paragraph">
                  <wp:posOffset>40005</wp:posOffset>
                </wp:positionV>
                <wp:extent cx="1905" cy="2555240"/>
                <wp:effectExtent l="0" t="0" r="36195" b="35560"/>
                <wp:wrapNone/>
                <wp:docPr id="333886151"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55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81334" id="Прямая соединительная линия 35"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3.15pt" to="291.8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" strokecolor="#4579b8 [3044]">
                <o:lock v:ext="edit" shapetype="f"/>
              </v:line>
            </w:pict>
          </mc:Fallback>
        </mc:AlternateContent>
      </w:r>
      <w:r>
        <w:rPr>
          <w:noProof/>
          <w:lang w:eastAsia="ru-RU"/>
        </w:rPr>
        <mc:AlternateContent>
          <mc:Choice Requires="wps">
            <w:drawing>
              <wp:anchor distT="0" distB="0" distL="114300" distR="114300" simplePos="0" relativeHeight="252572672" behindDoc="0" locked="0" layoutInCell="1" allowOverlap="1" wp14:anchorId="1FBF9803" wp14:editId="0CAFAEB5">
                <wp:simplePos x="0" y="0"/>
                <wp:positionH relativeFrom="column">
                  <wp:posOffset>3503930</wp:posOffset>
                </wp:positionH>
                <wp:positionV relativeFrom="paragraph">
                  <wp:posOffset>64770</wp:posOffset>
                </wp:positionV>
                <wp:extent cx="188595" cy="12700"/>
                <wp:effectExtent l="38100" t="57150" r="0" b="82550"/>
                <wp:wrapNone/>
                <wp:docPr id="1980404077"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59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F0FF0" id="Прямая со стрелкой 34" o:spid="_x0000_s1026" type="#_x0000_t32" style="position:absolute;margin-left:275.9pt;margin-top:5.1pt;width:14.85pt;height:1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573696" behindDoc="0" locked="0" layoutInCell="1" allowOverlap="1" wp14:anchorId="14377F63" wp14:editId="32136B33">
                <wp:simplePos x="0" y="0"/>
                <wp:positionH relativeFrom="column">
                  <wp:posOffset>3503930</wp:posOffset>
                </wp:positionH>
                <wp:positionV relativeFrom="paragraph">
                  <wp:posOffset>854075</wp:posOffset>
                </wp:positionV>
                <wp:extent cx="200660" cy="0"/>
                <wp:effectExtent l="38100" t="76200" r="0" b="95250"/>
                <wp:wrapNone/>
                <wp:docPr id="1426230709"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6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08624" id="Прямая со стрелкой 33" o:spid="_x0000_s1026" type="#_x0000_t32" style="position:absolute;margin-left:275.9pt;margin-top:67.25pt;width:15.8pt;height:0;flip:x;z-index:25257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574720" behindDoc="0" locked="0" layoutInCell="1" allowOverlap="1" wp14:anchorId="301EB9B4" wp14:editId="40A3CC96">
                <wp:simplePos x="0" y="0"/>
                <wp:positionH relativeFrom="column">
                  <wp:posOffset>3528695</wp:posOffset>
                </wp:positionH>
                <wp:positionV relativeFrom="paragraph">
                  <wp:posOffset>1743710</wp:posOffset>
                </wp:positionV>
                <wp:extent cx="176530" cy="0"/>
                <wp:effectExtent l="38100" t="76200" r="0" b="95250"/>
                <wp:wrapNone/>
                <wp:docPr id="147321025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5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28ADF" id="Прямая со стрелкой 32" o:spid="_x0000_s1026" type="#_x0000_t32" style="position:absolute;margin-left:277.85pt;margin-top:137.3pt;width:13.9pt;height:0;flip:x;z-index:25257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575744" behindDoc="0" locked="0" layoutInCell="1" allowOverlap="1" wp14:anchorId="25C705D5" wp14:editId="61B2B0CC">
                <wp:simplePos x="0" y="0"/>
                <wp:positionH relativeFrom="column">
                  <wp:posOffset>3706495</wp:posOffset>
                </wp:positionH>
                <wp:positionV relativeFrom="paragraph">
                  <wp:posOffset>991870</wp:posOffset>
                </wp:positionV>
                <wp:extent cx="299085" cy="0"/>
                <wp:effectExtent l="38100" t="76200" r="0" b="95250"/>
                <wp:wrapNone/>
                <wp:docPr id="1060456478"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176AF" id="Прямая со стрелкой 31" o:spid="_x0000_s1026" type="#_x0000_t32" style="position:absolute;margin-left:291.85pt;margin-top:78.1pt;width:23.55pt;height:0;flip:x;z-index:25257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" strokecolor="#4579b8 [3044]">
                <v:stroke endarrow="block"/>
                <o:lock v:ext="edit" shapetype="f"/>
              </v:shape>
            </w:pict>
          </mc:Fallback>
        </mc:AlternateContent>
      </w:r>
    </w:p>
    <w:p w14:paraId="09591026"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38CD3D26"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34AFAF40"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52E2F8ED"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68746B4B"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55451C39"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575899D6"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7D128C7E"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4BA4B13D"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0830478E" w14:textId="12A5EEEF" w:rsidR="00D665F0" w:rsidRDefault="00D665F0" w:rsidP="00D665F0">
      <w:pPr>
        <w:pStyle w:val="a5"/>
        <w:tabs>
          <w:tab w:val="left" w:pos="4209"/>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58336" behindDoc="0" locked="0" layoutInCell="1" allowOverlap="1" wp14:anchorId="5F37953E" wp14:editId="6ABDE924">
                <wp:simplePos x="0" y="0"/>
                <wp:positionH relativeFrom="column">
                  <wp:posOffset>1744980</wp:posOffset>
                </wp:positionH>
                <wp:positionV relativeFrom="paragraph">
                  <wp:posOffset>55880</wp:posOffset>
                </wp:positionV>
                <wp:extent cx="228600" cy="272415"/>
                <wp:effectExtent l="19050" t="0" r="19050" b="32385"/>
                <wp:wrapNone/>
                <wp:docPr id="81380578"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61EFC" id="Стрелка: вниз 30" o:spid="_x0000_s1026" type="#_x0000_t67" style="position:absolute;margin-left:137.4pt;margin-top:4.4pt;width:18pt;height:21.4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" adj="12537" fillcolor="white [3201]" strokecolor="black [3200]" strokeweight=".25pt">
                <v:path arrowok="t"/>
              </v:shape>
            </w:pict>
          </mc:Fallback>
        </mc:AlternateContent>
      </w:r>
      <w:r>
        <w:rPr>
          <w:rFonts w:ascii="Times New Roman" w:eastAsia="Times New Roman" w:hAnsi="Times New Roman"/>
          <w:kern w:val="36"/>
          <w:sz w:val="28"/>
          <w:szCs w:val="28"/>
          <w:lang w:val="kk-KZ" w:eastAsia="ru-RU"/>
        </w:rPr>
        <w:tab/>
      </w:r>
    </w:p>
    <w:p w14:paraId="3F35D69F" w14:textId="79426F2C"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59360" behindDoc="0" locked="0" layoutInCell="1" allowOverlap="1" wp14:anchorId="726555B2" wp14:editId="58D92FE6">
                <wp:simplePos x="0" y="0"/>
                <wp:positionH relativeFrom="page">
                  <wp:posOffset>1616075</wp:posOffset>
                </wp:positionH>
                <wp:positionV relativeFrom="paragraph">
                  <wp:posOffset>120650</wp:posOffset>
                </wp:positionV>
                <wp:extent cx="2992755" cy="651510"/>
                <wp:effectExtent l="0" t="0" r="17145" b="15240"/>
                <wp:wrapNone/>
                <wp:docPr id="1463101962"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755" cy="6515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15AEC37"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 мақсатына, нысаналы индикаторларына, көрсеткіштеріне, іс-шараларына (азайту) өзгерістер енгізу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555B2" id="Прямоугольник 29" o:spid="_x0000_s1163" style="position:absolute;left:0;text-align:left;margin-left:127.25pt;margin-top:9.5pt;width:235.65pt;height:51.3pt;z-index:2525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" fillcolor="white [3201]" strokecolor="black [3200]" strokeweight=".25pt">
                <v:path arrowok="t"/>
                <v:textbox>
                  <w:txbxContent>
                    <w:p w14:paraId="515AEC37"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 мақсатына, нысаналы индикаторларына, көрсеткіштеріне, іс-шараларына (азайту) өзгерістер енгізу</w:t>
                      </w:r>
                    </w:p>
                  </w:txbxContent>
                </v:textbox>
                <w10:wrap anchorx="page"/>
              </v:rect>
            </w:pict>
          </mc:Fallback>
        </mc:AlternateContent>
      </w:r>
      <w:r>
        <w:rPr>
          <w:noProof/>
          <w:lang w:eastAsia="ru-RU"/>
        </w:rPr>
        <mc:AlternateContent>
          <mc:Choice Requires="wps">
            <w:drawing>
              <wp:anchor distT="0" distB="0" distL="114300" distR="114300" simplePos="0" relativeHeight="252560384" behindDoc="0" locked="0" layoutInCell="1" allowOverlap="1" wp14:anchorId="34957644" wp14:editId="6B2AF930">
                <wp:simplePos x="0" y="0"/>
                <wp:positionH relativeFrom="column">
                  <wp:posOffset>1744980</wp:posOffset>
                </wp:positionH>
                <wp:positionV relativeFrom="paragraph">
                  <wp:posOffset>779145</wp:posOffset>
                </wp:positionV>
                <wp:extent cx="228600" cy="272415"/>
                <wp:effectExtent l="19050" t="0" r="19050" b="32385"/>
                <wp:wrapNone/>
                <wp:docPr id="986535858" name="Стрелка: вниз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8305D" id="Стрелка: вниз 28" o:spid="_x0000_s1026" type="#_x0000_t67" style="position:absolute;margin-left:137.4pt;margin-top:61.35pt;width:18pt;height:21.4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" adj="12537" fillcolor="white [3201]" strokecolor="black [3200]" strokeweight=".25pt">
                <v:path arrowok="t"/>
              </v:shape>
            </w:pict>
          </mc:Fallback>
        </mc:AlternateContent>
      </w:r>
      <w:r>
        <w:rPr>
          <w:noProof/>
          <w:lang w:eastAsia="ru-RU"/>
        </w:rPr>
        <mc:AlternateContent>
          <mc:Choice Requires="wps">
            <w:drawing>
              <wp:anchor distT="4294967295" distB="4294967295" distL="114300" distR="114300" simplePos="0" relativeHeight="252577792" behindDoc="0" locked="0" layoutInCell="1" allowOverlap="1" wp14:anchorId="06FB8AA0" wp14:editId="011DB4B1">
                <wp:simplePos x="0" y="0"/>
                <wp:positionH relativeFrom="column">
                  <wp:posOffset>3515995</wp:posOffset>
                </wp:positionH>
                <wp:positionV relativeFrom="paragraph">
                  <wp:posOffset>347980</wp:posOffset>
                </wp:positionV>
                <wp:extent cx="175260" cy="0"/>
                <wp:effectExtent l="38100" t="76200" r="0" b="95250"/>
                <wp:wrapNone/>
                <wp:docPr id="35906104"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2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8348B" id="Прямая со стрелкой 26" o:spid="_x0000_s1026" type="#_x0000_t32" style="position:absolute;margin-left:276.85pt;margin-top:27.4pt;width:13.8pt;height:0;flip:x;z-index:25257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592128" behindDoc="0" locked="0" layoutInCell="1" allowOverlap="1" wp14:anchorId="7B01C110" wp14:editId="410EABCE">
                <wp:simplePos x="0" y="0"/>
                <wp:positionH relativeFrom="column">
                  <wp:posOffset>285750</wp:posOffset>
                </wp:positionH>
                <wp:positionV relativeFrom="paragraph">
                  <wp:posOffset>490855</wp:posOffset>
                </wp:positionV>
                <wp:extent cx="228600" cy="0"/>
                <wp:effectExtent l="38100" t="76200" r="0" b="95250"/>
                <wp:wrapNone/>
                <wp:docPr id="76396417" name="Прямая со стрелкой 25"/>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E73E6" id="Прямая со стрелкой 25" o:spid="_x0000_s1026" type="#_x0000_t32" style="position:absolute;margin-left:22.5pt;margin-top:38.65pt;width:18pt;height:0;flip:x;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" strokecolor="#4579b8 [3044]">
                <v:stroke endarrow="block"/>
              </v:shape>
            </w:pict>
          </mc:Fallback>
        </mc:AlternateContent>
      </w:r>
    </w:p>
    <w:p w14:paraId="0F7768E8"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73004945"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6D07D6B9" w14:textId="04AFD264" w:rsidR="00D665F0" w:rsidRDefault="004330E8"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76768" behindDoc="0" locked="0" layoutInCell="1" allowOverlap="1" wp14:anchorId="64E6D80E" wp14:editId="3452A3FE">
                <wp:simplePos x="0" y="0"/>
                <wp:positionH relativeFrom="margin">
                  <wp:posOffset>3979545</wp:posOffset>
                </wp:positionH>
                <wp:positionV relativeFrom="paragraph">
                  <wp:posOffset>15240</wp:posOffset>
                </wp:positionV>
                <wp:extent cx="1953260" cy="1139825"/>
                <wp:effectExtent l="0" t="0" r="27940" b="22225"/>
                <wp:wrapNone/>
                <wp:docPr id="1231156200"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260" cy="11398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8A5480A"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Ұлттық жобаны іске асырушы-орындаушылар жауапкершілігін белгілейтін НҚА әзірлеу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6D80E" id="Прямоугольник 27" o:spid="_x0000_s1164" style="position:absolute;left:0;text-align:left;margin-left:313.35pt;margin-top:1.2pt;width:153.8pt;height:89.7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" fillcolor="white [3201]" strokecolor="black [3200]" strokeweight=".25pt">
                <v:path arrowok="t"/>
                <v:textbox>
                  <w:txbxContent>
                    <w:p w14:paraId="28A5480A"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Ұлттық жобаны іске асырушы-орындаушылар жауапкершілігін белгілейтін НҚА әзірлеу</w:t>
                      </w:r>
                    </w:p>
                  </w:txbxContent>
                </v:textbox>
                <w10:wrap anchorx="margin"/>
              </v:rect>
            </w:pict>
          </mc:Fallback>
        </mc:AlternateContent>
      </w:r>
    </w:p>
    <w:p w14:paraId="60C55E62" w14:textId="77777777" w:rsidR="00D665F0" w:rsidRDefault="00D665F0" w:rsidP="00D665F0">
      <w:pPr>
        <w:pStyle w:val="a5"/>
        <w:tabs>
          <w:tab w:val="left" w:pos="4140"/>
        </w:tabs>
        <w:spacing w:after="0" w:line="240" w:lineRule="auto"/>
        <w:ind w:left="0"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ab/>
      </w:r>
    </w:p>
    <w:p w14:paraId="0EC2B417" w14:textId="47FCF049"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61408" behindDoc="0" locked="0" layoutInCell="1" allowOverlap="1" wp14:anchorId="0D5871B6" wp14:editId="1904413F">
                <wp:simplePos x="0" y="0"/>
                <wp:positionH relativeFrom="page">
                  <wp:posOffset>1628140</wp:posOffset>
                </wp:positionH>
                <wp:positionV relativeFrom="paragraph">
                  <wp:posOffset>50165</wp:posOffset>
                </wp:positionV>
                <wp:extent cx="2981960" cy="601345"/>
                <wp:effectExtent l="0" t="0" r="27940" b="27305"/>
                <wp:wrapNone/>
                <wp:docPr id="250221199"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960" cy="6013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6090CB2"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 жобасын іске асыруда орындаушылар арасында байланыс әлсіздігі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5871B6" id="Прямоугольник 24" o:spid="_x0000_s1165" style="position:absolute;left:0;text-align:left;margin-left:128.2pt;margin-top:3.95pt;width:234.8pt;height:47.35pt;z-index:2525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" fillcolor="white [3201]" strokecolor="black [3200]" strokeweight=".25pt">
                <v:path arrowok="t"/>
                <v:textbox>
                  <w:txbxContent>
                    <w:p w14:paraId="36090CB2"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 жобасын іске асыруда орындаушылар арасында байланыс әлсіздігі</w:t>
                      </w:r>
                    </w:p>
                  </w:txbxContent>
                </v:textbox>
                <w10:wrap anchorx="page"/>
              </v:rect>
            </w:pict>
          </mc:Fallback>
        </mc:AlternateContent>
      </w:r>
      <w:r>
        <w:rPr>
          <w:noProof/>
          <w:lang w:eastAsia="ru-RU"/>
        </w:rPr>
        <mc:AlternateContent>
          <mc:Choice Requires="wps">
            <w:drawing>
              <wp:anchor distT="0" distB="0" distL="114300" distR="114300" simplePos="0" relativeHeight="252562432" behindDoc="0" locked="0" layoutInCell="1" allowOverlap="1" wp14:anchorId="150F0001" wp14:editId="00C3644E">
                <wp:simplePos x="0" y="0"/>
                <wp:positionH relativeFrom="column">
                  <wp:posOffset>1750695</wp:posOffset>
                </wp:positionH>
                <wp:positionV relativeFrom="paragraph">
                  <wp:posOffset>637540</wp:posOffset>
                </wp:positionV>
                <wp:extent cx="228600" cy="272415"/>
                <wp:effectExtent l="19050" t="0" r="19050" b="32385"/>
                <wp:wrapNone/>
                <wp:docPr id="112104301"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02937" id="Стрелка: вниз 23" o:spid="_x0000_s1026" type="#_x0000_t67" style="position:absolute;margin-left:137.85pt;margin-top:50.2pt;width:18pt;height:21.4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" adj="12537" fillcolor="white [3201]" strokecolor="black [3200]" strokeweight=".25pt">
                <v:path arrowok="t"/>
              </v:shape>
            </w:pict>
          </mc:Fallback>
        </mc:AlternateContent>
      </w:r>
      <w:r>
        <w:rPr>
          <w:noProof/>
          <w:lang w:eastAsia="ru-RU"/>
        </w:rPr>
        <mc:AlternateContent>
          <mc:Choice Requires="wps">
            <w:drawing>
              <wp:anchor distT="0" distB="0" distL="114300" distR="114300" simplePos="0" relativeHeight="252563456" behindDoc="0" locked="0" layoutInCell="1" allowOverlap="1" wp14:anchorId="7B7FD245" wp14:editId="048E56A2">
                <wp:simplePos x="0" y="0"/>
                <wp:positionH relativeFrom="page">
                  <wp:posOffset>1640840</wp:posOffset>
                </wp:positionH>
                <wp:positionV relativeFrom="paragraph">
                  <wp:posOffset>940435</wp:posOffset>
                </wp:positionV>
                <wp:extent cx="3018790" cy="448310"/>
                <wp:effectExtent l="0" t="0" r="10160" b="27940"/>
                <wp:wrapNone/>
                <wp:docPr id="49926644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8790" cy="4483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14E4EF6"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Бюджет қаражатын пайдалануды реттейтін НҚА жіберілген кемшіліктердің болуы</w:t>
                            </w:r>
                          </w:p>
                          <w:p w14:paraId="1438226A"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FD245" id="Прямоугольник 22" o:spid="_x0000_s1166" style="position:absolute;left:0;text-align:left;margin-left:129.2pt;margin-top:74.05pt;width:237.7pt;height:35.3pt;z-index:2525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" fillcolor="white [3201]" strokecolor="black [3200]" strokeweight=".25pt">
                <v:path arrowok="t"/>
                <v:textbox>
                  <w:txbxContent>
                    <w:p w14:paraId="614E4EF6"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Бюджет қаражатын пайдалануды реттейтін НҚА жіберілген кемшіліктердің болуы</w:t>
                      </w:r>
                    </w:p>
                    <w:p w14:paraId="1438226A"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v:textbox>
                <w10:wrap anchorx="page"/>
              </v:rect>
            </w:pict>
          </mc:Fallback>
        </mc:AlternateContent>
      </w:r>
      <w:r>
        <w:rPr>
          <w:noProof/>
          <w:lang w:eastAsia="ru-RU"/>
        </w:rPr>
        <mc:AlternateContent>
          <mc:Choice Requires="wps">
            <w:drawing>
              <wp:anchor distT="0" distB="0" distL="114300" distR="114300" simplePos="0" relativeHeight="252564480" behindDoc="0" locked="0" layoutInCell="1" allowOverlap="1" wp14:anchorId="71B28BD6" wp14:editId="12C5D41D">
                <wp:simplePos x="0" y="0"/>
                <wp:positionH relativeFrom="column">
                  <wp:posOffset>1715770</wp:posOffset>
                </wp:positionH>
                <wp:positionV relativeFrom="paragraph">
                  <wp:posOffset>1397635</wp:posOffset>
                </wp:positionV>
                <wp:extent cx="228600" cy="272415"/>
                <wp:effectExtent l="19050" t="0" r="19050" b="32385"/>
                <wp:wrapNone/>
                <wp:docPr id="1182213624"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AC974" id="Стрелка: вниз 21" o:spid="_x0000_s1026" type="#_x0000_t67" style="position:absolute;margin-left:135.1pt;margin-top:110.05pt;width:18pt;height:21.4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" adj="12537" fillcolor="white [3201]" strokecolor="black [3200]" strokeweight=".25pt">
                <v:path arrowok="t"/>
              </v:shape>
            </w:pict>
          </mc:Fallback>
        </mc:AlternateContent>
      </w:r>
      <w:r>
        <w:rPr>
          <w:noProof/>
          <w:lang w:eastAsia="ru-RU"/>
        </w:rPr>
        <mc:AlternateContent>
          <mc:Choice Requires="wps">
            <w:drawing>
              <wp:anchor distT="0" distB="0" distL="114300" distR="114300" simplePos="0" relativeHeight="252565504" behindDoc="0" locked="0" layoutInCell="1" allowOverlap="1" wp14:anchorId="69AB8ACC" wp14:editId="12F158D2">
                <wp:simplePos x="0" y="0"/>
                <wp:positionH relativeFrom="page">
                  <wp:posOffset>1640840</wp:posOffset>
                </wp:positionH>
                <wp:positionV relativeFrom="paragraph">
                  <wp:posOffset>1679575</wp:posOffset>
                </wp:positionV>
                <wp:extent cx="3018155" cy="663575"/>
                <wp:effectExtent l="0" t="0" r="10795" b="22225"/>
                <wp:wrapNone/>
                <wp:docPr id="2131234912"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8155" cy="6635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2F91B8B"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дамытуға бекітілген көрсеткіштер мен іс-шаралар дер кезінде мониторингісі жасалмауы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B8ACC" id="Прямоугольник 20" o:spid="_x0000_s1167" style="position:absolute;left:0;text-align:left;margin-left:129.2pt;margin-top:132.25pt;width:237.65pt;height:52.25pt;z-index:2525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" fillcolor="white [3201]" strokecolor="black [3200]" strokeweight=".25pt">
                <v:path arrowok="t"/>
                <v:textbox>
                  <w:txbxContent>
                    <w:p w14:paraId="62F91B8B"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дамытуға бекітілген көрсеткіштер мен іс-шаралар дер кезінде мониторингісі жасалмауы</w:t>
                      </w:r>
                    </w:p>
                  </w:txbxContent>
                </v:textbox>
                <w10:wrap anchorx="page"/>
              </v:rect>
            </w:pict>
          </mc:Fallback>
        </mc:AlternateContent>
      </w:r>
      <w:r>
        <w:rPr>
          <w:noProof/>
          <w:lang w:eastAsia="ru-RU"/>
        </w:rPr>
        <mc:AlternateContent>
          <mc:Choice Requires="wps">
            <w:drawing>
              <wp:anchor distT="0" distB="0" distL="114300" distR="114300" simplePos="0" relativeHeight="252566528" behindDoc="0" locked="0" layoutInCell="1" allowOverlap="1" wp14:anchorId="74F8B043" wp14:editId="541016A5">
                <wp:simplePos x="0" y="0"/>
                <wp:positionH relativeFrom="column">
                  <wp:posOffset>1758950</wp:posOffset>
                </wp:positionH>
                <wp:positionV relativeFrom="paragraph">
                  <wp:posOffset>2353945</wp:posOffset>
                </wp:positionV>
                <wp:extent cx="228600" cy="272415"/>
                <wp:effectExtent l="19050" t="0" r="19050" b="32385"/>
                <wp:wrapNone/>
                <wp:docPr id="1916142099"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82FDC" id="Стрелка: вниз 19" o:spid="_x0000_s1026" type="#_x0000_t67" style="position:absolute;margin-left:138.5pt;margin-top:185.35pt;width:18pt;height:21.4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" adj="12537" fillcolor="white [3201]" strokecolor="black [3200]" strokeweight=".25pt">
                <v:path arrowok="t"/>
              </v:shape>
            </w:pict>
          </mc:Fallback>
        </mc:AlternateContent>
      </w:r>
      <w:r>
        <w:rPr>
          <w:noProof/>
          <w:lang w:eastAsia="ru-RU"/>
        </w:rPr>
        <mc:AlternateContent>
          <mc:Choice Requires="wps">
            <w:drawing>
              <wp:anchor distT="0" distB="0" distL="114300" distR="114300" simplePos="0" relativeHeight="252567552" behindDoc="0" locked="0" layoutInCell="1" allowOverlap="1" wp14:anchorId="038EF9B9" wp14:editId="2A6C0CDE">
                <wp:simplePos x="0" y="0"/>
                <wp:positionH relativeFrom="margin">
                  <wp:posOffset>573405</wp:posOffset>
                </wp:positionH>
                <wp:positionV relativeFrom="paragraph">
                  <wp:posOffset>2619375</wp:posOffset>
                </wp:positionV>
                <wp:extent cx="3031490" cy="651510"/>
                <wp:effectExtent l="0" t="0" r="16510" b="15240"/>
                <wp:wrapNone/>
                <wp:docPr id="196533237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1490" cy="6515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557F65"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саласында кері және оң әсер ететін факторларды сипаттайтын көрсеткіштер талдауын жасамауы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8EF9B9" id="Прямоугольник 18" o:spid="_x0000_s1168" style="position:absolute;left:0;text-align:left;margin-left:45.15pt;margin-top:206.25pt;width:238.7pt;height:51.3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" fillcolor="white [3201]" strokecolor="black [3200]" strokeweight=".25pt">
                <v:path arrowok="t"/>
                <v:textbox>
                  <w:txbxContent>
                    <w:p w14:paraId="3C557F65"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саласында кері және оң әсер ететін факторларды сипаттайтын көрсеткіштер талдауын жасамауы</w:t>
                      </w:r>
                    </w:p>
                  </w:txbxContent>
                </v:textbox>
                <w10:wrap anchorx="margin"/>
              </v:rect>
            </w:pict>
          </mc:Fallback>
        </mc:AlternateContent>
      </w:r>
      <w:r>
        <w:rPr>
          <w:noProof/>
          <w:lang w:eastAsia="ru-RU"/>
        </w:rPr>
        <mc:AlternateContent>
          <mc:Choice Requires="wps">
            <w:drawing>
              <wp:anchor distT="0" distB="0" distL="114300" distR="114300" simplePos="0" relativeHeight="252568576" behindDoc="0" locked="0" layoutInCell="1" allowOverlap="1" wp14:anchorId="1F0ED998" wp14:editId="5929400C">
                <wp:simplePos x="0" y="0"/>
                <wp:positionH relativeFrom="column">
                  <wp:posOffset>1751330</wp:posOffset>
                </wp:positionH>
                <wp:positionV relativeFrom="paragraph">
                  <wp:posOffset>3282315</wp:posOffset>
                </wp:positionV>
                <wp:extent cx="228600" cy="272415"/>
                <wp:effectExtent l="19050" t="0" r="19050" b="32385"/>
                <wp:wrapNone/>
                <wp:docPr id="1992631309" name="Стрелка: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72415"/>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DF8EF" id="Стрелка: вниз 17" o:spid="_x0000_s1026" type="#_x0000_t67" style="position:absolute;margin-left:137.9pt;margin-top:258.45pt;width:18pt;height:21.4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" adj="12537" fillcolor="white [3201]" strokecolor="black [3200]" strokeweight=".25pt">
                <v:path arrowok="t"/>
              </v:shape>
            </w:pict>
          </mc:Fallback>
        </mc:AlternateContent>
      </w:r>
      <w:r>
        <w:rPr>
          <w:noProof/>
          <w:lang w:eastAsia="ru-RU"/>
        </w:rPr>
        <mc:AlternateContent>
          <mc:Choice Requires="wps">
            <w:drawing>
              <wp:anchor distT="0" distB="0" distL="114300" distR="114300" simplePos="0" relativeHeight="252569600" behindDoc="0" locked="0" layoutInCell="1" allowOverlap="1" wp14:anchorId="17BE5637" wp14:editId="145EDC6E">
                <wp:simplePos x="0" y="0"/>
                <wp:positionH relativeFrom="page">
                  <wp:posOffset>1678305</wp:posOffset>
                </wp:positionH>
                <wp:positionV relativeFrom="paragraph">
                  <wp:posOffset>3587115</wp:posOffset>
                </wp:positionV>
                <wp:extent cx="3068955" cy="638810"/>
                <wp:effectExtent l="0" t="0" r="17145" b="27940"/>
                <wp:wrapNone/>
                <wp:docPr id="9844859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6388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880CE22"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дамытуға бағытталған бюджет қаражатын пайдалану тиімділігі төмен болуы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E5637" id="Прямоугольник 16" o:spid="_x0000_s1169" style="position:absolute;left:0;text-align:left;margin-left:132.15pt;margin-top:282.45pt;width:241.65pt;height:50.3pt;z-index:2525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" fillcolor="white [3201]" strokecolor="black [3200]" strokeweight=".25pt">
                <v:path arrowok="t"/>
                <v:textbox>
                  <w:txbxContent>
                    <w:p w14:paraId="5880CE22"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АӨК дамытуға бағытталған бюджет қаражатын пайдалану тиімділігі төмен болуы</w:t>
                      </w:r>
                    </w:p>
                  </w:txbxContent>
                </v:textbox>
                <w10:wrap anchorx="page"/>
              </v:rect>
            </w:pict>
          </mc:Fallback>
        </mc:AlternateContent>
      </w:r>
      <w:r>
        <w:rPr>
          <w:noProof/>
          <w:lang w:eastAsia="ru-RU"/>
        </w:rPr>
        <mc:AlternateContent>
          <mc:Choice Requires="wps">
            <w:drawing>
              <wp:anchor distT="4294967295" distB="4294967295" distL="114300" distR="114300" simplePos="0" relativeHeight="252578816" behindDoc="0" locked="0" layoutInCell="1" allowOverlap="1" wp14:anchorId="7BFE4615" wp14:editId="1EFFA3B9">
                <wp:simplePos x="0" y="0"/>
                <wp:positionH relativeFrom="column">
                  <wp:posOffset>3553460</wp:posOffset>
                </wp:positionH>
                <wp:positionV relativeFrom="paragraph">
                  <wp:posOffset>290830</wp:posOffset>
                </wp:positionV>
                <wp:extent cx="438150" cy="0"/>
                <wp:effectExtent l="38100" t="76200" r="0" b="95250"/>
                <wp:wrapNone/>
                <wp:docPr id="1964215247"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D94D0" id="Прямая со стрелкой 15" o:spid="_x0000_s1026" type="#_x0000_t32" style="position:absolute;margin-left:279.8pt;margin-top:22.9pt;width:34.5pt;height:0;flip:x;z-index:25257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" strokecolor="#4579b8 [3044]">
                <v:stroke endarrow="block"/>
                <o:lock v:ext="edit" shapetype="f"/>
              </v:shape>
            </w:pict>
          </mc:Fallback>
        </mc:AlternateContent>
      </w:r>
      <w:r>
        <w:rPr>
          <w:noProof/>
          <w:lang w:eastAsia="ru-RU"/>
        </w:rPr>
        <mc:AlternateContent>
          <mc:Choice Requires="wps">
            <w:drawing>
              <wp:anchor distT="0" distB="0" distL="114299" distR="114299" simplePos="0" relativeHeight="252580864" behindDoc="0" locked="0" layoutInCell="1" allowOverlap="1" wp14:anchorId="21CD1BB8" wp14:editId="2D022000">
                <wp:simplePos x="0" y="0"/>
                <wp:positionH relativeFrom="column">
                  <wp:posOffset>3777615</wp:posOffset>
                </wp:positionH>
                <wp:positionV relativeFrom="paragraph">
                  <wp:posOffset>478155</wp:posOffset>
                </wp:positionV>
                <wp:extent cx="1905" cy="2410460"/>
                <wp:effectExtent l="0" t="0" r="36195" b="27940"/>
                <wp:wrapNone/>
                <wp:docPr id="1548256741"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410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021EF" id="Прямая соединительная линия 13" o:spid="_x0000_s1026" style="position:absolute;flip:x;z-index:25258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45pt,37.65pt" to="297.6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" strokecolor="#4579b8 [3044]">
                <o:lock v:ext="edit" shapetype="f"/>
              </v:line>
            </w:pict>
          </mc:Fallback>
        </mc:AlternateContent>
      </w:r>
      <w:r>
        <w:rPr>
          <w:noProof/>
          <w:lang w:eastAsia="ru-RU"/>
        </w:rPr>
        <mc:AlternateContent>
          <mc:Choice Requires="wps">
            <w:drawing>
              <wp:anchor distT="0" distB="0" distL="114300" distR="114300" simplePos="0" relativeHeight="252581888" behindDoc="0" locked="0" layoutInCell="1" allowOverlap="1" wp14:anchorId="54AD2E1F" wp14:editId="3CC41A1C">
                <wp:simplePos x="0" y="0"/>
                <wp:positionH relativeFrom="column">
                  <wp:posOffset>3578860</wp:posOffset>
                </wp:positionH>
                <wp:positionV relativeFrom="paragraph">
                  <wp:posOffset>1118870</wp:posOffset>
                </wp:positionV>
                <wp:extent cx="201295" cy="12700"/>
                <wp:effectExtent l="38100" t="57150" r="0" b="82550"/>
                <wp:wrapNone/>
                <wp:docPr id="461204530"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295"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E65F2" id="Прямая со стрелкой 12" o:spid="_x0000_s1026" type="#_x0000_t32" style="position:absolute;margin-left:281.8pt;margin-top:88.1pt;width:15.85pt;height:1pt;flip:x;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582912" behindDoc="0" locked="0" layoutInCell="1" allowOverlap="1" wp14:anchorId="12CF31A8" wp14:editId="029448F1">
                <wp:simplePos x="0" y="0"/>
                <wp:positionH relativeFrom="column">
                  <wp:posOffset>3578860</wp:posOffset>
                </wp:positionH>
                <wp:positionV relativeFrom="paragraph">
                  <wp:posOffset>1995805</wp:posOffset>
                </wp:positionV>
                <wp:extent cx="201930" cy="0"/>
                <wp:effectExtent l="38100" t="76200" r="0" b="95250"/>
                <wp:wrapNone/>
                <wp:docPr id="1920237568"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D39A1" id="Прямая со стрелкой 11" o:spid="_x0000_s1026" type="#_x0000_t32" style="position:absolute;margin-left:281.8pt;margin-top:157.15pt;width:15.9pt;height:0;flip:x;z-index:25258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583936" behindDoc="0" locked="0" layoutInCell="1" allowOverlap="1" wp14:anchorId="31B0BE11" wp14:editId="100EF333">
                <wp:simplePos x="0" y="0"/>
                <wp:positionH relativeFrom="column">
                  <wp:posOffset>3541395</wp:posOffset>
                </wp:positionH>
                <wp:positionV relativeFrom="paragraph">
                  <wp:posOffset>2917825</wp:posOffset>
                </wp:positionV>
                <wp:extent cx="224790" cy="12065"/>
                <wp:effectExtent l="38100" t="57150" r="0" b="83185"/>
                <wp:wrapNone/>
                <wp:docPr id="1160187247"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790" cy="12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13BF8" id="Прямая со стрелкой 10" o:spid="_x0000_s1026" type="#_x0000_t32" style="position:absolute;margin-left:278.85pt;margin-top:229.75pt;width:17.7pt;height:.95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584960" behindDoc="0" locked="0" layoutInCell="1" allowOverlap="1" wp14:anchorId="64786951" wp14:editId="167440F3">
                <wp:simplePos x="0" y="0"/>
                <wp:positionH relativeFrom="column">
                  <wp:posOffset>3781425</wp:posOffset>
                </wp:positionH>
                <wp:positionV relativeFrom="paragraph">
                  <wp:posOffset>1779905</wp:posOffset>
                </wp:positionV>
                <wp:extent cx="248920" cy="0"/>
                <wp:effectExtent l="38100" t="76200" r="0" b="95250"/>
                <wp:wrapNone/>
                <wp:docPr id="39869898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9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4E869" id="Прямая со стрелкой 9" o:spid="_x0000_s1026" type="#_x0000_t32" style="position:absolute;margin-left:297.75pt;margin-top:140.15pt;width:19.6pt;height:0;flip:x;z-index:25258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587008" behindDoc="0" locked="0" layoutInCell="1" allowOverlap="1" wp14:anchorId="49356BF3" wp14:editId="2C857FD5">
                <wp:simplePos x="0" y="0"/>
                <wp:positionH relativeFrom="column">
                  <wp:posOffset>3704590</wp:posOffset>
                </wp:positionH>
                <wp:positionV relativeFrom="paragraph">
                  <wp:posOffset>3878580</wp:posOffset>
                </wp:positionV>
                <wp:extent cx="324485" cy="0"/>
                <wp:effectExtent l="38100" t="76200" r="0" b="95250"/>
                <wp:wrapNone/>
                <wp:docPr id="333119002"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44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BAE0D" id="Прямая со стрелкой 7" o:spid="_x0000_s1026" type="#_x0000_t32" style="position:absolute;margin-left:291.7pt;margin-top:305.4pt;width:25.55pt;height:0;flip:x;z-index:25258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593152" behindDoc="0" locked="0" layoutInCell="1" allowOverlap="1" wp14:anchorId="217B3075" wp14:editId="4FABD1F1">
                <wp:simplePos x="0" y="0"/>
                <wp:positionH relativeFrom="column">
                  <wp:posOffset>276225</wp:posOffset>
                </wp:positionH>
                <wp:positionV relativeFrom="paragraph">
                  <wp:posOffset>292735</wp:posOffset>
                </wp:positionV>
                <wp:extent cx="228600" cy="0"/>
                <wp:effectExtent l="38100" t="76200" r="0" b="95250"/>
                <wp:wrapNone/>
                <wp:docPr id="1829162600" name="Прямая со стрелкой 6"/>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0EF4D" id="Прямая со стрелкой 6" o:spid="_x0000_s1026" type="#_x0000_t32" style="position:absolute;margin-left:21.75pt;margin-top:23.05pt;width:18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" strokecolor="#4579b8 [3044]">
                <v:stroke endarrow="block"/>
              </v:shape>
            </w:pict>
          </mc:Fallback>
        </mc:AlternateContent>
      </w:r>
      <w:r>
        <w:rPr>
          <w:noProof/>
          <w:lang w:eastAsia="ru-RU"/>
        </w:rPr>
        <mc:AlternateContent>
          <mc:Choice Requires="wps">
            <w:drawing>
              <wp:anchor distT="0" distB="0" distL="114300" distR="114300" simplePos="0" relativeHeight="252594176" behindDoc="0" locked="0" layoutInCell="1" allowOverlap="1" wp14:anchorId="0DFEB08E" wp14:editId="5453EFD2">
                <wp:simplePos x="0" y="0"/>
                <wp:positionH relativeFrom="column">
                  <wp:posOffset>285750</wp:posOffset>
                </wp:positionH>
                <wp:positionV relativeFrom="paragraph">
                  <wp:posOffset>1204595</wp:posOffset>
                </wp:positionV>
                <wp:extent cx="228600" cy="0"/>
                <wp:effectExtent l="38100" t="76200" r="0" b="95250"/>
                <wp:wrapNone/>
                <wp:docPr id="1595907361" name="Прямая со стрелкой 5"/>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98099" id="Прямая со стрелкой 5" o:spid="_x0000_s1026" type="#_x0000_t32" style="position:absolute;margin-left:22.5pt;margin-top:94.85pt;width:18pt;height:0;flip:x;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" strokecolor="#4579b8 [3044]">
                <v:stroke endarrow="block"/>
              </v:shape>
            </w:pict>
          </mc:Fallback>
        </mc:AlternateContent>
      </w:r>
      <w:r>
        <w:rPr>
          <w:noProof/>
          <w:lang w:eastAsia="ru-RU"/>
        </w:rPr>
        <mc:AlternateContent>
          <mc:Choice Requires="wps">
            <w:drawing>
              <wp:anchor distT="0" distB="0" distL="114300" distR="114300" simplePos="0" relativeHeight="252595200" behindDoc="0" locked="0" layoutInCell="1" allowOverlap="1" wp14:anchorId="7EC7E5F7" wp14:editId="24B850E9">
                <wp:simplePos x="0" y="0"/>
                <wp:positionH relativeFrom="column">
                  <wp:posOffset>285750</wp:posOffset>
                </wp:positionH>
                <wp:positionV relativeFrom="paragraph">
                  <wp:posOffset>2054225</wp:posOffset>
                </wp:positionV>
                <wp:extent cx="228600" cy="0"/>
                <wp:effectExtent l="38100" t="76200" r="0" b="95250"/>
                <wp:wrapNone/>
                <wp:docPr id="2105661609" name="Прямая со стрелкой 4"/>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498D5" id="Прямая со стрелкой 4" o:spid="_x0000_s1026" type="#_x0000_t32" style="position:absolute;margin-left:22.5pt;margin-top:161.75pt;width:18pt;height:0;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" strokecolor="#4579b8 [3044]">
                <v:stroke endarrow="block"/>
              </v:shape>
            </w:pict>
          </mc:Fallback>
        </mc:AlternateContent>
      </w:r>
      <w:r>
        <w:rPr>
          <w:noProof/>
          <w:lang w:eastAsia="ru-RU"/>
        </w:rPr>
        <mc:AlternateContent>
          <mc:Choice Requires="wps">
            <w:drawing>
              <wp:anchor distT="0" distB="0" distL="114300" distR="114300" simplePos="0" relativeHeight="252596224" behindDoc="0" locked="0" layoutInCell="1" allowOverlap="1" wp14:anchorId="55CE1F47" wp14:editId="4BBEE18D">
                <wp:simplePos x="0" y="0"/>
                <wp:positionH relativeFrom="column">
                  <wp:posOffset>304800</wp:posOffset>
                </wp:positionH>
                <wp:positionV relativeFrom="paragraph">
                  <wp:posOffset>2992755</wp:posOffset>
                </wp:positionV>
                <wp:extent cx="228600" cy="0"/>
                <wp:effectExtent l="38100" t="76200" r="0" b="95250"/>
                <wp:wrapNone/>
                <wp:docPr id="1299480268" name="Прямая со стрелкой 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2A76C" id="Прямая со стрелкой 3" o:spid="_x0000_s1026" type="#_x0000_t32" style="position:absolute;margin-left:24pt;margin-top:235.65pt;width:18pt;height:0;flip:x;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" strokecolor="#4579b8 [3044]">
                <v:stroke endarrow="block"/>
              </v:shape>
            </w:pict>
          </mc:Fallback>
        </mc:AlternateContent>
      </w:r>
      <w:r>
        <w:rPr>
          <w:noProof/>
          <w:lang w:eastAsia="ru-RU"/>
        </w:rPr>
        <mc:AlternateContent>
          <mc:Choice Requires="wps">
            <w:drawing>
              <wp:anchor distT="0" distB="0" distL="114300" distR="114300" simplePos="0" relativeHeight="252598272" behindDoc="0" locked="0" layoutInCell="1" allowOverlap="1" wp14:anchorId="1DA9C4DE" wp14:editId="663E97F0">
                <wp:simplePos x="0" y="0"/>
                <wp:positionH relativeFrom="column">
                  <wp:posOffset>3500120</wp:posOffset>
                </wp:positionH>
                <wp:positionV relativeFrom="paragraph">
                  <wp:posOffset>497205</wp:posOffset>
                </wp:positionV>
                <wp:extent cx="276225" cy="0"/>
                <wp:effectExtent l="38100" t="76200" r="0" b="95250"/>
                <wp:wrapNone/>
                <wp:docPr id="1824782465" name="Прямая со стрелкой 1"/>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A859D" id="Прямая со стрелкой 1" o:spid="_x0000_s1026" type="#_x0000_t32" style="position:absolute;margin-left:275.6pt;margin-top:39.15pt;width:21.75pt;height:0;flip:x;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" strokecolor="#4579b8 [3044]">
                <v:stroke endarrow="block"/>
              </v:shape>
            </w:pict>
          </mc:Fallback>
        </mc:AlternateContent>
      </w:r>
    </w:p>
    <w:p w14:paraId="5E838BB4"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77935ED1"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6BA95D60"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5B7029FA"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790750A1"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28AD3783" w14:textId="2937EC57" w:rsidR="00D665F0" w:rsidRDefault="004330E8"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79840" behindDoc="0" locked="0" layoutInCell="1" allowOverlap="1" wp14:anchorId="64D3861E" wp14:editId="637C70DA">
                <wp:simplePos x="0" y="0"/>
                <wp:positionH relativeFrom="margin">
                  <wp:posOffset>4063365</wp:posOffset>
                </wp:positionH>
                <wp:positionV relativeFrom="paragraph">
                  <wp:posOffset>86995</wp:posOffset>
                </wp:positionV>
                <wp:extent cx="1869440" cy="1027430"/>
                <wp:effectExtent l="0" t="0" r="16510" b="20320"/>
                <wp:wrapNone/>
                <wp:docPr id="1090546282"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9440" cy="1027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18ED38A"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 дамытудың ұлттық жобасына ағымдағы сараптамалық-талдау іс-шараларын жүргізу, баға беру</w:t>
                            </w:r>
                          </w:p>
                          <w:p w14:paraId="3F564A19"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D3861E" id="Прямоугольник 14" o:spid="_x0000_s1170" style="position:absolute;left:0;text-align:left;margin-left:319.95pt;margin-top:6.85pt;width:147.2pt;height:80.9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" fillcolor="white [3201]" strokecolor="black [3200]" strokeweight=".25pt">
                <v:path arrowok="t"/>
                <v:textbox>
                  <w:txbxContent>
                    <w:p w14:paraId="618ED38A"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 дамытудың ұлттық жобасына ағымдағы сараптамалық-талдау іс-шараларын жүргізу, баға беру</w:t>
                      </w:r>
                    </w:p>
                    <w:p w14:paraId="3F564A19"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v:textbox>
                <w10:wrap anchorx="margin"/>
              </v:rect>
            </w:pict>
          </mc:Fallback>
        </mc:AlternateContent>
      </w:r>
    </w:p>
    <w:p w14:paraId="18375C5B"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1EDED8A4"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6629CD4A"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6CB5752F"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085D7C19"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056E6D7A"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786AA31B"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2E002F15"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581AFE3C" w14:textId="51A56085" w:rsidR="00D665F0" w:rsidRDefault="004330E8"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85984" behindDoc="0" locked="0" layoutInCell="1" allowOverlap="1" wp14:anchorId="7A6D2BC7" wp14:editId="2160172A">
                <wp:simplePos x="0" y="0"/>
                <wp:positionH relativeFrom="margin">
                  <wp:posOffset>4025265</wp:posOffset>
                </wp:positionH>
                <wp:positionV relativeFrom="paragraph">
                  <wp:posOffset>136525</wp:posOffset>
                </wp:positionV>
                <wp:extent cx="1907540" cy="1039495"/>
                <wp:effectExtent l="0" t="0" r="16510" b="27305"/>
                <wp:wrapNone/>
                <wp:docPr id="179857090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7540" cy="10394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85FFCD"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 дамытудың ұлттық жобасы аясында мемлекеттік саясатқа тиімділік аудитін жүргізу, қорытынды беру</w:t>
                            </w:r>
                          </w:p>
                          <w:p w14:paraId="74B317F0"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D2BC7" id="Прямоугольник 8" o:spid="_x0000_s1171" style="position:absolute;left:0;text-align:left;margin-left:316.95pt;margin-top:10.75pt;width:150.2pt;height:81.8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" fillcolor="white [3201]" strokecolor="black [3200]" strokeweight=".25pt">
                <v:path arrowok="t"/>
                <v:textbox>
                  <w:txbxContent>
                    <w:p w14:paraId="0985FFCD"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r>
                        <w:rPr>
                          <w:rFonts w:ascii="Times New Roman" w:eastAsia="Times New Roman" w:hAnsi="Times New Roman"/>
                          <w:kern w:val="36"/>
                          <w:sz w:val="24"/>
                          <w:szCs w:val="24"/>
                          <w:lang w:val="kk-KZ" w:eastAsia="ru-RU"/>
                        </w:rPr>
                        <w:t>ҚР АӨК дамытудың ұлттық жобасы аясында мемлекеттік саясатқа тиімділік аудитін жүргізу, қорытынды беру</w:t>
                      </w:r>
                    </w:p>
                    <w:p w14:paraId="74B317F0" w14:textId="77777777" w:rsidR="00D665F0" w:rsidRDefault="00D665F0" w:rsidP="00D665F0">
                      <w:pPr>
                        <w:tabs>
                          <w:tab w:val="left" w:pos="851"/>
                        </w:tabs>
                        <w:spacing w:after="0" w:line="240" w:lineRule="auto"/>
                        <w:jc w:val="center"/>
                        <w:rPr>
                          <w:rFonts w:ascii="Times New Roman" w:eastAsia="Times New Roman" w:hAnsi="Times New Roman"/>
                          <w:kern w:val="36"/>
                          <w:sz w:val="24"/>
                          <w:szCs w:val="24"/>
                          <w:lang w:val="kk-KZ" w:eastAsia="ru-RU"/>
                        </w:rPr>
                      </w:pPr>
                    </w:p>
                  </w:txbxContent>
                </v:textbox>
                <w10:wrap anchorx="margin"/>
              </v:rect>
            </w:pict>
          </mc:Fallback>
        </mc:AlternateContent>
      </w:r>
    </w:p>
    <w:p w14:paraId="1E983A30"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50FCF69D"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138DC133" w14:textId="4D9AF809" w:rsidR="00D665F0" w:rsidRDefault="001A5553"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noProof/>
          <w:lang w:eastAsia="ru-RU"/>
        </w:rPr>
        <mc:AlternateContent>
          <mc:Choice Requires="wps">
            <w:drawing>
              <wp:anchor distT="0" distB="0" distL="114300" distR="114300" simplePos="0" relativeHeight="252597248" behindDoc="0" locked="0" layoutInCell="1" allowOverlap="1" wp14:anchorId="5F92CC05" wp14:editId="48510DBE">
                <wp:simplePos x="0" y="0"/>
                <wp:positionH relativeFrom="column">
                  <wp:posOffset>278130</wp:posOffset>
                </wp:positionH>
                <wp:positionV relativeFrom="paragraph">
                  <wp:posOffset>167640</wp:posOffset>
                </wp:positionV>
                <wp:extent cx="333375" cy="0"/>
                <wp:effectExtent l="0" t="76200" r="9525" b="95250"/>
                <wp:wrapNone/>
                <wp:docPr id="191857161" name="Прямая со стрелкой 2"/>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20052" id="Прямая со стрелкой 2" o:spid="_x0000_s1026" type="#_x0000_t32" style="position:absolute;margin-left:21.9pt;margin-top:13.2pt;width:26.25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" strokecolor="#4579b8 [3044]">
                <v:stroke endarrow="block"/>
              </v:shape>
            </w:pict>
          </mc:Fallback>
        </mc:AlternateContent>
      </w:r>
    </w:p>
    <w:p w14:paraId="4039850A" w14:textId="74A3B33A"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79B19D5B" w14:textId="77777777" w:rsidR="00D665F0" w:rsidRDefault="00D665F0" w:rsidP="00D665F0">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3948B33F" w14:textId="55E666FA" w:rsidR="00D665F0" w:rsidRDefault="00D665F0" w:rsidP="00D665F0">
      <w:pPr>
        <w:pStyle w:val="a5"/>
        <w:tabs>
          <w:tab w:val="left" w:pos="851"/>
          <w:tab w:val="left" w:pos="993"/>
        </w:tabs>
        <w:spacing w:after="0" w:line="240" w:lineRule="auto"/>
        <w:ind w:left="0"/>
        <w:jc w:val="center"/>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Сурет 17 – ҚР АӨК дамытуға бағытталған бюджет қаражатын пайдаланудың тиімділік аудиті бойынша анықталған кемшіліктер</w:t>
      </w:r>
    </w:p>
    <w:p w14:paraId="2B6CA9F2" w14:textId="5C338CCE" w:rsidR="00701D5B" w:rsidRPr="00457CE9" w:rsidRDefault="00463D68" w:rsidP="00457CE9">
      <w:pPr>
        <w:pStyle w:val="a5"/>
        <w:tabs>
          <w:tab w:val="left" w:pos="851"/>
          <w:tab w:val="left" w:pos="993"/>
        </w:tabs>
        <w:spacing w:after="0" w:line="240" w:lineRule="auto"/>
        <w:ind w:left="0" w:firstLine="709"/>
        <w:jc w:val="both"/>
        <w:rPr>
          <w:rFonts w:ascii="Times New Roman" w:eastAsia="Times New Roman" w:hAnsi="Times New Roman"/>
          <w:kern w:val="36"/>
          <w:sz w:val="24"/>
          <w:szCs w:val="24"/>
          <w:lang w:val="kk-KZ" w:eastAsia="ru-RU"/>
        </w:rPr>
      </w:pPr>
      <w:r w:rsidRPr="00EB67B8">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w:t>
      </w:r>
      <w:r w:rsidR="00701D5B" w:rsidRPr="00457CE9">
        <w:rPr>
          <w:rFonts w:ascii="Times New Roman" w:eastAsia="Times New Roman" w:hAnsi="Times New Roman"/>
          <w:kern w:val="36"/>
          <w:sz w:val="24"/>
          <w:szCs w:val="24"/>
          <w:lang w:val="kk-KZ" w:eastAsia="ru-RU"/>
        </w:rPr>
        <w:t xml:space="preserve"> </w:t>
      </w:r>
    </w:p>
    <w:p w14:paraId="145D83C8" w14:textId="77777777" w:rsidR="004330E8" w:rsidRDefault="004330E8" w:rsidP="00C80BF1">
      <w:pPr>
        <w:tabs>
          <w:tab w:val="left" w:pos="851"/>
          <w:tab w:val="left" w:pos="993"/>
        </w:tabs>
        <w:spacing w:after="0" w:line="240" w:lineRule="auto"/>
        <w:ind w:firstLine="709"/>
        <w:jc w:val="both"/>
        <w:rPr>
          <w:rFonts w:ascii="Times New Roman" w:eastAsia="Times New Roman" w:hAnsi="Times New Roman"/>
          <w:kern w:val="36"/>
          <w:sz w:val="28"/>
          <w:szCs w:val="28"/>
          <w:lang w:val="kk-KZ" w:eastAsia="ru-RU"/>
        </w:rPr>
      </w:pPr>
    </w:p>
    <w:p w14:paraId="054AC156" w14:textId="001B4C52" w:rsidR="00B41605" w:rsidRPr="00A36183" w:rsidRDefault="00B41605" w:rsidP="00457CE9">
      <w:pPr>
        <w:widowControl w:val="0"/>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Қазақстан Республикасындағы агроөнеркәсіп кешенін дамытуға </w:t>
      </w:r>
      <w:r w:rsidRPr="00A36183">
        <w:rPr>
          <w:rFonts w:ascii="Times New Roman" w:eastAsia="Times New Roman" w:hAnsi="Times New Roman" w:cs="Times New Roman"/>
          <w:kern w:val="36"/>
          <w:sz w:val="28"/>
          <w:szCs w:val="28"/>
          <w:lang w:val="kk-KZ" w:eastAsia="ru-RU"/>
        </w:rPr>
        <w:t>бағытталған бюджет қаражаты</w:t>
      </w:r>
      <w:r w:rsidR="00093D19">
        <w:rPr>
          <w:rFonts w:ascii="Times New Roman" w:eastAsia="Times New Roman" w:hAnsi="Times New Roman" w:cs="Times New Roman"/>
          <w:kern w:val="36"/>
          <w:sz w:val="28"/>
          <w:szCs w:val="28"/>
          <w:lang w:val="kk-KZ" w:eastAsia="ru-RU"/>
        </w:rPr>
        <w:t>н пайдалану</w:t>
      </w:r>
      <w:r w:rsidRPr="00A36183">
        <w:rPr>
          <w:rFonts w:ascii="Times New Roman" w:eastAsia="Times New Roman" w:hAnsi="Times New Roman" w:cs="Times New Roman"/>
          <w:kern w:val="36"/>
          <w:sz w:val="28"/>
          <w:szCs w:val="28"/>
          <w:lang w:val="kk-KZ" w:eastAsia="ru-RU"/>
        </w:rPr>
        <w:t xml:space="preserve"> тиімділі</w:t>
      </w:r>
      <w:r w:rsidR="00093D19">
        <w:rPr>
          <w:rFonts w:ascii="Times New Roman" w:eastAsia="Times New Roman" w:hAnsi="Times New Roman" w:cs="Times New Roman"/>
          <w:kern w:val="36"/>
          <w:sz w:val="28"/>
          <w:szCs w:val="28"/>
          <w:lang w:val="kk-KZ" w:eastAsia="ru-RU"/>
        </w:rPr>
        <w:t>гі</w:t>
      </w:r>
      <w:r w:rsidRPr="00A36183">
        <w:rPr>
          <w:rFonts w:ascii="Times New Roman" w:eastAsia="Times New Roman" w:hAnsi="Times New Roman" w:cs="Times New Roman"/>
          <w:kern w:val="36"/>
          <w:sz w:val="28"/>
          <w:szCs w:val="28"/>
          <w:lang w:val="kk-KZ" w:eastAsia="ru-RU"/>
        </w:rPr>
        <w:t xml:space="preserve"> аудитінің мақсаты нарықтарда сұранысқа ие бәсекеге қабілетті агроөнеркәсіптік кешен өнімдерінің өндірісін қамтамасыз етілуі үрдісінің тиімділігі мен зерделенген бағытында үнемділігіне, </w:t>
      </w:r>
      <w:r w:rsidR="00093D19" w:rsidRPr="00A36183">
        <w:rPr>
          <w:rFonts w:ascii="Times New Roman" w:eastAsia="Times New Roman" w:hAnsi="Times New Roman" w:cs="Times New Roman"/>
          <w:kern w:val="36"/>
          <w:sz w:val="28"/>
          <w:szCs w:val="28"/>
          <w:lang w:val="kk-KZ" w:eastAsia="ru-RU"/>
        </w:rPr>
        <w:t xml:space="preserve">өнімділігіне </w:t>
      </w:r>
      <w:r w:rsidRPr="00A36183">
        <w:rPr>
          <w:rFonts w:ascii="Times New Roman" w:eastAsia="Times New Roman" w:hAnsi="Times New Roman" w:cs="Times New Roman"/>
          <w:kern w:val="36"/>
          <w:sz w:val="28"/>
          <w:szCs w:val="28"/>
          <w:lang w:val="kk-KZ" w:eastAsia="ru-RU"/>
        </w:rPr>
        <w:t xml:space="preserve">және нәтижелілігіне қатысты тәуелсіз, құзыретті және объективті пікір білдіру болып табылады. </w:t>
      </w:r>
      <w:r w:rsidR="00BF287B" w:rsidRPr="00A36183">
        <w:rPr>
          <w:rFonts w:ascii="Times New Roman" w:eastAsia="Times New Roman" w:hAnsi="Times New Roman" w:cs="Times New Roman"/>
          <w:kern w:val="36"/>
          <w:sz w:val="28"/>
          <w:szCs w:val="28"/>
          <w:lang w:val="kk-KZ" w:eastAsia="ru-RU"/>
        </w:rPr>
        <w:t>Т</w:t>
      </w:r>
      <w:r w:rsidR="00757C2B" w:rsidRPr="00A36183">
        <w:rPr>
          <w:rFonts w:ascii="Times New Roman" w:eastAsia="Times New Roman" w:hAnsi="Times New Roman" w:cs="Times New Roman"/>
          <w:kern w:val="36"/>
          <w:sz w:val="28"/>
          <w:szCs w:val="28"/>
          <w:lang w:val="kk-KZ" w:eastAsia="ru-RU"/>
        </w:rPr>
        <w:t xml:space="preserve">иімділік аудиті нәтижесінде бюджеттік үрдістерді, рәсімдерді </w:t>
      </w:r>
      <w:r w:rsidR="00BF287B" w:rsidRPr="00A36183">
        <w:rPr>
          <w:rFonts w:ascii="Times New Roman" w:eastAsia="Times New Roman" w:hAnsi="Times New Roman" w:cs="Times New Roman"/>
          <w:kern w:val="36"/>
          <w:sz w:val="28"/>
          <w:szCs w:val="28"/>
          <w:lang w:val="kk-KZ" w:eastAsia="ru-RU"/>
        </w:rPr>
        <w:t xml:space="preserve">жетілдірудің резервтерін анықтауға және қаржылық тәртіпті күшейтуге септігін тигізеді. </w:t>
      </w:r>
      <w:r w:rsidRPr="00A36183">
        <w:rPr>
          <w:rFonts w:ascii="Times New Roman" w:eastAsia="Times New Roman" w:hAnsi="Times New Roman" w:cs="Times New Roman"/>
          <w:kern w:val="36"/>
          <w:sz w:val="28"/>
          <w:szCs w:val="28"/>
          <w:lang w:val="kk-KZ" w:eastAsia="ru-RU"/>
        </w:rPr>
        <w:t>Соған орай тиімділік аудитінің тапсырмалары келесідей деп анықтауға болады:</w:t>
      </w:r>
    </w:p>
    <w:p w14:paraId="1FE7A449" w14:textId="1785E21F" w:rsidR="00B41605" w:rsidRPr="00A36183" w:rsidRDefault="00B41605"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 xml:space="preserve">Қазақстан Республикасының </w:t>
      </w:r>
      <w:r w:rsidR="000F2783" w:rsidRPr="00A36183">
        <w:rPr>
          <w:rFonts w:ascii="Times New Roman" w:eastAsia="Times New Roman" w:hAnsi="Times New Roman"/>
          <w:kern w:val="36"/>
          <w:sz w:val="28"/>
          <w:szCs w:val="28"/>
          <w:lang w:val="kk-KZ" w:eastAsia="ru-RU"/>
        </w:rPr>
        <w:t xml:space="preserve">АӨК </w:t>
      </w:r>
      <w:r w:rsidRPr="00A36183">
        <w:rPr>
          <w:rFonts w:ascii="Times New Roman" w:eastAsia="Times New Roman" w:hAnsi="Times New Roman"/>
          <w:kern w:val="36"/>
          <w:sz w:val="28"/>
          <w:szCs w:val="28"/>
          <w:lang w:val="kk-KZ" w:eastAsia="ru-RU"/>
        </w:rPr>
        <w:t>бағыттары мен а</w:t>
      </w:r>
      <w:r w:rsidR="000F2783" w:rsidRPr="00A36183">
        <w:rPr>
          <w:rFonts w:ascii="Times New Roman" w:eastAsia="Times New Roman" w:hAnsi="Times New Roman"/>
          <w:kern w:val="36"/>
          <w:sz w:val="28"/>
          <w:szCs w:val="28"/>
          <w:lang w:val="kk-KZ" w:eastAsia="ru-RU"/>
        </w:rPr>
        <w:t>ймақт</w:t>
      </w:r>
      <w:r w:rsidRPr="00A36183">
        <w:rPr>
          <w:rFonts w:ascii="Times New Roman" w:eastAsia="Times New Roman" w:hAnsi="Times New Roman"/>
          <w:kern w:val="36"/>
          <w:sz w:val="28"/>
          <w:szCs w:val="28"/>
          <w:lang w:val="kk-KZ" w:eastAsia="ru-RU"/>
        </w:rPr>
        <w:t xml:space="preserve">ары бойынша, сондай-ақ </w:t>
      </w:r>
      <w:r w:rsidR="000F2783" w:rsidRPr="00A36183">
        <w:rPr>
          <w:rFonts w:ascii="Times New Roman" w:eastAsia="Times New Roman" w:hAnsi="Times New Roman"/>
          <w:kern w:val="36"/>
          <w:sz w:val="28"/>
          <w:szCs w:val="28"/>
          <w:lang w:val="kk-KZ" w:eastAsia="ru-RU"/>
        </w:rPr>
        <w:t>аймақтар</w:t>
      </w:r>
      <w:r w:rsidRPr="00A36183">
        <w:rPr>
          <w:rFonts w:ascii="Times New Roman" w:eastAsia="Times New Roman" w:hAnsi="Times New Roman"/>
          <w:kern w:val="36"/>
          <w:sz w:val="28"/>
          <w:szCs w:val="28"/>
          <w:lang w:val="kk-KZ" w:eastAsia="ru-RU"/>
        </w:rPr>
        <w:t xml:space="preserve"> ішіндегі шаруашылықтар арасында мемлекеттік қолдау қаражатын бөлу жүргізілу тәртібін тексеру</w:t>
      </w:r>
      <w:r w:rsidR="00A36183">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14964629" w14:textId="26CE1E64" w:rsidR="00B41605" w:rsidRPr="00A36183" w:rsidRDefault="00B41605"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Республиканың агроөнеркәсіптік кешенінің өндірісін және ауыл шаруашылығы өнімдерін сатуды жоспарлауын талдау</w:t>
      </w:r>
      <w:r w:rsidR="00A36183">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640E4ADD" w14:textId="6BCC0288" w:rsidR="00B41605" w:rsidRPr="00A36183" w:rsidRDefault="00B41605"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Қазақстан Республикасының агроөнеркәсіптік кешенінің жағдайына мониторинг жүргізу жүйесін бағалау</w:t>
      </w:r>
      <w:r w:rsidR="00A36183">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135AF46D" w14:textId="0260A339" w:rsidR="00B41605" w:rsidRPr="00A36183" w:rsidRDefault="000F27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АӨК</w:t>
      </w:r>
      <w:r w:rsidR="00B41605" w:rsidRPr="00A36183">
        <w:rPr>
          <w:rFonts w:ascii="Times New Roman" w:eastAsia="Times New Roman" w:hAnsi="Times New Roman"/>
          <w:kern w:val="36"/>
          <w:sz w:val="28"/>
          <w:szCs w:val="28"/>
          <w:lang w:val="kk-KZ" w:eastAsia="ru-RU"/>
        </w:rPr>
        <w:t xml:space="preserve"> салаларының әлеуметтік-экономикалық даму болжамын талдау</w:t>
      </w:r>
      <w:r w:rsidR="00A36183">
        <w:rPr>
          <w:rFonts w:ascii="Times New Roman" w:eastAsia="Times New Roman" w:hAnsi="Times New Roman"/>
          <w:kern w:val="36"/>
          <w:sz w:val="28"/>
          <w:szCs w:val="28"/>
          <w:lang w:val="kk-KZ" w:eastAsia="ru-RU"/>
        </w:rPr>
        <w:t>.</w:t>
      </w:r>
    </w:p>
    <w:p w14:paraId="235FC1E8" w14:textId="1A65EA51" w:rsidR="00B41605" w:rsidRPr="00A36183" w:rsidRDefault="000F27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АӨК</w:t>
      </w:r>
      <w:r w:rsidR="00B41605" w:rsidRPr="00A36183">
        <w:rPr>
          <w:rFonts w:ascii="Times New Roman" w:eastAsia="Times New Roman" w:hAnsi="Times New Roman"/>
          <w:kern w:val="36"/>
          <w:sz w:val="28"/>
          <w:szCs w:val="28"/>
          <w:lang w:val="kk-KZ" w:eastAsia="ru-RU"/>
        </w:rPr>
        <w:t xml:space="preserve"> саласындағы нормативтік</w:t>
      </w:r>
      <w:r w:rsidR="00093D19">
        <w:rPr>
          <w:rFonts w:ascii="Times New Roman" w:eastAsia="Times New Roman" w:hAnsi="Times New Roman"/>
          <w:kern w:val="36"/>
          <w:sz w:val="28"/>
          <w:szCs w:val="28"/>
          <w:lang w:val="kk-KZ" w:eastAsia="ru-RU"/>
        </w:rPr>
        <w:t>-</w:t>
      </w:r>
      <w:r w:rsidR="00B41605" w:rsidRPr="00A36183">
        <w:rPr>
          <w:rFonts w:ascii="Times New Roman" w:eastAsia="Times New Roman" w:hAnsi="Times New Roman"/>
          <w:kern w:val="36"/>
          <w:sz w:val="28"/>
          <w:szCs w:val="28"/>
          <w:lang w:val="kk-KZ" w:eastAsia="ru-RU"/>
        </w:rPr>
        <w:t>құқықтық актілерін зерттеу</w:t>
      </w:r>
      <w:r w:rsidR="00A36183">
        <w:rPr>
          <w:rFonts w:ascii="Times New Roman" w:eastAsia="Times New Roman" w:hAnsi="Times New Roman"/>
          <w:kern w:val="36"/>
          <w:sz w:val="28"/>
          <w:szCs w:val="28"/>
          <w:lang w:val="kk-KZ" w:eastAsia="ru-RU"/>
        </w:rPr>
        <w:t>.</w:t>
      </w:r>
      <w:r w:rsidR="00B41605" w:rsidRPr="00A36183">
        <w:rPr>
          <w:rFonts w:ascii="Times New Roman" w:eastAsia="Times New Roman" w:hAnsi="Times New Roman"/>
          <w:kern w:val="36"/>
          <w:sz w:val="28"/>
          <w:szCs w:val="28"/>
          <w:lang w:val="kk-KZ" w:eastAsia="ru-RU"/>
        </w:rPr>
        <w:t xml:space="preserve"> </w:t>
      </w:r>
    </w:p>
    <w:p w14:paraId="2B9E9FA0" w14:textId="6A06170A" w:rsidR="00B41605" w:rsidRPr="00A36183" w:rsidRDefault="00A361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Бюджет қаражатын алушылардың есептілік жүйесін бағалау</w:t>
      </w:r>
      <w:r>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7F5E7565" w14:textId="06FD80B0" w:rsidR="00B41605" w:rsidRPr="00A36183" w:rsidRDefault="00A361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Орталық мемлекеттік орган ауыл шаруашылығы ұйымдарының пікірін ескеруін бағалау</w:t>
      </w:r>
      <w:r>
        <w:rPr>
          <w:rFonts w:ascii="Times New Roman" w:eastAsia="Times New Roman" w:hAnsi="Times New Roman"/>
          <w:kern w:val="36"/>
          <w:sz w:val="28"/>
          <w:szCs w:val="28"/>
          <w:lang w:val="kk-KZ" w:eastAsia="ru-RU"/>
        </w:rPr>
        <w:t>.</w:t>
      </w:r>
    </w:p>
    <w:p w14:paraId="65CA8D57" w14:textId="6178D8BE" w:rsidR="00B41605" w:rsidRPr="00A36183" w:rsidRDefault="00A361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Бюджет қаражатын пайдаланудың нәтижелілігін бағалау бойынша министрліктің жұмысын талдау</w:t>
      </w:r>
      <w:r>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269D20F1" w14:textId="14EB91DD" w:rsidR="00B41605" w:rsidRPr="00A36183" w:rsidRDefault="00A361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Бюджет қаражатының пайдаланылуын ішкі бақылау жүйесіне баға беру</w:t>
      </w:r>
      <w:r>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75058B53" w14:textId="4D94B37C" w:rsidR="00B41605" w:rsidRPr="00A36183" w:rsidRDefault="00A36183"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 xml:space="preserve">Мемлекеттік </w:t>
      </w:r>
      <w:r w:rsidR="00B41605" w:rsidRPr="00A36183">
        <w:rPr>
          <w:rFonts w:ascii="Times New Roman" w:eastAsia="Times New Roman" w:hAnsi="Times New Roman"/>
          <w:kern w:val="36"/>
          <w:sz w:val="28"/>
          <w:szCs w:val="28"/>
          <w:lang w:val="kk-KZ" w:eastAsia="ru-RU"/>
        </w:rPr>
        <w:t>қолдау қаражатын бөлу туралы ауыл шаруашылығы ұйымдары мен басқа да мүдделі тұлғаларды ақпараттандыру тәртібі</w:t>
      </w:r>
      <w:r>
        <w:rPr>
          <w:rFonts w:ascii="Times New Roman" w:eastAsia="Times New Roman" w:hAnsi="Times New Roman"/>
          <w:kern w:val="36"/>
          <w:sz w:val="28"/>
          <w:szCs w:val="28"/>
          <w:lang w:val="kk-KZ" w:eastAsia="ru-RU"/>
        </w:rPr>
        <w:t>.</w:t>
      </w:r>
    </w:p>
    <w:p w14:paraId="6550A611" w14:textId="581AAD7C" w:rsidR="00B41605" w:rsidRPr="00A36183" w:rsidRDefault="00B41605"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Министрліктің заңнамаға сәйкес оған жүктелген міндеттер мен функцияларды орындауын бағалау</w:t>
      </w:r>
      <w:r w:rsidR="00A36183">
        <w:rPr>
          <w:rFonts w:ascii="Times New Roman" w:eastAsia="Times New Roman" w:hAnsi="Times New Roman"/>
          <w:kern w:val="36"/>
          <w:sz w:val="28"/>
          <w:szCs w:val="28"/>
          <w:lang w:val="kk-KZ" w:eastAsia="ru-RU"/>
        </w:rPr>
        <w:t>.</w:t>
      </w:r>
      <w:r w:rsidRPr="00A36183">
        <w:rPr>
          <w:rFonts w:ascii="Times New Roman" w:eastAsia="Times New Roman" w:hAnsi="Times New Roman"/>
          <w:kern w:val="36"/>
          <w:sz w:val="28"/>
          <w:szCs w:val="28"/>
          <w:lang w:val="kk-KZ" w:eastAsia="ru-RU"/>
        </w:rPr>
        <w:t xml:space="preserve"> </w:t>
      </w:r>
    </w:p>
    <w:p w14:paraId="61FFBFDA" w14:textId="2717619B" w:rsidR="00B41605" w:rsidRPr="00A36183" w:rsidRDefault="00B41605" w:rsidP="0097172E">
      <w:pPr>
        <w:pStyle w:val="a5"/>
        <w:widowControl w:val="0"/>
        <w:numPr>
          <w:ilvl w:val="0"/>
          <w:numId w:val="46"/>
        </w:numPr>
        <w:tabs>
          <w:tab w:val="left" w:pos="851"/>
          <w:tab w:val="left" w:pos="1134"/>
        </w:tabs>
        <w:spacing w:after="0" w:line="240" w:lineRule="auto"/>
        <w:ind w:left="0" w:firstLine="709"/>
        <w:jc w:val="both"/>
        <w:rPr>
          <w:rFonts w:ascii="Times New Roman" w:eastAsia="Times New Roman" w:hAnsi="Times New Roman"/>
          <w:kern w:val="36"/>
          <w:sz w:val="28"/>
          <w:szCs w:val="28"/>
          <w:lang w:val="kk-KZ" w:eastAsia="ru-RU"/>
        </w:rPr>
      </w:pPr>
      <w:r w:rsidRPr="00A36183">
        <w:rPr>
          <w:rFonts w:ascii="Times New Roman" w:eastAsia="Times New Roman" w:hAnsi="Times New Roman"/>
          <w:kern w:val="36"/>
          <w:sz w:val="28"/>
          <w:szCs w:val="28"/>
          <w:lang w:val="kk-KZ" w:eastAsia="ru-RU"/>
        </w:rPr>
        <w:t xml:space="preserve">Қазақстан Республикасының ауыл шаруашылығының </w:t>
      </w:r>
      <w:r w:rsidR="000F2783" w:rsidRPr="00A36183">
        <w:rPr>
          <w:rFonts w:ascii="Times New Roman" w:eastAsia="Times New Roman" w:hAnsi="Times New Roman"/>
          <w:kern w:val="36"/>
          <w:sz w:val="28"/>
          <w:szCs w:val="28"/>
          <w:lang w:val="kk-KZ" w:eastAsia="ru-RU"/>
        </w:rPr>
        <w:t xml:space="preserve">дамуы </w:t>
      </w:r>
      <w:r w:rsidRPr="00A36183">
        <w:rPr>
          <w:rFonts w:ascii="Times New Roman" w:eastAsia="Times New Roman" w:hAnsi="Times New Roman"/>
          <w:kern w:val="36"/>
          <w:sz w:val="28"/>
          <w:szCs w:val="28"/>
          <w:lang w:val="kk-KZ" w:eastAsia="ru-RU"/>
        </w:rPr>
        <w:t>жағдайын талдау.</w:t>
      </w:r>
    </w:p>
    <w:p w14:paraId="36DF78E7" w14:textId="77777777" w:rsidR="00425DF3" w:rsidRPr="00457CE9" w:rsidRDefault="00425DF3"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p>
    <w:p w14:paraId="024EAA70" w14:textId="378ED275" w:rsidR="00661619" w:rsidRPr="00093D19" w:rsidRDefault="00661619" w:rsidP="00457CE9">
      <w:pPr>
        <w:pStyle w:val="a5"/>
        <w:tabs>
          <w:tab w:val="left" w:pos="851"/>
          <w:tab w:val="left" w:pos="993"/>
        </w:tabs>
        <w:spacing w:after="0" w:line="240" w:lineRule="auto"/>
        <w:ind w:left="0" w:firstLine="709"/>
        <w:jc w:val="both"/>
        <w:rPr>
          <w:rFonts w:ascii="Times New Roman" w:eastAsia="Times New Roman" w:hAnsi="Times New Roman"/>
          <w:b/>
          <w:color w:val="FF0000"/>
          <w:kern w:val="36"/>
          <w:sz w:val="28"/>
          <w:szCs w:val="28"/>
          <w:lang w:val="kk-KZ" w:eastAsia="ru-RU"/>
        </w:rPr>
      </w:pPr>
      <w:r w:rsidRPr="00093D19">
        <w:rPr>
          <w:rFonts w:ascii="Times New Roman" w:hAnsi="Times New Roman"/>
          <w:b/>
          <w:color w:val="FF0000"/>
          <w:sz w:val="28"/>
          <w:szCs w:val="28"/>
          <w:lang w:val="kk-KZ"/>
        </w:rPr>
        <w:t xml:space="preserve">2.3 ҚР </w:t>
      </w:r>
      <w:r w:rsidRPr="00093D19">
        <w:rPr>
          <w:rFonts w:ascii="Times New Roman" w:eastAsia="Times New Roman" w:hAnsi="Times New Roman"/>
          <w:b/>
          <w:color w:val="FF0000"/>
          <w:kern w:val="36"/>
          <w:sz w:val="28"/>
          <w:szCs w:val="28"/>
          <w:lang w:val="kk-KZ" w:eastAsia="ru-RU"/>
        </w:rPr>
        <w:t xml:space="preserve">АӨК дамыту көрсеткіштерін </w:t>
      </w:r>
      <w:r w:rsidRPr="00093D19">
        <w:rPr>
          <w:rFonts w:ascii="Times New Roman" w:hAnsi="Times New Roman"/>
          <w:b/>
          <w:color w:val="FF0000"/>
          <w:sz w:val="28"/>
          <w:szCs w:val="28"/>
          <w:lang w:val="kk-KZ"/>
        </w:rPr>
        <w:t xml:space="preserve"> талдау негізінде тиімділік аудитінің критерийлерін анықтау</w:t>
      </w:r>
    </w:p>
    <w:p w14:paraId="1EED389F" w14:textId="59E19655" w:rsidR="00661619" w:rsidRPr="00457CE9" w:rsidRDefault="002365DC"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Диссертациялық жұмыстағы </w:t>
      </w:r>
      <w:r w:rsidR="00661619" w:rsidRPr="00457CE9">
        <w:rPr>
          <w:rFonts w:ascii="Times New Roman" w:eastAsia="Times New Roman" w:hAnsi="Times New Roman"/>
          <w:kern w:val="36"/>
          <w:sz w:val="28"/>
          <w:szCs w:val="28"/>
          <w:lang w:val="kk-KZ" w:eastAsia="ru-RU"/>
        </w:rPr>
        <w:t>2 тар</w:t>
      </w:r>
      <w:r w:rsidRPr="00457CE9">
        <w:rPr>
          <w:rFonts w:ascii="Times New Roman" w:eastAsia="Times New Roman" w:hAnsi="Times New Roman"/>
          <w:kern w:val="36"/>
          <w:sz w:val="28"/>
          <w:szCs w:val="28"/>
          <w:lang w:val="kk-KZ" w:eastAsia="ru-RU"/>
        </w:rPr>
        <w:t>ау</w:t>
      </w:r>
      <w:r w:rsidR="00661619" w:rsidRPr="00457CE9">
        <w:rPr>
          <w:rFonts w:ascii="Times New Roman" w:eastAsia="Times New Roman" w:hAnsi="Times New Roman"/>
          <w:kern w:val="36"/>
          <w:sz w:val="28"/>
          <w:szCs w:val="28"/>
          <w:lang w:val="kk-KZ" w:eastAsia="ru-RU"/>
        </w:rPr>
        <w:t xml:space="preserve">дың 1-ші және 2-ші бөлімдерінде </w:t>
      </w:r>
      <w:r w:rsidRPr="00457CE9">
        <w:rPr>
          <w:rFonts w:ascii="Times New Roman" w:eastAsia="Times New Roman" w:hAnsi="Times New Roman"/>
          <w:kern w:val="36"/>
          <w:sz w:val="28"/>
          <w:szCs w:val="28"/>
          <w:lang w:val="kk-KZ" w:eastAsia="ru-RU"/>
        </w:rPr>
        <w:t xml:space="preserve">ҚР </w:t>
      </w:r>
      <w:r w:rsidR="00661619" w:rsidRPr="00457CE9">
        <w:rPr>
          <w:rFonts w:ascii="Times New Roman" w:eastAsia="Times New Roman" w:hAnsi="Times New Roman"/>
          <w:kern w:val="36"/>
          <w:sz w:val="28"/>
          <w:szCs w:val="28"/>
          <w:lang w:val="kk-KZ" w:eastAsia="ru-RU"/>
        </w:rPr>
        <w:t>АӨК-н дамытуға бағытталған бюджет қаражатын пайдаланудың ағымдағы жағдайы талданып, 2017-2021 жж. аралығында АӨК дамытуға бағытталған</w:t>
      </w:r>
      <w:r w:rsidRPr="00457CE9">
        <w:rPr>
          <w:rFonts w:ascii="Times New Roman" w:eastAsia="Times New Roman" w:hAnsi="Times New Roman"/>
          <w:kern w:val="36"/>
          <w:sz w:val="28"/>
          <w:szCs w:val="28"/>
          <w:lang w:val="kk-KZ" w:eastAsia="ru-RU"/>
        </w:rPr>
        <w:t xml:space="preserve"> </w:t>
      </w:r>
      <w:r w:rsidR="00661619" w:rsidRPr="00457CE9">
        <w:rPr>
          <w:rFonts w:ascii="Times New Roman" w:eastAsia="Times New Roman" w:hAnsi="Times New Roman"/>
          <w:kern w:val="36"/>
          <w:sz w:val="28"/>
          <w:szCs w:val="28"/>
          <w:lang w:val="kk-KZ" w:eastAsia="ru-RU"/>
        </w:rPr>
        <w:t xml:space="preserve">бюджет қаражатын пайдаланудың тиімділігін анықтау мақсатында </w:t>
      </w:r>
      <w:r w:rsidR="00661619" w:rsidRPr="00457CE9">
        <w:rPr>
          <w:rFonts w:ascii="Times New Roman" w:eastAsiaTheme="minorEastAsia" w:hAnsi="Times New Roman"/>
          <w:kern w:val="36"/>
          <w:sz w:val="28"/>
          <w:szCs w:val="28"/>
          <w:lang w:val="kk-KZ" w:eastAsia="zh-CN"/>
        </w:rPr>
        <w:t>ҚР Жоғары аудиторлық палатасы</w:t>
      </w:r>
      <w:r w:rsidRPr="00457CE9">
        <w:rPr>
          <w:rFonts w:ascii="Times New Roman" w:eastAsiaTheme="minorEastAsia" w:hAnsi="Times New Roman"/>
          <w:kern w:val="36"/>
          <w:sz w:val="28"/>
          <w:szCs w:val="28"/>
          <w:lang w:val="kk-KZ" w:eastAsia="zh-CN"/>
        </w:rPr>
        <w:t>ның</w:t>
      </w:r>
      <w:r w:rsidR="00AF068F" w:rsidRPr="00457CE9">
        <w:rPr>
          <w:rFonts w:ascii="Times New Roman" w:eastAsiaTheme="minorEastAsia" w:hAnsi="Times New Roman"/>
          <w:kern w:val="36"/>
          <w:sz w:val="28"/>
          <w:szCs w:val="28"/>
          <w:lang w:val="kk-KZ" w:eastAsia="zh-CN"/>
        </w:rPr>
        <w:t>, тексеру комиссиясының</w:t>
      </w:r>
      <w:r w:rsidR="00661619" w:rsidRPr="00457CE9">
        <w:rPr>
          <w:rFonts w:ascii="Times New Roman" w:eastAsia="Times New Roman" w:hAnsi="Times New Roman"/>
          <w:kern w:val="36"/>
          <w:sz w:val="28"/>
          <w:szCs w:val="28"/>
          <w:lang w:val="kk-KZ" w:eastAsia="ru-RU"/>
        </w:rPr>
        <w:t xml:space="preserve"> аудиторлары жүргізген  тиімділік аудитінің нәтижелеріне бағалау жасалды. </w:t>
      </w:r>
    </w:p>
    <w:p w14:paraId="0DA1EC81" w14:textId="67C42D5C" w:rsidR="00661619" w:rsidRPr="00457CE9" w:rsidRDefault="00661619"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Жүргізілген зерттеулер нәтижесінің қорытындысы бойынша тиімділік аудитін өткізу кезінде қолданылған көрсеткіш «Тиімділік – алынған нәтижелердің оларға қол жеткізу үшін пайдаланылған ресурстарды ескере отырып жоспарланғанға ара қатынасы» деп аталғаны және арнайы критерий – АӨК дамытуға бағытталған мемлекетпен қабылданған шаралар жеткіліктілігі деп белгіленгендігі анықталды</w:t>
      </w:r>
      <w:r w:rsidR="00AF068F" w:rsidRPr="00457CE9">
        <w:rPr>
          <w:rFonts w:ascii="Times New Roman" w:eastAsia="Times New Roman" w:hAnsi="Times New Roman"/>
          <w:kern w:val="36"/>
          <w:sz w:val="28"/>
          <w:szCs w:val="28"/>
          <w:lang w:val="kk-KZ" w:eastAsia="ru-RU"/>
        </w:rPr>
        <w:t xml:space="preserve"> </w:t>
      </w:r>
      <w:r w:rsidR="00AA4EAE">
        <w:rPr>
          <w:rFonts w:ascii="Times New Roman" w:eastAsia="Times New Roman" w:hAnsi="Times New Roman"/>
          <w:kern w:val="36"/>
          <w:sz w:val="28"/>
          <w:szCs w:val="28"/>
          <w:lang w:val="kk-KZ" w:eastAsia="ru-RU"/>
        </w:rPr>
        <w:t>[52]</w:t>
      </w:r>
      <w:r w:rsidRPr="00457CE9">
        <w:rPr>
          <w:rFonts w:ascii="Times New Roman" w:eastAsia="Times New Roman" w:hAnsi="Times New Roman"/>
          <w:kern w:val="36"/>
          <w:sz w:val="28"/>
          <w:szCs w:val="28"/>
          <w:lang w:val="kk-KZ" w:eastAsia="ru-RU"/>
        </w:rPr>
        <w:t>. Сонымен қатар, тиімділік аудитін өткізу бар</w:t>
      </w:r>
      <w:r w:rsidR="00DD6A79">
        <w:rPr>
          <w:rFonts w:ascii="Times New Roman" w:eastAsia="Times New Roman" w:hAnsi="Times New Roman"/>
          <w:kern w:val="36"/>
          <w:sz w:val="28"/>
          <w:szCs w:val="28"/>
          <w:lang w:val="kk-KZ" w:eastAsia="ru-RU"/>
        </w:rPr>
        <w:t>ы</w:t>
      </w:r>
      <w:r w:rsidRPr="00457CE9">
        <w:rPr>
          <w:rFonts w:ascii="Times New Roman" w:eastAsia="Times New Roman" w:hAnsi="Times New Roman"/>
          <w:kern w:val="36"/>
          <w:sz w:val="28"/>
          <w:szCs w:val="28"/>
          <w:lang w:val="kk-KZ" w:eastAsia="ru-RU"/>
        </w:rPr>
        <w:t>с</w:t>
      </w:r>
      <w:r w:rsidR="00DD6A79">
        <w:rPr>
          <w:rFonts w:ascii="Times New Roman" w:eastAsia="Times New Roman" w:hAnsi="Times New Roman"/>
          <w:kern w:val="36"/>
          <w:sz w:val="28"/>
          <w:szCs w:val="28"/>
          <w:lang w:val="kk-KZ" w:eastAsia="ru-RU"/>
        </w:rPr>
        <w:t>ы</w:t>
      </w:r>
      <w:r w:rsidRPr="00457CE9">
        <w:rPr>
          <w:rFonts w:ascii="Times New Roman" w:eastAsia="Times New Roman" w:hAnsi="Times New Roman"/>
          <w:kern w:val="36"/>
          <w:sz w:val="28"/>
          <w:szCs w:val="28"/>
          <w:lang w:val="kk-KZ" w:eastAsia="ru-RU"/>
        </w:rPr>
        <w:t xml:space="preserve">нда орындалған бағдарламалардың мақсатына, көрсеткіштеріне (критерийлеріне) сәйкес заңнаманың, ішкі нормативтік актілердің, құжаттардың сақталуын және мемлекеттік аудит объектісі қызметінің тиімділігін бағалау жүргізілгені анықталды. Алайда бұл критерийлер жалпыланған және бағдарламаны орындау нәтижесінде қандай </w:t>
      </w:r>
      <w:r w:rsidR="001C2267" w:rsidRPr="00457CE9">
        <w:rPr>
          <w:rFonts w:ascii="Times New Roman" w:eastAsia="Times New Roman" w:hAnsi="Times New Roman"/>
          <w:kern w:val="36"/>
          <w:sz w:val="28"/>
          <w:szCs w:val="28"/>
          <w:lang w:val="kk-KZ" w:eastAsia="ru-RU"/>
        </w:rPr>
        <w:t>әлеуметтік-</w:t>
      </w:r>
      <w:r w:rsidRPr="00457CE9">
        <w:rPr>
          <w:rFonts w:ascii="Times New Roman" w:eastAsia="Times New Roman" w:hAnsi="Times New Roman"/>
          <w:kern w:val="36"/>
          <w:sz w:val="28"/>
          <w:szCs w:val="28"/>
          <w:lang w:val="kk-KZ" w:eastAsia="ru-RU"/>
        </w:rPr>
        <w:t>экономикалық тиімділік алынғанын дәл анықтауға мүмкіндік бермейді деген қорытынды жасауға болады. Бұл мәселе агроөнеркәсіп кешенін дамытуға бағытталған бюджет қаражатын пайдалану тиімділігінің аудитін жүргізу бойынша арнайы әдістеменің жоқты</w:t>
      </w:r>
      <w:r w:rsidR="001C2267" w:rsidRPr="00457CE9">
        <w:rPr>
          <w:rFonts w:ascii="Times New Roman" w:eastAsia="Times New Roman" w:hAnsi="Times New Roman"/>
          <w:kern w:val="36"/>
          <w:sz w:val="28"/>
          <w:szCs w:val="28"/>
          <w:lang w:val="kk-KZ" w:eastAsia="ru-RU"/>
        </w:rPr>
        <w:t>ғ</w:t>
      </w:r>
      <w:r w:rsidRPr="00457CE9">
        <w:rPr>
          <w:rFonts w:ascii="Times New Roman" w:eastAsia="Times New Roman" w:hAnsi="Times New Roman"/>
          <w:kern w:val="36"/>
          <w:sz w:val="28"/>
          <w:szCs w:val="28"/>
          <w:lang w:val="kk-KZ" w:eastAsia="ru-RU"/>
        </w:rPr>
        <w:t>ымен байланысты деп ойлаймыз, сондықтан Қазақстан Республикасының агроөнеркәсіп кешенін дамыту жөніндегі 2021</w:t>
      </w:r>
      <w:r w:rsidR="000E2CDD">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2025 жылдарға арналған ұлттық жоба</w:t>
      </w:r>
      <w:r w:rsidR="001C2267" w:rsidRPr="00457CE9">
        <w:rPr>
          <w:rFonts w:ascii="Times New Roman" w:eastAsia="Times New Roman" w:hAnsi="Times New Roman"/>
          <w:kern w:val="36"/>
          <w:sz w:val="28"/>
          <w:szCs w:val="28"/>
          <w:lang w:val="kk-KZ" w:eastAsia="ru-RU"/>
        </w:rPr>
        <w:t>с</w:t>
      </w:r>
      <w:r w:rsidRPr="00457CE9">
        <w:rPr>
          <w:rFonts w:ascii="Times New Roman" w:eastAsia="Times New Roman" w:hAnsi="Times New Roman"/>
          <w:kern w:val="36"/>
          <w:sz w:val="28"/>
          <w:szCs w:val="28"/>
          <w:lang w:val="kk-KZ" w:eastAsia="ru-RU"/>
        </w:rPr>
        <w:t>ының көрсеткіштерін негізге ала отырып, тиімділік аудитінің кр</w:t>
      </w:r>
      <w:r w:rsidR="00C51D00" w:rsidRPr="00457CE9">
        <w:rPr>
          <w:rFonts w:ascii="Times New Roman" w:eastAsia="Times New Roman" w:hAnsi="Times New Roman"/>
          <w:kern w:val="36"/>
          <w:sz w:val="28"/>
          <w:szCs w:val="28"/>
          <w:lang w:val="kk-KZ" w:eastAsia="ru-RU"/>
        </w:rPr>
        <w:t>и</w:t>
      </w:r>
      <w:r w:rsidRPr="00457CE9">
        <w:rPr>
          <w:rFonts w:ascii="Times New Roman" w:eastAsia="Times New Roman" w:hAnsi="Times New Roman"/>
          <w:kern w:val="36"/>
          <w:sz w:val="28"/>
          <w:szCs w:val="28"/>
          <w:lang w:val="kk-KZ" w:eastAsia="ru-RU"/>
        </w:rPr>
        <w:t xml:space="preserve">терийлерін </w:t>
      </w:r>
      <w:r w:rsidR="000E2CDD">
        <w:rPr>
          <w:rFonts w:ascii="Times New Roman" w:eastAsia="Times New Roman" w:hAnsi="Times New Roman"/>
          <w:kern w:val="36"/>
          <w:sz w:val="28"/>
          <w:szCs w:val="28"/>
          <w:lang w:val="kk-KZ" w:eastAsia="ru-RU"/>
        </w:rPr>
        <w:t xml:space="preserve">жүйелеу қажет деп есептейміз. </w:t>
      </w:r>
    </w:p>
    <w:p w14:paraId="6825A88A" w14:textId="6B76387F" w:rsidR="00F93650" w:rsidRPr="00457CE9" w:rsidRDefault="00035AC9" w:rsidP="00457CE9">
      <w:pPr>
        <w:tabs>
          <w:tab w:val="left" w:pos="993"/>
        </w:tabs>
        <w:spacing w:after="0" w:line="240" w:lineRule="auto"/>
        <w:ind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ҚР АӨК дамыту бағытын ҚР Ауыл шаруашылық министрлігі жауапты орталық мемлекеттік органы болып табылатыны жоғарыда жүргізілген зерттеулерден көруге болады. Ауыл шаруашылығы министрлігі </w:t>
      </w:r>
      <w:r w:rsidR="00EA43F9" w:rsidRPr="00457CE9">
        <w:rPr>
          <w:rFonts w:ascii="Times New Roman" w:eastAsia="Times New Roman" w:hAnsi="Times New Roman"/>
          <w:kern w:val="36"/>
          <w:sz w:val="28"/>
          <w:szCs w:val="28"/>
          <w:lang w:val="kk-KZ" w:eastAsia="ru-RU"/>
        </w:rPr>
        <w:t xml:space="preserve">ҚР-да </w:t>
      </w:r>
      <w:r w:rsidRPr="00457CE9">
        <w:rPr>
          <w:rFonts w:ascii="Times New Roman" w:eastAsia="Times New Roman" w:hAnsi="Times New Roman"/>
          <w:kern w:val="36"/>
          <w:sz w:val="28"/>
          <w:szCs w:val="28"/>
          <w:lang w:val="kk-KZ" w:eastAsia="ru-RU"/>
        </w:rPr>
        <w:t xml:space="preserve">АӨК дамыту бағытын, мақсатын, міндеттерін, тапсырмалары мен іс-шараларын жоспарлай отырып, мемлекеттік бюджеттен бөлінуге тиіс қаражат көлемін жоспарлаушы, </w:t>
      </w:r>
      <w:r w:rsidR="00EA43F9" w:rsidRPr="00457CE9">
        <w:rPr>
          <w:rFonts w:ascii="Times New Roman" w:eastAsia="Times New Roman" w:hAnsi="Times New Roman"/>
          <w:kern w:val="36"/>
          <w:sz w:val="28"/>
          <w:szCs w:val="28"/>
          <w:lang w:val="kk-KZ" w:eastAsia="ru-RU"/>
        </w:rPr>
        <w:t xml:space="preserve">қайта </w:t>
      </w:r>
      <w:r w:rsidRPr="00457CE9">
        <w:rPr>
          <w:rFonts w:ascii="Times New Roman" w:eastAsia="Times New Roman" w:hAnsi="Times New Roman"/>
          <w:kern w:val="36"/>
          <w:sz w:val="28"/>
          <w:szCs w:val="28"/>
          <w:lang w:val="kk-KZ" w:eastAsia="ru-RU"/>
        </w:rPr>
        <w:t xml:space="preserve">бөлуші және оның орындалуын бақылаушы болып табылады. </w:t>
      </w:r>
      <w:r w:rsidR="00EA43F9" w:rsidRPr="00457CE9">
        <w:rPr>
          <w:rFonts w:ascii="Times New Roman" w:eastAsia="Times New Roman" w:hAnsi="Times New Roman"/>
          <w:kern w:val="36"/>
          <w:sz w:val="28"/>
          <w:szCs w:val="28"/>
          <w:lang w:val="kk-KZ" w:eastAsia="ru-RU"/>
        </w:rPr>
        <w:t xml:space="preserve">Осыған орай ҚР АӨК дамытуға бағытталған бюджет қаражатының пайдаланылуы тікелей ұлттық жобамен байланысты деуге болады, осы жобада жоспарланған міндеттер, тапсырмалар мен іс-шараларды іске асыру барысында жұмсалатын бюджет қаражаты тиімділігінің аудитін өткізу және ұйымдастыру, оған тәуелсіз аудиторлық қорытынды беру үрдісін жетілдіру жолдарын анықтау үшін, біздің ойымызша 2021-2025 жж. АӨК дамытудың ұлттық жобасын </w:t>
      </w:r>
      <w:r w:rsidR="00C51D00" w:rsidRPr="00457CE9">
        <w:rPr>
          <w:rFonts w:ascii="Times New Roman" w:eastAsia="Times New Roman" w:hAnsi="Times New Roman"/>
          <w:kern w:val="36"/>
          <w:sz w:val="28"/>
          <w:szCs w:val="28"/>
          <w:lang w:val="kk-KZ" w:eastAsia="ru-RU"/>
        </w:rPr>
        <w:t>[</w:t>
      </w:r>
      <w:r w:rsidR="00C152D1">
        <w:rPr>
          <w:rFonts w:ascii="Times New Roman" w:eastAsia="Times New Roman" w:hAnsi="Times New Roman"/>
          <w:kern w:val="36"/>
          <w:sz w:val="28"/>
          <w:szCs w:val="28"/>
          <w:lang w:val="kk-KZ" w:eastAsia="ru-RU"/>
        </w:rPr>
        <w:t>8</w:t>
      </w:r>
      <w:r w:rsidR="001A5553">
        <w:rPr>
          <w:rFonts w:ascii="Times New Roman" w:eastAsia="Times New Roman" w:hAnsi="Times New Roman"/>
          <w:kern w:val="36"/>
          <w:sz w:val="28"/>
          <w:szCs w:val="28"/>
          <w:lang w:val="kk-KZ" w:eastAsia="ru-RU"/>
        </w:rPr>
        <w:t>2</w:t>
      </w:r>
      <w:r w:rsidR="00C51D00" w:rsidRPr="00457CE9">
        <w:rPr>
          <w:rFonts w:ascii="Times New Roman" w:eastAsia="Times New Roman" w:hAnsi="Times New Roman"/>
          <w:kern w:val="36"/>
          <w:sz w:val="28"/>
          <w:szCs w:val="28"/>
          <w:lang w:val="kk-KZ" w:eastAsia="ru-RU"/>
        </w:rPr>
        <w:t xml:space="preserve">] </w:t>
      </w:r>
      <w:r w:rsidR="00EA43F9" w:rsidRPr="00457CE9">
        <w:rPr>
          <w:rFonts w:ascii="Times New Roman" w:eastAsia="Times New Roman" w:hAnsi="Times New Roman"/>
          <w:kern w:val="36"/>
          <w:sz w:val="28"/>
          <w:szCs w:val="28"/>
          <w:lang w:val="kk-KZ" w:eastAsia="ru-RU"/>
        </w:rPr>
        <w:t>талдаудан бастау қажет.</w:t>
      </w:r>
      <w:r w:rsidR="00950CFE" w:rsidRPr="00457CE9">
        <w:rPr>
          <w:rFonts w:ascii="Times New Roman" w:eastAsia="Times New Roman" w:hAnsi="Times New Roman"/>
          <w:kern w:val="36"/>
          <w:sz w:val="28"/>
          <w:szCs w:val="28"/>
          <w:lang w:val="kk-KZ" w:eastAsia="ru-RU"/>
        </w:rPr>
        <w:t xml:space="preserve"> </w:t>
      </w:r>
    </w:p>
    <w:p w14:paraId="48D19F7A" w14:textId="5D7A37BD" w:rsidR="00035AC9" w:rsidRPr="00457CE9" w:rsidRDefault="00F93650"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highlight w:val="red"/>
          <w:lang w:val="kk-KZ" w:eastAsia="ru-RU"/>
        </w:rPr>
      </w:pPr>
      <w:r w:rsidRPr="00457CE9">
        <w:rPr>
          <w:rFonts w:ascii="Times New Roman" w:eastAsia="Times New Roman" w:hAnsi="Times New Roman"/>
          <w:kern w:val="36"/>
          <w:sz w:val="28"/>
          <w:szCs w:val="28"/>
          <w:lang w:val="kk-KZ" w:eastAsia="ru-RU"/>
        </w:rPr>
        <w:t>Осы уақытқа дейін АӨК дамытудың мемлекеттік бағдарламалары іске асырылып келген, бірақ ең алғаш рет 2017-2021 жж. аралығында АӨК дамытудың мемлекеттік бағдарламасына ЖАП аудиторлары мемлекеттік аудитін 2020 жылы өткізіп, аудиторлық қорытынды берген</w:t>
      </w:r>
      <w:r w:rsidR="00C152D1">
        <w:rPr>
          <w:rFonts w:ascii="Times New Roman" w:eastAsia="Times New Roman" w:hAnsi="Times New Roman"/>
          <w:kern w:val="36"/>
          <w:sz w:val="28"/>
          <w:szCs w:val="28"/>
          <w:lang w:val="kk-KZ" w:eastAsia="ru-RU"/>
        </w:rPr>
        <w:t xml:space="preserve"> </w:t>
      </w:r>
      <w:r w:rsidR="00AA4EAE">
        <w:rPr>
          <w:rFonts w:ascii="Times New Roman" w:eastAsia="Times New Roman" w:hAnsi="Times New Roman"/>
          <w:kern w:val="36"/>
          <w:sz w:val="28"/>
          <w:szCs w:val="28"/>
          <w:lang w:val="kk-KZ" w:eastAsia="ru-RU"/>
        </w:rPr>
        <w:t>[52]</w:t>
      </w:r>
      <w:r w:rsidRPr="00457CE9">
        <w:rPr>
          <w:rFonts w:ascii="Times New Roman" w:eastAsia="Times New Roman" w:hAnsi="Times New Roman"/>
          <w:kern w:val="36"/>
          <w:sz w:val="28"/>
          <w:szCs w:val="28"/>
          <w:lang w:val="kk-KZ" w:eastAsia="ru-RU"/>
        </w:rPr>
        <w:t>, және ол туралы жоғарыда талдау жасалған. Дегенмен тиімділік аудитін өткізуді жетілдіру қажеттігін атап өту керек.</w:t>
      </w:r>
      <w:r w:rsidR="00035AC9" w:rsidRPr="00457CE9">
        <w:rPr>
          <w:rFonts w:ascii="Times New Roman" w:eastAsia="Times New Roman" w:hAnsi="Times New Roman"/>
          <w:kern w:val="36"/>
          <w:sz w:val="28"/>
          <w:szCs w:val="28"/>
          <w:highlight w:val="red"/>
          <w:lang w:val="kk-KZ" w:eastAsia="ru-RU"/>
        </w:rPr>
        <w:t xml:space="preserve"> </w:t>
      </w:r>
    </w:p>
    <w:p w14:paraId="7F27521F" w14:textId="559F6679" w:rsidR="001C6D83" w:rsidRPr="00457CE9" w:rsidRDefault="001C6D83"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Жоғары аудит органдарының ұлттық деңгейдегі тиімділік пен есеп берудегі рөлі мен міндеттерін ескере отырып, олар негізгі ұлттық мәселелерді </w:t>
      </w:r>
      <w:r w:rsidR="00F93650"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шешудің мүмкін жолдарын анықтауда айтарлықтай үлес қоса алады. Міндеттерді шешу және ұлттық деңгейде түпкілікті нәтижелерге қол жеткізу үшін қажетті маңызды құрал негізгі көрсеткіштерге негізделген тиімділік мен қол жеткізілген әсерлерді бағалау жүйесі болып табылады. Мұндай жүйе шарттар мен тенденцияларды талдауға, қажетті нәтижелерге қол жеткізудегі прогресті және мақсаттарға жетудің сәттілігін анықтауға, сондай-ақ өткізілетін іс-шаралардың тікелей және жанама әсерлерін бағалауға мүмкіндік береді. Мұндай жұмыстың нәтижелері стратегиялық жоспарлауды негіздеу, тиімділік пен есептілік бойынша есептіліктің сапасын арттыру, жүргізіліп жатқан саясатты тиімді талдауға жәрдемдесу, сондай-ақ мемлекеттік стратегиялар мен жобаларды бағалау үшін пайдалануға болады.</w:t>
      </w:r>
    </w:p>
    <w:p w14:paraId="1932E56F" w14:textId="54A1EBDF" w:rsidR="001A5553" w:rsidRDefault="00575788"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АӨК-н</w:t>
      </w:r>
      <w:r w:rsidR="00537D80" w:rsidRPr="00457CE9">
        <w:rPr>
          <w:rFonts w:ascii="Times New Roman" w:eastAsia="Times New Roman" w:hAnsi="Times New Roman"/>
          <w:kern w:val="36"/>
          <w:sz w:val="28"/>
          <w:szCs w:val="28"/>
          <w:lang w:val="kk-KZ" w:eastAsia="ru-RU"/>
        </w:rPr>
        <w:t xml:space="preserve"> дамытуда пайдаланылатын ресурстардың сапасы мен саны, алынған тікелей нәтижелер және қол жеткізілген түпкілікті нәтижелер туралы ақпарат көрсеткіштер, яғни, уақыт бойынша экономикалық, әлеуметтік, экологиялық немесе басқа да жағдайларды сипаттайтын сандық және сапалық сипаттамалар арқылы ұсынылады. </w:t>
      </w:r>
    </w:p>
    <w:p w14:paraId="3F8983DC" w14:textId="2E5BF781" w:rsidR="00835E0D" w:rsidRPr="00457CE9" w:rsidRDefault="00537D80"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Демек, мемлекеттік іс-шаралардың, жүйелердің, операциялардың, жобалардың, іс-әрекеттердің немесе ұйымдардың үнемділігін, өнімділігін және нәтижелілігін бағалаудың маңызды құралы стратегиялық шешімдерді қабылдау үрдісінде көрсеткіштер жиынтығын пайдалану болып табылады. Көрсеткіштерді әзірлеу және пайдалану аудиті атқарушы билік осы маңызды кезеңді жүзеге асырған кезде өзекті болады. Нәтижелі көрсеткіштер мемлекеттік саясат пен жобаларды</w:t>
      </w:r>
      <w:r w:rsidR="00F93C4C" w:rsidRPr="00457CE9">
        <w:rPr>
          <w:rFonts w:ascii="Times New Roman" w:eastAsia="Times New Roman" w:hAnsi="Times New Roman"/>
          <w:kern w:val="36"/>
          <w:sz w:val="28"/>
          <w:szCs w:val="28"/>
          <w:lang w:val="kk-KZ" w:eastAsia="ru-RU"/>
        </w:rPr>
        <w:t xml:space="preserve">ң салдарын және пайдалылығын бағалау және атап айтқанда, тиісті статистикалық және эконометрикалық әдістерді қолдану арқылы жақсарту мүмкіндіктерін анықтау үшін де маңызды. </w:t>
      </w:r>
      <w:r w:rsidR="00835E0D" w:rsidRPr="00457CE9">
        <w:rPr>
          <w:rFonts w:ascii="Times New Roman" w:eastAsia="Times New Roman" w:hAnsi="Times New Roman"/>
          <w:kern w:val="36"/>
          <w:sz w:val="28"/>
          <w:szCs w:val="28"/>
          <w:lang w:val="kk-KZ" w:eastAsia="ru-RU"/>
        </w:rPr>
        <w:t xml:space="preserve"> </w:t>
      </w:r>
    </w:p>
    <w:p w14:paraId="65CD8000" w14:textId="3AD2AED2" w:rsidR="00FA683F" w:rsidRPr="00457CE9" w:rsidRDefault="00E36EB1" w:rsidP="00457CE9">
      <w:pPr>
        <w:pStyle w:val="a5"/>
        <w:tabs>
          <w:tab w:val="left" w:pos="851"/>
          <w:tab w:val="left" w:pos="993"/>
        </w:tabs>
        <w:spacing w:after="0" w:line="240" w:lineRule="auto"/>
        <w:ind w:left="0" w:firstLine="709"/>
        <w:jc w:val="both"/>
        <w:rPr>
          <w:rFonts w:ascii="Times New Roman" w:eastAsia="Times New Roman" w:hAnsi="Times New Roman"/>
          <w:kern w:val="36"/>
          <w:sz w:val="28"/>
          <w:szCs w:val="28"/>
          <w:lang w:val="kk-KZ" w:eastAsia="ru-RU"/>
        </w:rPr>
      </w:pPr>
      <w:r w:rsidRPr="00457CE9">
        <w:rPr>
          <w:rFonts w:ascii="Times New Roman" w:eastAsia="Times New Roman" w:hAnsi="Times New Roman"/>
          <w:kern w:val="36"/>
          <w:sz w:val="28"/>
          <w:szCs w:val="28"/>
          <w:lang w:val="kk-KZ" w:eastAsia="ru-RU"/>
        </w:rPr>
        <w:t xml:space="preserve">Тиімділік аудиті қазіргі уақытта </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тар</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ұғымдағы </w:t>
      </w:r>
      <w:r w:rsidR="00FA683F" w:rsidRPr="00457CE9">
        <w:rPr>
          <w:rFonts w:ascii="Times New Roman" w:eastAsia="Times New Roman" w:hAnsi="Times New Roman"/>
          <w:kern w:val="36"/>
          <w:sz w:val="28"/>
          <w:szCs w:val="28"/>
          <w:lang w:val="kk-KZ" w:eastAsia="ru-RU"/>
        </w:rPr>
        <w:t>тәжірибелік</w:t>
      </w:r>
      <w:r w:rsidRPr="00457CE9">
        <w:rPr>
          <w:rFonts w:ascii="Times New Roman" w:eastAsia="Times New Roman" w:hAnsi="Times New Roman"/>
          <w:kern w:val="36"/>
          <w:sz w:val="28"/>
          <w:szCs w:val="28"/>
          <w:lang w:val="kk-KZ" w:eastAsia="ru-RU"/>
        </w:rPr>
        <w:t xml:space="preserve"> ұстанымдардан қарастырылуы тиіс. Сондықтан оны қа</w:t>
      </w:r>
      <w:r w:rsidR="00FA683F" w:rsidRPr="00457CE9">
        <w:rPr>
          <w:rFonts w:ascii="Times New Roman" w:eastAsia="Times New Roman" w:hAnsi="Times New Roman"/>
          <w:kern w:val="36"/>
          <w:sz w:val="28"/>
          <w:szCs w:val="28"/>
          <w:lang w:val="kk-KZ" w:eastAsia="ru-RU"/>
        </w:rPr>
        <w:t xml:space="preserve">зіргі жағдайда іске асыру үшін </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тиімділік аудиті</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және </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қаражатты</w:t>
      </w:r>
      <w:r w:rsidR="00FA683F" w:rsidRPr="00457CE9">
        <w:rPr>
          <w:rFonts w:ascii="Times New Roman" w:eastAsia="Times New Roman" w:hAnsi="Times New Roman"/>
          <w:kern w:val="36"/>
          <w:sz w:val="28"/>
          <w:szCs w:val="28"/>
          <w:lang w:val="kk-KZ" w:eastAsia="ru-RU"/>
        </w:rPr>
        <w:t xml:space="preserve"> пайдалану тиімділігінің аудиті</w:t>
      </w:r>
      <w:r w:rsidR="003C56BE" w:rsidRPr="00457CE9">
        <w:rPr>
          <w:rFonts w:ascii="Times New Roman" w:eastAsia="Times New Roman" w:hAnsi="Times New Roman"/>
          <w:kern w:val="36"/>
          <w:sz w:val="28"/>
          <w:szCs w:val="28"/>
          <w:lang w:val="kk-KZ" w:eastAsia="ru-RU"/>
        </w:rPr>
        <w:t>»</w:t>
      </w:r>
      <w:r w:rsidRPr="00457CE9">
        <w:rPr>
          <w:rFonts w:ascii="Times New Roman" w:eastAsia="Times New Roman" w:hAnsi="Times New Roman"/>
          <w:kern w:val="36"/>
          <w:sz w:val="28"/>
          <w:szCs w:val="28"/>
          <w:lang w:val="kk-KZ" w:eastAsia="ru-RU"/>
        </w:rPr>
        <w:t xml:space="preserve"> ұғымдарын теңдестіру керек. Демек, тиімділік аудитін (қаражатты пайдалану тиімділігінің аудиті) оларға бөлінген қаражатты пайдалану тиімділігі туралы кәсіби пікір білдіру мақсатында экономикалық субъектінің қызметін тәуелсіз тексеру (бағалау) ретінде айқындауға болады. </w:t>
      </w:r>
    </w:p>
    <w:p w14:paraId="0768C82D" w14:textId="222E10BC" w:rsidR="003D3A8D" w:rsidRPr="00457CE9" w:rsidRDefault="002D565C" w:rsidP="00457CE9">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ҚР АӨК дамытудың ұлттық жобасын іске асырудағы кілтті оператор</w:t>
      </w:r>
      <w:r w:rsidR="003D3A8D" w:rsidRPr="00457CE9">
        <w:rPr>
          <w:rFonts w:ascii="Times New Roman" w:eastAsia="Times New Roman" w:hAnsi="Times New Roman" w:cs="Times New Roman"/>
          <w:kern w:val="36"/>
          <w:sz w:val="28"/>
          <w:szCs w:val="28"/>
          <w:lang w:val="kk-KZ" w:eastAsia="ru-RU"/>
        </w:rPr>
        <w:t>ы</w:t>
      </w:r>
      <w:r w:rsidRPr="00457CE9">
        <w:rPr>
          <w:rFonts w:ascii="Times New Roman" w:eastAsia="Times New Roman" w:hAnsi="Times New Roman" w:cs="Times New Roman"/>
          <w:kern w:val="36"/>
          <w:sz w:val="28"/>
          <w:szCs w:val="28"/>
          <w:lang w:val="kk-KZ" w:eastAsia="ru-RU"/>
        </w:rPr>
        <w:t xml:space="preserve"> «</w:t>
      </w:r>
      <w:r w:rsidR="00E16AF0" w:rsidRPr="00457CE9">
        <w:rPr>
          <w:rFonts w:ascii="Times New Roman" w:eastAsia="Times New Roman" w:hAnsi="Times New Roman" w:cs="Times New Roman"/>
          <w:kern w:val="36"/>
          <w:sz w:val="28"/>
          <w:szCs w:val="28"/>
          <w:lang w:val="kk-KZ" w:eastAsia="ru-RU"/>
        </w:rPr>
        <w:t xml:space="preserve">Бәйтерек» </w:t>
      </w:r>
      <w:r w:rsidRPr="00457CE9">
        <w:rPr>
          <w:rFonts w:ascii="Times New Roman" w:eastAsia="Times New Roman" w:hAnsi="Times New Roman" w:cs="Times New Roman"/>
          <w:kern w:val="36"/>
          <w:sz w:val="28"/>
          <w:szCs w:val="28"/>
          <w:lang w:val="kk-KZ" w:eastAsia="ru-RU"/>
        </w:rPr>
        <w:t>Ұлттық басқарушы холдингі» АҚ-ы болып табылады, және оның еншілес ұйымы болып табылатын «Аграрлық несиелік корпорациясы» АҚ-ы ауылдағы ірі, орта және шағын кәсіпкерлікті қаржылай қолдау арқылы елдің АӨК тұрақты дамытуға және техникалық жарақтандыруға жәрдемдеседі.</w:t>
      </w:r>
    </w:p>
    <w:p w14:paraId="0FCB27D6" w14:textId="77777777" w:rsidR="001A5553" w:rsidRDefault="000D5273" w:rsidP="00457CE9">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«Аграрлық несиелік корпорациясы» АҚ-ның </w:t>
      </w:r>
      <w:r w:rsidR="003D3A8D" w:rsidRPr="00457CE9">
        <w:rPr>
          <w:rFonts w:ascii="Times New Roman" w:eastAsia="Times New Roman" w:hAnsi="Times New Roman" w:cs="Times New Roman"/>
          <w:kern w:val="36"/>
          <w:sz w:val="28"/>
          <w:szCs w:val="28"/>
          <w:lang w:val="kk-KZ" w:eastAsia="ru-RU"/>
        </w:rPr>
        <w:t>еншілес ұйымы «ҚазАгро</w:t>
      </w:r>
      <w:r w:rsidR="00934F25" w:rsidRPr="00457CE9">
        <w:rPr>
          <w:rFonts w:ascii="Times New Roman" w:eastAsia="Times New Roman" w:hAnsi="Times New Roman" w:cs="Times New Roman"/>
          <w:kern w:val="36"/>
          <w:sz w:val="28"/>
          <w:szCs w:val="28"/>
          <w:lang w:val="kk-KZ" w:eastAsia="ru-RU"/>
        </w:rPr>
        <w:t>Қаржы</w:t>
      </w:r>
      <w:r w:rsidR="003D3A8D" w:rsidRPr="00457CE9">
        <w:rPr>
          <w:rFonts w:ascii="Times New Roman" w:eastAsia="Times New Roman" w:hAnsi="Times New Roman" w:cs="Times New Roman"/>
          <w:kern w:val="36"/>
          <w:sz w:val="28"/>
          <w:szCs w:val="28"/>
          <w:lang w:val="kk-KZ" w:eastAsia="ru-RU"/>
        </w:rPr>
        <w:t>» АҚ-ы</w:t>
      </w:r>
      <w:r w:rsidRPr="00457CE9">
        <w:rPr>
          <w:rFonts w:ascii="Times New Roman" w:eastAsia="Times New Roman" w:hAnsi="Times New Roman" w:cs="Times New Roman"/>
          <w:kern w:val="36"/>
          <w:sz w:val="28"/>
          <w:szCs w:val="28"/>
          <w:lang w:val="kk-KZ" w:eastAsia="ru-RU"/>
        </w:rPr>
        <w:t xml:space="preserve"> ауыл шаруашылығындағы басты мәселе техникалық паркті жаңартуды шешуге ықпал етеді</w:t>
      </w:r>
      <w:r w:rsidR="003D3A8D" w:rsidRPr="00457CE9">
        <w:rPr>
          <w:rFonts w:ascii="Times New Roman" w:eastAsia="Times New Roman" w:hAnsi="Times New Roman" w:cs="Times New Roman"/>
          <w:kern w:val="36"/>
          <w:sz w:val="28"/>
          <w:szCs w:val="28"/>
          <w:lang w:val="kk-KZ" w:eastAsia="ru-RU"/>
        </w:rPr>
        <w:t>.</w:t>
      </w:r>
      <w:r w:rsidR="002D565C" w:rsidRPr="00457CE9">
        <w:rPr>
          <w:rFonts w:ascii="Times New Roman" w:eastAsia="Times New Roman" w:hAnsi="Times New Roman" w:cs="Times New Roman"/>
          <w:kern w:val="36"/>
          <w:sz w:val="28"/>
          <w:szCs w:val="28"/>
          <w:lang w:val="kk-KZ" w:eastAsia="ru-RU"/>
        </w:rPr>
        <w:t xml:space="preserve"> </w:t>
      </w:r>
      <w:r w:rsidR="002802A8" w:rsidRPr="00457CE9">
        <w:rPr>
          <w:rFonts w:ascii="Times New Roman" w:eastAsia="Times New Roman" w:hAnsi="Times New Roman" w:cs="Times New Roman"/>
          <w:kern w:val="36"/>
          <w:sz w:val="28"/>
          <w:szCs w:val="28"/>
          <w:lang w:val="kk-KZ" w:eastAsia="ru-RU"/>
        </w:rPr>
        <w:t xml:space="preserve">Мәселен 2021-2025 жж. аралығында еңбек өнімділігін 2,5 есеге ұлғайту міндеті бойынша 7 нәтиже көрсеткіштері анықталған. </w:t>
      </w:r>
    </w:p>
    <w:p w14:paraId="7DF01BA1" w14:textId="77777777" w:rsidR="001A5553" w:rsidRDefault="00C152D1" w:rsidP="001A5553">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ҚР АӨК дамытуға жауапты Ауыл шаруашылығы министрлігінің ішкі аудит департаментінің басты мақсаты Министрліктің стратегиялық мақсаттары мен міндеттеріне қол жеткізуде Министрлік басшылығына жәрдемдесу, Министрлік басшылығына тәуекелдерді басқару жүйесіне негізделген Министрлікті тиімді басқаруды, бюджет қаражатын, мемлекеттің активтерін және квазимемлекеттік сектордың субъектілерін басқару және пайдалану тиімділігін арттыруды қамтамасыз етуге арналған тәуелсіз және объективті ақпаратты ұсыну болып табылады.</w:t>
      </w:r>
      <w:r w:rsidR="001A5553">
        <w:rPr>
          <w:rFonts w:ascii="Times New Roman" w:eastAsia="Times New Roman" w:hAnsi="Times New Roman" w:cs="Times New Roman"/>
          <w:kern w:val="36"/>
          <w:sz w:val="28"/>
          <w:szCs w:val="28"/>
          <w:lang w:val="kk-KZ" w:eastAsia="ru-RU"/>
        </w:rPr>
        <w:t xml:space="preserve"> </w:t>
      </w:r>
      <w:r>
        <w:rPr>
          <w:rFonts w:ascii="Times New Roman" w:eastAsia="Times New Roman" w:hAnsi="Times New Roman" w:cs="Times New Roman"/>
          <w:kern w:val="36"/>
          <w:sz w:val="28"/>
          <w:szCs w:val="28"/>
          <w:lang w:val="kk-KZ" w:eastAsia="ru-RU"/>
        </w:rPr>
        <w:t>Демек АӨК дамытуға бағытталған бюджет қаражатын тиімді пайдаланылуын қамтамасыз етуге тікелей ішкі аудит департаменті жауапты десе де болады [</w:t>
      </w:r>
      <w:r w:rsidR="001A5553">
        <w:rPr>
          <w:rFonts w:ascii="Times New Roman" w:eastAsia="Times New Roman" w:hAnsi="Times New Roman" w:cs="Times New Roman"/>
          <w:kern w:val="36"/>
          <w:sz w:val="28"/>
          <w:szCs w:val="28"/>
          <w:lang w:val="kk-KZ" w:eastAsia="ru-RU"/>
        </w:rPr>
        <w:t>106</w:t>
      </w:r>
      <w:r>
        <w:rPr>
          <w:rFonts w:ascii="Times New Roman" w:eastAsia="Times New Roman" w:hAnsi="Times New Roman" w:cs="Times New Roman"/>
          <w:kern w:val="36"/>
          <w:sz w:val="28"/>
          <w:szCs w:val="28"/>
          <w:lang w:val="kk-KZ" w:eastAsia="ru-RU"/>
        </w:rPr>
        <w:t xml:space="preserve">]. </w:t>
      </w:r>
    </w:p>
    <w:p w14:paraId="61BD2B8F" w14:textId="3857088F" w:rsidR="001A5553" w:rsidRDefault="001A5553" w:rsidP="001A5553">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Ұлттық жобаны жоспарлау барысында еңбек өнімділігінің ұлғаюы анықталған нәтиже көрсеткіштерге қол жеткізілген кезде жеткізілетіні белгілі. Яғни, оны бағалау тек тиімділік аудиті кезінде анықталады, сондықтан бюджеттен бөлінген қаражаттың қаншалықты тиімді пайдаланғанын бағалау мақсатында әрбір нәтиже көрсеткішінің әсерін анықтау әдістемесі қажет.  </w:t>
      </w:r>
    </w:p>
    <w:p w14:paraId="3C39BC39" w14:textId="313CF194" w:rsidR="002802A8" w:rsidRDefault="002802A8" w:rsidP="00457CE9">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Қойылған мақсаттарға жету үшін қажетті қаражат көздері </w:t>
      </w:r>
      <w:r w:rsidR="000E2CDD">
        <w:rPr>
          <w:rFonts w:ascii="Times New Roman" w:eastAsia="Times New Roman" w:hAnsi="Times New Roman" w:cs="Times New Roman"/>
          <w:kern w:val="36"/>
          <w:sz w:val="28"/>
          <w:szCs w:val="28"/>
          <w:lang w:val="kk-KZ" w:eastAsia="ru-RU"/>
        </w:rPr>
        <w:t>2</w:t>
      </w:r>
      <w:r w:rsidR="007F5D1B">
        <w:rPr>
          <w:rFonts w:ascii="Times New Roman" w:eastAsia="Times New Roman" w:hAnsi="Times New Roman" w:cs="Times New Roman"/>
          <w:kern w:val="36"/>
          <w:sz w:val="28"/>
          <w:szCs w:val="28"/>
          <w:lang w:val="kk-KZ" w:eastAsia="ru-RU"/>
        </w:rPr>
        <w:t>9</w:t>
      </w:r>
      <w:r w:rsidR="0038270D"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кестеде келтірілген</w:t>
      </w:r>
      <w:r w:rsidR="00C51D00" w:rsidRPr="00457CE9">
        <w:rPr>
          <w:rFonts w:ascii="Times New Roman" w:eastAsia="Times New Roman" w:hAnsi="Times New Roman" w:cs="Times New Roman"/>
          <w:kern w:val="36"/>
          <w:sz w:val="28"/>
          <w:szCs w:val="28"/>
          <w:lang w:val="kk-KZ" w:eastAsia="ru-RU"/>
        </w:rPr>
        <w:t xml:space="preserve"> [</w:t>
      </w:r>
      <w:r w:rsidR="00C152D1">
        <w:rPr>
          <w:rFonts w:ascii="Times New Roman" w:eastAsia="Times New Roman" w:hAnsi="Times New Roman" w:cs="Times New Roman"/>
          <w:kern w:val="36"/>
          <w:sz w:val="28"/>
          <w:szCs w:val="28"/>
          <w:lang w:val="kk-KZ" w:eastAsia="ru-RU"/>
        </w:rPr>
        <w:t>8</w:t>
      </w:r>
      <w:r w:rsidR="001A5553">
        <w:rPr>
          <w:rFonts w:ascii="Times New Roman" w:eastAsia="Times New Roman" w:hAnsi="Times New Roman" w:cs="Times New Roman"/>
          <w:kern w:val="36"/>
          <w:sz w:val="28"/>
          <w:szCs w:val="28"/>
          <w:lang w:val="kk-KZ" w:eastAsia="ru-RU"/>
        </w:rPr>
        <w:t>2</w:t>
      </w:r>
      <w:r w:rsidR="00C51D00"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w:t>
      </w:r>
    </w:p>
    <w:p w14:paraId="4B6FA193" w14:textId="72DDCC25" w:rsidR="002802A8" w:rsidRDefault="002802A8" w:rsidP="00457CE9">
      <w:pPr>
        <w:spacing w:after="0" w:line="240" w:lineRule="auto"/>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Кесте </w:t>
      </w:r>
      <w:r w:rsidR="000E2CDD">
        <w:rPr>
          <w:rFonts w:ascii="Times New Roman" w:eastAsia="Times New Roman" w:hAnsi="Times New Roman" w:cs="Times New Roman"/>
          <w:kern w:val="36"/>
          <w:sz w:val="28"/>
          <w:szCs w:val="28"/>
          <w:lang w:val="kk-KZ" w:eastAsia="ru-RU"/>
        </w:rPr>
        <w:t>2</w:t>
      </w:r>
      <w:r w:rsidR="007F5D1B">
        <w:rPr>
          <w:rFonts w:ascii="Times New Roman" w:eastAsia="Times New Roman" w:hAnsi="Times New Roman" w:cs="Times New Roman"/>
          <w:kern w:val="36"/>
          <w:sz w:val="28"/>
          <w:szCs w:val="28"/>
          <w:lang w:val="kk-KZ" w:eastAsia="ru-RU"/>
        </w:rPr>
        <w:t>9</w:t>
      </w:r>
      <w:r w:rsidRPr="00457CE9">
        <w:rPr>
          <w:rFonts w:ascii="Times New Roman" w:eastAsia="Times New Roman" w:hAnsi="Times New Roman" w:cs="Times New Roman"/>
          <w:kern w:val="36"/>
          <w:sz w:val="28"/>
          <w:szCs w:val="28"/>
          <w:lang w:val="kk-KZ" w:eastAsia="ru-RU"/>
        </w:rPr>
        <w:t xml:space="preserve"> – 2021-2025 жж. ҚР АӨК дамытудың міндеттерін іске асыруға арналған қаражат көздерінің құрамы, млн. тг</w:t>
      </w:r>
    </w:p>
    <w:p w14:paraId="64EE1567" w14:textId="77777777" w:rsidR="00A36183" w:rsidRPr="00A36183" w:rsidRDefault="00A36183" w:rsidP="00457CE9">
      <w:pPr>
        <w:spacing w:after="0" w:line="240" w:lineRule="auto"/>
        <w:jc w:val="both"/>
        <w:rPr>
          <w:rFonts w:ascii="Times New Roman" w:eastAsia="Times New Roman" w:hAnsi="Times New Roman" w:cs="Times New Roman"/>
          <w:kern w:val="36"/>
          <w:sz w:val="16"/>
          <w:szCs w:val="16"/>
          <w:lang w:val="kk-KZ" w:eastAsia="ru-RU"/>
        </w:rPr>
      </w:pPr>
    </w:p>
    <w:tbl>
      <w:tblPr>
        <w:tblStyle w:val="a3"/>
        <w:tblW w:w="0" w:type="auto"/>
        <w:jc w:val="center"/>
        <w:tblLook w:val="04A0" w:firstRow="1" w:lastRow="0" w:firstColumn="1" w:lastColumn="0" w:noHBand="0" w:noVBand="1"/>
      </w:tblPr>
      <w:tblGrid>
        <w:gridCol w:w="2153"/>
        <w:gridCol w:w="789"/>
        <w:gridCol w:w="827"/>
        <w:gridCol w:w="700"/>
        <w:gridCol w:w="801"/>
        <w:gridCol w:w="751"/>
        <w:gridCol w:w="1056"/>
        <w:gridCol w:w="816"/>
        <w:gridCol w:w="696"/>
        <w:gridCol w:w="1039"/>
      </w:tblGrid>
      <w:tr w:rsidR="00A36183" w:rsidRPr="00441955" w14:paraId="25CAB872"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14:paraId="14966510"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Міндеттер атауы</w:t>
            </w:r>
          </w:p>
        </w:tc>
        <w:tc>
          <w:tcPr>
            <w:tcW w:w="798" w:type="dxa"/>
            <w:tcBorders>
              <w:top w:val="single" w:sz="4" w:space="0" w:color="auto"/>
              <w:left w:val="single" w:sz="4" w:space="0" w:color="auto"/>
              <w:bottom w:val="single" w:sz="4" w:space="0" w:color="auto"/>
              <w:right w:val="single" w:sz="4" w:space="0" w:color="auto"/>
            </w:tcBorders>
            <w:vAlign w:val="center"/>
            <w:hideMark/>
          </w:tcPr>
          <w:p w14:paraId="68AFD66D"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eastAsia="ru-RU"/>
              </w:rPr>
              <w:t>20</w:t>
            </w:r>
            <w:r w:rsidRPr="00441955">
              <w:rPr>
                <w:rFonts w:ascii="Times New Roman" w:eastAsia="Times New Roman" w:hAnsi="Times New Roman" w:cs="Times New Roman"/>
                <w:kern w:val="36"/>
                <w:sz w:val="24"/>
                <w:szCs w:val="24"/>
                <w:lang w:val="kk-KZ" w:eastAsia="ru-RU"/>
              </w:rPr>
              <w:t>21</w:t>
            </w:r>
            <w:r w:rsidRPr="00441955">
              <w:rPr>
                <w:rFonts w:ascii="Times New Roman" w:eastAsia="Times New Roman" w:hAnsi="Times New Roman" w:cs="Times New Roman"/>
                <w:kern w:val="36"/>
                <w:sz w:val="24"/>
                <w:szCs w:val="24"/>
                <w:lang w:eastAsia="ru-RU"/>
              </w:rPr>
              <w:t xml:space="preserve"> жыл</w:t>
            </w:r>
          </w:p>
        </w:tc>
        <w:tc>
          <w:tcPr>
            <w:tcW w:w="840" w:type="dxa"/>
            <w:tcBorders>
              <w:top w:val="single" w:sz="4" w:space="0" w:color="auto"/>
              <w:left w:val="single" w:sz="4" w:space="0" w:color="auto"/>
              <w:bottom w:val="single" w:sz="4" w:space="0" w:color="auto"/>
              <w:right w:val="single" w:sz="4" w:space="0" w:color="auto"/>
            </w:tcBorders>
            <w:vAlign w:val="center"/>
            <w:hideMark/>
          </w:tcPr>
          <w:p w14:paraId="3CC1F59B"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2022 жыл</w:t>
            </w:r>
          </w:p>
        </w:tc>
        <w:tc>
          <w:tcPr>
            <w:tcW w:w="700" w:type="dxa"/>
            <w:tcBorders>
              <w:top w:val="single" w:sz="4" w:space="0" w:color="auto"/>
              <w:left w:val="single" w:sz="4" w:space="0" w:color="auto"/>
              <w:bottom w:val="single" w:sz="4" w:space="0" w:color="auto"/>
              <w:right w:val="single" w:sz="4" w:space="0" w:color="auto"/>
            </w:tcBorders>
            <w:vAlign w:val="center"/>
            <w:hideMark/>
          </w:tcPr>
          <w:p w14:paraId="77F80542"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2023 жыл</w:t>
            </w:r>
          </w:p>
        </w:tc>
        <w:tc>
          <w:tcPr>
            <w:tcW w:w="812" w:type="dxa"/>
            <w:tcBorders>
              <w:top w:val="single" w:sz="4" w:space="0" w:color="auto"/>
              <w:left w:val="single" w:sz="4" w:space="0" w:color="auto"/>
              <w:bottom w:val="single" w:sz="4" w:space="0" w:color="auto"/>
              <w:right w:val="single" w:sz="4" w:space="0" w:color="auto"/>
            </w:tcBorders>
            <w:vAlign w:val="center"/>
            <w:hideMark/>
          </w:tcPr>
          <w:p w14:paraId="00EEBFE6"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2024 жыл</w:t>
            </w:r>
          </w:p>
        </w:tc>
        <w:tc>
          <w:tcPr>
            <w:tcW w:w="757" w:type="dxa"/>
            <w:tcBorders>
              <w:top w:val="single" w:sz="4" w:space="0" w:color="auto"/>
              <w:left w:val="single" w:sz="4" w:space="0" w:color="auto"/>
              <w:bottom w:val="single" w:sz="4" w:space="0" w:color="auto"/>
              <w:right w:val="single" w:sz="4" w:space="0" w:color="auto"/>
            </w:tcBorders>
            <w:vAlign w:val="center"/>
            <w:hideMark/>
          </w:tcPr>
          <w:p w14:paraId="6244850A"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2025 жыл</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9B0AA18"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Қаржы жиыны</w:t>
            </w:r>
          </w:p>
        </w:tc>
        <w:tc>
          <w:tcPr>
            <w:tcW w:w="816" w:type="dxa"/>
            <w:tcBorders>
              <w:top w:val="single" w:sz="4" w:space="0" w:color="auto"/>
              <w:left w:val="single" w:sz="4" w:space="0" w:color="auto"/>
              <w:bottom w:val="single" w:sz="4" w:space="0" w:color="auto"/>
              <w:right w:val="single" w:sz="4" w:space="0" w:color="auto"/>
            </w:tcBorders>
            <w:vAlign w:val="center"/>
            <w:hideMark/>
          </w:tcPr>
          <w:p w14:paraId="097A61BE"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РБ</w:t>
            </w:r>
          </w:p>
        </w:tc>
        <w:tc>
          <w:tcPr>
            <w:tcW w:w="696" w:type="dxa"/>
            <w:tcBorders>
              <w:top w:val="single" w:sz="4" w:space="0" w:color="auto"/>
              <w:left w:val="single" w:sz="4" w:space="0" w:color="auto"/>
              <w:bottom w:val="single" w:sz="4" w:space="0" w:color="auto"/>
              <w:right w:val="single" w:sz="4" w:space="0" w:color="auto"/>
            </w:tcBorders>
            <w:vAlign w:val="center"/>
            <w:hideMark/>
          </w:tcPr>
          <w:p w14:paraId="370475CA"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ЖБ</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1278FF6"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Бюджет тыс</w:t>
            </w:r>
          </w:p>
        </w:tc>
      </w:tr>
      <w:tr w:rsidR="00A36183" w:rsidRPr="00441955" w14:paraId="1F1DF909"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6D12AC5A" w14:textId="2BAFA644" w:rsidR="002802A8" w:rsidRPr="00441955" w:rsidRDefault="002802A8" w:rsidP="00583C5A">
            <w:pPr>
              <w:spacing w:line="228" w:lineRule="auto"/>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Еңбек өнімді</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лігін 2,5 есе ұлғайту</w:t>
            </w:r>
          </w:p>
        </w:tc>
        <w:tc>
          <w:tcPr>
            <w:tcW w:w="798" w:type="dxa"/>
            <w:tcBorders>
              <w:top w:val="single" w:sz="4" w:space="0" w:color="auto"/>
              <w:left w:val="single" w:sz="4" w:space="0" w:color="auto"/>
              <w:bottom w:val="single" w:sz="4" w:space="0" w:color="auto"/>
              <w:right w:val="single" w:sz="4" w:space="0" w:color="auto"/>
            </w:tcBorders>
            <w:vAlign w:val="center"/>
            <w:hideMark/>
          </w:tcPr>
          <w:p w14:paraId="006AE8B8" w14:textId="5C05C493" w:rsidR="002802A8" w:rsidRPr="00441955" w:rsidRDefault="002802A8" w:rsidP="00583C5A">
            <w:pPr>
              <w:spacing w:line="228" w:lineRule="auto"/>
              <w:jc w:val="center"/>
              <w:rPr>
                <w:rFonts w:ascii="Times New Roman" w:eastAsia="Times New Roman" w:hAnsi="Times New Roman" w:cs="Times New Roman"/>
                <w:kern w:val="36"/>
                <w:sz w:val="24"/>
                <w:szCs w:val="24"/>
                <w:lang w:eastAsia="ru-RU"/>
              </w:rPr>
            </w:pPr>
            <w:r w:rsidRPr="00441955">
              <w:rPr>
                <w:rFonts w:ascii="Times New Roman" w:hAnsi="Times New Roman" w:cs="Times New Roman"/>
                <w:color w:val="000000"/>
                <w:sz w:val="24"/>
                <w:szCs w:val="24"/>
              </w:rPr>
              <w:t>183</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541</w:t>
            </w:r>
          </w:p>
        </w:tc>
        <w:tc>
          <w:tcPr>
            <w:tcW w:w="840" w:type="dxa"/>
            <w:tcBorders>
              <w:top w:val="single" w:sz="4" w:space="0" w:color="auto"/>
              <w:left w:val="single" w:sz="4" w:space="0" w:color="auto"/>
              <w:bottom w:val="single" w:sz="4" w:space="0" w:color="auto"/>
              <w:right w:val="single" w:sz="4" w:space="0" w:color="auto"/>
            </w:tcBorders>
            <w:vAlign w:val="center"/>
            <w:hideMark/>
          </w:tcPr>
          <w:p w14:paraId="206E7D3D" w14:textId="1B1DFB44"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173</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577</w:t>
            </w:r>
          </w:p>
        </w:tc>
        <w:tc>
          <w:tcPr>
            <w:tcW w:w="700" w:type="dxa"/>
            <w:tcBorders>
              <w:top w:val="single" w:sz="4" w:space="0" w:color="auto"/>
              <w:left w:val="single" w:sz="4" w:space="0" w:color="auto"/>
              <w:bottom w:val="single" w:sz="4" w:space="0" w:color="auto"/>
              <w:right w:val="single" w:sz="4" w:space="0" w:color="auto"/>
            </w:tcBorders>
            <w:vAlign w:val="center"/>
            <w:hideMark/>
          </w:tcPr>
          <w:p w14:paraId="49C74EF3" w14:textId="739FFC3E"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245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076</w:t>
            </w:r>
          </w:p>
        </w:tc>
        <w:tc>
          <w:tcPr>
            <w:tcW w:w="812" w:type="dxa"/>
            <w:tcBorders>
              <w:top w:val="single" w:sz="4" w:space="0" w:color="auto"/>
              <w:left w:val="single" w:sz="4" w:space="0" w:color="auto"/>
              <w:bottom w:val="single" w:sz="4" w:space="0" w:color="auto"/>
              <w:right w:val="single" w:sz="4" w:space="0" w:color="auto"/>
            </w:tcBorders>
            <w:vAlign w:val="center"/>
            <w:hideMark/>
          </w:tcPr>
          <w:p w14:paraId="7E2C91AF" w14:textId="5D7C7E6B"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279</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0EDDE129" w14:textId="46484499"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288</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1139BA9" w14:textId="0D5DB9D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1170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568</w:t>
            </w:r>
          </w:p>
        </w:tc>
        <w:tc>
          <w:tcPr>
            <w:tcW w:w="816" w:type="dxa"/>
            <w:tcBorders>
              <w:top w:val="single" w:sz="4" w:space="0" w:color="auto"/>
              <w:left w:val="single" w:sz="4" w:space="0" w:color="auto"/>
              <w:bottom w:val="single" w:sz="4" w:space="0" w:color="auto"/>
              <w:right w:val="single" w:sz="4" w:space="0" w:color="auto"/>
            </w:tcBorders>
            <w:vAlign w:val="center"/>
            <w:hideMark/>
          </w:tcPr>
          <w:p w14:paraId="1847A453" w14:textId="1923CC35"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300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766</w:t>
            </w:r>
          </w:p>
        </w:tc>
        <w:tc>
          <w:tcPr>
            <w:tcW w:w="696" w:type="dxa"/>
            <w:tcBorders>
              <w:top w:val="single" w:sz="4" w:space="0" w:color="auto"/>
              <w:left w:val="single" w:sz="4" w:space="0" w:color="auto"/>
              <w:bottom w:val="single" w:sz="4" w:space="0" w:color="auto"/>
              <w:right w:val="single" w:sz="4" w:space="0" w:color="auto"/>
            </w:tcBorders>
            <w:vAlign w:val="center"/>
            <w:hideMark/>
          </w:tcPr>
          <w:p w14:paraId="0F77B66F" w14:textId="54E6890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86</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9803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E9E6F3A"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r>
      <w:tr w:rsidR="00A36183" w:rsidRPr="00441955" w14:paraId="41F19129"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5BE79693" w14:textId="7C70600F" w:rsidR="002802A8" w:rsidRPr="00441955" w:rsidRDefault="002802A8" w:rsidP="00583C5A">
            <w:pPr>
              <w:spacing w:line="228" w:lineRule="auto"/>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Отандық өндіріс</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тің негізгі азық-тү</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ліктік тауарлары</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 xml:space="preserve">мен қамтамасыз етілуі </w:t>
            </w:r>
          </w:p>
        </w:tc>
        <w:tc>
          <w:tcPr>
            <w:tcW w:w="798" w:type="dxa"/>
            <w:tcBorders>
              <w:top w:val="single" w:sz="4" w:space="0" w:color="auto"/>
              <w:left w:val="single" w:sz="4" w:space="0" w:color="auto"/>
              <w:bottom w:val="single" w:sz="4" w:space="0" w:color="auto"/>
              <w:right w:val="single" w:sz="4" w:space="0" w:color="auto"/>
            </w:tcBorders>
            <w:vAlign w:val="center"/>
            <w:hideMark/>
          </w:tcPr>
          <w:p w14:paraId="5E886A1B" w14:textId="645313E4"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233</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057</w:t>
            </w:r>
          </w:p>
        </w:tc>
        <w:tc>
          <w:tcPr>
            <w:tcW w:w="840" w:type="dxa"/>
            <w:tcBorders>
              <w:top w:val="single" w:sz="4" w:space="0" w:color="auto"/>
              <w:left w:val="single" w:sz="4" w:space="0" w:color="auto"/>
              <w:bottom w:val="single" w:sz="4" w:space="0" w:color="auto"/>
              <w:right w:val="single" w:sz="4" w:space="0" w:color="auto"/>
            </w:tcBorders>
            <w:vAlign w:val="center"/>
            <w:hideMark/>
          </w:tcPr>
          <w:p w14:paraId="325B6C72" w14:textId="683D2190"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252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682</w:t>
            </w:r>
          </w:p>
        </w:tc>
        <w:tc>
          <w:tcPr>
            <w:tcW w:w="700" w:type="dxa"/>
            <w:tcBorders>
              <w:top w:val="single" w:sz="4" w:space="0" w:color="auto"/>
              <w:left w:val="single" w:sz="4" w:space="0" w:color="auto"/>
              <w:bottom w:val="single" w:sz="4" w:space="0" w:color="auto"/>
              <w:right w:val="single" w:sz="4" w:space="0" w:color="auto"/>
            </w:tcBorders>
            <w:vAlign w:val="center"/>
            <w:hideMark/>
          </w:tcPr>
          <w:p w14:paraId="785C14B2" w14:textId="553F2CA1"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205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396</w:t>
            </w:r>
          </w:p>
        </w:tc>
        <w:tc>
          <w:tcPr>
            <w:tcW w:w="812" w:type="dxa"/>
            <w:tcBorders>
              <w:top w:val="single" w:sz="4" w:space="0" w:color="auto"/>
              <w:left w:val="single" w:sz="4" w:space="0" w:color="auto"/>
              <w:bottom w:val="single" w:sz="4" w:space="0" w:color="auto"/>
              <w:right w:val="single" w:sz="4" w:space="0" w:color="auto"/>
            </w:tcBorders>
            <w:vAlign w:val="center"/>
            <w:hideMark/>
          </w:tcPr>
          <w:p w14:paraId="7F92F535" w14:textId="0C0AAABD"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181</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920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3D5FEE5" w14:textId="5CF1E0C1"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194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882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3A06EC9" w14:textId="5FAF2380"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1067</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938</w:t>
            </w:r>
          </w:p>
        </w:tc>
        <w:tc>
          <w:tcPr>
            <w:tcW w:w="816" w:type="dxa"/>
            <w:tcBorders>
              <w:top w:val="single" w:sz="4" w:space="0" w:color="auto"/>
              <w:left w:val="single" w:sz="4" w:space="0" w:color="auto"/>
              <w:bottom w:val="single" w:sz="4" w:space="0" w:color="auto"/>
              <w:right w:val="single" w:sz="4" w:space="0" w:color="auto"/>
            </w:tcBorders>
            <w:vAlign w:val="center"/>
            <w:hideMark/>
          </w:tcPr>
          <w:p w14:paraId="154F9F4C" w14:textId="77777777" w:rsidR="00A36183" w:rsidRDefault="002802A8" w:rsidP="00583C5A">
            <w:pPr>
              <w:spacing w:line="228" w:lineRule="auto"/>
              <w:jc w:val="center"/>
              <w:rPr>
                <w:rFonts w:ascii="Times New Roman" w:hAnsi="Times New Roman" w:cs="Times New Roman"/>
                <w:color w:val="000000"/>
                <w:sz w:val="24"/>
                <w:szCs w:val="24"/>
                <w:lang w:val="kk-KZ"/>
              </w:rPr>
            </w:pPr>
            <w:r w:rsidRPr="00441955">
              <w:rPr>
                <w:rFonts w:ascii="Times New Roman" w:hAnsi="Times New Roman" w:cs="Times New Roman"/>
                <w:color w:val="000000"/>
                <w:sz w:val="24"/>
                <w:szCs w:val="24"/>
              </w:rPr>
              <w:t>72</w:t>
            </w:r>
            <w:r w:rsidR="00A36183">
              <w:rPr>
                <w:rFonts w:ascii="Times New Roman" w:hAnsi="Times New Roman" w:cs="Times New Roman"/>
                <w:color w:val="000000"/>
                <w:sz w:val="24"/>
                <w:szCs w:val="24"/>
                <w:lang w:val="kk-KZ"/>
              </w:rPr>
              <w:t xml:space="preserve"> </w:t>
            </w:r>
          </w:p>
          <w:p w14:paraId="3CC6D575"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121</w:t>
            </w:r>
          </w:p>
        </w:tc>
        <w:tc>
          <w:tcPr>
            <w:tcW w:w="696" w:type="dxa"/>
            <w:tcBorders>
              <w:top w:val="single" w:sz="4" w:space="0" w:color="auto"/>
              <w:left w:val="single" w:sz="4" w:space="0" w:color="auto"/>
              <w:bottom w:val="single" w:sz="4" w:space="0" w:color="auto"/>
              <w:right w:val="single" w:sz="4" w:space="0" w:color="auto"/>
            </w:tcBorders>
            <w:vAlign w:val="center"/>
            <w:hideMark/>
          </w:tcPr>
          <w:p w14:paraId="32F7CB70" w14:textId="2B23BE7E"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406</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05AB1CC" w14:textId="77777777" w:rsidR="00A36183" w:rsidRDefault="002802A8" w:rsidP="00583C5A">
            <w:pPr>
              <w:spacing w:line="228" w:lineRule="auto"/>
              <w:jc w:val="center"/>
              <w:rPr>
                <w:rFonts w:ascii="Times New Roman" w:hAnsi="Times New Roman" w:cs="Times New Roman"/>
                <w:color w:val="000000"/>
                <w:sz w:val="24"/>
                <w:szCs w:val="24"/>
                <w:lang w:val="kk-KZ"/>
              </w:rPr>
            </w:pPr>
            <w:r w:rsidRPr="00441955">
              <w:rPr>
                <w:rFonts w:ascii="Times New Roman" w:hAnsi="Times New Roman" w:cs="Times New Roman"/>
                <w:color w:val="000000"/>
                <w:sz w:val="24"/>
                <w:szCs w:val="24"/>
              </w:rPr>
              <w:t>913</w:t>
            </w:r>
            <w:r w:rsidR="00A36183">
              <w:rPr>
                <w:rFonts w:ascii="Times New Roman" w:hAnsi="Times New Roman" w:cs="Times New Roman"/>
                <w:color w:val="000000"/>
                <w:sz w:val="24"/>
                <w:szCs w:val="24"/>
                <w:lang w:val="kk-KZ"/>
              </w:rPr>
              <w:t xml:space="preserve"> </w:t>
            </w:r>
          </w:p>
          <w:p w14:paraId="67444AAC"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410</w:t>
            </w:r>
          </w:p>
        </w:tc>
      </w:tr>
      <w:tr w:rsidR="00A36183" w:rsidRPr="00441955" w14:paraId="3FC12FDF"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6B5AA237" w14:textId="5A427A05" w:rsidR="002802A8" w:rsidRPr="00441955" w:rsidRDefault="002802A8" w:rsidP="00583C5A">
            <w:pPr>
              <w:spacing w:line="228" w:lineRule="auto"/>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Өңделген өнімнің үлесін 70%-ға дейін жеткізе оты</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рып, АӨК өнім</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дерінің экспор</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тын 2 есе ұлғайту</w:t>
            </w:r>
          </w:p>
        </w:tc>
        <w:tc>
          <w:tcPr>
            <w:tcW w:w="798" w:type="dxa"/>
            <w:tcBorders>
              <w:top w:val="single" w:sz="4" w:space="0" w:color="auto"/>
              <w:left w:val="single" w:sz="4" w:space="0" w:color="auto"/>
              <w:bottom w:val="single" w:sz="4" w:space="0" w:color="auto"/>
              <w:right w:val="single" w:sz="4" w:space="0" w:color="auto"/>
            </w:tcBorders>
            <w:vAlign w:val="center"/>
            <w:hideMark/>
          </w:tcPr>
          <w:p w14:paraId="0F0E0D65" w14:textId="622EFF85"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277</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041</w:t>
            </w:r>
          </w:p>
        </w:tc>
        <w:tc>
          <w:tcPr>
            <w:tcW w:w="840" w:type="dxa"/>
            <w:tcBorders>
              <w:top w:val="single" w:sz="4" w:space="0" w:color="auto"/>
              <w:left w:val="single" w:sz="4" w:space="0" w:color="auto"/>
              <w:bottom w:val="single" w:sz="4" w:space="0" w:color="auto"/>
              <w:right w:val="single" w:sz="4" w:space="0" w:color="auto"/>
            </w:tcBorders>
            <w:vAlign w:val="center"/>
            <w:hideMark/>
          </w:tcPr>
          <w:p w14:paraId="2924A772" w14:textId="0C3D848E"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318</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724</w:t>
            </w:r>
          </w:p>
        </w:tc>
        <w:tc>
          <w:tcPr>
            <w:tcW w:w="700" w:type="dxa"/>
            <w:tcBorders>
              <w:top w:val="single" w:sz="4" w:space="0" w:color="auto"/>
              <w:left w:val="single" w:sz="4" w:space="0" w:color="auto"/>
              <w:bottom w:val="single" w:sz="4" w:space="0" w:color="auto"/>
              <w:right w:val="single" w:sz="4" w:space="0" w:color="auto"/>
            </w:tcBorders>
            <w:vAlign w:val="center"/>
            <w:hideMark/>
          </w:tcPr>
          <w:p w14:paraId="7E388C63" w14:textId="5B9CDBF8"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789</w:t>
            </w:r>
          </w:p>
        </w:tc>
        <w:tc>
          <w:tcPr>
            <w:tcW w:w="812" w:type="dxa"/>
            <w:tcBorders>
              <w:top w:val="single" w:sz="4" w:space="0" w:color="auto"/>
              <w:left w:val="single" w:sz="4" w:space="0" w:color="auto"/>
              <w:bottom w:val="single" w:sz="4" w:space="0" w:color="auto"/>
              <w:right w:val="single" w:sz="4" w:space="0" w:color="auto"/>
            </w:tcBorders>
            <w:vAlign w:val="center"/>
            <w:hideMark/>
          </w:tcPr>
          <w:p w14:paraId="5A6EB936" w14:textId="1044BC4D"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676</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99</w:t>
            </w:r>
          </w:p>
        </w:tc>
        <w:tc>
          <w:tcPr>
            <w:tcW w:w="757" w:type="dxa"/>
            <w:tcBorders>
              <w:top w:val="single" w:sz="4" w:space="0" w:color="auto"/>
              <w:left w:val="single" w:sz="4" w:space="0" w:color="auto"/>
              <w:bottom w:val="single" w:sz="4" w:space="0" w:color="auto"/>
              <w:right w:val="single" w:sz="4" w:space="0" w:color="auto"/>
            </w:tcBorders>
            <w:vAlign w:val="center"/>
            <w:hideMark/>
          </w:tcPr>
          <w:p w14:paraId="64C42136" w14:textId="37F88CD2"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240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33AF13A"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923493</w:t>
            </w:r>
          </w:p>
        </w:tc>
        <w:tc>
          <w:tcPr>
            <w:tcW w:w="816" w:type="dxa"/>
            <w:tcBorders>
              <w:top w:val="single" w:sz="4" w:space="0" w:color="auto"/>
              <w:left w:val="single" w:sz="4" w:space="0" w:color="auto"/>
              <w:bottom w:val="single" w:sz="4" w:space="0" w:color="auto"/>
              <w:right w:val="single" w:sz="4" w:space="0" w:color="auto"/>
            </w:tcBorders>
            <w:vAlign w:val="center"/>
            <w:hideMark/>
          </w:tcPr>
          <w:p w14:paraId="17452B65"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55239</w:t>
            </w:r>
          </w:p>
        </w:tc>
        <w:tc>
          <w:tcPr>
            <w:tcW w:w="696" w:type="dxa"/>
            <w:tcBorders>
              <w:top w:val="single" w:sz="4" w:space="0" w:color="auto"/>
              <w:left w:val="single" w:sz="4" w:space="0" w:color="auto"/>
              <w:bottom w:val="single" w:sz="4" w:space="0" w:color="auto"/>
              <w:right w:val="single" w:sz="4" w:space="0" w:color="auto"/>
            </w:tcBorders>
            <w:vAlign w:val="center"/>
            <w:hideMark/>
          </w:tcPr>
          <w:p w14:paraId="539E75B1"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1245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2B79F62" w14:textId="77777777" w:rsidR="00A36183" w:rsidRDefault="002802A8" w:rsidP="00583C5A">
            <w:pPr>
              <w:spacing w:line="228" w:lineRule="auto"/>
              <w:jc w:val="center"/>
              <w:rPr>
                <w:rFonts w:ascii="Times New Roman" w:hAnsi="Times New Roman" w:cs="Times New Roman"/>
                <w:color w:val="000000"/>
                <w:sz w:val="24"/>
                <w:szCs w:val="24"/>
                <w:lang w:val="kk-KZ"/>
              </w:rPr>
            </w:pPr>
            <w:r w:rsidRPr="00441955">
              <w:rPr>
                <w:rFonts w:ascii="Times New Roman" w:hAnsi="Times New Roman" w:cs="Times New Roman"/>
                <w:color w:val="000000"/>
                <w:sz w:val="24"/>
                <w:szCs w:val="24"/>
              </w:rPr>
              <w:t>867</w:t>
            </w:r>
            <w:r w:rsidR="00A36183">
              <w:rPr>
                <w:rFonts w:ascii="Times New Roman" w:hAnsi="Times New Roman" w:cs="Times New Roman"/>
                <w:color w:val="000000"/>
                <w:sz w:val="24"/>
                <w:szCs w:val="24"/>
                <w:lang w:val="kk-KZ"/>
              </w:rPr>
              <w:t xml:space="preserve"> </w:t>
            </w:r>
          </w:p>
          <w:p w14:paraId="0115E364"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009</w:t>
            </w:r>
          </w:p>
        </w:tc>
      </w:tr>
      <w:tr w:rsidR="00A36183" w:rsidRPr="00441955" w14:paraId="3CEFE608"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71564EDC" w14:textId="402CF86C" w:rsidR="002802A8" w:rsidRPr="00441955" w:rsidRDefault="002802A8" w:rsidP="00583C5A">
            <w:pPr>
              <w:spacing w:line="228" w:lineRule="auto"/>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7 ірі экожүйе қа</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лыптастыру және инвестициялық жо</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баларды іске асы</w:t>
            </w:r>
            <w:r w:rsidR="00A36183">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ру есебінен 1 млн. ауыл тұрғынының табысын тұрақты арттыру</w:t>
            </w:r>
          </w:p>
        </w:tc>
        <w:tc>
          <w:tcPr>
            <w:tcW w:w="798" w:type="dxa"/>
            <w:tcBorders>
              <w:top w:val="single" w:sz="4" w:space="0" w:color="auto"/>
              <w:left w:val="single" w:sz="4" w:space="0" w:color="auto"/>
              <w:bottom w:val="single" w:sz="4" w:space="0" w:color="auto"/>
              <w:right w:val="single" w:sz="4" w:space="0" w:color="auto"/>
            </w:tcBorders>
            <w:vAlign w:val="center"/>
            <w:hideMark/>
          </w:tcPr>
          <w:p w14:paraId="171C32DA" w14:textId="400D8E86"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585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893</w:t>
            </w:r>
          </w:p>
        </w:tc>
        <w:tc>
          <w:tcPr>
            <w:tcW w:w="840" w:type="dxa"/>
            <w:tcBorders>
              <w:top w:val="single" w:sz="4" w:space="0" w:color="auto"/>
              <w:left w:val="single" w:sz="4" w:space="0" w:color="auto"/>
              <w:bottom w:val="single" w:sz="4" w:space="0" w:color="auto"/>
              <w:right w:val="single" w:sz="4" w:space="0" w:color="auto"/>
            </w:tcBorders>
            <w:vAlign w:val="center"/>
            <w:hideMark/>
          </w:tcPr>
          <w:p w14:paraId="2FD7A273" w14:textId="0680B26F"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72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643</w:t>
            </w:r>
          </w:p>
        </w:tc>
        <w:tc>
          <w:tcPr>
            <w:tcW w:w="700" w:type="dxa"/>
            <w:tcBorders>
              <w:top w:val="single" w:sz="4" w:space="0" w:color="auto"/>
              <w:left w:val="single" w:sz="4" w:space="0" w:color="auto"/>
              <w:bottom w:val="single" w:sz="4" w:space="0" w:color="auto"/>
              <w:right w:val="single" w:sz="4" w:space="0" w:color="auto"/>
            </w:tcBorders>
            <w:vAlign w:val="center"/>
            <w:hideMark/>
          </w:tcPr>
          <w:p w14:paraId="7E7FD3AA" w14:textId="124A001A"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8886</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09</w:t>
            </w:r>
          </w:p>
        </w:tc>
        <w:tc>
          <w:tcPr>
            <w:tcW w:w="812" w:type="dxa"/>
            <w:tcBorders>
              <w:top w:val="single" w:sz="4" w:space="0" w:color="auto"/>
              <w:left w:val="single" w:sz="4" w:space="0" w:color="auto"/>
              <w:bottom w:val="single" w:sz="4" w:space="0" w:color="auto"/>
              <w:right w:val="single" w:sz="4" w:space="0" w:color="auto"/>
            </w:tcBorders>
            <w:vAlign w:val="center"/>
            <w:hideMark/>
          </w:tcPr>
          <w:p w14:paraId="08E82250" w14:textId="3BF2ACA1"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617</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701</w:t>
            </w:r>
          </w:p>
        </w:tc>
        <w:tc>
          <w:tcPr>
            <w:tcW w:w="757" w:type="dxa"/>
            <w:tcBorders>
              <w:top w:val="single" w:sz="4" w:space="0" w:color="auto"/>
              <w:left w:val="single" w:sz="4" w:space="0" w:color="auto"/>
              <w:bottom w:val="single" w:sz="4" w:space="0" w:color="auto"/>
              <w:right w:val="single" w:sz="4" w:space="0" w:color="auto"/>
            </w:tcBorders>
            <w:vAlign w:val="center"/>
            <w:hideMark/>
          </w:tcPr>
          <w:p w14:paraId="4C790CC9" w14:textId="67D56564"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827</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522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EC5DEC" w14:textId="009FA36B"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3641</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368</w:t>
            </w:r>
          </w:p>
        </w:tc>
        <w:tc>
          <w:tcPr>
            <w:tcW w:w="816" w:type="dxa"/>
            <w:tcBorders>
              <w:top w:val="single" w:sz="4" w:space="0" w:color="auto"/>
              <w:left w:val="single" w:sz="4" w:space="0" w:color="auto"/>
              <w:bottom w:val="single" w:sz="4" w:space="0" w:color="auto"/>
              <w:right w:val="single" w:sz="4" w:space="0" w:color="auto"/>
            </w:tcBorders>
            <w:vAlign w:val="center"/>
            <w:hideMark/>
          </w:tcPr>
          <w:p w14:paraId="38DC1DF2" w14:textId="074CFD8A"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1321</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787</w:t>
            </w:r>
          </w:p>
        </w:tc>
        <w:tc>
          <w:tcPr>
            <w:tcW w:w="696" w:type="dxa"/>
            <w:tcBorders>
              <w:top w:val="single" w:sz="4" w:space="0" w:color="auto"/>
              <w:left w:val="single" w:sz="4" w:space="0" w:color="auto"/>
              <w:bottom w:val="single" w:sz="4" w:space="0" w:color="auto"/>
              <w:right w:val="single" w:sz="4" w:space="0" w:color="auto"/>
            </w:tcBorders>
            <w:vAlign w:val="center"/>
            <w:hideMark/>
          </w:tcPr>
          <w:p w14:paraId="6F75A660"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F7CAC6F" w14:textId="2FA75D6B"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2319</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580</w:t>
            </w:r>
          </w:p>
        </w:tc>
      </w:tr>
      <w:tr w:rsidR="00A36183" w:rsidRPr="00441955" w14:paraId="1DD2D0A5" w14:textId="77777777" w:rsidTr="00A36183">
        <w:trPr>
          <w:jc w:val="center"/>
        </w:trPr>
        <w:tc>
          <w:tcPr>
            <w:tcW w:w="2189" w:type="dxa"/>
            <w:tcBorders>
              <w:top w:val="single" w:sz="4" w:space="0" w:color="auto"/>
              <w:left w:val="single" w:sz="4" w:space="0" w:color="auto"/>
              <w:bottom w:val="nil"/>
              <w:right w:val="single" w:sz="4" w:space="0" w:color="auto"/>
            </w:tcBorders>
            <w:hideMark/>
          </w:tcPr>
          <w:p w14:paraId="5A58943A" w14:textId="77777777" w:rsidR="002802A8" w:rsidRPr="00441955" w:rsidRDefault="002802A8" w:rsidP="00583C5A">
            <w:pPr>
              <w:spacing w:line="228" w:lineRule="auto"/>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Республикалық бюджет</w:t>
            </w:r>
          </w:p>
        </w:tc>
        <w:tc>
          <w:tcPr>
            <w:tcW w:w="798" w:type="dxa"/>
            <w:tcBorders>
              <w:top w:val="single" w:sz="4" w:space="0" w:color="auto"/>
              <w:left w:val="single" w:sz="4" w:space="0" w:color="auto"/>
              <w:bottom w:val="nil"/>
              <w:right w:val="single" w:sz="4" w:space="0" w:color="auto"/>
            </w:tcBorders>
            <w:vAlign w:val="center"/>
            <w:hideMark/>
          </w:tcPr>
          <w:p w14:paraId="133B4E50" w14:textId="63217229"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290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935</w:t>
            </w:r>
          </w:p>
        </w:tc>
        <w:tc>
          <w:tcPr>
            <w:tcW w:w="840" w:type="dxa"/>
            <w:tcBorders>
              <w:top w:val="single" w:sz="4" w:space="0" w:color="auto"/>
              <w:left w:val="single" w:sz="4" w:space="0" w:color="auto"/>
              <w:bottom w:val="nil"/>
              <w:right w:val="single" w:sz="4" w:space="0" w:color="auto"/>
            </w:tcBorders>
            <w:vAlign w:val="center"/>
            <w:hideMark/>
          </w:tcPr>
          <w:p w14:paraId="65381359" w14:textId="0D177908"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231</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278</w:t>
            </w:r>
          </w:p>
        </w:tc>
        <w:tc>
          <w:tcPr>
            <w:tcW w:w="700" w:type="dxa"/>
            <w:tcBorders>
              <w:top w:val="single" w:sz="4" w:space="0" w:color="auto"/>
              <w:left w:val="single" w:sz="4" w:space="0" w:color="auto"/>
              <w:bottom w:val="nil"/>
              <w:right w:val="single" w:sz="4" w:space="0" w:color="auto"/>
            </w:tcBorders>
            <w:vAlign w:val="center"/>
            <w:hideMark/>
          </w:tcPr>
          <w:p w14:paraId="334B37B1" w14:textId="1AA18D41"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296</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650</w:t>
            </w:r>
          </w:p>
        </w:tc>
        <w:tc>
          <w:tcPr>
            <w:tcW w:w="812" w:type="dxa"/>
            <w:tcBorders>
              <w:top w:val="single" w:sz="4" w:space="0" w:color="auto"/>
              <w:left w:val="single" w:sz="4" w:space="0" w:color="auto"/>
              <w:bottom w:val="nil"/>
              <w:right w:val="single" w:sz="4" w:space="0" w:color="auto"/>
            </w:tcBorders>
            <w:vAlign w:val="center"/>
            <w:hideMark/>
          </w:tcPr>
          <w:p w14:paraId="67A44C87" w14:textId="5CFA8D82"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478</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019</w:t>
            </w:r>
          </w:p>
        </w:tc>
        <w:tc>
          <w:tcPr>
            <w:tcW w:w="757" w:type="dxa"/>
            <w:tcBorders>
              <w:top w:val="single" w:sz="4" w:space="0" w:color="auto"/>
              <w:left w:val="single" w:sz="4" w:space="0" w:color="auto"/>
              <w:bottom w:val="nil"/>
              <w:right w:val="single" w:sz="4" w:space="0" w:color="auto"/>
            </w:tcBorders>
            <w:vAlign w:val="center"/>
            <w:hideMark/>
          </w:tcPr>
          <w:p w14:paraId="2518BEF8" w14:textId="42A20730"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452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722</w:t>
            </w:r>
          </w:p>
        </w:tc>
        <w:tc>
          <w:tcPr>
            <w:tcW w:w="1056" w:type="dxa"/>
            <w:tcBorders>
              <w:top w:val="single" w:sz="4" w:space="0" w:color="auto"/>
              <w:left w:val="single" w:sz="4" w:space="0" w:color="auto"/>
              <w:bottom w:val="nil"/>
              <w:right w:val="single" w:sz="4" w:space="0" w:color="auto"/>
            </w:tcBorders>
            <w:vAlign w:val="center"/>
            <w:hideMark/>
          </w:tcPr>
          <w:p w14:paraId="41630776" w14:textId="20D94DB6"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9914</w:t>
            </w:r>
          </w:p>
        </w:tc>
        <w:tc>
          <w:tcPr>
            <w:tcW w:w="816" w:type="dxa"/>
            <w:tcBorders>
              <w:top w:val="single" w:sz="4" w:space="0" w:color="auto"/>
              <w:left w:val="single" w:sz="4" w:space="0" w:color="auto"/>
              <w:bottom w:val="nil"/>
              <w:right w:val="single" w:sz="4" w:space="0" w:color="auto"/>
            </w:tcBorders>
            <w:vAlign w:val="center"/>
            <w:hideMark/>
          </w:tcPr>
          <w:p w14:paraId="0F220BC4" w14:textId="13683C2D"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9914</w:t>
            </w:r>
          </w:p>
        </w:tc>
        <w:tc>
          <w:tcPr>
            <w:tcW w:w="696" w:type="dxa"/>
            <w:tcBorders>
              <w:top w:val="single" w:sz="4" w:space="0" w:color="auto"/>
              <w:left w:val="single" w:sz="4" w:space="0" w:color="auto"/>
              <w:bottom w:val="nil"/>
              <w:right w:val="single" w:sz="4" w:space="0" w:color="auto"/>
            </w:tcBorders>
            <w:vAlign w:val="center"/>
            <w:hideMark/>
          </w:tcPr>
          <w:p w14:paraId="282A2623"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c>
          <w:tcPr>
            <w:tcW w:w="1040" w:type="dxa"/>
            <w:tcBorders>
              <w:top w:val="single" w:sz="4" w:space="0" w:color="auto"/>
              <w:left w:val="single" w:sz="4" w:space="0" w:color="auto"/>
              <w:bottom w:val="nil"/>
              <w:right w:val="single" w:sz="4" w:space="0" w:color="auto"/>
            </w:tcBorders>
            <w:vAlign w:val="center"/>
            <w:hideMark/>
          </w:tcPr>
          <w:p w14:paraId="7405CE93"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r>
      <w:tr w:rsidR="00A36183" w:rsidRPr="00441955" w14:paraId="3C8D28D2"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3B9B0B81" w14:textId="77777777" w:rsidR="002802A8" w:rsidRPr="00441955" w:rsidRDefault="002802A8" w:rsidP="00583C5A">
            <w:pPr>
              <w:spacing w:line="228" w:lineRule="auto"/>
              <w:jc w:val="left"/>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Жергілікті бюджет</w:t>
            </w:r>
          </w:p>
        </w:tc>
        <w:tc>
          <w:tcPr>
            <w:tcW w:w="798" w:type="dxa"/>
            <w:tcBorders>
              <w:top w:val="single" w:sz="4" w:space="0" w:color="auto"/>
              <w:left w:val="single" w:sz="4" w:space="0" w:color="auto"/>
              <w:bottom w:val="single" w:sz="4" w:space="0" w:color="auto"/>
              <w:right w:val="single" w:sz="4" w:space="0" w:color="auto"/>
            </w:tcBorders>
            <w:vAlign w:val="center"/>
            <w:hideMark/>
          </w:tcPr>
          <w:p w14:paraId="46152B3B" w14:textId="152573AD"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180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972</w:t>
            </w:r>
          </w:p>
        </w:tc>
        <w:tc>
          <w:tcPr>
            <w:tcW w:w="840" w:type="dxa"/>
            <w:tcBorders>
              <w:top w:val="single" w:sz="4" w:space="0" w:color="auto"/>
              <w:left w:val="single" w:sz="4" w:space="0" w:color="auto"/>
              <w:bottom w:val="single" w:sz="4" w:space="0" w:color="auto"/>
              <w:right w:val="single" w:sz="4" w:space="0" w:color="auto"/>
            </w:tcBorders>
            <w:vAlign w:val="center"/>
            <w:hideMark/>
          </w:tcPr>
          <w:p w14:paraId="35284855" w14:textId="20022378"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182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867</w:t>
            </w:r>
          </w:p>
        </w:tc>
        <w:tc>
          <w:tcPr>
            <w:tcW w:w="700" w:type="dxa"/>
            <w:tcBorders>
              <w:top w:val="single" w:sz="4" w:space="0" w:color="auto"/>
              <w:left w:val="single" w:sz="4" w:space="0" w:color="auto"/>
              <w:bottom w:val="single" w:sz="4" w:space="0" w:color="auto"/>
              <w:right w:val="single" w:sz="4" w:space="0" w:color="auto"/>
            </w:tcBorders>
            <w:vAlign w:val="center"/>
            <w:hideMark/>
          </w:tcPr>
          <w:p w14:paraId="656BACCF" w14:textId="6093A158"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188</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621</w:t>
            </w:r>
          </w:p>
        </w:tc>
        <w:tc>
          <w:tcPr>
            <w:tcW w:w="812" w:type="dxa"/>
            <w:tcBorders>
              <w:top w:val="single" w:sz="4" w:space="0" w:color="auto"/>
              <w:left w:val="single" w:sz="4" w:space="0" w:color="auto"/>
              <w:bottom w:val="single" w:sz="4" w:space="0" w:color="auto"/>
              <w:right w:val="single" w:sz="4" w:space="0" w:color="auto"/>
            </w:tcBorders>
            <w:vAlign w:val="center"/>
            <w:hideMark/>
          </w:tcPr>
          <w:p w14:paraId="6ED1696C" w14:textId="1313A299"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196</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822</w:t>
            </w:r>
          </w:p>
        </w:tc>
        <w:tc>
          <w:tcPr>
            <w:tcW w:w="757" w:type="dxa"/>
            <w:tcBorders>
              <w:top w:val="single" w:sz="4" w:space="0" w:color="auto"/>
              <w:left w:val="single" w:sz="4" w:space="0" w:color="auto"/>
              <w:bottom w:val="single" w:sz="4" w:space="0" w:color="auto"/>
              <w:right w:val="single" w:sz="4" w:space="0" w:color="auto"/>
            </w:tcBorders>
            <w:vAlign w:val="center"/>
            <w:hideMark/>
          </w:tcPr>
          <w:p w14:paraId="72C64779" w14:textId="14C78F5E"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204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172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BB0D4E2" w14:textId="4B86FDE8"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953</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454</w:t>
            </w:r>
          </w:p>
        </w:tc>
        <w:tc>
          <w:tcPr>
            <w:tcW w:w="816" w:type="dxa"/>
            <w:tcBorders>
              <w:top w:val="single" w:sz="4" w:space="0" w:color="auto"/>
              <w:left w:val="single" w:sz="4" w:space="0" w:color="auto"/>
              <w:bottom w:val="single" w:sz="4" w:space="0" w:color="auto"/>
              <w:right w:val="single" w:sz="4" w:space="0" w:color="auto"/>
            </w:tcBorders>
            <w:vAlign w:val="center"/>
            <w:hideMark/>
          </w:tcPr>
          <w:p w14:paraId="09E3B98C"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w:t>
            </w:r>
          </w:p>
        </w:tc>
        <w:tc>
          <w:tcPr>
            <w:tcW w:w="696" w:type="dxa"/>
            <w:tcBorders>
              <w:top w:val="single" w:sz="4" w:space="0" w:color="auto"/>
              <w:left w:val="single" w:sz="4" w:space="0" w:color="auto"/>
              <w:bottom w:val="single" w:sz="4" w:space="0" w:color="auto"/>
              <w:right w:val="single" w:sz="4" w:space="0" w:color="auto"/>
            </w:tcBorders>
            <w:vAlign w:val="center"/>
            <w:hideMark/>
          </w:tcPr>
          <w:p w14:paraId="0051E25E" w14:textId="26A49802"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95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3454</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065CD98"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r>
      <w:tr w:rsidR="00A36183" w:rsidRPr="00441955" w14:paraId="5CA23912"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0E63D809" w14:textId="77777777" w:rsidR="002802A8" w:rsidRPr="00441955" w:rsidRDefault="002802A8" w:rsidP="00583C5A">
            <w:pPr>
              <w:spacing w:line="228" w:lineRule="auto"/>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Бюджеттен тыс қаражат</w:t>
            </w:r>
          </w:p>
        </w:tc>
        <w:tc>
          <w:tcPr>
            <w:tcW w:w="798" w:type="dxa"/>
            <w:tcBorders>
              <w:top w:val="single" w:sz="4" w:space="0" w:color="auto"/>
              <w:left w:val="single" w:sz="4" w:space="0" w:color="auto"/>
              <w:bottom w:val="single" w:sz="4" w:space="0" w:color="auto"/>
              <w:right w:val="single" w:sz="4" w:space="0" w:color="auto"/>
            </w:tcBorders>
            <w:vAlign w:val="center"/>
            <w:hideMark/>
          </w:tcPr>
          <w:p w14:paraId="27637948" w14:textId="58D37316"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807</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625</w:t>
            </w:r>
          </w:p>
        </w:tc>
        <w:tc>
          <w:tcPr>
            <w:tcW w:w="840" w:type="dxa"/>
            <w:tcBorders>
              <w:top w:val="single" w:sz="4" w:space="0" w:color="auto"/>
              <w:left w:val="single" w:sz="4" w:space="0" w:color="auto"/>
              <w:bottom w:val="single" w:sz="4" w:space="0" w:color="auto"/>
              <w:right w:val="single" w:sz="4" w:space="0" w:color="auto"/>
            </w:tcBorders>
            <w:vAlign w:val="center"/>
            <w:hideMark/>
          </w:tcPr>
          <w:p w14:paraId="2E3098D9" w14:textId="4E3D480E"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2482</w:t>
            </w:r>
          </w:p>
        </w:tc>
        <w:tc>
          <w:tcPr>
            <w:tcW w:w="700" w:type="dxa"/>
            <w:tcBorders>
              <w:top w:val="single" w:sz="4" w:space="0" w:color="auto"/>
              <w:left w:val="single" w:sz="4" w:space="0" w:color="auto"/>
              <w:bottom w:val="single" w:sz="4" w:space="0" w:color="auto"/>
              <w:right w:val="single" w:sz="4" w:space="0" w:color="auto"/>
            </w:tcBorders>
            <w:vAlign w:val="center"/>
            <w:hideMark/>
          </w:tcPr>
          <w:p w14:paraId="19648092" w14:textId="588AD17E"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8289</w:t>
            </w:r>
          </w:p>
        </w:tc>
        <w:tc>
          <w:tcPr>
            <w:tcW w:w="812" w:type="dxa"/>
            <w:tcBorders>
              <w:top w:val="single" w:sz="4" w:space="0" w:color="auto"/>
              <w:left w:val="single" w:sz="4" w:space="0" w:color="auto"/>
              <w:bottom w:val="single" w:sz="4" w:space="0" w:color="auto"/>
              <w:right w:val="single" w:sz="4" w:space="0" w:color="auto"/>
            </w:tcBorders>
            <w:vAlign w:val="center"/>
            <w:hideMark/>
          </w:tcPr>
          <w:p w14:paraId="3FA51C4F" w14:textId="73519069"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472</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196</w:t>
            </w:r>
          </w:p>
        </w:tc>
        <w:tc>
          <w:tcPr>
            <w:tcW w:w="757" w:type="dxa"/>
            <w:tcBorders>
              <w:top w:val="single" w:sz="4" w:space="0" w:color="auto"/>
              <w:left w:val="single" w:sz="4" w:space="0" w:color="auto"/>
              <w:bottom w:val="single" w:sz="4" w:space="0" w:color="auto"/>
              <w:right w:val="single" w:sz="4" w:space="0" w:color="auto"/>
            </w:tcBorders>
            <w:vAlign w:val="center"/>
            <w:hideMark/>
          </w:tcPr>
          <w:p w14:paraId="3C3BD02D" w14:textId="46D3B3B5"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739</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407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AE2124"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4100000</w:t>
            </w:r>
          </w:p>
        </w:tc>
        <w:tc>
          <w:tcPr>
            <w:tcW w:w="816" w:type="dxa"/>
            <w:tcBorders>
              <w:top w:val="single" w:sz="4" w:space="0" w:color="auto"/>
              <w:left w:val="single" w:sz="4" w:space="0" w:color="auto"/>
              <w:bottom w:val="single" w:sz="4" w:space="0" w:color="auto"/>
              <w:right w:val="single" w:sz="4" w:space="0" w:color="auto"/>
            </w:tcBorders>
            <w:vAlign w:val="center"/>
            <w:hideMark/>
          </w:tcPr>
          <w:p w14:paraId="7C3A5743"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c>
          <w:tcPr>
            <w:tcW w:w="696" w:type="dxa"/>
            <w:tcBorders>
              <w:top w:val="single" w:sz="4" w:space="0" w:color="auto"/>
              <w:left w:val="single" w:sz="4" w:space="0" w:color="auto"/>
              <w:bottom w:val="single" w:sz="4" w:space="0" w:color="auto"/>
              <w:right w:val="single" w:sz="4" w:space="0" w:color="auto"/>
            </w:tcBorders>
            <w:vAlign w:val="center"/>
            <w:hideMark/>
          </w:tcPr>
          <w:p w14:paraId="6532A8D6" w14:textId="77777777"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384118D" w14:textId="18D7B76D"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410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0000</w:t>
            </w:r>
          </w:p>
        </w:tc>
      </w:tr>
      <w:tr w:rsidR="00A36183" w:rsidRPr="00441955" w14:paraId="5CFD888D" w14:textId="77777777" w:rsidTr="00A36183">
        <w:trPr>
          <w:jc w:val="center"/>
        </w:trPr>
        <w:tc>
          <w:tcPr>
            <w:tcW w:w="2189" w:type="dxa"/>
            <w:tcBorders>
              <w:top w:val="single" w:sz="4" w:space="0" w:color="auto"/>
              <w:left w:val="single" w:sz="4" w:space="0" w:color="auto"/>
              <w:bottom w:val="single" w:sz="4" w:space="0" w:color="auto"/>
              <w:right w:val="single" w:sz="4" w:space="0" w:color="auto"/>
            </w:tcBorders>
            <w:hideMark/>
          </w:tcPr>
          <w:p w14:paraId="56744220" w14:textId="77777777" w:rsidR="002802A8" w:rsidRPr="00441955" w:rsidRDefault="002802A8" w:rsidP="00583C5A">
            <w:pPr>
              <w:spacing w:line="228" w:lineRule="auto"/>
              <w:rPr>
                <w:rFonts w:ascii="Times New Roman" w:hAnsi="Times New Roman" w:cs="Times New Roman"/>
                <w:color w:val="000000"/>
                <w:sz w:val="24"/>
                <w:szCs w:val="24"/>
              </w:rPr>
            </w:pPr>
            <w:r w:rsidRPr="00441955">
              <w:rPr>
                <w:rFonts w:ascii="Times New Roman" w:hAnsi="Times New Roman" w:cs="Times New Roman"/>
                <w:color w:val="000000"/>
                <w:sz w:val="24"/>
                <w:szCs w:val="24"/>
              </w:rPr>
              <w:t xml:space="preserve">Жиыны </w:t>
            </w:r>
          </w:p>
        </w:tc>
        <w:tc>
          <w:tcPr>
            <w:tcW w:w="798" w:type="dxa"/>
            <w:tcBorders>
              <w:top w:val="single" w:sz="4" w:space="0" w:color="auto"/>
              <w:left w:val="single" w:sz="4" w:space="0" w:color="auto"/>
              <w:bottom w:val="single" w:sz="4" w:space="0" w:color="auto"/>
              <w:right w:val="single" w:sz="4" w:space="0" w:color="auto"/>
            </w:tcBorders>
            <w:vAlign w:val="bottom"/>
            <w:hideMark/>
          </w:tcPr>
          <w:p w14:paraId="4519B69E" w14:textId="42F2F885"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127</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9532</w:t>
            </w:r>
          </w:p>
        </w:tc>
        <w:tc>
          <w:tcPr>
            <w:tcW w:w="840" w:type="dxa"/>
            <w:tcBorders>
              <w:top w:val="single" w:sz="4" w:space="0" w:color="auto"/>
              <w:left w:val="single" w:sz="4" w:space="0" w:color="auto"/>
              <w:bottom w:val="single" w:sz="4" w:space="0" w:color="auto"/>
              <w:right w:val="single" w:sz="4" w:space="0" w:color="auto"/>
            </w:tcBorders>
            <w:vAlign w:val="bottom"/>
            <w:hideMark/>
          </w:tcPr>
          <w:p w14:paraId="067FA1F2" w14:textId="7E34E4DF"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146</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6627</w:t>
            </w:r>
          </w:p>
        </w:tc>
        <w:tc>
          <w:tcPr>
            <w:tcW w:w="700" w:type="dxa"/>
            <w:tcBorders>
              <w:top w:val="single" w:sz="4" w:space="0" w:color="auto"/>
              <w:left w:val="single" w:sz="4" w:space="0" w:color="auto"/>
              <w:bottom w:val="single" w:sz="4" w:space="0" w:color="auto"/>
              <w:right w:val="single" w:sz="4" w:space="0" w:color="auto"/>
            </w:tcBorders>
            <w:vAlign w:val="bottom"/>
            <w:hideMark/>
          </w:tcPr>
          <w:p w14:paraId="69746C85" w14:textId="42B4B9C0"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151</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3561</w:t>
            </w:r>
          </w:p>
        </w:tc>
        <w:tc>
          <w:tcPr>
            <w:tcW w:w="812" w:type="dxa"/>
            <w:tcBorders>
              <w:top w:val="single" w:sz="4" w:space="0" w:color="auto"/>
              <w:left w:val="single" w:sz="4" w:space="0" w:color="auto"/>
              <w:bottom w:val="single" w:sz="4" w:space="0" w:color="auto"/>
              <w:right w:val="single" w:sz="4" w:space="0" w:color="auto"/>
            </w:tcBorders>
            <w:vAlign w:val="bottom"/>
            <w:hideMark/>
          </w:tcPr>
          <w:p w14:paraId="32741F95" w14:textId="2A46CB00"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114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7037</w:t>
            </w:r>
          </w:p>
        </w:tc>
        <w:tc>
          <w:tcPr>
            <w:tcW w:w="757" w:type="dxa"/>
            <w:tcBorders>
              <w:top w:val="single" w:sz="4" w:space="0" w:color="auto"/>
              <w:left w:val="single" w:sz="4" w:space="0" w:color="auto"/>
              <w:bottom w:val="single" w:sz="4" w:space="0" w:color="auto"/>
              <w:right w:val="single" w:sz="4" w:space="0" w:color="auto"/>
            </w:tcBorders>
            <w:vAlign w:val="bottom"/>
            <w:hideMark/>
          </w:tcPr>
          <w:p w14:paraId="2BEC54DF" w14:textId="78E68714"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139</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6302</w:t>
            </w:r>
          </w:p>
        </w:tc>
        <w:tc>
          <w:tcPr>
            <w:tcW w:w="1056" w:type="dxa"/>
            <w:tcBorders>
              <w:top w:val="single" w:sz="4" w:space="0" w:color="auto"/>
              <w:left w:val="single" w:sz="4" w:space="0" w:color="auto"/>
              <w:bottom w:val="single" w:sz="4" w:space="0" w:color="auto"/>
              <w:right w:val="single" w:sz="4" w:space="0" w:color="auto"/>
            </w:tcBorders>
            <w:vAlign w:val="bottom"/>
            <w:hideMark/>
          </w:tcPr>
          <w:p w14:paraId="2480BC44" w14:textId="3ED9006E"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680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3368</w:t>
            </w:r>
          </w:p>
        </w:tc>
        <w:tc>
          <w:tcPr>
            <w:tcW w:w="816" w:type="dxa"/>
            <w:tcBorders>
              <w:top w:val="single" w:sz="4" w:space="0" w:color="auto"/>
              <w:left w:val="single" w:sz="4" w:space="0" w:color="auto"/>
              <w:bottom w:val="single" w:sz="4" w:space="0" w:color="auto"/>
              <w:right w:val="single" w:sz="4" w:space="0" w:color="auto"/>
            </w:tcBorders>
            <w:vAlign w:val="bottom"/>
            <w:hideMark/>
          </w:tcPr>
          <w:p w14:paraId="79C33A97" w14:textId="25F240AC"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174</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9914</w:t>
            </w:r>
          </w:p>
        </w:tc>
        <w:tc>
          <w:tcPr>
            <w:tcW w:w="696" w:type="dxa"/>
            <w:tcBorders>
              <w:top w:val="single" w:sz="4" w:space="0" w:color="auto"/>
              <w:left w:val="single" w:sz="4" w:space="0" w:color="auto"/>
              <w:bottom w:val="single" w:sz="4" w:space="0" w:color="auto"/>
              <w:right w:val="single" w:sz="4" w:space="0" w:color="auto"/>
            </w:tcBorders>
            <w:vAlign w:val="bottom"/>
            <w:hideMark/>
          </w:tcPr>
          <w:p w14:paraId="51ABB468" w14:textId="59A7CF9D" w:rsidR="002802A8" w:rsidRPr="00441955" w:rsidRDefault="002802A8" w:rsidP="00583C5A">
            <w:pPr>
              <w:spacing w:line="228" w:lineRule="auto"/>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95</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3454</w:t>
            </w:r>
          </w:p>
        </w:tc>
        <w:tc>
          <w:tcPr>
            <w:tcW w:w="1040" w:type="dxa"/>
            <w:tcBorders>
              <w:top w:val="single" w:sz="4" w:space="0" w:color="auto"/>
              <w:left w:val="single" w:sz="4" w:space="0" w:color="auto"/>
              <w:bottom w:val="single" w:sz="4" w:space="0" w:color="auto"/>
              <w:right w:val="single" w:sz="4" w:space="0" w:color="auto"/>
            </w:tcBorders>
            <w:vAlign w:val="bottom"/>
            <w:hideMark/>
          </w:tcPr>
          <w:p w14:paraId="4334D5DE" w14:textId="15D49EAB" w:rsidR="002802A8" w:rsidRPr="00441955" w:rsidRDefault="002802A8" w:rsidP="00583C5A">
            <w:pPr>
              <w:spacing w:line="228" w:lineRule="auto"/>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410</w:t>
            </w:r>
            <w:r w:rsidR="00A36183">
              <w:rPr>
                <w:rFonts w:ascii="Times New Roman" w:hAnsi="Times New Roman" w:cs="Times New Roman"/>
                <w:color w:val="000000"/>
                <w:sz w:val="24"/>
                <w:szCs w:val="24"/>
                <w:lang w:val="kk-KZ"/>
              </w:rPr>
              <w:t xml:space="preserve"> </w:t>
            </w:r>
            <w:r w:rsidRPr="00441955">
              <w:rPr>
                <w:rFonts w:ascii="Times New Roman" w:hAnsi="Times New Roman" w:cs="Times New Roman"/>
                <w:color w:val="000000"/>
                <w:sz w:val="24"/>
                <w:szCs w:val="24"/>
              </w:rPr>
              <w:t>0000</w:t>
            </w:r>
          </w:p>
        </w:tc>
      </w:tr>
      <w:tr w:rsidR="002802A8" w:rsidRPr="00441955" w14:paraId="2E87FBCA" w14:textId="77777777" w:rsidTr="00A36183">
        <w:trPr>
          <w:jc w:val="center"/>
        </w:trPr>
        <w:tc>
          <w:tcPr>
            <w:tcW w:w="9704" w:type="dxa"/>
            <w:gridSpan w:val="10"/>
            <w:tcBorders>
              <w:top w:val="single" w:sz="4" w:space="0" w:color="auto"/>
              <w:left w:val="single" w:sz="4" w:space="0" w:color="auto"/>
              <w:bottom w:val="single" w:sz="4" w:space="0" w:color="auto"/>
              <w:right w:val="single" w:sz="4" w:space="0" w:color="auto"/>
            </w:tcBorders>
            <w:hideMark/>
          </w:tcPr>
          <w:p w14:paraId="056C8070" w14:textId="446AEFF6" w:rsidR="002802A8" w:rsidRPr="00441955" w:rsidRDefault="00463D68" w:rsidP="00583C5A">
            <w:pPr>
              <w:spacing w:line="228" w:lineRule="auto"/>
              <w:ind w:firstLine="625"/>
              <w:rPr>
                <w:rFonts w:ascii="Times New Roman" w:hAnsi="Times New Roman" w:cs="Times New Roman"/>
                <w:color w:val="000000"/>
                <w:sz w:val="24"/>
                <w:szCs w:val="24"/>
                <w:lang w:val="kk-KZ"/>
              </w:rPr>
            </w:pPr>
            <w:r w:rsidRPr="00441955">
              <w:rPr>
                <w:rFonts w:ascii="Times New Roman" w:eastAsia="Calibri" w:hAnsi="Times New Roman" w:cs="Times New Roman"/>
                <w:sz w:val="24"/>
                <w:szCs w:val="24"/>
              </w:rPr>
              <w:t>Ескерту –</w:t>
            </w:r>
            <w:r w:rsidRPr="00441955">
              <w:rPr>
                <w:rFonts w:ascii="Times New Roman" w:eastAsia="Calibri" w:hAnsi="Times New Roman" w:cs="Times New Roman"/>
                <w:bCs/>
                <w:sz w:val="24"/>
                <w:szCs w:val="24"/>
                <w:lang w:val="kk-KZ"/>
              </w:rPr>
              <w:t xml:space="preserve"> Әдебиет негізінде құралған</w:t>
            </w:r>
            <w:r w:rsidR="002802A8" w:rsidRPr="00441955">
              <w:rPr>
                <w:rFonts w:ascii="Times New Roman" w:hAnsi="Times New Roman" w:cs="Times New Roman"/>
                <w:color w:val="000000"/>
                <w:sz w:val="24"/>
                <w:szCs w:val="24"/>
                <w:lang w:val="kk-KZ"/>
              </w:rPr>
              <w:t xml:space="preserve"> </w:t>
            </w:r>
            <w:r w:rsidR="00C51D00" w:rsidRPr="00441955">
              <w:rPr>
                <w:rFonts w:ascii="Times New Roman" w:eastAsiaTheme="minorEastAsia" w:hAnsi="Times New Roman"/>
                <w:kern w:val="36"/>
                <w:sz w:val="24"/>
                <w:szCs w:val="24"/>
                <w:lang w:val="kk-KZ" w:eastAsia="zh-CN"/>
              </w:rPr>
              <w:t>[</w:t>
            </w:r>
            <w:r w:rsidR="00C152D1">
              <w:rPr>
                <w:rFonts w:ascii="Times New Roman" w:eastAsiaTheme="minorEastAsia" w:hAnsi="Times New Roman"/>
                <w:kern w:val="36"/>
                <w:sz w:val="24"/>
                <w:szCs w:val="24"/>
                <w:lang w:val="kk-KZ" w:eastAsia="zh-CN"/>
              </w:rPr>
              <w:t>8</w:t>
            </w:r>
            <w:r w:rsidR="001A5553">
              <w:rPr>
                <w:rFonts w:ascii="Times New Roman" w:eastAsiaTheme="minorEastAsia" w:hAnsi="Times New Roman"/>
                <w:kern w:val="36"/>
                <w:sz w:val="24"/>
                <w:szCs w:val="24"/>
                <w:lang w:val="kk-KZ" w:eastAsia="zh-CN"/>
              </w:rPr>
              <w:t>2</w:t>
            </w:r>
            <w:r w:rsidR="00C51D00" w:rsidRPr="00441955">
              <w:rPr>
                <w:rFonts w:ascii="Times New Roman" w:eastAsiaTheme="minorEastAsia" w:hAnsi="Times New Roman"/>
                <w:kern w:val="36"/>
                <w:sz w:val="24"/>
                <w:szCs w:val="24"/>
                <w:lang w:val="kk-KZ" w:eastAsia="zh-CN"/>
              </w:rPr>
              <w:t>]</w:t>
            </w:r>
          </w:p>
        </w:tc>
      </w:tr>
    </w:tbl>
    <w:p w14:paraId="7DA39E81" w14:textId="77777777" w:rsidR="00C152D1" w:rsidRDefault="00C152D1" w:rsidP="00457CE9">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p>
    <w:p w14:paraId="11BA7A66" w14:textId="217213E2" w:rsidR="002802A8" w:rsidRDefault="007F5D1B" w:rsidP="00457CE9">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29</w:t>
      </w:r>
      <w:r w:rsidR="00547C1C" w:rsidRPr="00457CE9">
        <w:rPr>
          <w:rFonts w:ascii="Times New Roman" w:eastAsia="Times New Roman" w:hAnsi="Times New Roman" w:cs="Times New Roman"/>
          <w:kern w:val="36"/>
          <w:sz w:val="28"/>
          <w:szCs w:val="28"/>
          <w:lang w:val="kk-KZ" w:eastAsia="ru-RU"/>
        </w:rPr>
        <w:t>-кестеден 2021-2025 жж. ұлттық жобаны іске асырудың қаржыландырылуы негізінен бюджеттен тыс қаражат</w:t>
      </w:r>
      <w:r w:rsidR="00AA2FB3">
        <w:rPr>
          <w:rFonts w:ascii="Times New Roman" w:eastAsia="Times New Roman" w:hAnsi="Times New Roman" w:cs="Times New Roman"/>
          <w:kern w:val="36"/>
          <w:sz w:val="28"/>
          <w:szCs w:val="28"/>
          <w:lang w:val="kk-KZ" w:eastAsia="ru-RU"/>
        </w:rPr>
        <w:t>ын</w:t>
      </w:r>
      <w:r w:rsidR="00547C1C" w:rsidRPr="00457CE9">
        <w:rPr>
          <w:rFonts w:ascii="Times New Roman" w:eastAsia="Times New Roman" w:hAnsi="Times New Roman" w:cs="Times New Roman"/>
          <w:kern w:val="36"/>
          <w:sz w:val="28"/>
          <w:szCs w:val="28"/>
          <w:lang w:val="kk-KZ" w:eastAsia="ru-RU"/>
        </w:rPr>
        <w:t>ан</w:t>
      </w:r>
      <w:r w:rsidR="00AA2FB3">
        <w:rPr>
          <w:rFonts w:ascii="Times New Roman" w:eastAsia="Times New Roman" w:hAnsi="Times New Roman" w:cs="Times New Roman"/>
          <w:kern w:val="36"/>
          <w:sz w:val="28"/>
          <w:szCs w:val="28"/>
          <w:lang w:val="kk-KZ" w:eastAsia="ru-RU"/>
        </w:rPr>
        <w:t>,</w:t>
      </w:r>
      <w:r w:rsidR="00547C1C" w:rsidRPr="00457CE9">
        <w:rPr>
          <w:rFonts w:ascii="Times New Roman" w:eastAsia="Times New Roman" w:hAnsi="Times New Roman" w:cs="Times New Roman"/>
          <w:kern w:val="36"/>
          <w:sz w:val="28"/>
          <w:szCs w:val="28"/>
          <w:lang w:val="kk-KZ" w:eastAsia="ru-RU"/>
        </w:rPr>
        <w:t xml:space="preserve"> республикалық</w:t>
      </w:r>
      <w:r w:rsidR="00AA2FB3" w:rsidRPr="00AA2FB3">
        <w:rPr>
          <w:rFonts w:ascii="Times New Roman" w:eastAsia="Times New Roman" w:hAnsi="Times New Roman" w:cs="Times New Roman"/>
          <w:kern w:val="36"/>
          <w:sz w:val="28"/>
          <w:szCs w:val="28"/>
          <w:lang w:val="kk-KZ" w:eastAsia="ru-RU"/>
        </w:rPr>
        <w:t xml:space="preserve"> </w:t>
      </w:r>
      <w:r w:rsidR="00AA2FB3" w:rsidRPr="00457CE9">
        <w:rPr>
          <w:rFonts w:ascii="Times New Roman" w:eastAsia="Times New Roman" w:hAnsi="Times New Roman" w:cs="Times New Roman"/>
          <w:kern w:val="36"/>
          <w:sz w:val="28"/>
          <w:szCs w:val="28"/>
          <w:lang w:val="kk-KZ" w:eastAsia="ru-RU"/>
        </w:rPr>
        <w:t>және</w:t>
      </w:r>
      <w:r w:rsidR="00547C1C" w:rsidRPr="00457CE9">
        <w:rPr>
          <w:rFonts w:ascii="Times New Roman" w:eastAsia="Times New Roman" w:hAnsi="Times New Roman" w:cs="Times New Roman"/>
          <w:kern w:val="36"/>
          <w:sz w:val="28"/>
          <w:szCs w:val="28"/>
          <w:lang w:val="kk-KZ" w:eastAsia="ru-RU"/>
        </w:rPr>
        <w:t xml:space="preserve"> жергілікті бюджеттерден тартылуы қарастырылған. Тек еңбек өнімділігін 2,5 есеге ұлғайту міндетіне 2021-2025 жж. аралығында республикалық бюджеттен 300766 млн. теңге немесе 26 пайыз, жергілікті бюджеттен 869803 млн. теңге немесе 74 пайыз қаржыландыру жос</w:t>
      </w:r>
      <w:r>
        <w:rPr>
          <w:rFonts w:ascii="Times New Roman" w:eastAsia="Times New Roman" w:hAnsi="Times New Roman" w:cs="Times New Roman"/>
          <w:kern w:val="36"/>
          <w:sz w:val="28"/>
          <w:szCs w:val="28"/>
          <w:lang w:val="kk-KZ" w:eastAsia="ru-RU"/>
        </w:rPr>
        <w:t>п</w:t>
      </w:r>
      <w:r w:rsidR="00547C1C" w:rsidRPr="00457CE9">
        <w:rPr>
          <w:rFonts w:ascii="Times New Roman" w:eastAsia="Times New Roman" w:hAnsi="Times New Roman" w:cs="Times New Roman"/>
          <w:kern w:val="36"/>
          <w:sz w:val="28"/>
          <w:szCs w:val="28"/>
          <w:lang w:val="kk-KZ" w:eastAsia="ru-RU"/>
        </w:rPr>
        <w:t>арланған, бюджет</w:t>
      </w:r>
      <w:r w:rsidR="00AA2FB3">
        <w:rPr>
          <w:rFonts w:ascii="Times New Roman" w:eastAsia="Times New Roman" w:hAnsi="Times New Roman" w:cs="Times New Roman"/>
          <w:kern w:val="36"/>
          <w:sz w:val="28"/>
          <w:szCs w:val="28"/>
          <w:lang w:val="kk-KZ" w:eastAsia="ru-RU"/>
        </w:rPr>
        <w:t>т</w:t>
      </w:r>
      <w:r w:rsidR="00547C1C" w:rsidRPr="00457CE9">
        <w:rPr>
          <w:rFonts w:ascii="Times New Roman" w:eastAsia="Times New Roman" w:hAnsi="Times New Roman" w:cs="Times New Roman"/>
          <w:kern w:val="36"/>
          <w:sz w:val="28"/>
          <w:szCs w:val="28"/>
          <w:lang w:val="kk-KZ" w:eastAsia="ru-RU"/>
        </w:rPr>
        <w:t xml:space="preserve">ен тыс қаражат жоспарланбаған. </w:t>
      </w:r>
      <w:r w:rsidR="00EF1413" w:rsidRPr="00457CE9">
        <w:rPr>
          <w:rFonts w:ascii="Times New Roman" w:eastAsia="Times New Roman" w:hAnsi="Times New Roman" w:cs="Times New Roman"/>
          <w:kern w:val="36"/>
          <w:sz w:val="28"/>
          <w:szCs w:val="28"/>
          <w:lang w:val="kk-KZ" w:eastAsia="ru-RU"/>
        </w:rPr>
        <w:t xml:space="preserve">Отандық өндірістің негізгі азық-түліктік тауарларымен қамтамасыз </w:t>
      </w:r>
      <w:r w:rsidR="00583C5A">
        <w:rPr>
          <w:rFonts w:ascii="Times New Roman" w:eastAsia="Times New Roman" w:hAnsi="Times New Roman" w:cs="Times New Roman"/>
          <w:kern w:val="36"/>
          <w:sz w:val="28"/>
          <w:szCs w:val="28"/>
          <w:lang w:val="kk-KZ" w:eastAsia="ru-RU"/>
        </w:rPr>
        <w:t xml:space="preserve">етілуі міндетін жүзеге асыруға </w:t>
      </w:r>
      <w:r w:rsidR="00EF1413" w:rsidRPr="00457CE9">
        <w:rPr>
          <w:rFonts w:ascii="Times New Roman" w:eastAsia="Times New Roman" w:hAnsi="Times New Roman" w:cs="Times New Roman"/>
          <w:kern w:val="36"/>
          <w:sz w:val="28"/>
          <w:szCs w:val="28"/>
          <w:lang w:val="kk-KZ" w:eastAsia="ru-RU"/>
        </w:rPr>
        <w:t>жалпы 1067938 млн.</w:t>
      </w:r>
      <w:r w:rsidR="00583C5A">
        <w:rPr>
          <w:rFonts w:ascii="Times New Roman" w:eastAsia="Times New Roman" w:hAnsi="Times New Roman" w:cs="Times New Roman"/>
          <w:kern w:val="36"/>
          <w:sz w:val="28"/>
          <w:szCs w:val="28"/>
          <w:lang w:val="kk-KZ" w:eastAsia="ru-RU"/>
        </w:rPr>
        <w:t xml:space="preserve"> </w:t>
      </w:r>
      <w:r w:rsidR="00EF1413" w:rsidRPr="00457CE9">
        <w:rPr>
          <w:rFonts w:ascii="Times New Roman" w:eastAsia="Times New Roman" w:hAnsi="Times New Roman" w:cs="Times New Roman"/>
          <w:kern w:val="36"/>
          <w:sz w:val="28"/>
          <w:szCs w:val="28"/>
          <w:lang w:val="kk-KZ" w:eastAsia="ru-RU"/>
        </w:rPr>
        <w:t xml:space="preserve">теңге, соның ішінде </w:t>
      </w:r>
      <w:r w:rsidR="00986709" w:rsidRPr="00457CE9">
        <w:rPr>
          <w:rFonts w:ascii="Times New Roman" w:eastAsia="Times New Roman" w:hAnsi="Times New Roman" w:cs="Times New Roman"/>
          <w:kern w:val="36"/>
          <w:sz w:val="28"/>
          <w:szCs w:val="28"/>
          <w:lang w:val="kk-KZ" w:eastAsia="ru-RU"/>
        </w:rPr>
        <w:t xml:space="preserve">жалпы қаражат </w:t>
      </w:r>
      <w:r w:rsidR="00EF1413" w:rsidRPr="00457CE9">
        <w:rPr>
          <w:rFonts w:ascii="Times New Roman" w:eastAsia="Times New Roman" w:hAnsi="Times New Roman" w:cs="Times New Roman"/>
          <w:kern w:val="36"/>
          <w:sz w:val="28"/>
          <w:szCs w:val="28"/>
          <w:lang w:val="kk-KZ" w:eastAsia="ru-RU"/>
        </w:rPr>
        <w:t xml:space="preserve">республикалық бюджеттен 72121 млн. теңге немесе 6,75 пайыз, жергілікті бюджеттен </w:t>
      </w:r>
      <w:r w:rsidR="00071CE4" w:rsidRPr="00457CE9">
        <w:rPr>
          <w:rFonts w:ascii="Times New Roman" w:eastAsia="Times New Roman" w:hAnsi="Times New Roman" w:cs="Times New Roman"/>
          <w:kern w:val="36"/>
          <w:sz w:val="28"/>
          <w:szCs w:val="28"/>
          <w:lang w:val="kk-KZ" w:eastAsia="ru-RU"/>
        </w:rPr>
        <w:t>82406 млн.</w:t>
      </w:r>
      <w:r w:rsidR="00583C5A">
        <w:rPr>
          <w:rFonts w:ascii="Times New Roman" w:eastAsia="Times New Roman" w:hAnsi="Times New Roman" w:cs="Times New Roman"/>
          <w:kern w:val="36"/>
          <w:sz w:val="28"/>
          <w:szCs w:val="28"/>
          <w:lang w:val="kk-KZ" w:eastAsia="ru-RU"/>
        </w:rPr>
        <w:t xml:space="preserve"> </w:t>
      </w:r>
      <w:r w:rsidR="00071CE4" w:rsidRPr="00457CE9">
        <w:rPr>
          <w:rFonts w:ascii="Times New Roman" w:eastAsia="Times New Roman" w:hAnsi="Times New Roman" w:cs="Times New Roman"/>
          <w:kern w:val="36"/>
          <w:sz w:val="28"/>
          <w:szCs w:val="28"/>
          <w:lang w:val="kk-KZ" w:eastAsia="ru-RU"/>
        </w:rPr>
        <w:t>теңге немесе 7,72 пайыз, ал бюджеттен тыс қаражаттар 913410 млн.теңге немесе 85,53 пайыз жұмсау қарастырылған</w:t>
      </w:r>
      <w:r w:rsidR="00986709" w:rsidRPr="00457CE9">
        <w:rPr>
          <w:rFonts w:ascii="Times New Roman" w:eastAsia="Times New Roman" w:hAnsi="Times New Roman" w:cs="Times New Roman"/>
          <w:kern w:val="36"/>
          <w:sz w:val="28"/>
          <w:szCs w:val="28"/>
          <w:lang w:val="kk-KZ" w:eastAsia="ru-RU"/>
        </w:rPr>
        <w:t>.</w:t>
      </w:r>
      <w:r w:rsidR="00547C1C" w:rsidRPr="00457CE9">
        <w:rPr>
          <w:rFonts w:ascii="Times New Roman" w:eastAsia="Times New Roman" w:hAnsi="Times New Roman" w:cs="Times New Roman"/>
          <w:kern w:val="36"/>
          <w:sz w:val="28"/>
          <w:szCs w:val="28"/>
          <w:lang w:val="kk-KZ" w:eastAsia="ru-RU"/>
        </w:rPr>
        <w:t xml:space="preserve"> </w:t>
      </w:r>
      <w:r w:rsidR="00F37A28" w:rsidRPr="00457CE9">
        <w:rPr>
          <w:rFonts w:ascii="Times New Roman" w:eastAsia="Times New Roman" w:hAnsi="Times New Roman" w:cs="Times New Roman"/>
          <w:kern w:val="36"/>
          <w:sz w:val="28"/>
          <w:szCs w:val="28"/>
          <w:lang w:val="kk-KZ" w:eastAsia="ru-RU"/>
        </w:rPr>
        <w:t>Өңделген өнімнің үлесін 70%-ға дейін жеткізе отырып, АӨК өнімдерінің экспортын 2 есе ұлғайту міндетін жүзеге асыруға 923493 млн.</w:t>
      </w:r>
      <w:r w:rsidR="00583C5A">
        <w:rPr>
          <w:rFonts w:ascii="Times New Roman" w:eastAsia="Times New Roman" w:hAnsi="Times New Roman" w:cs="Times New Roman"/>
          <w:kern w:val="36"/>
          <w:sz w:val="28"/>
          <w:szCs w:val="28"/>
          <w:lang w:val="kk-KZ" w:eastAsia="ru-RU"/>
        </w:rPr>
        <w:t xml:space="preserve"> </w:t>
      </w:r>
      <w:r w:rsidR="00F37A28" w:rsidRPr="00457CE9">
        <w:rPr>
          <w:rFonts w:ascii="Times New Roman" w:eastAsia="Times New Roman" w:hAnsi="Times New Roman" w:cs="Times New Roman"/>
          <w:kern w:val="36"/>
          <w:sz w:val="28"/>
          <w:szCs w:val="28"/>
          <w:lang w:val="kk-KZ" w:eastAsia="ru-RU"/>
        </w:rPr>
        <w:t>теңге жоспарланған, соның ішінде негізгі қаражатты бюджеттен тыс қорларда</w:t>
      </w:r>
      <w:r w:rsidR="00AA2FB3">
        <w:rPr>
          <w:rFonts w:ascii="Times New Roman" w:eastAsia="Times New Roman" w:hAnsi="Times New Roman" w:cs="Times New Roman"/>
          <w:kern w:val="36"/>
          <w:sz w:val="28"/>
          <w:szCs w:val="28"/>
          <w:lang w:val="kk-KZ" w:eastAsia="ru-RU"/>
        </w:rPr>
        <w:t>н</w:t>
      </w:r>
      <w:r w:rsidR="00F37A28" w:rsidRPr="00457CE9">
        <w:rPr>
          <w:rFonts w:ascii="Times New Roman" w:eastAsia="Times New Roman" w:hAnsi="Times New Roman" w:cs="Times New Roman"/>
          <w:kern w:val="36"/>
          <w:sz w:val="28"/>
          <w:szCs w:val="28"/>
          <w:lang w:val="kk-KZ" w:eastAsia="ru-RU"/>
        </w:rPr>
        <w:t xml:space="preserve"> 867009 млн. теңге немесе 93,88 пайызы</w:t>
      </w:r>
      <w:r w:rsidR="00AA2FB3" w:rsidRPr="00AA2FB3">
        <w:rPr>
          <w:rFonts w:ascii="Times New Roman" w:eastAsia="Times New Roman" w:hAnsi="Times New Roman" w:cs="Times New Roman"/>
          <w:kern w:val="36"/>
          <w:sz w:val="28"/>
          <w:szCs w:val="28"/>
          <w:lang w:val="kk-KZ" w:eastAsia="ru-RU"/>
        </w:rPr>
        <w:t xml:space="preserve"> </w:t>
      </w:r>
      <w:r w:rsidR="00AA2FB3" w:rsidRPr="00457CE9">
        <w:rPr>
          <w:rFonts w:ascii="Times New Roman" w:eastAsia="Times New Roman" w:hAnsi="Times New Roman" w:cs="Times New Roman"/>
          <w:kern w:val="36"/>
          <w:sz w:val="28"/>
          <w:szCs w:val="28"/>
          <w:lang w:val="kk-KZ" w:eastAsia="ru-RU"/>
        </w:rPr>
        <w:t>тарту қарастырылған</w:t>
      </w:r>
      <w:r w:rsidR="00F37A28" w:rsidRPr="00457CE9">
        <w:rPr>
          <w:rFonts w:ascii="Times New Roman" w:eastAsia="Times New Roman" w:hAnsi="Times New Roman" w:cs="Times New Roman"/>
          <w:kern w:val="36"/>
          <w:sz w:val="28"/>
          <w:szCs w:val="28"/>
          <w:lang w:val="kk-KZ" w:eastAsia="ru-RU"/>
        </w:rPr>
        <w:t xml:space="preserve">. Республикалық бюджеттен 5 пайыз, жергілікті бюджеттен 0,14 пайыз. </w:t>
      </w:r>
      <w:r w:rsidR="002802A8" w:rsidRPr="00457CE9">
        <w:rPr>
          <w:rFonts w:ascii="Times New Roman" w:eastAsia="Times New Roman" w:hAnsi="Times New Roman" w:cs="Times New Roman"/>
          <w:kern w:val="36"/>
          <w:sz w:val="28"/>
          <w:szCs w:val="28"/>
          <w:lang w:val="kk-KZ" w:eastAsia="ru-RU"/>
        </w:rPr>
        <w:t>Ұлттық жобаны іске асыруға жоспарланған қаржы көлемінің 2021</w:t>
      </w:r>
      <w:r w:rsidR="00583C5A">
        <w:rPr>
          <w:rFonts w:ascii="Times New Roman" w:eastAsia="Times New Roman" w:hAnsi="Times New Roman" w:cs="Times New Roman"/>
          <w:kern w:val="36"/>
          <w:sz w:val="28"/>
          <w:szCs w:val="28"/>
          <w:lang w:val="kk-KZ" w:eastAsia="ru-RU"/>
        </w:rPr>
        <w:t xml:space="preserve">-2025 жж. динамикасын </w:t>
      </w:r>
      <w:r w:rsidR="0038270D" w:rsidRPr="00457CE9">
        <w:rPr>
          <w:rFonts w:ascii="Times New Roman" w:eastAsia="Times New Roman" w:hAnsi="Times New Roman" w:cs="Times New Roman"/>
          <w:kern w:val="36"/>
          <w:sz w:val="28"/>
          <w:szCs w:val="28"/>
          <w:lang w:val="kk-KZ" w:eastAsia="ru-RU"/>
        </w:rPr>
        <w:t>1</w:t>
      </w:r>
      <w:r w:rsidR="00583C5A">
        <w:rPr>
          <w:rFonts w:ascii="Times New Roman" w:eastAsia="Times New Roman" w:hAnsi="Times New Roman" w:cs="Times New Roman"/>
          <w:kern w:val="36"/>
          <w:sz w:val="28"/>
          <w:szCs w:val="28"/>
          <w:lang w:val="kk-KZ" w:eastAsia="ru-RU"/>
        </w:rPr>
        <w:t>8</w:t>
      </w:r>
      <w:r w:rsidR="002802A8" w:rsidRPr="00457CE9">
        <w:rPr>
          <w:rFonts w:ascii="Times New Roman" w:eastAsia="Times New Roman" w:hAnsi="Times New Roman" w:cs="Times New Roman"/>
          <w:kern w:val="36"/>
          <w:sz w:val="28"/>
          <w:szCs w:val="28"/>
          <w:lang w:val="kk-KZ" w:eastAsia="ru-RU"/>
        </w:rPr>
        <w:t>-суреттен анық көруге болады</w:t>
      </w:r>
      <w:r w:rsidR="00C51D00" w:rsidRPr="00457CE9">
        <w:rPr>
          <w:rFonts w:ascii="Times New Roman" w:eastAsia="Times New Roman" w:hAnsi="Times New Roman" w:cs="Times New Roman"/>
          <w:kern w:val="36"/>
          <w:sz w:val="28"/>
          <w:szCs w:val="28"/>
          <w:lang w:val="kk-KZ" w:eastAsia="ru-RU"/>
        </w:rPr>
        <w:t xml:space="preserve"> [</w:t>
      </w:r>
      <w:r w:rsidR="00C152D1">
        <w:rPr>
          <w:rFonts w:ascii="Times New Roman" w:eastAsia="Times New Roman" w:hAnsi="Times New Roman" w:cs="Times New Roman"/>
          <w:kern w:val="36"/>
          <w:sz w:val="28"/>
          <w:szCs w:val="28"/>
          <w:lang w:val="kk-KZ" w:eastAsia="ru-RU"/>
        </w:rPr>
        <w:t>8</w:t>
      </w:r>
      <w:r w:rsidR="001A5553">
        <w:rPr>
          <w:rFonts w:ascii="Times New Roman" w:eastAsia="Times New Roman" w:hAnsi="Times New Roman" w:cs="Times New Roman"/>
          <w:kern w:val="36"/>
          <w:sz w:val="28"/>
          <w:szCs w:val="28"/>
          <w:lang w:val="kk-KZ" w:eastAsia="ru-RU"/>
        </w:rPr>
        <w:t>2</w:t>
      </w:r>
      <w:r w:rsidR="00C51D00" w:rsidRPr="00457CE9">
        <w:rPr>
          <w:rFonts w:ascii="Times New Roman" w:eastAsia="Times New Roman" w:hAnsi="Times New Roman" w:cs="Times New Roman"/>
          <w:kern w:val="36"/>
          <w:sz w:val="28"/>
          <w:szCs w:val="28"/>
          <w:lang w:val="kk-KZ" w:eastAsia="ru-RU"/>
        </w:rPr>
        <w:t>]</w:t>
      </w:r>
      <w:r w:rsidR="002802A8" w:rsidRPr="00457CE9">
        <w:rPr>
          <w:rFonts w:ascii="Times New Roman" w:eastAsia="Times New Roman" w:hAnsi="Times New Roman" w:cs="Times New Roman"/>
          <w:kern w:val="36"/>
          <w:sz w:val="28"/>
          <w:szCs w:val="28"/>
          <w:lang w:val="kk-KZ" w:eastAsia="ru-RU"/>
        </w:rPr>
        <w:t xml:space="preserve">. </w:t>
      </w:r>
    </w:p>
    <w:p w14:paraId="39F66768" w14:textId="73B68531" w:rsidR="002802A8" w:rsidRPr="00457CE9" w:rsidRDefault="000666B4" w:rsidP="00457CE9">
      <w:pPr>
        <w:spacing w:after="0" w:line="240" w:lineRule="auto"/>
        <w:jc w:val="center"/>
        <w:rPr>
          <w:rFonts w:ascii="Times New Roman" w:eastAsia="Times New Roman" w:hAnsi="Times New Roman" w:cs="Times New Roman"/>
          <w:kern w:val="36"/>
          <w:sz w:val="28"/>
          <w:szCs w:val="28"/>
          <w:lang w:val="kk-KZ" w:eastAsia="ru-RU"/>
        </w:rPr>
      </w:pPr>
      <w:r w:rsidRPr="00457CE9">
        <w:rPr>
          <w:noProof/>
          <w:lang w:eastAsia="ru-RU"/>
        </w:rPr>
        <w:drawing>
          <wp:inline distT="0" distB="0" distL="0" distR="0" wp14:anchorId="3C20AA94" wp14:editId="6E12E1B0">
            <wp:extent cx="5897880" cy="3291840"/>
            <wp:effectExtent l="0" t="0" r="7620" b="3810"/>
            <wp:docPr id="141803478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A41678-194B-CEF1-DF65-908BB8E80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69023D" w14:textId="77777777" w:rsidR="00583C5A" w:rsidRPr="00583C5A" w:rsidRDefault="00583C5A" w:rsidP="00457CE9">
      <w:pPr>
        <w:spacing w:after="0" w:line="240" w:lineRule="auto"/>
        <w:ind w:firstLine="567"/>
        <w:jc w:val="center"/>
        <w:rPr>
          <w:rFonts w:ascii="Times New Roman" w:eastAsia="Times New Roman" w:hAnsi="Times New Roman" w:cs="Times New Roman"/>
          <w:kern w:val="36"/>
          <w:sz w:val="16"/>
          <w:szCs w:val="16"/>
          <w:lang w:val="kk-KZ" w:eastAsia="ru-RU"/>
        </w:rPr>
      </w:pPr>
    </w:p>
    <w:p w14:paraId="3CE9DE24" w14:textId="4E229E59" w:rsidR="002802A8" w:rsidRPr="00457CE9" w:rsidRDefault="002802A8" w:rsidP="00583C5A">
      <w:pPr>
        <w:spacing w:after="0" w:line="240" w:lineRule="auto"/>
        <w:jc w:val="center"/>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Сурет </w:t>
      </w:r>
      <w:r w:rsidR="0038270D" w:rsidRPr="00457CE9">
        <w:rPr>
          <w:rFonts w:ascii="Times New Roman" w:eastAsia="Times New Roman" w:hAnsi="Times New Roman" w:cs="Times New Roman"/>
          <w:kern w:val="36"/>
          <w:sz w:val="28"/>
          <w:szCs w:val="28"/>
          <w:lang w:val="kk-KZ" w:eastAsia="ru-RU"/>
        </w:rPr>
        <w:t>1</w:t>
      </w:r>
      <w:r w:rsidR="00583C5A">
        <w:rPr>
          <w:rFonts w:ascii="Times New Roman" w:eastAsia="Times New Roman" w:hAnsi="Times New Roman" w:cs="Times New Roman"/>
          <w:kern w:val="36"/>
          <w:sz w:val="28"/>
          <w:szCs w:val="28"/>
          <w:lang w:val="kk-KZ" w:eastAsia="ru-RU"/>
        </w:rPr>
        <w:t>8</w:t>
      </w:r>
      <w:r w:rsidRPr="00457CE9">
        <w:rPr>
          <w:rFonts w:ascii="Times New Roman" w:eastAsia="Times New Roman" w:hAnsi="Times New Roman" w:cs="Times New Roman"/>
          <w:kern w:val="36"/>
          <w:sz w:val="28"/>
          <w:szCs w:val="28"/>
          <w:lang w:val="kk-KZ" w:eastAsia="ru-RU"/>
        </w:rPr>
        <w:t xml:space="preserve"> </w:t>
      </w:r>
      <w:r w:rsidR="00583C5A">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ҚР АӨК 2021-2025 жж. ұлттық жобаны іске асырудың жоспарлы қаржы көлемі, млн. теңге</w:t>
      </w:r>
    </w:p>
    <w:p w14:paraId="7B6F1449" w14:textId="77777777" w:rsidR="00463D68" w:rsidRPr="00463D68" w:rsidRDefault="00463D68" w:rsidP="00457CE9">
      <w:pPr>
        <w:spacing w:after="0" w:line="240" w:lineRule="auto"/>
        <w:ind w:firstLine="709"/>
        <w:jc w:val="both"/>
        <w:rPr>
          <w:rFonts w:ascii="Times New Roman" w:eastAsia="Calibri" w:hAnsi="Times New Roman" w:cs="Times New Roman"/>
          <w:sz w:val="16"/>
          <w:szCs w:val="16"/>
          <w:lang w:val="kk-KZ"/>
        </w:rPr>
      </w:pPr>
    </w:p>
    <w:p w14:paraId="72FBF15A" w14:textId="202D10FF" w:rsidR="002802A8" w:rsidRPr="00457CE9" w:rsidRDefault="00463D68" w:rsidP="00457CE9">
      <w:pPr>
        <w:spacing w:after="0" w:line="240" w:lineRule="auto"/>
        <w:ind w:firstLine="709"/>
        <w:jc w:val="both"/>
        <w:rPr>
          <w:rFonts w:ascii="Times New Roman" w:eastAsia="Times New Roman" w:hAnsi="Times New Roman" w:cs="Times New Roman"/>
          <w:kern w:val="36"/>
          <w:sz w:val="24"/>
          <w:szCs w:val="24"/>
          <w:lang w:val="kk-KZ" w:eastAsia="ru-RU"/>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2802A8" w:rsidRPr="00457CE9">
        <w:rPr>
          <w:rFonts w:ascii="Times New Roman" w:hAnsi="Times New Roman" w:cs="Times New Roman"/>
          <w:color w:val="000000"/>
          <w:sz w:val="24"/>
          <w:szCs w:val="24"/>
          <w:lang w:val="kk-KZ"/>
        </w:rPr>
        <w:t xml:space="preserve"> </w:t>
      </w:r>
      <w:r w:rsidR="00C51D00" w:rsidRPr="00457CE9">
        <w:rPr>
          <w:rFonts w:ascii="Times New Roman" w:eastAsiaTheme="minorEastAsia" w:hAnsi="Times New Roman"/>
          <w:kern w:val="36"/>
          <w:sz w:val="24"/>
          <w:szCs w:val="24"/>
          <w:lang w:val="kk-KZ" w:eastAsia="zh-CN"/>
        </w:rPr>
        <w:t>[</w:t>
      </w:r>
      <w:r w:rsidR="00C152D1">
        <w:rPr>
          <w:rFonts w:ascii="Times New Roman" w:eastAsiaTheme="minorEastAsia" w:hAnsi="Times New Roman"/>
          <w:kern w:val="36"/>
          <w:sz w:val="24"/>
          <w:szCs w:val="24"/>
          <w:lang w:val="kk-KZ" w:eastAsia="zh-CN"/>
        </w:rPr>
        <w:t>8</w:t>
      </w:r>
      <w:r w:rsidR="001A5553">
        <w:rPr>
          <w:rFonts w:ascii="Times New Roman" w:eastAsiaTheme="minorEastAsia" w:hAnsi="Times New Roman"/>
          <w:kern w:val="36"/>
          <w:sz w:val="24"/>
          <w:szCs w:val="24"/>
          <w:lang w:val="kk-KZ" w:eastAsia="zh-CN"/>
        </w:rPr>
        <w:t>2</w:t>
      </w:r>
      <w:r w:rsidR="00C51D00" w:rsidRPr="00457CE9">
        <w:rPr>
          <w:rFonts w:ascii="Times New Roman" w:eastAsiaTheme="minorEastAsia" w:hAnsi="Times New Roman"/>
          <w:kern w:val="36"/>
          <w:sz w:val="24"/>
          <w:szCs w:val="24"/>
          <w:lang w:val="kk-KZ" w:eastAsia="zh-CN"/>
        </w:rPr>
        <w:t xml:space="preserve">] </w:t>
      </w:r>
    </w:p>
    <w:p w14:paraId="1D423036" w14:textId="77777777" w:rsidR="00583C5A" w:rsidRDefault="00583C5A" w:rsidP="00457CE9">
      <w:pPr>
        <w:spacing w:after="0" w:line="240" w:lineRule="auto"/>
        <w:ind w:firstLine="709"/>
        <w:jc w:val="both"/>
        <w:rPr>
          <w:rFonts w:ascii="Times New Roman" w:eastAsia="Times New Roman" w:hAnsi="Times New Roman" w:cs="Times New Roman"/>
          <w:kern w:val="36"/>
          <w:sz w:val="28"/>
          <w:szCs w:val="28"/>
          <w:lang w:val="kk-KZ" w:eastAsia="ru-RU"/>
        </w:rPr>
      </w:pPr>
    </w:p>
    <w:p w14:paraId="3D3827B7" w14:textId="07888DA7" w:rsidR="00C152D1" w:rsidRDefault="00C152D1" w:rsidP="00C152D1">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Ұлттық жобадағы 7 ірі экожүйе қалыптастыру және инвестициялық жобаларды іске асыру есебінен 1 млн. ауыл тұрғынының табысын тұрақты арттыру міндеттемесін орындау үшін 3641368 млн. теңге қажет деп жоспарланып, соның ішінде бюджеттен тыс қаражат 2319580 млн. теңге немесе 63,7 пайызын құраса, республикалық бюджеттен 36,3 пайыз қарастырылған [8</w:t>
      </w:r>
      <w:r w:rsidR="001A5553">
        <w:rPr>
          <w:rFonts w:ascii="Times New Roman" w:eastAsia="Times New Roman" w:hAnsi="Times New Roman" w:cs="Times New Roman"/>
          <w:kern w:val="36"/>
          <w:sz w:val="28"/>
          <w:szCs w:val="28"/>
          <w:lang w:val="kk-KZ" w:eastAsia="ru-RU"/>
        </w:rPr>
        <w:t>2</w:t>
      </w:r>
      <w:r>
        <w:rPr>
          <w:rFonts w:ascii="Times New Roman" w:eastAsia="Times New Roman" w:hAnsi="Times New Roman" w:cs="Times New Roman"/>
          <w:kern w:val="36"/>
          <w:sz w:val="28"/>
          <w:szCs w:val="28"/>
          <w:lang w:val="kk-KZ" w:eastAsia="ru-RU"/>
        </w:rPr>
        <w:t xml:space="preserve">]. 2017-2021 жж. ҚР АӨК дамытуға бағытталған бюджет қаражатының ЖАП-мен жүргізілген тиімділік аудитінің қорытындысында ескерту ретінде қаражат тек республикалық бюджетке келетінін атап өткен, сондықтан бұл ескерту 2021-2025 жж. ҚР АӨК дамытудың ұлттық жобасында ескерілгендігін анықтау үшін, жоспарлы қаражат құрылымы </w:t>
      </w:r>
      <w:r w:rsidR="007F5D1B">
        <w:rPr>
          <w:rFonts w:ascii="Times New Roman" w:eastAsia="Times New Roman" w:hAnsi="Times New Roman" w:cs="Times New Roman"/>
          <w:kern w:val="36"/>
          <w:sz w:val="28"/>
          <w:szCs w:val="28"/>
          <w:lang w:val="kk-KZ" w:eastAsia="ru-RU"/>
        </w:rPr>
        <w:t>30</w:t>
      </w:r>
      <w:r>
        <w:rPr>
          <w:rFonts w:ascii="Times New Roman" w:eastAsia="Times New Roman" w:hAnsi="Times New Roman" w:cs="Times New Roman"/>
          <w:kern w:val="36"/>
          <w:sz w:val="28"/>
          <w:szCs w:val="28"/>
          <w:lang w:val="kk-KZ" w:eastAsia="ru-RU"/>
        </w:rPr>
        <w:t>-кестеде келтірілген.</w:t>
      </w:r>
    </w:p>
    <w:p w14:paraId="47BDCB98" w14:textId="15DE7B45" w:rsidR="00C152D1" w:rsidRDefault="007F5D1B" w:rsidP="00C152D1">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30</w:t>
      </w:r>
      <w:r w:rsidR="00C152D1">
        <w:rPr>
          <w:rFonts w:ascii="Times New Roman" w:eastAsia="Times New Roman" w:hAnsi="Times New Roman" w:cs="Times New Roman"/>
          <w:kern w:val="36"/>
          <w:sz w:val="28"/>
          <w:szCs w:val="28"/>
          <w:lang w:val="kk-KZ" w:eastAsia="ru-RU"/>
        </w:rPr>
        <w:t>-кесте, мәліметтерінен АӨК дамытуға арналған ұлттық жобада негізгі қаражат көзі бюджеттен тыс қорлардан тартылатыны қарастырылған, мәселен 2021 жылы ол 63%-ды, 2022 жылы 71,8%-дан 2024 жылы 41,2%-ға дейін төмендесе, 2025 жылы 52,9% деп жоспарланған.</w:t>
      </w:r>
      <w:r w:rsidR="00C152D1" w:rsidRPr="00C152D1">
        <w:rPr>
          <w:rFonts w:ascii="Times New Roman" w:eastAsia="Times New Roman" w:hAnsi="Times New Roman" w:cs="Times New Roman"/>
          <w:kern w:val="36"/>
          <w:sz w:val="28"/>
          <w:szCs w:val="28"/>
          <w:lang w:val="kk-KZ" w:eastAsia="ru-RU"/>
        </w:rPr>
        <w:t xml:space="preserve"> </w:t>
      </w:r>
      <w:r w:rsidR="00C152D1">
        <w:rPr>
          <w:rFonts w:ascii="Times New Roman" w:eastAsia="Times New Roman" w:hAnsi="Times New Roman" w:cs="Times New Roman"/>
          <w:kern w:val="36"/>
          <w:sz w:val="28"/>
          <w:szCs w:val="28"/>
          <w:lang w:val="kk-KZ" w:eastAsia="ru-RU"/>
        </w:rPr>
        <w:t>Аталған жылдарға жалпы бөлінген қаржы көлемінің құрылымы бойынша республикалық бюджеттен 25,7%, жергілікті бюджеттен 14%, бюджеттен тыс 60% деп жоспарланған.</w:t>
      </w:r>
    </w:p>
    <w:p w14:paraId="41511052" w14:textId="0A9E3A24" w:rsidR="00AA2FB3" w:rsidRDefault="00AA2FB3" w:rsidP="00C152D1">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2021-2025 жылдарға еңбек өнімділігін 2,5 есеге ұлғайтуға қарастырылған қаражаттың үлесі 17 пайызды құрап отыр. 7 ірі экожүйе қалыптастыру және инвестициялық жобаларды іске асыру есебінен 1 млн. ауыл тұрғынының табысын тұрақты арттыру міндетіне 53,52 пайыз қаражатын жұмсау қарастырылған [82].</w:t>
      </w:r>
    </w:p>
    <w:p w14:paraId="351D4DDA" w14:textId="19C6339F" w:rsidR="002802A8" w:rsidRDefault="002802A8" w:rsidP="00457CE9">
      <w:pPr>
        <w:spacing w:after="0" w:line="240" w:lineRule="auto"/>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Кесте </w:t>
      </w:r>
      <w:r w:rsidR="007F5D1B">
        <w:rPr>
          <w:rFonts w:ascii="Times New Roman" w:eastAsia="Times New Roman" w:hAnsi="Times New Roman" w:cs="Times New Roman"/>
          <w:kern w:val="36"/>
          <w:sz w:val="28"/>
          <w:szCs w:val="28"/>
          <w:lang w:val="kk-KZ" w:eastAsia="ru-RU"/>
        </w:rPr>
        <w:t>30</w:t>
      </w:r>
      <w:r w:rsidR="0056316E"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2021-2025 жж. ҚР АӨК дамытудың міндеттерін іске асыруға арналған</w:t>
      </w:r>
      <w:r w:rsidR="00361263" w:rsidRPr="00457CE9">
        <w:rPr>
          <w:rFonts w:ascii="Times New Roman" w:eastAsia="Times New Roman" w:hAnsi="Times New Roman" w:cs="Times New Roman"/>
          <w:kern w:val="36"/>
          <w:sz w:val="28"/>
          <w:szCs w:val="28"/>
          <w:lang w:val="kk-KZ" w:eastAsia="ru-RU"/>
        </w:rPr>
        <w:t xml:space="preserve"> бюджет</w:t>
      </w:r>
      <w:r w:rsidRPr="00457CE9">
        <w:rPr>
          <w:rFonts w:ascii="Times New Roman" w:eastAsia="Times New Roman" w:hAnsi="Times New Roman" w:cs="Times New Roman"/>
          <w:kern w:val="36"/>
          <w:sz w:val="28"/>
          <w:szCs w:val="28"/>
          <w:lang w:val="kk-KZ" w:eastAsia="ru-RU"/>
        </w:rPr>
        <w:t xml:space="preserve"> қаражат көздерінің құрылымы, %</w:t>
      </w:r>
    </w:p>
    <w:p w14:paraId="72EA1E18" w14:textId="77777777" w:rsidR="00583C5A" w:rsidRPr="00583C5A" w:rsidRDefault="00583C5A" w:rsidP="000124C8">
      <w:pPr>
        <w:spacing w:after="0" w:line="240" w:lineRule="auto"/>
        <w:jc w:val="right"/>
        <w:rPr>
          <w:rFonts w:ascii="Times New Roman" w:eastAsia="Times New Roman" w:hAnsi="Times New Roman" w:cs="Times New Roman"/>
          <w:kern w:val="36"/>
          <w:sz w:val="16"/>
          <w:szCs w:val="16"/>
          <w:lang w:val="kk-KZ" w:eastAsia="ru-RU"/>
        </w:rPr>
      </w:pPr>
    </w:p>
    <w:tbl>
      <w:tblPr>
        <w:tblStyle w:val="a3"/>
        <w:tblW w:w="9786" w:type="dxa"/>
        <w:tblInd w:w="-5" w:type="dxa"/>
        <w:tblLayout w:type="fixed"/>
        <w:tblLook w:val="04A0" w:firstRow="1" w:lastRow="0" w:firstColumn="1" w:lastColumn="0" w:noHBand="0" w:noVBand="1"/>
      </w:tblPr>
      <w:tblGrid>
        <w:gridCol w:w="2932"/>
        <w:gridCol w:w="696"/>
        <w:gridCol w:w="696"/>
        <w:gridCol w:w="696"/>
        <w:gridCol w:w="696"/>
        <w:gridCol w:w="756"/>
        <w:gridCol w:w="962"/>
        <w:gridCol w:w="636"/>
        <w:gridCol w:w="756"/>
        <w:gridCol w:w="960"/>
      </w:tblGrid>
      <w:tr w:rsidR="002802A8" w:rsidRPr="00441955" w14:paraId="1E41A136" w14:textId="77777777" w:rsidTr="00C152D1">
        <w:trPr>
          <w:trHeight w:val="437"/>
        </w:trPr>
        <w:tc>
          <w:tcPr>
            <w:tcW w:w="2932" w:type="dxa"/>
            <w:tcBorders>
              <w:top w:val="single" w:sz="4" w:space="0" w:color="auto"/>
              <w:left w:val="single" w:sz="4" w:space="0" w:color="auto"/>
              <w:bottom w:val="single" w:sz="4" w:space="0" w:color="auto"/>
              <w:right w:val="single" w:sz="4" w:space="0" w:color="auto"/>
            </w:tcBorders>
            <w:vAlign w:val="center"/>
            <w:hideMark/>
          </w:tcPr>
          <w:p w14:paraId="404066F5"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Міндеттер атауы</w:t>
            </w:r>
          </w:p>
        </w:tc>
        <w:tc>
          <w:tcPr>
            <w:tcW w:w="696" w:type="dxa"/>
            <w:tcBorders>
              <w:top w:val="single" w:sz="4" w:space="0" w:color="auto"/>
              <w:left w:val="single" w:sz="4" w:space="0" w:color="auto"/>
              <w:bottom w:val="single" w:sz="4" w:space="0" w:color="auto"/>
              <w:right w:val="single" w:sz="4" w:space="0" w:color="auto"/>
            </w:tcBorders>
            <w:vAlign w:val="center"/>
            <w:hideMark/>
          </w:tcPr>
          <w:p w14:paraId="01BA98C7"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eastAsia="ru-RU"/>
              </w:rPr>
              <w:t>20</w:t>
            </w:r>
            <w:r w:rsidRPr="00441955">
              <w:rPr>
                <w:rFonts w:ascii="Times New Roman" w:eastAsia="Times New Roman" w:hAnsi="Times New Roman" w:cs="Times New Roman"/>
                <w:kern w:val="36"/>
                <w:sz w:val="24"/>
                <w:szCs w:val="24"/>
                <w:lang w:val="kk-KZ" w:eastAsia="ru-RU"/>
              </w:rPr>
              <w:t>21</w:t>
            </w:r>
            <w:r w:rsidRPr="00441955">
              <w:rPr>
                <w:rFonts w:ascii="Times New Roman" w:eastAsia="Times New Roman" w:hAnsi="Times New Roman" w:cs="Times New Roman"/>
                <w:kern w:val="36"/>
                <w:sz w:val="24"/>
                <w:szCs w:val="24"/>
                <w:lang w:eastAsia="ru-RU"/>
              </w:rPr>
              <w:t xml:space="preserve"> жыл</w:t>
            </w:r>
          </w:p>
        </w:tc>
        <w:tc>
          <w:tcPr>
            <w:tcW w:w="696" w:type="dxa"/>
            <w:tcBorders>
              <w:top w:val="single" w:sz="4" w:space="0" w:color="auto"/>
              <w:left w:val="single" w:sz="4" w:space="0" w:color="auto"/>
              <w:bottom w:val="single" w:sz="4" w:space="0" w:color="auto"/>
              <w:right w:val="single" w:sz="4" w:space="0" w:color="auto"/>
            </w:tcBorders>
            <w:vAlign w:val="center"/>
            <w:hideMark/>
          </w:tcPr>
          <w:p w14:paraId="6E83C09D"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2022 жыл</w:t>
            </w:r>
          </w:p>
        </w:tc>
        <w:tc>
          <w:tcPr>
            <w:tcW w:w="696" w:type="dxa"/>
            <w:tcBorders>
              <w:top w:val="single" w:sz="4" w:space="0" w:color="auto"/>
              <w:left w:val="single" w:sz="4" w:space="0" w:color="auto"/>
              <w:bottom w:val="single" w:sz="4" w:space="0" w:color="auto"/>
              <w:right w:val="single" w:sz="4" w:space="0" w:color="auto"/>
            </w:tcBorders>
            <w:vAlign w:val="center"/>
            <w:hideMark/>
          </w:tcPr>
          <w:p w14:paraId="4F813B53"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2023 жыл</w:t>
            </w:r>
          </w:p>
        </w:tc>
        <w:tc>
          <w:tcPr>
            <w:tcW w:w="696" w:type="dxa"/>
            <w:tcBorders>
              <w:top w:val="single" w:sz="4" w:space="0" w:color="auto"/>
              <w:left w:val="single" w:sz="4" w:space="0" w:color="auto"/>
              <w:bottom w:val="single" w:sz="4" w:space="0" w:color="auto"/>
              <w:right w:val="single" w:sz="4" w:space="0" w:color="auto"/>
            </w:tcBorders>
            <w:vAlign w:val="center"/>
            <w:hideMark/>
          </w:tcPr>
          <w:p w14:paraId="2BCDCC79"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2024 жыл</w:t>
            </w:r>
          </w:p>
        </w:tc>
        <w:tc>
          <w:tcPr>
            <w:tcW w:w="756" w:type="dxa"/>
            <w:tcBorders>
              <w:top w:val="single" w:sz="4" w:space="0" w:color="auto"/>
              <w:left w:val="single" w:sz="4" w:space="0" w:color="auto"/>
              <w:bottom w:val="single" w:sz="4" w:space="0" w:color="auto"/>
              <w:right w:val="single" w:sz="4" w:space="0" w:color="auto"/>
            </w:tcBorders>
            <w:vAlign w:val="center"/>
            <w:hideMark/>
          </w:tcPr>
          <w:p w14:paraId="112A1853"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2025 жыл</w:t>
            </w:r>
          </w:p>
        </w:tc>
        <w:tc>
          <w:tcPr>
            <w:tcW w:w="962" w:type="dxa"/>
            <w:tcBorders>
              <w:top w:val="single" w:sz="4" w:space="0" w:color="auto"/>
              <w:left w:val="single" w:sz="4" w:space="0" w:color="auto"/>
              <w:bottom w:val="single" w:sz="4" w:space="0" w:color="auto"/>
              <w:right w:val="single" w:sz="4" w:space="0" w:color="auto"/>
            </w:tcBorders>
            <w:vAlign w:val="center"/>
            <w:hideMark/>
          </w:tcPr>
          <w:p w14:paraId="16F3DDE1"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Қаржы жиыны</w:t>
            </w:r>
          </w:p>
        </w:tc>
        <w:tc>
          <w:tcPr>
            <w:tcW w:w="636" w:type="dxa"/>
            <w:tcBorders>
              <w:top w:val="single" w:sz="4" w:space="0" w:color="auto"/>
              <w:left w:val="single" w:sz="4" w:space="0" w:color="auto"/>
              <w:bottom w:val="single" w:sz="4" w:space="0" w:color="auto"/>
              <w:right w:val="single" w:sz="4" w:space="0" w:color="auto"/>
            </w:tcBorders>
            <w:vAlign w:val="center"/>
            <w:hideMark/>
          </w:tcPr>
          <w:p w14:paraId="2493BD48"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РБ</w:t>
            </w:r>
          </w:p>
        </w:tc>
        <w:tc>
          <w:tcPr>
            <w:tcW w:w="756" w:type="dxa"/>
            <w:tcBorders>
              <w:top w:val="single" w:sz="4" w:space="0" w:color="auto"/>
              <w:left w:val="single" w:sz="4" w:space="0" w:color="auto"/>
              <w:bottom w:val="single" w:sz="4" w:space="0" w:color="auto"/>
              <w:right w:val="single" w:sz="4" w:space="0" w:color="auto"/>
            </w:tcBorders>
            <w:vAlign w:val="center"/>
            <w:hideMark/>
          </w:tcPr>
          <w:p w14:paraId="52D14401" w14:textId="77777777" w:rsidR="002802A8" w:rsidRPr="00441955" w:rsidRDefault="002802A8" w:rsidP="000124C8">
            <w:pPr>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ЖБ</w:t>
            </w:r>
          </w:p>
        </w:tc>
        <w:tc>
          <w:tcPr>
            <w:tcW w:w="960" w:type="dxa"/>
            <w:tcBorders>
              <w:top w:val="single" w:sz="4" w:space="0" w:color="auto"/>
              <w:left w:val="single" w:sz="4" w:space="0" w:color="auto"/>
              <w:bottom w:val="single" w:sz="4" w:space="0" w:color="auto"/>
              <w:right w:val="single" w:sz="4" w:space="0" w:color="auto"/>
            </w:tcBorders>
            <w:vAlign w:val="center"/>
            <w:hideMark/>
          </w:tcPr>
          <w:p w14:paraId="412AB3D4" w14:textId="1D30DD19" w:rsidR="002802A8" w:rsidRPr="00441955" w:rsidRDefault="002802A8" w:rsidP="000124C8">
            <w:pPr>
              <w:ind w:left="-100"/>
              <w:jc w:val="cente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Бюд</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жет тыс</w:t>
            </w:r>
          </w:p>
        </w:tc>
      </w:tr>
      <w:tr w:rsidR="002802A8" w:rsidRPr="00441955" w14:paraId="3A862B55" w14:textId="77777777" w:rsidTr="00C152D1">
        <w:tc>
          <w:tcPr>
            <w:tcW w:w="2932" w:type="dxa"/>
            <w:tcBorders>
              <w:top w:val="single" w:sz="4" w:space="0" w:color="auto"/>
              <w:left w:val="single" w:sz="4" w:space="0" w:color="auto"/>
              <w:bottom w:val="single" w:sz="4" w:space="0" w:color="auto"/>
              <w:right w:val="single" w:sz="4" w:space="0" w:color="auto"/>
            </w:tcBorders>
            <w:hideMark/>
          </w:tcPr>
          <w:p w14:paraId="56D25C3F" w14:textId="77777777" w:rsidR="002802A8" w:rsidRPr="00441955" w:rsidRDefault="002802A8" w:rsidP="00457CE9">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Еңбек өнімділігін 2,5 есе ұлғайту</w:t>
            </w:r>
          </w:p>
        </w:tc>
        <w:tc>
          <w:tcPr>
            <w:tcW w:w="696" w:type="dxa"/>
            <w:tcBorders>
              <w:top w:val="single" w:sz="4" w:space="0" w:color="auto"/>
              <w:left w:val="single" w:sz="4" w:space="0" w:color="auto"/>
              <w:bottom w:val="single" w:sz="4" w:space="0" w:color="auto"/>
              <w:right w:val="single" w:sz="4" w:space="0" w:color="auto"/>
            </w:tcBorders>
            <w:vAlign w:val="center"/>
            <w:hideMark/>
          </w:tcPr>
          <w:p w14:paraId="5F29CF9A" w14:textId="77777777" w:rsidR="002802A8" w:rsidRPr="00441955" w:rsidRDefault="002802A8" w:rsidP="00457CE9">
            <w:pPr>
              <w:jc w:val="center"/>
              <w:rPr>
                <w:rFonts w:ascii="Times New Roman" w:eastAsia="Times New Roman" w:hAnsi="Times New Roman" w:cs="Times New Roman"/>
                <w:kern w:val="36"/>
                <w:sz w:val="24"/>
                <w:szCs w:val="24"/>
                <w:lang w:eastAsia="ru-RU"/>
              </w:rPr>
            </w:pPr>
            <w:r w:rsidRPr="00441955">
              <w:rPr>
                <w:rFonts w:ascii="Times New Roman" w:hAnsi="Times New Roman" w:cs="Times New Roman"/>
                <w:color w:val="000000"/>
                <w:sz w:val="24"/>
                <w:szCs w:val="24"/>
              </w:rPr>
              <w:t>14,3</w:t>
            </w:r>
          </w:p>
        </w:tc>
        <w:tc>
          <w:tcPr>
            <w:tcW w:w="696" w:type="dxa"/>
            <w:tcBorders>
              <w:top w:val="single" w:sz="4" w:space="0" w:color="auto"/>
              <w:left w:val="single" w:sz="4" w:space="0" w:color="auto"/>
              <w:bottom w:val="single" w:sz="4" w:space="0" w:color="auto"/>
              <w:right w:val="single" w:sz="4" w:space="0" w:color="auto"/>
            </w:tcBorders>
            <w:vAlign w:val="center"/>
            <w:hideMark/>
          </w:tcPr>
          <w:p w14:paraId="620E244E"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11,8</w:t>
            </w:r>
          </w:p>
        </w:tc>
        <w:tc>
          <w:tcPr>
            <w:tcW w:w="696" w:type="dxa"/>
            <w:tcBorders>
              <w:top w:val="single" w:sz="4" w:space="0" w:color="auto"/>
              <w:left w:val="single" w:sz="4" w:space="0" w:color="auto"/>
              <w:bottom w:val="single" w:sz="4" w:space="0" w:color="auto"/>
              <w:right w:val="single" w:sz="4" w:space="0" w:color="auto"/>
            </w:tcBorders>
            <w:vAlign w:val="center"/>
            <w:hideMark/>
          </w:tcPr>
          <w:p w14:paraId="5393AA9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16,2</w:t>
            </w:r>
          </w:p>
        </w:tc>
        <w:tc>
          <w:tcPr>
            <w:tcW w:w="696" w:type="dxa"/>
            <w:tcBorders>
              <w:top w:val="single" w:sz="4" w:space="0" w:color="auto"/>
              <w:left w:val="single" w:sz="4" w:space="0" w:color="auto"/>
              <w:bottom w:val="single" w:sz="4" w:space="0" w:color="auto"/>
              <w:right w:val="single" w:sz="4" w:space="0" w:color="auto"/>
            </w:tcBorders>
            <w:vAlign w:val="center"/>
            <w:hideMark/>
          </w:tcPr>
          <w:p w14:paraId="6305208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24,4</w:t>
            </w:r>
          </w:p>
        </w:tc>
        <w:tc>
          <w:tcPr>
            <w:tcW w:w="756" w:type="dxa"/>
            <w:tcBorders>
              <w:top w:val="single" w:sz="4" w:space="0" w:color="auto"/>
              <w:left w:val="single" w:sz="4" w:space="0" w:color="auto"/>
              <w:bottom w:val="single" w:sz="4" w:space="0" w:color="auto"/>
              <w:right w:val="single" w:sz="4" w:space="0" w:color="auto"/>
            </w:tcBorders>
            <w:vAlign w:val="center"/>
            <w:hideMark/>
          </w:tcPr>
          <w:p w14:paraId="56BEA10E"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20,67</w:t>
            </w:r>
          </w:p>
        </w:tc>
        <w:tc>
          <w:tcPr>
            <w:tcW w:w="962" w:type="dxa"/>
            <w:tcBorders>
              <w:top w:val="single" w:sz="4" w:space="0" w:color="auto"/>
              <w:left w:val="single" w:sz="4" w:space="0" w:color="auto"/>
              <w:bottom w:val="single" w:sz="4" w:space="0" w:color="auto"/>
              <w:right w:val="single" w:sz="4" w:space="0" w:color="auto"/>
            </w:tcBorders>
            <w:vAlign w:val="center"/>
            <w:hideMark/>
          </w:tcPr>
          <w:p w14:paraId="6A357C23"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17,21</w:t>
            </w:r>
          </w:p>
        </w:tc>
        <w:tc>
          <w:tcPr>
            <w:tcW w:w="636" w:type="dxa"/>
            <w:tcBorders>
              <w:top w:val="single" w:sz="4" w:space="0" w:color="auto"/>
              <w:left w:val="single" w:sz="4" w:space="0" w:color="auto"/>
              <w:bottom w:val="single" w:sz="4" w:space="0" w:color="auto"/>
              <w:right w:val="single" w:sz="4" w:space="0" w:color="auto"/>
            </w:tcBorders>
            <w:vAlign w:val="center"/>
            <w:hideMark/>
          </w:tcPr>
          <w:p w14:paraId="20E833B1"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25,7</w:t>
            </w:r>
          </w:p>
        </w:tc>
        <w:tc>
          <w:tcPr>
            <w:tcW w:w="756" w:type="dxa"/>
            <w:tcBorders>
              <w:top w:val="single" w:sz="4" w:space="0" w:color="auto"/>
              <w:left w:val="single" w:sz="4" w:space="0" w:color="auto"/>
              <w:bottom w:val="single" w:sz="4" w:space="0" w:color="auto"/>
              <w:right w:val="single" w:sz="4" w:space="0" w:color="auto"/>
            </w:tcBorders>
            <w:vAlign w:val="center"/>
            <w:hideMark/>
          </w:tcPr>
          <w:p w14:paraId="0713D323"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74,31</w:t>
            </w:r>
          </w:p>
        </w:tc>
        <w:tc>
          <w:tcPr>
            <w:tcW w:w="960" w:type="dxa"/>
            <w:tcBorders>
              <w:top w:val="single" w:sz="4" w:space="0" w:color="auto"/>
              <w:left w:val="single" w:sz="4" w:space="0" w:color="auto"/>
              <w:bottom w:val="single" w:sz="4" w:space="0" w:color="auto"/>
              <w:right w:val="single" w:sz="4" w:space="0" w:color="auto"/>
            </w:tcBorders>
            <w:vAlign w:val="center"/>
            <w:hideMark/>
          </w:tcPr>
          <w:p w14:paraId="1E97A448"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r>
      <w:tr w:rsidR="002802A8" w:rsidRPr="00441955" w14:paraId="0AF83C93" w14:textId="77777777" w:rsidTr="00C152D1">
        <w:tc>
          <w:tcPr>
            <w:tcW w:w="2932" w:type="dxa"/>
            <w:tcBorders>
              <w:top w:val="single" w:sz="4" w:space="0" w:color="auto"/>
              <w:left w:val="single" w:sz="4" w:space="0" w:color="auto"/>
              <w:bottom w:val="nil"/>
              <w:right w:val="single" w:sz="4" w:space="0" w:color="auto"/>
            </w:tcBorders>
            <w:hideMark/>
          </w:tcPr>
          <w:p w14:paraId="4839392A" w14:textId="439F4256" w:rsidR="002802A8" w:rsidRPr="00441955" w:rsidRDefault="002802A8" w:rsidP="00457CE9">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Отандық өндірістің не</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гізгі азық-түліктік тауар</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 xml:space="preserve">ларымен қамтамасыз етілуі </w:t>
            </w:r>
          </w:p>
        </w:tc>
        <w:tc>
          <w:tcPr>
            <w:tcW w:w="696" w:type="dxa"/>
            <w:tcBorders>
              <w:top w:val="single" w:sz="4" w:space="0" w:color="auto"/>
              <w:left w:val="single" w:sz="4" w:space="0" w:color="auto"/>
              <w:bottom w:val="nil"/>
              <w:right w:val="single" w:sz="4" w:space="0" w:color="auto"/>
            </w:tcBorders>
            <w:vAlign w:val="center"/>
            <w:hideMark/>
          </w:tcPr>
          <w:p w14:paraId="5652DF91"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18,2</w:t>
            </w:r>
          </w:p>
        </w:tc>
        <w:tc>
          <w:tcPr>
            <w:tcW w:w="696" w:type="dxa"/>
            <w:tcBorders>
              <w:top w:val="single" w:sz="4" w:space="0" w:color="auto"/>
              <w:left w:val="single" w:sz="4" w:space="0" w:color="auto"/>
              <w:bottom w:val="nil"/>
              <w:right w:val="single" w:sz="4" w:space="0" w:color="auto"/>
            </w:tcBorders>
            <w:vAlign w:val="center"/>
            <w:hideMark/>
          </w:tcPr>
          <w:p w14:paraId="44579950"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17,2</w:t>
            </w:r>
          </w:p>
        </w:tc>
        <w:tc>
          <w:tcPr>
            <w:tcW w:w="696" w:type="dxa"/>
            <w:tcBorders>
              <w:top w:val="single" w:sz="4" w:space="0" w:color="auto"/>
              <w:left w:val="single" w:sz="4" w:space="0" w:color="auto"/>
              <w:bottom w:val="nil"/>
              <w:right w:val="single" w:sz="4" w:space="0" w:color="auto"/>
            </w:tcBorders>
            <w:vAlign w:val="center"/>
            <w:hideMark/>
          </w:tcPr>
          <w:p w14:paraId="6FA17185"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13,6</w:t>
            </w:r>
          </w:p>
        </w:tc>
        <w:tc>
          <w:tcPr>
            <w:tcW w:w="696" w:type="dxa"/>
            <w:tcBorders>
              <w:top w:val="single" w:sz="4" w:space="0" w:color="auto"/>
              <w:left w:val="single" w:sz="4" w:space="0" w:color="auto"/>
              <w:bottom w:val="nil"/>
              <w:right w:val="single" w:sz="4" w:space="0" w:color="auto"/>
            </w:tcBorders>
            <w:vAlign w:val="center"/>
            <w:hideMark/>
          </w:tcPr>
          <w:p w14:paraId="1F8CE4E5"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15,9</w:t>
            </w:r>
          </w:p>
        </w:tc>
        <w:tc>
          <w:tcPr>
            <w:tcW w:w="756" w:type="dxa"/>
            <w:tcBorders>
              <w:top w:val="single" w:sz="4" w:space="0" w:color="auto"/>
              <w:left w:val="single" w:sz="4" w:space="0" w:color="auto"/>
              <w:bottom w:val="nil"/>
              <w:right w:val="single" w:sz="4" w:space="0" w:color="auto"/>
            </w:tcBorders>
            <w:vAlign w:val="center"/>
            <w:hideMark/>
          </w:tcPr>
          <w:p w14:paraId="7B35D61E"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13,96</w:t>
            </w:r>
          </w:p>
        </w:tc>
        <w:tc>
          <w:tcPr>
            <w:tcW w:w="962" w:type="dxa"/>
            <w:tcBorders>
              <w:top w:val="single" w:sz="4" w:space="0" w:color="auto"/>
              <w:left w:val="single" w:sz="4" w:space="0" w:color="auto"/>
              <w:bottom w:val="nil"/>
              <w:right w:val="single" w:sz="4" w:space="0" w:color="auto"/>
            </w:tcBorders>
            <w:vAlign w:val="center"/>
            <w:hideMark/>
          </w:tcPr>
          <w:p w14:paraId="5B642E30"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15,7</w:t>
            </w:r>
          </w:p>
        </w:tc>
        <w:tc>
          <w:tcPr>
            <w:tcW w:w="636" w:type="dxa"/>
            <w:tcBorders>
              <w:top w:val="single" w:sz="4" w:space="0" w:color="auto"/>
              <w:left w:val="single" w:sz="4" w:space="0" w:color="auto"/>
              <w:bottom w:val="nil"/>
              <w:right w:val="single" w:sz="4" w:space="0" w:color="auto"/>
            </w:tcBorders>
            <w:vAlign w:val="center"/>
            <w:hideMark/>
          </w:tcPr>
          <w:p w14:paraId="2D4CD9DB"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6,75</w:t>
            </w:r>
          </w:p>
        </w:tc>
        <w:tc>
          <w:tcPr>
            <w:tcW w:w="756" w:type="dxa"/>
            <w:tcBorders>
              <w:top w:val="single" w:sz="4" w:space="0" w:color="auto"/>
              <w:left w:val="single" w:sz="4" w:space="0" w:color="auto"/>
              <w:bottom w:val="nil"/>
              <w:right w:val="single" w:sz="4" w:space="0" w:color="auto"/>
            </w:tcBorders>
            <w:vAlign w:val="center"/>
            <w:hideMark/>
          </w:tcPr>
          <w:p w14:paraId="784E680B" w14:textId="2E91F00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7,7</w:t>
            </w:r>
            <w:r w:rsidR="00EF1413" w:rsidRPr="00441955">
              <w:rPr>
                <w:rFonts w:ascii="Times New Roman" w:hAnsi="Times New Roman" w:cs="Times New Roman"/>
                <w:color w:val="000000"/>
                <w:sz w:val="24"/>
                <w:szCs w:val="24"/>
                <w:lang w:val="kk-KZ"/>
              </w:rPr>
              <w:t>2</w:t>
            </w:r>
          </w:p>
        </w:tc>
        <w:tc>
          <w:tcPr>
            <w:tcW w:w="960" w:type="dxa"/>
            <w:tcBorders>
              <w:top w:val="single" w:sz="4" w:space="0" w:color="auto"/>
              <w:left w:val="single" w:sz="4" w:space="0" w:color="auto"/>
              <w:bottom w:val="nil"/>
              <w:right w:val="single" w:sz="4" w:space="0" w:color="auto"/>
            </w:tcBorders>
            <w:vAlign w:val="center"/>
            <w:hideMark/>
          </w:tcPr>
          <w:p w14:paraId="72FA64C1"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85,53</w:t>
            </w:r>
          </w:p>
        </w:tc>
      </w:tr>
      <w:tr w:rsidR="002802A8" w:rsidRPr="00441955" w14:paraId="4F660359" w14:textId="77777777" w:rsidTr="00C152D1">
        <w:tc>
          <w:tcPr>
            <w:tcW w:w="2932" w:type="dxa"/>
            <w:tcBorders>
              <w:top w:val="single" w:sz="4" w:space="0" w:color="auto"/>
              <w:left w:val="single" w:sz="4" w:space="0" w:color="auto"/>
              <w:bottom w:val="single" w:sz="4" w:space="0" w:color="auto"/>
              <w:right w:val="single" w:sz="4" w:space="0" w:color="auto"/>
            </w:tcBorders>
            <w:hideMark/>
          </w:tcPr>
          <w:p w14:paraId="70387BA3" w14:textId="5AB84D63" w:rsidR="002802A8" w:rsidRPr="00441955" w:rsidRDefault="002802A8" w:rsidP="00457CE9">
            <w:pPr>
              <w:rPr>
                <w:rFonts w:ascii="Times New Roman" w:eastAsia="Times New Roman" w:hAnsi="Times New Roman" w:cs="Times New Roman"/>
                <w:kern w:val="36"/>
                <w:sz w:val="24"/>
                <w:szCs w:val="24"/>
                <w:lang w:eastAsia="ru-RU"/>
              </w:rPr>
            </w:pPr>
            <w:r w:rsidRPr="00441955">
              <w:rPr>
                <w:rFonts w:ascii="Times New Roman" w:eastAsia="Times New Roman" w:hAnsi="Times New Roman" w:cs="Times New Roman"/>
                <w:kern w:val="36"/>
                <w:sz w:val="24"/>
                <w:szCs w:val="24"/>
                <w:lang w:val="kk-KZ" w:eastAsia="ru-RU"/>
              </w:rPr>
              <w:t>Өңделген өнімнің үлесін 70%-ға дейін жеткізе отырып, АӨК өнімдері</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нің экспортын 2 есе ұлғайту</w:t>
            </w:r>
          </w:p>
        </w:tc>
        <w:tc>
          <w:tcPr>
            <w:tcW w:w="696" w:type="dxa"/>
            <w:tcBorders>
              <w:top w:val="single" w:sz="4" w:space="0" w:color="auto"/>
              <w:left w:val="single" w:sz="4" w:space="0" w:color="auto"/>
              <w:bottom w:val="single" w:sz="4" w:space="0" w:color="auto"/>
              <w:right w:val="single" w:sz="4" w:space="0" w:color="auto"/>
            </w:tcBorders>
            <w:vAlign w:val="center"/>
            <w:hideMark/>
          </w:tcPr>
          <w:p w14:paraId="41EC0ACF"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21,7</w:t>
            </w:r>
          </w:p>
        </w:tc>
        <w:tc>
          <w:tcPr>
            <w:tcW w:w="696" w:type="dxa"/>
            <w:tcBorders>
              <w:top w:val="single" w:sz="4" w:space="0" w:color="auto"/>
              <w:left w:val="single" w:sz="4" w:space="0" w:color="auto"/>
              <w:bottom w:val="single" w:sz="4" w:space="0" w:color="auto"/>
              <w:right w:val="single" w:sz="4" w:space="0" w:color="auto"/>
            </w:tcBorders>
            <w:vAlign w:val="center"/>
            <w:hideMark/>
          </w:tcPr>
          <w:p w14:paraId="176784F0"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21,7</w:t>
            </w:r>
          </w:p>
        </w:tc>
        <w:tc>
          <w:tcPr>
            <w:tcW w:w="696" w:type="dxa"/>
            <w:tcBorders>
              <w:top w:val="single" w:sz="4" w:space="0" w:color="auto"/>
              <w:left w:val="single" w:sz="4" w:space="0" w:color="auto"/>
              <w:bottom w:val="single" w:sz="4" w:space="0" w:color="auto"/>
              <w:right w:val="single" w:sz="4" w:space="0" w:color="auto"/>
            </w:tcBorders>
            <w:vAlign w:val="center"/>
            <w:hideMark/>
          </w:tcPr>
          <w:p w14:paraId="7963A794"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11,5</w:t>
            </w:r>
          </w:p>
        </w:tc>
        <w:tc>
          <w:tcPr>
            <w:tcW w:w="696" w:type="dxa"/>
            <w:tcBorders>
              <w:top w:val="single" w:sz="4" w:space="0" w:color="auto"/>
              <w:left w:val="single" w:sz="4" w:space="0" w:color="auto"/>
              <w:bottom w:val="single" w:sz="4" w:space="0" w:color="auto"/>
              <w:right w:val="single" w:sz="4" w:space="0" w:color="auto"/>
            </w:tcBorders>
            <w:vAlign w:val="center"/>
            <w:hideMark/>
          </w:tcPr>
          <w:p w14:paraId="7F20C209"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5,9</w:t>
            </w:r>
          </w:p>
        </w:tc>
        <w:tc>
          <w:tcPr>
            <w:tcW w:w="756" w:type="dxa"/>
            <w:tcBorders>
              <w:top w:val="single" w:sz="4" w:space="0" w:color="auto"/>
              <w:left w:val="single" w:sz="4" w:space="0" w:color="auto"/>
              <w:bottom w:val="single" w:sz="4" w:space="0" w:color="auto"/>
              <w:right w:val="single" w:sz="4" w:space="0" w:color="auto"/>
            </w:tcBorders>
            <w:vAlign w:val="center"/>
            <w:hideMark/>
          </w:tcPr>
          <w:p w14:paraId="26C0DB6B"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6,1</w:t>
            </w:r>
            <w:r w:rsidRPr="00441955">
              <w:rPr>
                <w:rFonts w:ascii="Times New Roman" w:hAnsi="Times New Roman" w:cs="Times New Roman"/>
                <w:color w:val="000000"/>
                <w:sz w:val="24"/>
                <w:szCs w:val="24"/>
                <w:lang w:val="kk-KZ"/>
              </w:rPr>
              <w:t>1</w:t>
            </w:r>
          </w:p>
        </w:tc>
        <w:tc>
          <w:tcPr>
            <w:tcW w:w="962" w:type="dxa"/>
            <w:tcBorders>
              <w:top w:val="single" w:sz="4" w:space="0" w:color="auto"/>
              <w:left w:val="single" w:sz="4" w:space="0" w:color="auto"/>
              <w:bottom w:val="single" w:sz="4" w:space="0" w:color="auto"/>
              <w:right w:val="single" w:sz="4" w:space="0" w:color="auto"/>
            </w:tcBorders>
            <w:vAlign w:val="center"/>
            <w:hideMark/>
          </w:tcPr>
          <w:p w14:paraId="4FAE4CFF"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13,57</w:t>
            </w:r>
          </w:p>
        </w:tc>
        <w:tc>
          <w:tcPr>
            <w:tcW w:w="636" w:type="dxa"/>
            <w:tcBorders>
              <w:top w:val="single" w:sz="4" w:space="0" w:color="auto"/>
              <w:left w:val="single" w:sz="4" w:space="0" w:color="auto"/>
              <w:bottom w:val="single" w:sz="4" w:space="0" w:color="auto"/>
              <w:right w:val="single" w:sz="4" w:space="0" w:color="auto"/>
            </w:tcBorders>
            <w:vAlign w:val="center"/>
            <w:hideMark/>
          </w:tcPr>
          <w:p w14:paraId="6CCCA428"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5,98</w:t>
            </w:r>
          </w:p>
        </w:tc>
        <w:tc>
          <w:tcPr>
            <w:tcW w:w="756" w:type="dxa"/>
            <w:tcBorders>
              <w:top w:val="single" w:sz="4" w:space="0" w:color="auto"/>
              <w:left w:val="single" w:sz="4" w:space="0" w:color="auto"/>
              <w:bottom w:val="single" w:sz="4" w:space="0" w:color="auto"/>
              <w:right w:val="single" w:sz="4" w:space="0" w:color="auto"/>
            </w:tcBorders>
            <w:vAlign w:val="center"/>
            <w:hideMark/>
          </w:tcPr>
          <w:p w14:paraId="01C2845A" w14:textId="3146E680"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0,1</w:t>
            </w:r>
            <w:r w:rsidR="00071CE4" w:rsidRPr="00441955">
              <w:rPr>
                <w:rFonts w:ascii="Times New Roman" w:hAnsi="Times New Roman" w:cs="Times New Roman"/>
                <w:color w:val="000000"/>
                <w:sz w:val="24"/>
                <w:szCs w:val="24"/>
                <w:lang w:val="kk-KZ"/>
              </w:rPr>
              <w:t>4</w:t>
            </w:r>
          </w:p>
        </w:tc>
        <w:tc>
          <w:tcPr>
            <w:tcW w:w="960" w:type="dxa"/>
            <w:tcBorders>
              <w:top w:val="single" w:sz="4" w:space="0" w:color="auto"/>
              <w:left w:val="single" w:sz="4" w:space="0" w:color="auto"/>
              <w:bottom w:val="single" w:sz="4" w:space="0" w:color="auto"/>
              <w:right w:val="single" w:sz="4" w:space="0" w:color="auto"/>
            </w:tcBorders>
            <w:vAlign w:val="center"/>
            <w:hideMark/>
          </w:tcPr>
          <w:p w14:paraId="1E5C20E0"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93,88</w:t>
            </w:r>
          </w:p>
        </w:tc>
      </w:tr>
      <w:tr w:rsidR="002802A8" w:rsidRPr="00441955" w14:paraId="4D4D39DF" w14:textId="77777777" w:rsidTr="00C152D1">
        <w:tc>
          <w:tcPr>
            <w:tcW w:w="2932" w:type="dxa"/>
            <w:tcBorders>
              <w:top w:val="single" w:sz="4" w:space="0" w:color="auto"/>
              <w:left w:val="single" w:sz="4" w:space="0" w:color="auto"/>
              <w:bottom w:val="single" w:sz="4" w:space="0" w:color="auto"/>
              <w:right w:val="single" w:sz="4" w:space="0" w:color="auto"/>
            </w:tcBorders>
            <w:hideMark/>
          </w:tcPr>
          <w:p w14:paraId="179B533D" w14:textId="628E1FD0" w:rsidR="002802A8" w:rsidRPr="00441955" w:rsidRDefault="002802A8" w:rsidP="00457CE9">
            <w:pPr>
              <w:rPr>
                <w:rFonts w:ascii="Times New Roman" w:eastAsia="Times New Roman" w:hAnsi="Times New Roman" w:cs="Times New Roman"/>
                <w:kern w:val="36"/>
                <w:sz w:val="24"/>
                <w:szCs w:val="24"/>
                <w:lang w:val="kk-KZ" w:eastAsia="ru-RU"/>
              </w:rPr>
            </w:pPr>
            <w:r w:rsidRPr="00441955">
              <w:rPr>
                <w:rFonts w:ascii="Times New Roman" w:eastAsia="Times New Roman" w:hAnsi="Times New Roman" w:cs="Times New Roman"/>
                <w:kern w:val="36"/>
                <w:sz w:val="24"/>
                <w:szCs w:val="24"/>
                <w:lang w:val="kk-KZ" w:eastAsia="ru-RU"/>
              </w:rPr>
              <w:t>Жеті ірі экожүйе қалып</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тастыру және инвести</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циялық жобаларды іске асыру есебінен 1 млн. ауыл тұрғынының табы</w:t>
            </w:r>
            <w:r w:rsidR="000124C8">
              <w:rPr>
                <w:rFonts w:ascii="Times New Roman" w:eastAsia="Times New Roman" w:hAnsi="Times New Roman" w:cs="Times New Roman"/>
                <w:kern w:val="36"/>
                <w:sz w:val="24"/>
                <w:szCs w:val="24"/>
                <w:lang w:val="kk-KZ" w:eastAsia="ru-RU"/>
              </w:rPr>
              <w:t xml:space="preserve"> </w:t>
            </w:r>
            <w:r w:rsidRPr="00441955">
              <w:rPr>
                <w:rFonts w:ascii="Times New Roman" w:eastAsia="Times New Roman" w:hAnsi="Times New Roman" w:cs="Times New Roman"/>
                <w:kern w:val="36"/>
                <w:sz w:val="24"/>
                <w:szCs w:val="24"/>
                <w:lang w:val="kk-KZ" w:eastAsia="ru-RU"/>
              </w:rPr>
              <w:t>сын тұрақты арттыру</w:t>
            </w:r>
          </w:p>
        </w:tc>
        <w:tc>
          <w:tcPr>
            <w:tcW w:w="696" w:type="dxa"/>
            <w:tcBorders>
              <w:top w:val="single" w:sz="4" w:space="0" w:color="auto"/>
              <w:left w:val="single" w:sz="4" w:space="0" w:color="auto"/>
              <w:bottom w:val="single" w:sz="4" w:space="0" w:color="auto"/>
              <w:right w:val="single" w:sz="4" w:space="0" w:color="auto"/>
            </w:tcBorders>
            <w:vAlign w:val="center"/>
            <w:hideMark/>
          </w:tcPr>
          <w:p w14:paraId="3CD4FFD6"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45,8</w:t>
            </w:r>
          </w:p>
        </w:tc>
        <w:tc>
          <w:tcPr>
            <w:tcW w:w="696" w:type="dxa"/>
            <w:tcBorders>
              <w:top w:val="single" w:sz="4" w:space="0" w:color="auto"/>
              <w:left w:val="single" w:sz="4" w:space="0" w:color="auto"/>
              <w:bottom w:val="single" w:sz="4" w:space="0" w:color="auto"/>
              <w:right w:val="single" w:sz="4" w:space="0" w:color="auto"/>
            </w:tcBorders>
            <w:vAlign w:val="center"/>
            <w:hideMark/>
          </w:tcPr>
          <w:p w14:paraId="526782D1"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49,2</w:t>
            </w:r>
          </w:p>
        </w:tc>
        <w:tc>
          <w:tcPr>
            <w:tcW w:w="696" w:type="dxa"/>
            <w:tcBorders>
              <w:top w:val="single" w:sz="4" w:space="0" w:color="auto"/>
              <w:left w:val="single" w:sz="4" w:space="0" w:color="auto"/>
              <w:bottom w:val="single" w:sz="4" w:space="0" w:color="auto"/>
              <w:right w:val="single" w:sz="4" w:space="0" w:color="auto"/>
            </w:tcBorders>
            <w:vAlign w:val="center"/>
            <w:hideMark/>
          </w:tcPr>
          <w:p w14:paraId="6812701A"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58,7</w:t>
            </w:r>
          </w:p>
        </w:tc>
        <w:tc>
          <w:tcPr>
            <w:tcW w:w="696" w:type="dxa"/>
            <w:tcBorders>
              <w:top w:val="single" w:sz="4" w:space="0" w:color="auto"/>
              <w:left w:val="single" w:sz="4" w:space="0" w:color="auto"/>
              <w:bottom w:val="single" w:sz="4" w:space="0" w:color="auto"/>
              <w:right w:val="single" w:sz="4" w:space="0" w:color="auto"/>
            </w:tcBorders>
            <w:vAlign w:val="center"/>
            <w:hideMark/>
          </w:tcPr>
          <w:p w14:paraId="26639008"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53,9</w:t>
            </w:r>
          </w:p>
        </w:tc>
        <w:tc>
          <w:tcPr>
            <w:tcW w:w="756" w:type="dxa"/>
            <w:tcBorders>
              <w:top w:val="single" w:sz="4" w:space="0" w:color="auto"/>
              <w:left w:val="single" w:sz="4" w:space="0" w:color="auto"/>
              <w:bottom w:val="single" w:sz="4" w:space="0" w:color="auto"/>
              <w:right w:val="single" w:sz="4" w:space="0" w:color="auto"/>
            </w:tcBorders>
            <w:vAlign w:val="center"/>
            <w:hideMark/>
          </w:tcPr>
          <w:p w14:paraId="54993CA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59,27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15B9946A"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53,52</w:t>
            </w:r>
          </w:p>
        </w:tc>
        <w:tc>
          <w:tcPr>
            <w:tcW w:w="636" w:type="dxa"/>
            <w:tcBorders>
              <w:top w:val="single" w:sz="4" w:space="0" w:color="auto"/>
              <w:left w:val="single" w:sz="4" w:space="0" w:color="auto"/>
              <w:bottom w:val="single" w:sz="4" w:space="0" w:color="auto"/>
              <w:right w:val="single" w:sz="4" w:space="0" w:color="auto"/>
            </w:tcBorders>
            <w:vAlign w:val="center"/>
            <w:hideMark/>
          </w:tcPr>
          <w:p w14:paraId="0B7F58A3"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36,3</w:t>
            </w:r>
          </w:p>
        </w:tc>
        <w:tc>
          <w:tcPr>
            <w:tcW w:w="756" w:type="dxa"/>
            <w:tcBorders>
              <w:top w:val="single" w:sz="4" w:space="0" w:color="auto"/>
              <w:left w:val="single" w:sz="4" w:space="0" w:color="auto"/>
              <w:bottom w:val="single" w:sz="4" w:space="0" w:color="auto"/>
              <w:right w:val="single" w:sz="4" w:space="0" w:color="auto"/>
            </w:tcBorders>
            <w:vAlign w:val="center"/>
            <w:hideMark/>
          </w:tcPr>
          <w:p w14:paraId="2F782C8C"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sz w:val="24"/>
                <w:szCs w:val="24"/>
              </w:rPr>
              <w:t>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51CDB4"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63,7</w:t>
            </w:r>
          </w:p>
        </w:tc>
      </w:tr>
      <w:tr w:rsidR="002802A8" w:rsidRPr="00441955" w14:paraId="36857626" w14:textId="77777777" w:rsidTr="00C152D1">
        <w:tc>
          <w:tcPr>
            <w:tcW w:w="2932" w:type="dxa"/>
            <w:tcBorders>
              <w:top w:val="single" w:sz="4" w:space="0" w:color="auto"/>
              <w:left w:val="single" w:sz="4" w:space="0" w:color="auto"/>
              <w:bottom w:val="single" w:sz="4" w:space="0" w:color="auto"/>
              <w:right w:val="single" w:sz="4" w:space="0" w:color="auto"/>
            </w:tcBorders>
            <w:hideMark/>
          </w:tcPr>
          <w:p w14:paraId="26B204CB" w14:textId="77777777" w:rsidR="002802A8" w:rsidRPr="00441955" w:rsidRDefault="002802A8" w:rsidP="00457CE9">
            <w:pP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Республикалық бюджет</w:t>
            </w:r>
          </w:p>
        </w:tc>
        <w:tc>
          <w:tcPr>
            <w:tcW w:w="696" w:type="dxa"/>
            <w:tcBorders>
              <w:top w:val="single" w:sz="4" w:space="0" w:color="auto"/>
              <w:left w:val="single" w:sz="4" w:space="0" w:color="auto"/>
              <w:bottom w:val="single" w:sz="4" w:space="0" w:color="auto"/>
              <w:right w:val="single" w:sz="4" w:space="0" w:color="auto"/>
            </w:tcBorders>
            <w:vAlign w:val="center"/>
            <w:hideMark/>
          </w:tcPr>
          <w:p w14:paraId="166E9EF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22,7</w:t>
            </w:r>
          </w:p>
        </w:tc>
        <w:tc>
          <w:tcPr>
            <w:tcW w:w="696" w:type="dxa"/>
            <w:tcBorders>
              <w:top w:val="single" w:sz="4" w:space="0" w:color="auto"/>
              <w:left w:val="single" w:sz="4" w:space="0" w:color="auto"/>
              <w:bottom w:val="single" w:sz="4" w:space="0" w:color="auto"/>
              <w:right w:val="single" w:sz="4" w:space="0" w:color="auto"/>
            </w:tcBorders>
            <w:vAlign w:val="center"/>
            <w:hideMark/>
          </w:tcPr>
          <w:p w14:paraId="2CD60F14"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15,8</w:t>
            </w:r>
          </w:p>
        </w:tc>
        <w:tc>
          <w:tcPr>
            <w:tcW w:w="696" w:type="dxa"/>
            <w:tcBorders>
              <w:top w:val="single" w:sz="4" w:space="0" w:color="auto"/>
              <w:left w:val="single" w:sz="4" w:space="0" w:color="auto"/>
              <w:bottom w:val="single" w:sz="4" w:space="0" w:color="auto"/>
              <w:right w:val="single" w:sz="4" w:space="0" w:color="auto"/>
            </w:tcBorders>
            <w:vAlign w:val="center"/>
            <w:hideMark/>
          </w:tcPr>
          <w:p w14:paraId="2B0D2A77"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19,6</w:t>
            </w:r>
          </w:p>
        </w:tc>
        <w:tc>
          <w:tcPr>
            <w:tcW w:w="696" w:type="dxa"/>
            <w:tcBorders>
              <w:top w:val="single" w:sz="4" w:space="0" w:color="auto"/>
              <w:left w:val="single" w:sz="4" w:space="0" w:color="auto"/>
              <w:bottom w:val="single" w:sz="4" w:space="0" w:color="auto"/>
              <w:right w:val="single" w:sz="4" w:space="0" w:color="auto"/>
            </w:tcBorders>
            <w:vAlign w:val="center"/>
            <w:hideMark/>
          </w:tcPr>
          <w:p w14:paraId="3322D38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5A1A842A"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32,42</w:t>
            </w:r>
          </w:p>
        </w:tc>
        <w:tc>
          <w:tcPr>
            <w:tcW w:w="962" w:type="dxa"/>
            <w:tcBorders>
              <w:top w:val="single" w:sz="4" w:space="0" w:color="auto"/>
              <w:left w:val="single" w:sz="4" w:space="0" w:color="auto"/>
              <w:bottom w:val="single" w:sz="4" w:space="0" w:color="auto"/>
              <w:right w:val="single" w:sz="4" w:space="0" w:color="auto"/>
            </w:tcBorders>
            <w:vAlign w:val="bottom"/>
            <w:hideMark/>
          </w:tcPr>
          <w:p w14:paraId="464D2516"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25,72</w:t>
            </w:r>
          </w:p>
        </w:tc>
        <w:tc>
          <w:tcPr>
            <w:tcW w:w="636" w:type="dxa"/>
            <w:tcBorders>
              <w:top w:val="single" w:sz="4" w:space="0" w:color="auto"/>
              <w:left w:val="single" w:sz="4" w:space="0" w:color="auto"/>
              <w:bottom w:val="single" w:sz="4" w:space="0" w:color="auto"/>
              <w:right w:val="single" w:sz="4" w:space="0" w:color="auto"/>
            </w:tcBorders>
            <w:vAlign w:val="center"/>
            <w:hideMark/>
          </w:tcPr>
          <w:p w14:paraId="18949111"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100</w:t>
            </w:r>
          </w:p>
        </w:tc>
        <w:tc>
          <w:tcPr>
            <w:tcW w:w="756" w:type="dxa"/>
            <w:tcBorders>
              <w:top w:val="single" w:sz="4" w:space="0" w:color="auto"/>
              <w:left w:val="single" w:sz="4" w:space="0" w:color="auto"/>
              <w:bottom w:val="single" w:sz="4" w:space="0" w:color="auto"/>
              <w:right w:val="single" w:sz="4" w:space="0" w:color="auto"/>
            </w:tcBorders>
            <w:vAlign w:val="center"/>
            <w:hideMark/>
          </w:tcPr>
          <w:p w14:paraId="168DE503"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vAlign w:val="center"/>
            <w:hideMark/>
          </w:tcPr>
          <w:p w14:paraId="5C976188"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r>
      <w:tr w:rsidR="002802A8" w:rsidRPr="00441955" w14:paraId="7EC00C92" w14:textId="77777777" w:rsidTr="00C152D1">
        <w:tc>
          <w:tcPr>
            <w:tcW w:w="2932" w:type="dxa"/>
            <w:tcBorders>
              <w:top w:val="single" w:sz="4" w:space="0" w:color="auto"/>
              <w:left w:val="single" w:sz="4" w:space="0" w:color="auto"/>
              <w:bottom w:val="nil"/>
              <w:right w:val="single" w:sz="4" w:space="0" w:color="auto"/>
            </w:tcBorders>
            <w:hideMark/>
          </w:tcPr>
          <w:p w14:paraId="39125E2E" w14:textId="77777777" w:rsidR="002802A8" w:rsidRPr="00441955" w:rsidRDefault="002802A8" w:rsidP="00457CE9">
            <w:pPr>
              <w:jc w:val="left"/>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Жергілікті бюджет</w:t>
            </w:r>
          </w:p>
        </w:tc>
        <w:tc>
          <w:tcPr>
            <w:tcW w:w="696" w:type="dxa"/>
            <w:tcBorders>
              <w:top w:val="single" w:sz="4" w:space="0" w:color="auto"/>
              <w:left w:val="single" w:sz="4" w:space="0" w:color="auto"/>
              <w:bottom w:val="nil"/>
              <w:right w:val="single" w:sz="4" w:space="0" w:color="auto"/>
            </w:tcBorders>
            <w:vAlign w:val="center"/>
            <w:hideMark/>
          </w:tcPr>
          <w:p w14:paraId="10B3E467"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14,1</w:t>
            </w:r>
          </w:p>
        </w:tc>
        <w:tc>
          <w:tcPr>
            <w:tcW w:w="696" w:type="dxa"/>
            <w:tcBorders>
              <w:top w:val="single" w:sz="4" w:space="0" w:color="auto"/>
              <w:left w:val="single" w:sz="4" w:space="0" w:color="auto"/>
              <w:bottom w:val="nil"/>
              <w:right w:val="single" w:sz="4" w:space="0" w:color="auto"/>
            </w:tcBorders>
            <w:vAlign w:val="center"/>
            <w:hideMark/>
          </w:tcPr>
          <w:p w14:paraId="604E0727"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12,5</w:t>
            </w:r>
          </w:p>
        </w:tc>
        <w:tc>
          <w:tcPr>
            <w:tcW w:w="696" w:type="dxa"/>
            <w:tcBorders>
              <w:top w:val="single" w:sz="4" w:space="0" w:color="auto"/>
              <w:left w:val="single" w:sz="4" w:space="0" w:color="auto"/>
              <w:bottom w:val="nil"/>
              <w:right w:val="single" w:sz="4" w:space="0" w:color="auto"/>
            </w:tcBorders>
            <w:vAlign w:val="center"/>
            <w:hideMark/>
          </w:tcPr>
          <w:p w14:paraId="2C7544C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12,5</w:t>
            </w:r>
          </w:p>
        </w:tc>
        <w:tc>
          <w:tcPr>
            <w:tcW w:w="696" w:type="dxa"/>
            <w:tcBorders>
              <w:top w:val="single" w:sz="4" w:space="0" w:color="auto"/>
              <w:left w:val="single" w:sz="4" w:space="0" w:color="auto"/>
              <w:bottom w:val="nil"/>
              <w:right w:val="single" w:sz="4" w:space="0" w:color="auto"/>
            </w:tcBorders>
            <w:vAlign w:val="center"/>
            <w:hideMark/>
          </w:tcPr>
          <w:p w14:paraId="29DD39F3"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17,2</w:t>
            </w:r>
          </w:p>
        </w:tc>
        <w:tc>
          <w:tcPr>
            <w:tcW w:w="756" w:type="dxa"/>
            <w:tcBorders>
              <w:top w:val="single" w:sz="4" w:space="0" w:color="auto"/>
              <w:left w:val="single" w:sz="4" w:space="0" w:color="auto"/>
              <w:bottom w:val="nil"/>
              <w:right w:val="single" w:sz="4" w:space="0" w:color="auto"/>
            </w:tcBorders>
            <w:vAlign w:val="center"/>
            <w:hideMark/>
          </w:tcPr>
          <w:p w14:paraId="2704F213"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14,62</w:t>
            </w:r>
          </w:p>
        </w:tc>
        <w:tc>
          <w:tcPr>
            <w:tcW w:w="962" w:type="dxa"/>
            <w:tcBorders>
              <w:top w:val="single" w:sz="4" w:space="0" w:color="auto"/>
              <w:left w:val="single" w:sz="4" w:space="0" w:color="auto"/>
              <w:bottom w:val="nil"/>
              <w:right w:val="single" w:sz="4" w:space="0" w:color="auto"/>
            </w:tcBorders>
            <w:vAlign w:val="bottom"/>
            <w:hideMark/>
          </w:tcPr>
          <w:p w14:paraId="03C791BB"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14,01</w:t>
            </w:r>
          </w:p>
        </w:tc>
        <w:tc>
          <w:tcPr>
            <w:tcW w:w="636" w:type="dxa"/>
            <w:tcBorders>
              <w:top w:val="single" w:sz="4" w:space="0" w:color="auto"/>
              <w:left w:val="single" w:sz="4" w:space="0" w:color="auto"/>
              <w:bottom w:val="nil"/>
              <w:right w:val="single" w:sz="4" w:space="0" w:color="auto"/>
            </w:tcBorders>
            <w:vAlign w:val="center"/>
            <w:hideMark/>
          </w:tcPr>
          <w:p w14:paraId="1A2E69B5"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c>
          <w:tcPr>
            <w:tcW w:w="756" w:type="dxa"/>
            <w:tcBorders>
              <w:top w:val="single" w:sz="4" w:space="0" w:color="auto"/>
              <w:left w:val="single" w:sz="4" w:space="0" w:color="auto"/>
              <w:bottom w:val="nil"/>
              <w:right w:val="single" w:sz="4" w:space="0" w:color="auto"/>
            </w:tcBorders>
            <w:vAlign w:val="center"/>
            <w:hideMark/>
          </w:tcPr>
          <w:p w14:paraId="019A1621"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100</w:t>
            </w:r>
          </w:p>
        </w:tc>
        <w:tc>
          <w:tcPr>
            <w:tcW w:w="960" w:type="dxa"/>
            <w:tcBorders>
              <w:top w:val="single" w:sz="4" w:space="0" w:color="auto"/>
              <w:left w:val="single" w:sz="4" w:space="0" w:color="auto"/>
              <w:bottom w:val="nil"/>
              <w:right w:val="single" w:sz="4" w:space="0" w:color="auto"/>
            </w:tcBorders>
            <w:vAlign w:val="center"/>
            <w:hideMark/>
          </w:tcPr>
          <w:p w14:paraId="0F4FAD82"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r>
      <w:tr w:rsidR="002802A8" w:rsidRPr="00441955" w14:paraId="1E16ED0A" w14:textId="77777777" w:rsidTr="00C152D1">
        <w:tc>
          <w:tcPr>
            <w:tcW w:w="2932" w:type="dxa"/>
            <w:tcBorders>
              <w:top w:val="single" w:sz="4" w:space="0" w:color="auto"/>
              <w:left w:val="single" w:sz="4" w:space="0" w:color="auto"/>
              <w:bottom w:val="single" w:sz="4" w:space="0" w:color="auto"/>
              <w:right w:val="single" w:sz="4" w:space="0" w:color="auto"/>
            </w:tcBorders>
            <w:hideMark/>
          </w:tcPr>
          <w:p w14:paraId="28AF3929" w14:textId="77777777" w:rsidR="002802A8" w:rsidRPr="00441955" w:rsidRDefault="002802A8" w:rsidP="00457CE9">
            <w:pP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Бюджеттен тыс қаражат</w:t>
            </w:r>
          </w:p>
        </w:tc>
        <w:tc>
          <w:tcPr>
            <w:tcW w:w="696" w:type="dxa"/>
            <w:tcBorders>
              <w:top w:val="single" w:sz="4" w:space="0" w:color="auto"/>
              <w:left w:val="single" w:sz="4" w:space="0" w:color="auto"/>
              <w:bottom w:val="single" w:sz="4" w:space="0" w:color="auto"/>
              <w:right w:val="single" w:sz="4" w:space="0" w:color="auto"/>
            </w:tcBorders>
            <w:vAlign w:val="center"/>
            <w:hideMark/>
          </w:tcPr>
          <w:p w14:paraId="65309C5B"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63,1</w:t>
            </w:r>
          </w:p>
        </w:tc>
        <w:tc>
          <w:tcPr>
            <w:tcW w:w="696" w:type="dxa"/>
            <w:tcBorders>
              <w:top w:val="single" w:sz="4" w:space="0" w:color="auto"/>
              <w:left w:val="single" w:sz="4" w:space="0" w:color="auto"/>
              <w:bottom w:val="single" w:sz="4" w:space="0" w:color="auto"/>
              <w:right w:val="single" w:sz="4" w:space="0" w:color="auto"/>
            </w:tcBorders>
            <w:vAlign w:val="center"/>
            <w:hideMark/>
          </w:tcPr>
          <w:p w14:paraId="14EB2D52"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71,8</w:t>
            </w:r>
          </w:p>
        </w:tc>
        <w:tc>
          <w:tcPr>
            <w:tcW w:w="696" w:type="dxa"/>
            <w:tcBorders>
              <w:top w:val="single" w:sz="4" w:space="0" w:color="auto"/>
              <w:left w:val="single" w:sz="4" w:space="0" w:color="auto"/>
              <w:bottom w:val="single" w:sz="4" w:space="0" w:color="auto"/>
              <w:right w:val="single" w:sz="4" w:space="0" w:color="auto"/>
            </w:tcBorders>
            <w:vAlign w:val="center"/>
            <w:hideMark/>
          </w:tcPr>
          <w:p w14:paraId="1D366999"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67,9</w:t>
            </w:r>
          </w:p>
        </w:tc>
        <w:tc>
          <w:tcPr>
            <w:tcW w:w="696" w:type="dxa"/>
            <w:tcBorders>
              <w:top w:val="single" w:sz="4" w:space="0" w:color="auto"/>
              <w:left w:val="single" w:sz="4" w:space="0" w:color="auto"/>
              <w:bottom w:val="single" w:sz="4" w:space="0" w:color="auto"/>
              <w:right w:val="single" w:sz="4" w:space="0" w:color="auto"/>
            </w:tcBorders>
            <w:vAlign w:val="center"/>
            <w:hideMark/>
          </w:tcPr>
          <w:p w14:paraId="4B7DDF02"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41,2</w:t>
            </w:r>
          </w:p>
        </w:tc>
        <w:tc>
          <w:tcPr>
            <w:tcW w:w="756" w:type="dxa"/>
            <w:tcBorders>
              <w:top w:val="single" w:sz="4" w:space="0" w:color="auto"/>
              <w:left w:val="single" w:sz="4" w:space="0" w:color="auto"/>
              <w:bottom w:val="single" w:sz="4" w:space="0" w:color="auto"/>
              <w:right w:val="single" w:sz="4" w:space="0" w:color="auto"/>
            </w:tcBorders>
            <w:vAlign w:val="center"/>
            <w:hideMark/>
          </w:tcPr>
          <w:p w14:paraId="36E1340E"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52,95</w:t>
            </w:r>
          </w:p>
        </w:tc>
        <w:tc>
          <w:tcPr>
            <w:tcW w:w="962" w:type="dxa"/>
            <w:tcBorders>
              <w:top w:val="single" w:sz="4" w:space="0" w:color="auto"/>
              <w:left w:val="single" w:sz="4" w:space="0" w:color="auto"/>
              <w:bottom w:val="single" w:sz="4" w:space="0" w:color="auto"/>
              <w:right w:val="single" w:sz="4" w:space="0" w:color="auto"/>
            </w:tcBorders>
            <w:vAlign w:val="bottom"/>
            <w:hideMark/>
          </w:tcPr>
          <w:p w14:paraId="7896DF3D"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60,26</w:t>
            </w:r>
          </w:p>
        </w:tc>
        <w:tc>
          <w:tcPr>
            <w:tcW w:w="636" w:type="dxa"/>
            <w:tcBorders>
              <w:top w:val="single" w:sz="4" w:space="0" w:color="auto"/>
              <w:left w:val="single" w:sz="4" w:space="0" w:color="auto"/>
              <w:bottom w:val="single" w:sz="4" w:space="0" w:color="auto"/>
              <w:right w:val="single" w:sz="4" w:space="0" w:color="auto"/>
            </w:tcBorders>
            <w:vAlign w:val="center"/>
            <w:hideMark/>
          </w:tcPr>
          <w:p w14:paraId="4EFF256A"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D4B2FE5"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8793C9C"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100</w:t>
            </w:r>
          </w:p>
        </w:tc>
      </w:tr>
      <w:tr w:rsidR="002802A8" w:rsidRPr="00441955" w14:paraId="61020BA2" w14:textId="77777777" w:rsidTr="00C152D1">
        <w:tc>
          <w:tcPr>
            <w:tcW w:w="2932" w:type="dxa"/>
            <w:tcBorders>
              <w:top w:val="single" w:sz="4" w:space="0" w:color="auto"/>
              <w:left w:val="single" w:sz="4" w:space="0" w:color="auto"/>
              <w:bottom w:val="single" w:sz="4" w:space="0" w:color="auto"/>
              <w:right w:val="single" w:sz="4" w:space="0" w:color="auto"/>
            </w:tcBorders>
            <w:hideMark/>
          </w:tcPr>
          <w:p w14:paraId="70904D3B" w14:textId="77777777" w:rsidR="002802A8" w:rsidRPr="00441955" w:rsidRDefault="002802A8" w:rsidP="00457CE9">
            <w:pPr>
              <w:rPr>
                <w:rFonts w:ascii="Times New Roman" w:hAnsi="Times New Roman" w:cs="Times New Roman"/>
                <w:color w:val="000000"/>
                <w:sz w:val="24"/>
                <w:szCs w:val="24"/>
              </w:rPr>
            </w:pPr>
            <w:r w:rsidRPr="00441955">
              <w:rPr>
                <w:rFonts w:ascii="Times New Roman" w:hAnsi="Times New Roman" w:cs="Times New Roman"/>
                <w:color w:val="000000"/>
                <w:sz w:val="24"/>
                <w:szCs w:val="24"/>
              </w:rPr>
              <w:t xml:space="preserve">Жиыны </w:t>
            </w:r>
          </w:p>
        </w:tc>
        <w:tc>
          <w:tcPr>
            <w:tcW w:w="696" w:type="dxa"/>
            <w:tcBorders>
              <w:top w:val="single" w:sz="4" w:space="0" w:color="auto"/>
              <w:left w:val="single" w:sz="4" w:space="0" w:color="auto"/>
              <w:bottom w:val="single" w:sz="4" w:space="0" w:color="auto"/>
              <w:right w:val="single" w:sz="4" w:space="0" w:color="auto"/>
            </w:tcBorders>
            <w:vAlign w:val="center"/>
            <w:hideMark/>
          </w:tcPr>
          <w:p w14:paraId="6AEFBDE7"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hideMark/>
          </w:tcPr>
          <w:p w14:paraId="0A552F4C"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hideMark/>
          </w:tcPr>
          <w:p w14:paraId="01042B23"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100</w:t>
            </w:r>
          </w:p>
        </w:tc>
        <w:tc>
          <w:tcPr>
            <w:tcW w:w="696" w:type="dxa"/>
            <w:tcBorders>
              <w:top w:val="single" w:sz="4" w:space="0" w:color="auto"/>
              <w:left w:val="single" w:sz="4" w:space="0" w:color="auto"/>
              <w:bottom w:val="single" w:sz="4" w:space="0" w:color="auto"/>
              <w:right w:val="single" w:sz="4" w:space="0" w:color="auto"/>
            </w:tcBorders>
            <w:vAlign w:val="center"/>
            <w:hideMark/>
          </w:tcPr>
          <w:p w14:paraId="17F79DDB"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100</w:t>
            </w:r>
          </w:p>
        </w:tc>
        <w:tc>
          <w:tcPr>
            <w:tcW w:w="756" w:type="dxa"/>
            <w:tcBorders>
              <w:top w:val="single" w:sz="4" w:space="0" w:color="auto"/>
              <w:left w:val="single" w:sz="4" w:space="0" w:color="auto"/>
              <w:bottom w:val="single" w:sz="4" w:space="0" w:color="auto"/>
              <w:right w:val="single" w:sz="4" w:space="0" w:color="auto"/>
            </w:tcBorders>
            <w:vAlign w:val="center"/>
            <w:hideMark/>
          </w:tcPr>
          <w:p w14:paraId="116FA09F"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100</w:t>
            </w:r>
          </w:p>
        </w:tc>
        <w:tc>
          <w:tcPr>
            <w:tcW w:w="962" w:type="dxa"/>
            <w:tcBorders>
              <w:top w:val="single" w:sz="4" w:space="0" w:color="auto"/>
              <w:left w:val="single" w:sz="4" w:space="0" w:color="auto"/>
              <w:bottom w:val="single" w:sz="4" w:space="0" w:color="auto"/>
              <w:right w:val="single" w:sz="4" w:space="0" w:color="auto"/>
            </w:tcBorders>
            <w:vAlign w:val="center"/>
            <w:hideMark/>
          </w:tcPr>
          <w:p w14:paraId="0271AC60"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100</w:t>
            </w:r>
          </w:p>
        </w:tc>
        <w:tc>
          <w:tcPr>
            <w:tcW w:w="636" w:type="dxa"/>
            <w:tcBorders>
              <w:top w:val="single" w:sz="4" w:space="0" w:color="auto"/>
              <w:left w:val="single" w:sz="4" w:space="0" w:color="auto"/>
              <w:bottom w:val="single" w:sz="4" w:space="0" w:color="auto"/>
              <w:right w:val="single" w:sz="4" w:space="0" w:color="auto"/>
            </w:tcBorders>
            <w:vAlign w:val="center"/>
            <w:hideMark/>
          </w:tcPr>
          <w:p w14:paraId="5DEE87F9"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25,7</w:t>
            </w:r>
          </w:p>
        </w:tc>
        <w:tc>
          <w:tcPr>
            <w:tcW w:w="756" w:type="dxa"/>
            <w:tcBorders>
              <w:top w:val="single" w:sz="4" w:space="0" w:color="auto"/>
              <w:left w:val="single" w:sz="4" w:space="0" w:color="auto"/>
              <w:bottom w:val="single" w:sz="4" w:space="0" w:color="auto"/>
              <w:right w:val="single" w:sz="4" w:space="0" w:color="auto"/>
            </w:tcBorders>
            <w:vAlign w:val="center"/>
            <w:hideMark/>
          </w:tcPr>
          <w:p w14:paraId="22E33A49" w14:textId="77777777" w:rsidR="002802A8" w:rsidRPr="00441955" w:rsidRDefault="002802A8" w:rsidP="00457CE9">
            <w:pPr>
              <w:jc w:val="center"/>
              <w:rPr>
                <w:rFonts w:ascii="Times New Roman" w:eastAsia="Times New Roman" w:hAnsi="Times New Roman" w:cs="Times New Roman"/>
                <w:kern w:val="36"/>
                <w:sz w:val="24"/>
                <w:szCs w:val="24"/>
                <w:lang w:val="kk-KZ" w:eastAsia="ru-RU"/>
              </w:rPr>
            </w:pPr>
            <w:r w:rsidRPr="00441955">
              <w:rPr>
                <w:rFonts w:ascii="Times New Roman" w:hAnsi="Times New Roman" w:cs="Times New Roman"/>
                <w:color w:val="000000"/>
                <w:sz w:val="24"/>
                <w:szCs w:val="24"/>
              </w:rPr>
              <w:t>14,01</w:t>
            </w:r>
          </w:p>
        </w:tc>
        <w:tc>
          <w:tcPr>
            <w:tcW w:w="960" w:type="dxa"/>
            <w:tcBorders>
              <w:top w:val="single" w:sz="4" w:space="0" w:color="auto"/>
              <w:left w:val="single" w:sz="4" w:space="0" w:color="auto"/>
              <w:bottom w:val="single" w:sz="4" w:space="0" w:color="auto"/>
              <w:right w:val="single" w:sz="4" w:space="0" w:color="auto"/>
            </w:tcBorders>
            <w:vAlign w:val="center"/>
            <w:hideMark/>
          </w:tcPr>
          <w:p w14:paraId="023FB4A7" w14:textId="77777777" w:rsidR="002802A8" w:rsidRPr="00441955" w:rsidRDefault="002802A8" w:rsidP="00457CE9">
            <w:pPr>
              <w:jc w:val="center"/>
              <w:rPr>
                <w:rFonts w:ascii="Times New Roman" w:hAnsi="Times New Roman" w:cs="Times New Roman"/>
                <w:color w:val="000000"/>
                <w:sz w:val="24"/>
                <w:szCs w:val="24"/>
              </w:rPr>
            </w:pPr>
            <w:r w:rsidRPr="00441955">
              <w:rPr>
                <w:rFonts w:ascii="Times New Roman" w:hAnsi="Times New Roman" w:cs="Times New Roman"/>
                <w:color w:val="000000"/>
                <w:sz w:val="24"/>
                <w:szCs w:val="24"/>
              </w:rPr>
              <w:t>60,26</w:t>
            </w:r>
          </w:p>
        </w:tc>
      </w:tr>
      <w:tr w:rsidR="002802A8" w:rsidRPr="00441955" w14:paraId="616A74EF" w14:textId="77777777" w:rsidTr="00C152D1">
        <w:tc>
          <w:tcPr>
            <w:tcW w:w="9786" w:type="dxa"/>
            <w:gridSpan w:val="10"/>
            <w:tcBorders>
              <w:top w:val="single" w:sz="4" w:space="0" w:color="auto"/>
              <w:left w:val="single" w:sz="4" w:space="0" w:color="auto"/>
              <w:bottom w:val="single" w:sz="4" w:space="0" w:color="auto"/>
              <w:right w:val="single" w:sz="4" w:space="0" w:color="auto"/>
            </w:tcBorders>
            <w:hideMark/>
          </w:tcPr>
          <w:p w14:paraId="26854310" w14:textId="1D26B6E3" w:rsidR="002802A8" w:rsidRPr="00441955" w:rsidRDefault="00463D68" w:rsidP="00463D68">
            <w:pPr>
              <w:ind w:firstLine="459"/>
              <w:rPr>
                <w:rFonts w:ascii="Times New Roman" w:hAnsi="Times New Roman" w:cs="Times New Roman"/>
                <w:color w:val="000000"/>
                <w:sz w:val="24"/>
                <w:szCs w:val="24"/>
                <w:lang w:val="kk-KZ"/>
              </w:rPr>
            </w:pPr>
            <w:r w:rsidRPr="00441955">
              <w:rPr>
                <w:rFonts w:ascii="Times New Roman" w:eastAsia="Calibri" w:hAnsi="Times New Roman" w:cs="Times New Roman"/>
                <w:sz w:val="24"/>
                <w:szCs w:val="24"/>
              </w:rPr>
              <w:t>Ескерту –</w:t>
            </w:r>
            <w:r w:rsidRPr="00441955">
              <w:rPr>
                <w:rFonts w:ascii="Times New Roman" w:eastAsia="Calibri" w:hAnsi="Times New Roman" w:cs="Times New Roman"/>
                <w:bCs/>
                <w:sz w:val="24"/>
                <w:szCs w:val="24"/>
                <w:lang w:val="kk-KZ"/>
              </w:rPr>
              <w:t xml:space="preserve"> Әдебиет негізінде құралған</w:t>
            </w:r>
            <w:r w:rsidR="002802A8" w:rsidRPr="00441955">
              <w:rPr>
                <w:rFonts w:ascii="Times New Roman" w:hAnsi="Times New Roman" w:cs="Times New Roman"/>
                <w:color w:val="000000"/>
                <w:sz w:val="24"/>
                <w:szCs w:val="24"/>
                <w:lang w:val="kk-KZ"/>
              </w:rPr>
              <w:t xml:space="preserve"> </w:t>
            </w:r>
            <w:r w:rsidR="00C51D00" w:rsidRPr="00441955">
              <w:rPr>
                <w:rFonts w:ascii="Times New Roman" w:eastAsiaTheme="minorEastAsia" w:hAnsi="Times New Roman"/>
                <w:kern w:val="36"/>
                <w:sz w:val="24"/>
                <w:szCs w:val="24"/>
                <w:lang w:val="kk-KZ" w:eastAsia="zh-CN"/>
              </w:rPr>
              <w:t>[</w:t>
            </w:r>
            <w:r w:rsidR="001A5553">
              <w:rPr>
                <w:rFonts w:ascii="Times New Roman" w:eastAsiaTheme="minorEastAsia" w:hAnsi="Times New Roman"/>
                <w:kern w:val="36"/>
                <w:sz w:val="24"/>
                <w:szCs w:val="24"/>
                <w:lang w:val="kk-KZ" w:eastAsia="zh-CN"/>
              </w:rPr>
              <w:t>82</w:t>
            </w:r>
            <w:r w:rsidR="00C51D00" w:rsidRPr="00441955">
              <w:rPr>
                <w:rFonts w:ascii="Times New Roman" w:eastAsiaTheme="minorEastAsia" w:hAnsi="Times New Roman"/>
                <w:kern w:val="36"/>
                <w:sz w:val="24"/>
                <w:szCs w:val="24"/>
                <w:lang w:val="kk-KZ" w:eastAsia="zh-CN"/>
              </w:rPr>
              <w:t xml:space="preserve">] </w:t>
            </w:r>
          </w:p>
        </w:tc>
      </w:tr>
    </w:tbl>
    <w:p w14:paraId="0597E0AE" w14:textId="77777777" w:rsidR="00C152D1" w:rsidRDefault="00C152D1" w:rsidP="00457CE9">
      <w:pPr>
        <w:spacing w:after="0" w:line="240" w:lineRule="auto"/>
        <w:ind w:firstLine="709"/>
        <w:jc w:val="both"/>
        <w:rPr>
          <w:rFonts w:ascii="Times New Roman" w:eastAsia="Times New Roman" w:hAnsi="Times New Roman" w:cs="Times New Roman"/>
          <w:kern w:val="36"/>
          <w:sz w:val="28"/>
          <w:szCs w:val="28"/>
          <w:lang w:val="kk-KZ" w:eastAsia="ru-RU"/>
        </w:rPr>
      </w:pPr>
    </w:p>
    <w:p w14:paraId="5590FE32" w14:textId="1D36C2C0" w:rsidR="002802A8" w:rsidRDefault="002802A8"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Бюджеттен тыс қаражат тартылу үшін АӨК тартымды сала ретінде қалыптастыру шаралары қажет.</w:t>
      </w:r>
      <w:r w:rsidR="00D94A3E" w:rsidRPr="00457CE9">
        <w:rPr>
          <w:rFonts w:ascii="Times New Roman" w:eastAsia="Times New Roman" w:hAnsi="Times New Roman" w:cs="Times New Roman"/>
          <w:kern w:val="36"/>
          <w:sz w:val="28"/>
          <w:szCs w:val="28"/>
          <w:lang w:val="kk-KZ" w:eastAsia="ru-RU"/>
        </w:rPr>
        <w:t xml:space="preserve"> 2021-2025 жж. АӨК дамытуға бағытталған жалпы қаражат құрылымы </w:t>
      </w:r>
      <w:r w:rsidR="007F0C7A" w:rsidRPr="00457CE9">
        <w:rPr>
          <w:rFonts w:ascii="Times New Roman" w:eastAsia="Times New Roman" w:hAnsi="Times New Roman" w:cs="Times New Roman"/>
          <w:kern w:val="36"/>
          <w:sz w:val="28"/>
          <w:szCs w:val="28"/>
          <w:lang w:val="kk-KZ" w:eastAsia="ru-RU"/>
        </w:rPr>
        <w:t>1</w:t>
      </w:r>
      <w:r w:rsidR="000124C8">
        <w:rPr>
          <w:rFonts w:ascii="Times New Roman" w:eastAsia="Times New Roman" w:hAnsi="Times New Roman" w:cs="Times New Roman"/>
          <w:kern w:val="36"/>
          <w:sz w:val="28"/>
          <w:szCs w:val="28"/>
          <w:lang w:val="kk-KZ" w:eastAsia="ru-RU"/>
        </w:rPr>
        <w:t>9</w:t>
      </w:r>
      <w:r w:rsidR="00D94A3E" w:rsidRPr="00457CE9">
        <w:rPr>
          <w:rFonts w:ascii="Times New Roman" w:eastAsia="Times New Roman" w:hAnsi="Times New Roman" w:cs="Times New Roman"/>
          <w:kern w:val="36"/>
          <w:sz w:val="28"/>
          <w:szCs w:val="28"/>
          <w:lang w:val="kk-KZ" w:eastAsia="ru-RU"/>
        </w:rPr>
        <w:t>-суретте келтірілген.</w:t>
      </w:r>
    </w:p>
    <w:p w14:paraId="059CA4D9" w14:textId="02C19F26" w:rsidR="00D94A3E" w:rsidRPr="00457CE9" w:rsidRDefault="00D94A3E" w:rsidP="00457CE9">
      <w:pPr>
        <w:spacing w:after="0" w:line="240" w:lineRule="auto"/>
        <w:jc w:val="center"/>
        <w:rPr>
          <w:rFonts w:ascii="Times New Roman" w:eastAsia="Times New Roman" w:hAnsi="Times New Roman" w:cs="Times New Roman"/>
          <w:kern w:val="36"/>
          <w:sz w:val="28"/>
          <w:szCs w:val="28"/>
          <w:lang w:val="kk-KZ" w:eastAsia="ru-RU"/>
        </w:rPr>
      </w:pPr>
      <w:r w:rsidRPr="00457CE9">
        <w:rPr>
          <w:noProof/>
          <w:lang w:eastAsia="ru-RU"/>
        </w:rPr>
        <w:drawing>
          <wp:inline distT="0" distB="0" distL="0" distR="0" wp14:anchorId="59033564" wp14:editId="00027CB0">
            <wp:extent cx="5803900" cy="2194560"/>
            <wp:effectExtent l="0" t="0" r="6350" b="0"/>
            <wp:docPr id="129" name="Диаграмма 1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9D6B20-EA70-D1E1-264C-0C0EE2375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316834" w14:textId="77777777" w:rsidR="000124C8" w:rsidRPr="000124C8" w:rsidRDefault="000124C8" w:rsidP="00457CE9">
      <w:pPr>
        <w:spacing w:after="0" w:line="240" w:lineRule="auto"/>
        <w:ind w:firstLine="709"/>
        <w:jc w:val="center"/>
        <w:rPr>
          <w:rFonts w:ascii="Times New Roman" w:eastAsia="Times New Roman" w:hAnsi="Times New Roman" w:cs="Times New Roman"/>
          <w:kern w:val="36"/>
          <w:sz w:val="16"/>
          <w:szCs w:val="16"/>
          <w:lang w:val="kk-KZ" w:eastAsia="ru-RU"/>
        </w:rPr>
      </w:pPr>
    </w:p>
    <w:p w14:paraId="4272D6B4" w14:textId="2B1177E5" w:rsidR="00D94A3E" w:rsidRPr="00457CE9" w:rsidRDefault="00D94A3E" w:rsidP="000124C8">
      <w:pPr>
        <w:spacing w:after="0" w:line="240" w:lineRule="auto"/>
        <w:jc w:val="center"/>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Сурет </w:t>
      </w:r>
      <w:r w:rsidR="007F0C7A" w:rsidRPr="00457CE9">
        <w:rPr>
          <w:rFonts w:ascii="Times New Roman" w:eastAsia="Times New Roman" w:hAnsi="Times New Roman" w:cs="Times New Roman"/>
          <w:kern w:val="36"/>
          <w:sz w:val="28"/>
          <w:szCs w:val="28"/>
          <w:lang w:val="kk-KZ" w:eastAsia="ru-RU"/>
        </w:rPr>
        <w:t>1</w:t>
      </w:r>
      <w:r w:rsidR="000124C8">
        <w:rPr>
          <w:rFonts w:ascii="Times New Roman" w:eastAsia="Times New Roman" w:hAnsi="Times New Roman" w:cs="Times New Roman"/>
          <w:kern w:val="36"/>
          <w:sz w:val="28"/>
          <w:szCs w:val="28"/>
          <w:lang w:val="kk-KZ" w:eastAsia="ru-RU"/>
        </w:rPr>
        <w:t>9</w:t>
      </w:r>
      <w:r w:rsidRPr="00457CE9">
        <w:rPr>
          <w:rFonts w:ascii="Times New Roman" w:eastAsia="Times New Roman" w:hAnsi="Times New Roman" w:cs="Times New Roman"/>
          <w:kern w:val="36"/>
          <w:sz w:val="28"/>
          <w:szCs w:val="28"/>
          <w:lang w:val="kk-KZ" w:eastAsia="ru-RU"/>
        </w:rPr>
        <w:t xml:space="preserve"> </w:t>
      </w:r>
      <w:r w:rsidR="000124C8">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2021-2025 жж. АӨК дамытуға бағытталған жалпы қаражат құрылымы</w:t>
      </w:r>
      <w:r w:rsidR="00662D15" w:rsidRPr="00457CE9">
        <w:rPr>
          <w:rFonts w:ascii="Times New Roman" w:eastAsia="Times New Roman" w:hAnsi="Times New Roman" w:cs="Times New Roman"/>
          <w:kern w:val="36"/>
          <w:sz w:val="28"/>
          <w:szCs w:val="28"/>
          <w:lang w:val="kk-KZ" w:eastAsia="ru-RU"/>
        </w:rPr>
        <w:t>, млн. теңге</w:t>
      </w:r>
    </w:p>
    <w:p w14:paraId="4B8230E2" w14:textId="66E886B3" w:rsidR="00D94A3E" w:rsidRDefault="00463D68" w:rsidP="00457CE9">
      <w:pPr>
        <w:spacing w:after="0" w:line="240" w:lineRule="auto"/>
        <w:ind w:firstLine="709"/>
        <w:jc w:val="both"/>
        <w:rPr>
          <w:rFonts w:ascii="Times New Roman" w:eastAsiaTheme="minorEastAsia" w:hAnsi="Times New Roman"/>
          <w:kern w:val="36"/>
          <w:sz w:val="24"/>
          <w:szCs w:val="24"/>
          <w:lang w:val="kk-KZ" w:eastAsia="zh-CN"/>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D94A3E" w:rsidRPr="00457CE9">
        <w:rPr>
          <w:rFonts w:ascii="Times New Roman" w:eastAsia="Times New Roman" w:hAnsi="Times New Roman" w:cs="Times New Roman"/>
          <w:kern w:val="36"/>
          <w:sz w:val="24"/>
          <w:szCs w:val="24"/>
          <w:lang w:val="kk-KZ" w:eastAsia="ru-RU"/>
        </w:rPr>
        <w:t xml:space="preserve"> </w:t>
      </w:r>
      <w:r w:rsidR="00C51D00" w:rsidRPr="00457CE9">
        <w:rPr>
          <w:rFonts w:ascii="Times New Roman" w:eastAsiaTheme="minorEastAsia" w:hAnsi="Times New Roman"/>
          <w:kern w:val="36"/>
          <w:sz w:val="24"/>
          <w:szCs w:val="24"/>
          <w:lang w:val="kk-KZ" w:eastAsia="zh-CN"/>
        </w:rPr>
        <w:t>[</w:t>
      </w:r>
      <w:r w:rsidR="001A5553">
        <w:rPr>
          <w:rFonts w:ascii="Times New Roman" w:eastAsiaTheme="minorEastAsia" w:hAnsi="Times New Roman"/>
          <w:kern w:val="36"/>
          <w:sz w:val="24"/>
          <w:szCs w:val="24"/>
          <w:lang w:val="kk-KZ" w:eastAsia="zh-CN"/>
        </w:rPr>
        <w:t>82</w:t>
      </w:r>
      <w:r w:rsidR="00C51D00" w:rsidRPr="00457CE9">
        <w:rPr>
          <w:rFonts w:ascii="Times New Roman" w:eastAsiaTheme="minorEastAsia" w:hAnsi="Times New Roman"/>
          <w:kern w:val="36"/>
          <w:sz w:val="24"/>
          <w:szCs w:val="24"/>
          <w:lang w:val="kk-KZ" w:eastAsia="zh-CN"/>
        </w:rPr>
        <w:t xml:space="preserve">] </w:t>
      </w:r>
    </w:p>
    <w:p w14:paraId="0DE9ED00" w14:textId="77777777" w:rsidR="003A3906" w:rsidRPr="00457CE9" w:rsidRDefault="003A3906" w:rsidP="00457CE9">
      <w:pPr>
        <w:spacing w:after="0" w:line="240" w:lineRule="auto"/>
        <w:ind w:firstLine="709"/>
        <w:jc w:val="both"/>
        <w:rPr>
          <w:rFonts w:ascii="Times New Roman" w:eastAsia="Times New Roman" w:hAnsi="Times New Roman" w:cs="Times New Roman"/>
          <w:kern w:val="36"/>
          <w:sz w:val="24"/>
          <w:szCs w:val="24"/>
          <w:lang w:val="kk-KZ" w:eastAsia="ru-RU"/>
        </w:rPr>
      </w:pPr>
    </w:p>
    <w:p w14:paraId="3674A99E" w14:textId="6235CFEC" w:rsidR="002802A8" w:rsidRPr="00457CE9" w:rsidRDefault="002802A8"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Айта кететін жәйт, жеті ірі экожүйе қалыптастыру және инвестициялық жобаларды іске асыру есебінен 1 млн. ауыл тұрғынының табысын тұрақты арттыру деп аталатын міндетіне 2021-2025 жылдар аралығында бөлінген қаржы көлемі 3641368 млн.теңге деп жоспарланған, құрылымын талдау кезінде республикалық бюджеттен 36,3%, бюджеттен тыс қорлардан 63,7% жоспарланған. Негізгі қаржы бөлігі осы міндетті іске асыруға арналған.</w:t>
      </w:r>
    </w:p>
    <w:p w14:paraId="349BE9FE" w14:textId="1C6E66C7" w:rsidR="002802A8" w:rsidRPr="00457CE9" w:rsidRDefault="00D14DC2" w:rsidP="00457CE9">
      <w:pPr>
        <w:spacing w:after="0" w:line="240" w:lineRule="auto"/>
        <w:ind w:firstLine="709"/>
        <w:jc w:val="both"/>
        <w:rPr>
          <w:rFonts w:ascii="Times New Roman" w:hAnsi="Times New Roman" w:cs="Times New Roman"/>
          <w:color w:val="000000"/>
          <w:sz w:val="28"/>
          <w:szCs w:val="28"/>
          <w:shd w:val="clear" w:color="auto" w:fill="FFFFFF"/>
          <w:lang w:val="kk-KZ"/>
        </w:rPr>
      </w:pPr>
      <w:r>
        <w:rPr>
          <w:rFonts w:ascii="Times New Roman" w:eastAsia="Times New Roman" w:hAnsi="Times New Roman" w:cs="Times New Roman"/>
          <w:kern w:val="36"/>
          <w:sz w:val="28"/>
          <w:szCs w:val="28"/>
          <w:lang w:val="kk-KZ" w:eastAsia="ru-RU"/>
        </w:rPr>
        <w:t>РБ</w:t>
      </w:r>
      <w:r w:rsidR="002802A8" w:rsidRPr="00457CE9">
        <w:rPr>
          <w:rFonts w:ascii="Times New Roman" w:eastAsia="Times New Roman" w:hAnsi="Times New Roman" w:cs="Times New Roman"/>
          <w:kern w:val="36"/>
          <w:sz w:val="28"/>
          <w:szCs w:val="28"/>
          <w:lang w:val="kk-KZ" w:eastAsia="ru-RU"/>
        </w:rPr>
        <w:t xml:space="preserve"> және </w:t>
      </w:r>
      <w:r>
        <w:rPr>
          <w:rFonts w:ascii="Times New Roman" w:eastAsia="Times New Roman" w:hAnsi="Times New Roman" w:cs="Times New Roman"/>
          <w:kern w:val="36"/>
          <w:sz w:val="28"/>
          <w:szCs w:val="28"/>
          <w:lang w:val="kk-KZ" w:eastAsia="ru-RU"/>
        </w:rPr>
        <w:t>ЖБ-</w:t>
      </w:r>
      <w:r w:rsidR="002802A8" w:rsidRPr="00457CE9">
        <w:rPr>
          <w:rFonts w:ascii="Times New Roman" w:eastAsia="Times New Roman" w:hAnsi="Times New Roman" w:cs="Times New Roman"/>
          <w:kern w:val="36"/>
          <w:sz w:val="28"/>
          <w:szCs w:val="28"/>
          <w:lang w:val="kk-KZ" w:eastAsia="ru-RU"/>
        </w:rPr>
        <w:t xml:space="preserve">тен жоспарланған қаржы көлемі 2021-2025 жж. аралығында құбылмалы динамикаға ие, неліктен сондай күрт өзгерістер күтілуінің негіздемесі бар ма белгісіз. </w:t>
      </w:r>
      <w:r w:rsidR="00C152D1" w:rsidRPr="003A3906">
        <w:rPr>
          <w:rFonts w:ascii="Times New Roman" w:eastAsia="Times New Roman" w:hAnsi="Times New Roman" w:cs="Times New Roman"/>
          <w:i/>
          <w:iCs/>
          <w:kern w:val="36"/>
          <w:sz w:val="28"/>
          <w:szCs w:val="28"/>
          <w:lang w:val="kk-KZ" w:eastAsia="ru-RU"/>
        </w:rPr>
        <w:t>Қосымша А</w:t>
      </w:r>
      <w:r w:rsidR="00C152D1">
        <w:rPr>
          <w:rFonts w:ascii="Times New Roman" w:eastAsia="Times New Roman" w:hAnsi="Times New Roman" w:cs="Times New Roman"/>
          <w:kern w:val="36"/>
          <w:sz w:val="28"/>
          <w:szCs w:val="28"/>
          <w:lang w:val="kk-KZ" w:eastAsia="ru-RU"/>
        </w:rPr>
        <w:t xml:space="preserve"> негізіндегі </w:t>
      </w:r>
      <w:r w:rsidR="002802A8" w:rsidRPr="00457CE9">
        <w:rPr>
          <w:rFonts w:ascii="Times New Roman" w:eastAsia="Times New Roman" w:hAnsi="Times New Roman" w:cs="Times New Roman"/>
          <w:kern w:val="36"/>
          <w:sz w:val="28"/>
          <w:szCs w:val="28"/>
          <w:lang w:val="kk-KZ" w:eastAsia="ru-RU"/>
        </w:rPr>
        <w:t xml:space="preserve">ҚР АӨК дамытудың ұлттық жобасында еңбек өнімділігін 2,5 есеге ұлғайту міндетіне жетудің 7 нәтиже көрсеткіштері, әр нәтиже көрсеткіштеріне іс-шаралар бекітілген. </w:t>
      </w:r>
    </w:p>
    <w:p w14:paraId="60C44696" w14:textId="77777777" w:rsidR="003A3906" w:rsidRDefault="002802A8" w:rsidP="00457CE9">
      <w:pPr>
        <w:spacing w:after="0" w:line="240" w:lineRule="auto"/>
        <w:ind w:firstLine="709"/>
        <w:jc w:val="both"/>
        <w:rPr>
          <w:rFonts w:ascii="Times New Roman" w:hAnsi="Times New Roman" w:cs="Times New Roman"/>
          <w:sz w:val="28"/>
          <w:szCs w:val="28"/>
          <w:lang w:val="kk-KZ" w:eastAsia="ru-RU"/>
        </w:rPr>
      </w:pPr>
      <w:r w:rsidRPr="00457CE9">
        <w:rPr>
          <w:rFonts w:ascii="Times New Roman" w:eastAsia="Times New Roman" w:hAnsi="Times New Roman" w:cs="Times New Roman"/>
          <w:kern w:val="36"/>
          <w:sz w:val="28"/>
          <w:szCs w:val="28"/>
          <w:lang w:val="kk-KZ" w:eastAsia="ru-RU"/>
        </w:rPr>
        <w:t xml:space="preserve">Ұлттық жобада еңбек өнімділігін 2,5 есе ұлғайтуға арналған жалпы қаржыландырудың 17 пайызы немесе </w:t>
      </w:r>
      <w:r w:rsidRPr="00656EE7">
        <w:rPr>
          <w:rFonts w:ascii="Times New Roman" w:eastAsia="Times New Roman" w:hAnsi="Times New Roman" w:cs="Times New Roman"/>
          <w:kern w:val="36"/>
          <w:sz w:val="28"/>
          <w:szCs w:val="28"/>
          <w:lang w:val="kk-KZ" w:eastAsia="ru-RU"/>
        </w:rPr>
        <w:t>1170568,6</w:t>
      </w:r>
      <w:r w:rsidRPr="00457CE9">
        <w:rPr>
          <w:rFonts w:ascii="Times New Roman" w:eastAsia="Times New Roman" w:hAnsi="Times New Roman" w:cs="Times New Roman"/>
          <w:kern w:val="36"/>
          <w:sz w:val="28"/>
          <w:szCs w:val="28"/>
          <w:lang w:val="kk-KZ" w:eastAsia="ru-RU"/>
        </w:rPr>
        <w:t xml:space="preserve"> млн. теңге  жұмсау қарастырылған. Оны іске асыруға жеті нәтижелі көрсеткіш, соның ішінде </w:t>
      </w:r>
      <w:r w:rsidRPr="00457CE9">
        <w:rPr>
          <w:rFonts w:ascii="Times New Roman" w:hAnsi="Times New Roman" w:cs="Times New Roman"/>
          <w:color w:val="000000"/>
          <w:sz w:val="28"/>
          <w:szCs w:val="28"/>
          <w:shd w:val="clear" w:color="auto" w:fill="FFFFFF"/>
          <w:lang w:val="kk-KZ"/>
        </w:rPr>
        <w:t>жасыл өсу қағидаттарына сәйкес орнықты өсу негізінде мал шаруашылығын дамытуды субсидиялау, оның ішінде етті мал шаруашылығындағы селекциялық және асыл тұқымдық жұмыс</w:t>
      </w:r>
      <w:r w:rsidRPr="00457CE9">
        <w:rPr>
          <w:rFonts w:ascii="Times New Roman" w:eastAsia="Times New Roman" w:hAnsi="Times New Roman" w:cs="Times New Roman"/>
          <w:kern w:val="36"/>
          <w:sz w:val="28"/>
          <w:szCs w:val="28"/>
          <w:lang w:val="kk-KZ" w:eastAsia="ru-RU"/>
        </w:rPr>
        <w:t xml:space="preserve"> деп аталатын іс-шараға жұмсалу қарастырылған, яғни, 494800,8 млн. теңге немесе 42,27 пайызды құрап отыр. Өсімдіктерді қорғау құралдары оның ішінде сүрі жерлерді өңдеуге арна</w:t>
      </w:r>
      <w:r w:rsidR="003A3906">
        <w:rPr>
          <w:rFonts w:ascii="Times New Roman" w:eastAsia="Times New Roman" w:hAnsi="Times New Roman" w:cs="Times New Roman"/>
          <w:kern w:val="36"/>
          <w:sz w:val="28"/>
          <w:szCs w:val="28"/>
          <w:lang w:val="kk-KZ" w:eastAsia="ru-RU"/>
        </w:rPr>
        <w:t>л</w:t>
      </w:r>
      <w:r w:rsidRPr="00457CE9">
        <w:rPr>
          <w:rFonts w:ascii="Times New Roman" w:eastAsia="Times New Roman" w:hAnsi="Times New Roman" w:cs="Times New Roman"/>
          <w:kern w:val="36"/>
          <w:sz w:val="28"/>
          <w:szCs w:val="28"/>
          <w:lang w:val="kk-KZ" w:eastAsia="ru-RU"/>
        </w:rPr>
        <w:t>ған өсімдіктерді қорғау құралдарын субсидиялау іс шарасына жалпы қаражаттың 188580,9 млн.теңгесін немесе 16,11 пайызын жұмсау жоспарланған</w:t>
      </w:r>
      <w:r w:rsidR="00C51D00" w:rsidRPr="00457CE9">
        <w:rPr>
          <w:rFonts w:ascii="Times New Roman" w:eastAsia="Times New Roman" w:hAnsi="Times New Roman" w:cs="Times New Roman"/>
          <w:kern w:val="36"/>
          <w:sz w:val="28"/>
          <w:szCs w:val="28"/>
          <w:lang w:val="kk-KZ" w:eastAsia="ru-RU"/>
        </w:rPr>
        <w:t xml:space="preserve"> [</w:t>
      </w:r>
      <w:r w:rsidR="00C152D1">
        <w:rPr>
          <w:rFonts w:ascii="Times New Roman" w:eastAsia="Times New Roman" w:hAnsi="Times New Roman" w:cs="Times New Roman"/>
          <w:kern w:val="36"/>
          <w:sz w:val="28"/>
          <w:szCs w:val="28"/>
          <w:lang w:val="kk-KZ" w:eastAsia="ru-RU"/>
        </w:rPr>
        <w:t>8</w:t>
      </w:r>
      <w:r w:rsidR="001A5553">
        <w:rPr>
          <w:rFonts w:ascii="Times New Roman" w:eastAsia="Times New Roman" w:hAnsi="Times New Roman" w:cs="Times New Roman"/>
          <w:kern w:val="36"/>
          <w:sz w:val="28"/>
          <w:szCs w:val="28"/>
          <w:lang w:val="kk-KZ" w:eastAsia="ru-RU"/>
        </w:rPr>
        <w:t>2</w:t>
      </w:r>
      <w:r w:rsidR="00C51D00"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r w:rsidRPr="00457CE9">
        <w:rPr>
          <w:rFonts w:ascii="Times New Roman" w:hAnsi="Times New Roman" w:cs="Times New Roman"/>
          <w:color w:val="000000"/>
          <w:sz w:val="28"/>
          <w:szCs w:val="28"/>
          <w:shd w:val="clear" w:color="auto" w:fill="FFFFFF"/>
          <w:lang w:val="kk-KZ"/>
        </w:rPr>
        <w:t>Субсидиялау көлемін өсіру есебінен минералды тыңайтқыштарды 1,4 есе ұлғайту</w:t>
      </w:r>
      <w:r w:rsidRPr="00457CE9">
        <w:rPr>
          <w:rFonts w:ascii="Times New Roman" w:eastAsia="Times New Roman" w:hAnsi="Times New Roman" w:cs="Times New Roman"/>
          <w:kern w:val="36"/>
          <w:sz w:val="28"/>
          <w:szCs w:val="28"/>
          <w:lang w:val="kk-KZ" w:eastAsia="ru-RU"/>
        </w:rPr>
        <w:t xml:space="preserve">ға 176177,3 млн. теңге немесе 15 пайыз қаражат жұмсау жоспарланған. </w:t>
      </w:r>
      <w:r w:rsidR="00165A6D" w:rsidRPr="00FB37D3">
        <w:rPr>
          <w:rFonts w:ascii="Times New Roman" w:eastAsia="Times New Roman" w:hAnsi="Times New Roman" w:cs="Times New Roman"/>
          <w:kern w:val="36"/>
          <w:sz w:val="28"/>
          <w:szCs w:val="28"/>
          <w:lang w:val="kk-KZ" w:eastAsia="ru-RU"/>
        </w:rPr>
        <w:t>3</w:t>
      </w:r>
      <w:r w:rsidR="00FB37D3" w:rsidRPr="00FB37D3">
        <w:rPr>
          <w:rFonts w:ascii="Times New Roman" w:eastAsia="Times New Roman" w:hAnsi="Times New Roman" w:cs="Times New Roman"/>
          <w:kern w:val="36"/>
          <w:sz w:val="28"/>
          <w:szCs w:val="28"/>
          <w:lang w:val="kk-KZ" w:eastAsia="ru-RU"/>
        </w:rPr>
        <w:t>0</w:t>
      </w:r>
      <w:r w:rsidR="00165A6D" w:rsidRPr="00FB37D3">
        <w:rPr>
          <w:rFonts w:ascii="Times New Roman" w:eastAsia="Times New Roman" w:hAnsi="Times New Roman" w:cs="Times New Roman"/>
          <w:kern w:val="36"/>
          <w:sz w:val="28"/>
          <w:szCs w:val="28"/>
          <w:lang w:val="kk-KZ" w:eastAsia="ru-RU"/>
        </w:rPr>
        <w:t xml:space="preserve">-кесте </w:t>
      </w:r>
      <w:r w:rsidR="00165A6D" w:rsidRPr="00457CE9">
        <w:rPr>
          <w:rFonts w:ascii="Times New Roman" w:eastAsia="Times New Roman" w:hAnsi="Times New Roman" w:cs="Times New Roman"/>
          <w:kern w:val="36"/>
          <w:sz w:val="28"/>
          <w:szCs w:val="28"/>
          <w:lang w:val="kk-KZ" w:eastAsia="ru-RU"/>
        </w:rPr>
        <w:t>мәліметтеріне сәйкес с</w:t>
      </w:r>
      <w:r w:rsidRPr="00457CE9">
        <w:rPr>
          <w:rFonts w:ascii="Times New Roman" w:eastAsia="Times New Roman" w:hAnsi="Times New Roman" w:cs="Times New Roman"/>
          <w:kern w:val="36"/>
          <w:sz w:val="28"/>
          <w:szCs w:val="28"/>
          <w:lang w:val="kk-KZ" w:eastAsia="ru-RU"/>
        </w:rPr>
        <w:t xml:space="preserve">убсидия көлемін өсіру есебінен ауыл шаруашылығы техникасын сатып алуды 1,5 есеге ұлғайту нәтиже көрсеткішіне екі іс-шара, яғни, біріншісі, </w:t>
      </w:r>
      <w:r w:rsidRPr="00457CE9">
        <w:rPr>
          <w:rFonts w:ascii="Times New Roman" w:hAnsi="Times New Roman" w:cs="Times New Roman"/>
          <w:color w:val="000000"/>
          <w:sz w:val="28"/>
          <w:szCs w:val="28"/>
          <w:shd w:val="clear" w:color="auto" w:fill="FFFFFF"/>
          <w:lang w:val="kk-KZ"/>
        </w:rPr>
        <w:t xml:space="preserve">лизингке беру үшін техника, азық дайындайтын техника және мобильді жүйелер сатып алуды қаржыландыру мақсатында «ҚазАгроҚаржы» АҚ-ның жарғылық капиталын ұлғайта отырып, «Бәйтерек» </w:t>
      </w:r>
      <w:r w:rsidR="00D14DC2">
        <w:rPr>
          <w:rFonts w:ascii="Times New Roman" w:hAnsi="Times New Roman" w:cs="Times New Roman"/>
          <w:color w:val="000000"/>
          <w:sz w:val="28"/>
          <w:szCs w:val="28"/>
          <w:shd w:val="clear" w:color="auto" w:fill="FFFFFF"/>
          <w:lang w:val="kk-KZ"/>
        </w:rPr>
        <w:t>ҰБХ</w:t>
      </w:r>
      <w:r w:rsidRPr="00457CE9">
        <w:rPr>
          <w:rFonts w:ascii="Times New Roman" w:hAnsi="Times New Roman" w:cs="Times New Roman"/>
          <w:color w:val="000000"/>
          <w:sz w:val="28"/>
          <w:szCs w:val="28"/>
          <w:shd w:val="clear" w:color="auto" w:fill="FFFFFF"/>
          <w:lang w:val="kk-KZ"/>
        </w:rPr>
        <w:t>» АҚ-ның жарғылық капиталын ұлғайту</w:t>
      </w:r>
      <w:r w:rsidRPr="00457CE9">
        <w:rPr>
          <w:rFonts w:ascii="Times New Roman" w:hAnsi="Times New Roman" w:cs="Times New Roman"/>
          <w:sz w:val="28"/>
          <w:szCs w:val="28"/>
          <w:lang w:val="kk-KZ" w:eastAsia="ru-RU"/>
        </w:rPr>
        <w:t>, ал екіншісі, АӨК субъектілерінің ирригациялық жүйелерді сатып алуы және оларды орнату жөніндегі дайындық жұмыстарын қаржыландыру үшін «Қа</w:t>
      </w:r>
      <w:r w:rsidR="00180333" w:rsidRPr="00457CE9">
        <w:rPr>
          <w:rFonts w:ascii="Times New Roman" w:hAnsi="Times New Roman" w:cs="Times New Roman"/>
          <w:sz w:val="28"/>
          <w:szCs w:val="28"/>
          <w:lang w:val="kk-KZ" w:eastAsia="ru-RU"/>
        </w:rPr>
        <w:t>з</w:t>
      </w:r>
      <w:r w:rsidRPr="00457CE9">
        <w:rPr>
          <w:rFonts w:ascii="Times New Roman" w:hAnsi="Times New Roman" w:cs="Times New Roman"/>
          <w:sz w:val="28"/>
          <w:szCs w:val="28"/>
          <w:lang w:val="kk-KZ" w:eastAsia="ru-RU"/>
        </w:rPr>
        <w:t xml:space="preserve">АгроҚаржы» АҚ-ның жарғылық капиталын ұлғайта отырып, «Бәйтерек» </w:t>
      </w:r>
      <w:r w:rsidR="00D14DC2">
        <w:rPr>
          <w:rFonts w:ascii="Times New Roman" w:hAnsi="Times New Roman" w:cs="Times New Roman"/>
          <w:sz w:val="28"/>
          <w:szCs w:val="28"/>
          <w:lang w:val="kk-KZ" w:eastAsia="ru-RU"/>
        </w:rPr>
        <w:t>ҰБХ</w:t>
      </w:r>
      <w:r w:rsidRPr="00457CE9">
        <w:rPr>
          <w:rFonts w:ascii="Times New Roman" w:hAnsi="Times New Roman" w:cs="Times New Roman"/>
          <w:sz w:val="28"/>
          <w:szCs w:val="28"/>
          <w:lang w:val="kk-KZ" w:eastAsia="ru-RU"/>
        </w:rPr>
        <w:t>» АҚ-ның жарғылық капиталын ұлғайту және өңірлер әкімдіктері және уәкілетті қаржы институттарының бюджеттік кредитін қамтамасыз ету деп жоспарланған.</w:t>
      </w:r>
      <w:r w:rsidR="00180333" w:rsidRPr="00457CE9">
        <w:rPr>
          <w:rFonts w:ascii="Times New Roman" w:hAnsi="Times New Roman" w:cs="Times New Roman"/>
          <w:sz w:val="28"/>
          <w:szCs w:val="28"/>
          <w:lang w:val="kk-KZ" w:eastAsia="ru-RU"/>
        </w:rPr>
        <w:t xml:space="preserve"> </w:t>
      </w:r>
    </w:p>
    <w:p w14:paraId="7E30A11A" w14:textId="4CDD4C48" w:rsidR="00165A6D" w:rsidRPr="00457CE9" w:rsidRDefault="002802A8"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 xml:space="preserve">ҚР АӨК дамытудың 2021-2025 жж. ұлттық жобасында отандық азық-түліктік тауарлармен қамтамасыз етілуі міндетін іске асырудың нәтиже көрсеткіштері мен іс-шаралары </w:t>
      </w:r>
      <w:r w:rsidR="00C152D1" w:rsidRPr="003A3906">
        <w:rPr>
          <w:rFonts w:ascii="Times New Roman" w:eastAsia="Times New Roman" w:hAnsi="Times New Roman" w:cs="Times New Roman"/>
          <w:i/>
          <w:iCs/>
          <w:kern w:val="36"/>
          <w:sz w:val="28"/>
          <w:szCs w:val="28"/>
          <w:lang w:val="kk-KZ" w:eastAsia="ru-RU"/>
        </w:rPr>
        <w:t>Қосымша Ә</w:t>
      </w:r>
      <w:r w:rsidR="00C152D1" w:rsidRPr="003A3906">
        <w:rPr>
          <w:rFonts w:ascii="Times New Roman" w:eastAsia="Times New Roman" w:hAnsi="Times New Roman" w:cs="Times New Roman"/>
          <w:kern w:val="36"/>
          <w:sz w:val="28"/>
          <w:szCs w:val="28"/>
          <w:lang w:val="kk-KZ" w:eastAsia="ru-RU"/>
        </w:rPr>
        <w:t xml:space="preserve"> </w:t>
      </w:r>
      <w:r w:rsidR="00C152D1">
        <w:rPr>
          <w:rFonts w:ascii="Times New Roman" w:eastAsia="Times New Roman" w:hAnsi="Times New Roman" w:cs="Times New Roman"/>
          <w:kern w:val="36"/>
          <w:sz w:val="28"/>
          <w:szCs w:val="28"/>
          <w:lang w:val="kk-KZ" w:eastAsia="ru-RU"/>
        </w:rPr>
        <w:t xml:space="preserve">бойынша </w:t>
      </w:r>
      <w:r w:rsidRPr="00457CE9">
        <w:rPr>
          <w:rFonts w:ascii="Times New Roman" w:eastAsia="Times New Roman" w:hAnsi="Times New Roman" w:cs="Times New Roman"/>
          <w:kern w:val="36"/>
          <w:sz w:val="28"/>
          <w:szCs w:val="28"/>
          <w:lang w:val="kk-KZ" w:eastAsia="ru-RU"/>
        </w:rPr>
        <w:t>келтірілген.</w:t>
      </w:r>
      <w:r w:rsidR="00165A6D" w:rsidRPr="00457CE9">
        <w:rPr>
          <w:rFonts w:ascii="Times New Roman" w:eastAsia="Times New Roman" w:hAnsi="Times New Roman" w:cs="Times New Roman"/>
          <w:kern w:val="36"/>
          <w:sz w:val="28"/>
          <w:szCs w:val="28"/>
          <w:lang w:val="kk-KZ" w:eastAsia="ru-RU"/>
        </w:rPr>
        <w:t xml:space="preserve"> </w:t>
      </w:r>
    </w:p>
    <w:p w14:paraId="08AB2D09" w14:textId="1A0B1E68" w:rsidR="001C2267" w:rsidRPr="00457CE9" w:rsidRDefault="00656EE7"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hAnsi="Times New Roman" w:cs="Times New Roman"/>
          <w:sz w:val="28"/>
          <w:szCs w:val="28"/>
          <w:lang w:val="kk-KZ" w:eastAsia="ru-RU"/>
        </w:rPr>
        <w:t xml:space="preserve"> </w:t>
      </w:r>
      <w:r w:rsidR="001C2267" w:rsidRPr="00457CE9">
        <w:rPr>
          <w:rFonts w:ascii="Times New Roman" w:hAnsi="Times New Roman" w:cs="Times New Roman"/>
          <w:sz w:val="28"/>
          <w:szCs w:val="28"/>
          <w:lang w:val="kk-KZ" w:eastAsia="ru-RU"/>
        </w:rPr>
        <w:t xml:space="preserve">«ҚазАгроҚаржы» АҚ-ы ҚР АӨК сапалы және бәсекелі лизингтік қызметтерді көрсету арқылы техникалық жарақтандыруға ықпал ету болып табылады. </w:t>
      </w:r>
      <w:r w:rsidR="001C2267" w:rsidRPr="00457CE9">
        <w:rPr>
          <w:rFonts w:ascii="Times New Roman" w:eastAsia="Times New Roman" w:hAnsi="Times New Roman" w:cs="Times New Roman"/>
          <w:kern w:val="36"/>
          <w:sz w:val="28"/>
          <w:szCs w:val="28"/>
          <w:lang w:val="kk-KZ" w:eastAsia="ru-RU"/>
        </w:rPr>
        <w:t>АӨК-де еңбек өнімділігін 2,5 есеге ұлғайту міндетін жүзеге асыру үшін жоспарланған көрсеткіштер мен іс</w:t>
      </w:r>
      <w:r w:rsidR="003A3906">
        <w:rPr>
          <w:rFonts w:ascii="Times New Roman" w:eastAsia="Times New Roman" w:hAnsi="Times New Roman" w:cs="Times New Roman"/>
          <w:kern w:val="36"/>
          <w:sz w:val="28"/>
          <w:szCs w:val="28"/>
          <w:lang w:val="kk-KZ" w:eastAsia="ru-RU"/>
        </w:rPr>
        <w:t>-</w:t>
      </w:r>
      <w:r w:rsidR="001C2267" w:rsidRPr="00457CE9">
        <w:rPr>
          <w:rFonts w:ascii="Times New Roman" w:eastAsia="Times New Roman" w:hAnsi="Times New Roman" w:cs="Times New Roman"/>
          <w:kern w:val="36"/>
          <w:sz w:val="28"/>
          <w:szCs w:val="28"/>
          <w:lang w:val="kk-KZ" w:eastAsia="ru-RU"/>
        </w:rPr>
        <w:t>шаралар орындалған жағдайда еңбек өнімділігіне қалай әсер ететінін бағалау әдістемесі қажет. Ұлттық жобада еңбек өнімділігін ұлғайтуға бағытталған шараларға: материалдық-техникалық базаны субсидиялау жолымен жаңарту, су үнемдеу технологиясын ендіру, жаңбырлатып суару технологиясын енгізу, өсімдікті қорғау құралдарын субсидиялау, тұқым шаруашылығын субсидиялау, минералды тыңайтқыштарды субсидиялау, ғылыми-зерттеу орталықтарын құру жатқызылған</w:t>
      </w:r>
      <w:r w:rsidR="00C51D00" w:rsidRPr="00457CE9">
        <w:rPr>
          <w:rFonts w:ascii="Times New Roman" w:eastAsia="Times New Roman" w:hAnsi="Times New Roman" w:cs="Times New Roman"/>
          <w:kern w:val="36"/>
          <w:sz w:val="28"/>
          <w:szCs w:val="28"/>
          <w:lang w:val="kk-KZ" w:eastAsia="ru-RU"/>
        </w:rPr>
        <w:t xml:space="preserve"> [</w:t>
      </w:r>
      <w:r w:rsidR="00D14DC2">
        <w:rPr>
          <w:rFonts w:ascii="Times New Roman" w:eastAsia="Times New Roman" w:hAnsi="Times New Roman" w:cs="Times New Roman"/>
          <w:kern w:val="36"/>
          <w:sz w:val="28"/>
          <w:szCs w:val="28"/>
          <w:lang w:val="kk-KZ" w:eastAsia="ru-RU"/>
        </w:rPr>
        <w:t>8</w:t>
      </w:r>
      <w:r w:rsidR="001A5553">
        <w:rPr>
          <w:rFonts w:ascii="Times New Roman" w:eastAsia="Times New Roman" w:hAnsi="Times New Roman" w:cs="Times New Roman"/>
          <w:kern w:val="36"/>
          <w:sz w:val="28"/>
          <w:szCs w:val="28"/>
          <w:lang w:val="kk-KZ" w:eastAsia="ru-RU"/>
        </w:rPr>
        <w:t>2</w:t>
      </w:r>
      <w:r w:rsidR="00C51D00" w:rsidRPr="00457CE9">
        <w:rPr>
          <w:rFonts w:ascii="Times New Roman" w:eastAsia="Times New Roman" w:hAnsi="Times New Roman" w:cs="Times New Roman"/>
          <w:kern w:val="36"/>
          <w:sz w:val="28"/>
          <w:szCs w:val="28"/>
          <w:lang w:val="kk-KZ" w:eastAsia="ru-RU"/>
        </w:rPr>
        <w:t>]</w:t>
      </w:r>
      <w:r w:rsidR="001C2267" w:rsidRPr="00457CE9">
        <w:rPr>
          <w:rFonts w:ascii="Times New Roman" w:eastAsia="Times New Roman" w:hAnsi="Times New Roman" w:cs="Times New Roman"/>
          <w:kern w:val="36"/>
          <w:sz w:val="28"/>
          <w:szCs w:val="28"/>
          <w:lang w:val="kk-KZ" w:eastAsia="ru-RU"/>
        </w:rPr>
        <w:t xml:space="preserve">. </w:t>
      </w:r>
    </w:p>
    <w:p w14:paraId="7A9873EA" w14:textId="198978E5" w:rsidR="001C2267" w:rsidRPr="00457CE9" w:rsidRDefault="00656EE7" w:rsidP="00457CE9">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Ә</w:t>
      </w:r>
      <w:r w:rsidR="001C2267" w:rsidRPr="00457CE9">
        <w:rPr>
          <w:rFonts w:ascii="Times New Roman" w:eastAsia="Times New Roman" w:hAnsi="Times New Roman" w:cs="Times New Roman"/>
          <w:kern w:val="36"/>
          <w:sz w:val="28"/>
          <w:szCs w:val="28"/>
          <w:lang w:val="kk-KZ" w:eastAsia="ru-RU"/>
        </w:rPr>
        <w:t>-</w:t>
      </w:r>
      <w:r>
        <w:rPr>
          <w:rFonts w:ascii="Times New Roman" w:eastAsia="Times New Roman" w:hAnsi="Times New Roman" w:cs="Times New Roman"/>
          <w:kern w:val="36"/>
          <w:sz w:val="28"/>
          <w:szCs w:val="28"/>
          <w:lang w:val="kk-KZ" w:eastAsia="ru-RU"/>
        </w:rPr>
        <w:t>қосымшасына</w:t>
      </w:r>
      <w:r w:rsidR="001C2267" w:rsidRPr="00457CE9">
        <w:rPr>
          <w:rFonts w:ascii="Times New Roman" w:eastAsia="Times New Roman" w:hAnsi="Times New Roman" w:cs="Times New Roman"/>
          <w:kern w:val="36"/>
          <w:sz w:val="28"/>
          <w:szCs w:val="28"/>
          <w:lang w:val="kk-KZ" w:eastAsia="ru-RU"/>
        </w:rPr>
        <w:t>н АӨК дамыту бойынша ұлттық жобаның екінші міндеті бойынша 6 нәтижелі көрсеткіш, 8 іс-шара жоспарланған. ҚР-да отандық өндірушілермен негізгі азық</w:t>
      </w:r>
      <w:r w:rsidR="003A3906">
        <w:rPr>
          <w:rFonts w:ascii="Times New Roman" w:eastAsia="Times New Roman" w:hAnsi="Times New Roman" w:cs="Times New Roman"/>
          <w:kern w:val="36"/>
          <w:sz w:val="28"/>
          <w:szCs w:val="28"/>
          <w:lang w:val="kk-KZ" w:eastAsia="ru-RU"/>
        </w:rPr>
        <w:t>-</w:t>
      </w:r>
      <w:r w:rsidR="001C2267" w:rsidRPr="00457CE9">
        <w:rPr>
          <w:rFonts w:ascii="Times New Roman" w:eastAsia="Times New Roman" w:hAnsi="Times New Roman" w:cs="Times New Roman"/>
          <w:kern w:val="36"/>
          <w:sz w:val="28"/>
          <w:szCs w:val="28"/>
          <w:lang w:val="kk-KZ" w:eastAsia="ru-RU"/>
        </w:rPr>
        <w:t>түліктік өнімдермен 2019 жылы алма 62,9%, құс еті 58,3%, шұжық өнімдері 62%, ірімшік және сүзбе 57%, қант 46,6%, балық 60,8%-ға қамтамасыз етілгені белгілі, яғни</w:t>
      </w:r>
      <w:r w:rsidR="003A3906">
        <w:rPr>
          <w:rFonts w:ascii="Times New Roman" w:eastAsia="Times New Roman" w:hAnsi="Times New Roman" w:cs="Times New Roman"/>
          <w:kern w:val="36"/>
          <w:sz w:val="28"/>
          <w:szCs w:val="28"/>
          <w:lang w:val="kk-KZ" w:eastAsia="ru-RU"/>
        </w:rPr>
        <w:t>,</w:t>
      </w:r>
      <w:r w:rsidR="001C2267" w:rsidRPr="00457CE9">
        <w:rPr>
          <w:rFonts w:ascii="Times New Roman" w:eastAsia="Times New Roman" w:hAnsi="Times New Roman" w:cs="Times New Roman"/>
          <w:kern w:val="36"/>
          <w:sz w:val="28"/>
          <w:szCs w:val="28"/>
          <w:lang w:val="kk-KZ" w:eastAsia="ru-RU"/>
        </w:rPr>
        <w:t xml:space="preserve"> бұл 80%-дан төмен болғандықтан шетелден импорттау қажеттілігі туындап, азық-түліктік қауіпсіздік деңгейін қамтамасыз етілмегенін білдіреді.</w:t>
      </w:r>
    </w:p>
    <w:p w14:paraId="64ED41D9" w14:textId="11603687" w:rsidR="00E534C8" w:rsidRPr="00457CE9" w:rsidRDefault="00172EA5"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2021-2025 жж. аралығында іске асырылатын ұлттық жобада отандық өндірістің негізгі азық-түліктік тауарлармен қамтамасыз етілу міндетіне бөлінген бюджет қаражатының ең үлкен бөлігі құс етінің өндірісіне 324000,0 млн.теңге немесе 30</w:t>
      </w:r>
      <w:r w:rsidR="00E534C8"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жоспарланса, шұжық өнімдерінің өндірісіне 290500,0 млн. теңге немесе 27</w:t>
      </w:r>
      <w:r w:rsidR="00E534C8"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жұмсау жоспарланған. аталған кезең ішінде алма өндірісін қолдауға бюджет қаражатының 196900 млн. теңгесі немесе 18</w:t>
      </w:r>
      <w:r w:rsidR="00E534C8"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бағытталған. </w:t>
      </w:r>
      <w:r w:rsidRPr="00457CE9">
        <w:rPr>
          <w:rFonts w:ascii="Times New Roman" w:hAnsi="Times New Roman" w:cs="Times New Roman"/>
          <w:color w:val="000000"/>
          <w:sz w:val="28"/>
          <w:szCs w:val="28"/>
          <w:shd w:val="clear" w:color="auto" w:fill="FFFFFF"/>
          <w:lang w:val="kk-KZ"/>
        </w:rPr>
        <w:t>«Азық-түлік келісімшарт корпорациясы ҰК» АҚ-ның дайын азық-түлік тауарларын сатып алуы</w:t>
      </w:r>
      <w:r w:rsidR="00183B51" w:rsidRPr="00457CE9">
        <w:rPr>
          <w:rFonts w:ascii="Times New Roman" w:eastAsia="Times New Roman" w:hAnsi="Times New Roman" w:cs="Times New Roman"/>
          <w:kern w:val="36"/>
          <w:sz w:val="28"/>
          <w:szCs w:val="28"/>
          <w:lang w:val="kk-KZ" w:eastAsia="ru-RU"/>
        </w:rPr>
        <w:t>, яғни соңғы жылдары өткір жетіспейтін қанттың 157 мың тоннасын сатып алуға 26742 млн.теңге немесе 2,5</w:t>
      </w:r>
      <w:r w:rsidR="001A5553" w:rsidRPr="001A5553">
        <w:rPr>
          <w:rFonts w:ascii="Times New Roman" w:eastAsia="Times New Roman" w:hAnsi="Times New Roman" w:cs="Times New Roman"/>
          <w:kern w:val="36"/>
          <w:sz w:val="28"/>
          <w:szCs w:val="28"/>
          <w:lang w:val="kk-KZ" w:eastAsia="ru-RU"/>
        </w:rPr>
        <w:t xml:space="preserve">% </w:t>
      </w:r>
      <w:r w:rsidR="00183B51" w:rsidRPr="00457CE9">
        <w:rPr>
          <w:rFonts w:ascii="Times New Roman" w:eastAsia="Times New Roman" w:hAnsi="Times New Roman" w:cs="Times New Roman"/>
          <w:kern w:val="36"/>
          <w:sz w:val="28"/>
          <w:szCs w:val="28"/>
          <w:lang w:val="kk-KZ" w:eastAsia="ru-RU"/>
        </w:rPr>
        <w:t xml:space="preserve">қарастырылған. </w:t>
      </w:r>
      <w:r w:rsidR="004561BE" w:rsidRPr="00457CE9">
        <w:rPr>
          <w:rFonts w:ascii="Times New Roman" w:eastAsia="Times New Roman" w:hAnsi="Times New Roman" w:cs="Times New Roman"/>
          <w:kern w:val="36"/>
          <w:sz w:val="28"/>
          <w:szCs w:val="28"/>
          <w:lang w:val="kk-KZ" w:eastAsia="ru-RU"/>
        </w:rPr>
        <w:t>Көкөніс өндірісіне 82320 млн.теңге немесе 7,7</w:t>
      </w:r>
      <w:r w:rsidR="00E534C8" w:rsidRPr="00457CE9">
        <w:rPr>
          <w:rFonts w:ascii="Times New Roman" w:eastAsia="Times New Roman" w:hAnsi="Times New Roman" w:cs="Times New Roman"/>
          <w:kern w:val="36"/>
          <w:sz w:val="28"/>
          <w:szCs w:val="28"/>
          <w:lang w:val="kk-KZ" w:eastAsia="ru-RU"/>
        </w:rPr>
        <w:t xml:space="preserve">% </w:t>
      </w:r>
      <w:r w:rsidR="004561BE" w:rsidRPr="00457CE9">
        <w:rPr>
          <w:rFonts w:ascii="Times New Roman" w:eastAsia="Times New Roman" w:hAnsi="Times New Roman" w:cs="Times New Roman"/>
          <w:kern w:val="36"/>
          <w:sz w:val="28"/>
          <w:szCs w:val="28"/>
          <w:lang w:val="kk-KZ" w:eastAsia="ru-RU"/>
        </w:rPr>
        <w:t>жұмсау қарастырылған. Отандық өндірістің негізгі азық</w:t>
      </w:r>
      <w:r w:rsidR="003A3906">
        <w:rPr>
          <w:rFonts w:ascii="Times New Roman" w:eastAsia="Times New Roman" w:hAnsi="Times New Roman" w:cs="Times New Roman"/>
          <w:kern w:val="36"/>
          <w:sz w:val="28"/>
          <w:szCs w:val="28"/>
          <w:lang w:val="kk-KZ" w:eastAsia="ru-RU"/>
        </w:rPr>
        <w:t>-</w:t>
      </w:r>
      <w:r w:rsidR="004561BE" w:rsidRPr="00457CE9">
        <w:rPr>
          <w:rFonts w:ascii="Times New Roman" w:eastAsia="Times New Roman" w:hAnsi="Times New Roman" w:cs="Times New Roman"/>
          <w:kern w:val="36"/>
          <w:sz w:val="28"/>
          <w:szCs w:val="28"/>
          <w:lang w:val="kk-KZ" w:eastAsia="ru-RU"/>
        </w:rPr>
        <w:t>түлікпен қамтамасыз ету міндетін орындау арқылы, оның әлеуметтік әсері ретінде тұрақты және уақытша жұмыс орындарын құру күтіледі және ол сандық өлшеммен бекітілген, 2021-2025 жж. аралығында 2443 адам тұрақты, 6760 адам уақытша жұмыс орындарының құрылуына септігін тигізеді деп күтіледі. Алайд</w:t>
      </w:r>
      <w:r w:rsidR="00E534C8" w:rsidRPr="00457CE9">
        <w:rPr>
          <w:rFonts w:ascii="Times New Roman" w:eastAsia="Times New Roman" w:hAnsi="Times New Roman" w:cs="Times New Roman"/>
          <w:kern w:val="36"/>
          <w:sz w:val="28"/>
          <w:szCs w:val="28"/>
          <w:lang w:val="kk-KZ" w:eastAsia="ru-RU"/>
        </w:rPr>
        <w:t>а</w:t>
      </w:r>
      <w:r w:rsidR="004561BE"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белгіленген көрсеткіштерге жету үшін жеткілікті нәтижелі көрсеткіштер мен іс-шаралар жоспарланғанын бағалаудың әдістемесі қажет.</w:t>
      </w:r>
    </w:p>
    <w:p w14:paraId="5B7F5D99" w14:textId="18277C33" w:rsidR="002A1E91" w:rsidRPr="00457CE9" w:rsidRDefault="00CF1B29" w:rsidP="00457CE9">
      <w:pPr>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«Азық-түлік корпорациясы» ҰК» АҚ-ның миссиясы азық-түлік қауіпсіздігін қамтамасыз етуге қатысу және астық нарығы жөніндегі оператордың функцияларын орындау арқылы ҚР-ның астық саласын дамытуға жәрдемдесу болып табылады</w:t>
      </w:r>
      <w:r w:rsidR="00644665">
        <w:rPr>
          <w:rFonts w:ascii="Times New Roman" w:hAnsi="Times New Roman" w:cs="Times New Roman"/>
          <w:color w:val="000000"/>
          <w:sz w:val="28"/>
          <w:szCs w:val="28"/>
          <w:shd w:val="clear" w:color="auto" w:fill="FFFFFF"/>
          <w:lang w:val="kk-KZ"/>
        </w:rPr>
        <w:t xml:space="preserve"> </w:t>
      </w:r>
      <w:r w:rsidR="00644665" w:rsidRPr="00644665">
        <w:rPr>
          <w:rFonts w:ascii="Times New Roman" w:hAnsi="Times New Roman" w:cs="Times New Roman"/>
          <w:color w:val="000000"/>
          <w:sz w:val="28"/>
          <w:szCs w:val="28"/>
          <w:shd w:val="clear" w:color="auto" w:fill="FFFFFF"/>
          <w:lang w:val="kk-KZ"/>
        </w:rPr>
        <w:t>[107]</w:t>
      </w:r>
      <w:r w:rsidRPr="00457CE9">
        <w:rPr>
          <w:rFonts w:ascii="Times New Roman" w:hAnsi="Times New Roman" w:cs="Times New Roman"/>
          <w:color w:val="000000"/>
          <w:sz w:val="28"/>
          <w:szCs w:val="28"/>
          <w:shd w:val="clear" w:color="auto" w:fill="FFFFFF"/>
          <w:lang w:val="kk-KZ"/>
        </w:rPr>
        <w:t xml:space="preserve">. </w:t>
      </w:r>
    </w:p>
    <w:p w14:paraId="5F57563A" w14:textId="1D798F68" w:rsidR="00CF1B29" w:rsidRPr="00457CE9" w:rsidRDefault="00CF1B29" w:rsidP="00457CE9">
      <w:pPr>
        <w:spacing w:after="0" w:line="240" w:lineRule="auto"/>
        <w:ind w:firstLine="709"/>
        <w:jc w:val="both"/>
        <w:rPr>
          <w:rFonts w:ascii="Times New Roman" w:hAnsi="Times New Roman" w:cs="Times New Roman"/>
          <w:color w:val="000000"/>
          <w:sz w:val="28"/>
          <w:szCs w:val="28"/>
          <w:shd w:val="clear" w:color="auto" w:fill="FFFFFF"/>
          <w:lang w:val="kk-KZ"/>
        </w:rPr>
      </w:pPr>
      <w:r w:rsidRPr="00457CE9">
        <w:rPr>
          <w:rFonts w:ascii="Times New Roman" w:hAnsi="Times New Roman" w:cs="Times New Roman"/>
          <w:color w:val="000000"/>
          <w:sz w:val="28"/>
          <w:szCs w:val="28"/>
          <w:shd w:val="clear" w:color="auto" w:fill="FFFFFF"/>
          <w:lang w:val="kk-KZ"/>
        </w:rPr>
        <w:t xml:space="preserve">АӨК дамытудың ұлттық жобасында ет, жеміс-жидек, көкөніс, дәнді дақылдар, майлы дақылдар, сүт өнімдерін өндіру және өңдеу бойынша жеті ірі экожүйені қалыптастыру жоспарлануда. Балық саласын дамытуға ерекше назар аударылатын болады. ҚР </w:t>
      </w:r>
      <w:r w:rsidR="00522154" w:rsidRPr="00457CE9">
        <w:rPr>
          <w:rFonts w:ascii="Times New Roman" w:hAnsi="Times New Roman" w:cs="Times New Roman"/>
          <w:color w:val="000000"/>
          <w:sz w:val="28"/>
          <w:szCs w:val="28"/>
          <w:shd w:val="clear" w:color="auto" w:fill="FFFFFF"/>
          <w:lang w:val="kk-KZ"/>
        </w:rPr>
        <w:t>2021-</w:t>
      </w:r>
      <w:r w:rsidRPr="00457CE9">
        <w:rPr>
          <w:rFonts w:ascii="Times New Roman" w:hAnsi="Times New Roman" w:cs="Times New Roman"/>
          <w:color w:val="000000"/>
          <w:sz w:val="28"/>
          <w:szCs w:val="28"/>
          <w:shd w:val="clear" w:color="auto" w:fill="FFFFFF"/>
          <w:lang w:val="kk-KZ"/>
        </w:rPr>
        <w:t>2025</w:t>
      </w:r>
      <w:r w:rsidR="0091099E" w:rsidRPr="00457CE9">
        <w:rPr>
          <w:rFonts w:ascii="Times New Roman" w:hAnsi="Times New Roman" w:cs="Times New Roman"/>
          <w:color w:val="000000"/>
          <w:sz w:val="28"/>
          <w:szCs w:val="28"/>
          <w:shd w:val="clear" w:color="auto" w:fill="FFFFFF"/>
          <w:lang w:val="kk-KZ"/>
        </w:rPr>
        <w:t xml:space="preserve"> </w:t>
      </w:r>
      <w:r w:rsidR="00522154" w:rsidRPr="00457CE9">
        <w:rPr>
          <w:rFonts w:ascii="Times New Roman" w:hAnsi="Times New Roman" w:cs="Times New Roman"/>
          <w:color w:val="000000"/>
          <w:sz w:val="28"/>
          <w:szCs w:val="28"/>
          <w:shd w:val="clear" w:color="auto" w:fill="FFFFFF"/>
          <w:lang w:val="kk-KZ"/>
        </w:rPr>
        <w:t>ж</w:t>
      </w:r>
      <w:r w:rsidRPr="00457CE9">
        <w:rPr>
          <w:rFonts w:ascii="Times New Roman" w:hAnsi="Times New Roman" w:cs="Times New Roman"/>
          <w:color w:val="000000"/>
          <w:sz w:val="28"/>
          <w:szCs w:val="28"/>
          <w:shd w:val="clear" w:color="auto" w:fill="FFFFFF"/>
          <w:lang w:val="kk-KZ"/>
        </w:rPr>
        <w:t xml:space="preserve">ж. Ұлттық жоба жоспары шеңберінде «Азық-түлік корпорациясы» АҚ-на мынадай </w:t>
      </w:r>
      <w:r w:rsidR="00522154" w:rsidRPr="00457CE9">
        <w:rPr>
          <w:rFonts w:ascii="Times New Roman" w:hAnsi="Times New Roman" w:cs="Times New Roman"/>
          <w:color w:val="000000"/>
          <w:sz w:val="28"/>
          <w:szCs w:val="28"/>
          <w:shd w:val="clear" w:color="auto" w:fill="FFFFFF"/>
          <w:lang w:val="kk-KZ"/>
        </w:rPr>
        <w:t xml:space="preserve">нысаналы </w:t>
      </w:r>
      <w:r w:rsidRPr="00457CE9">
        <w:rPr>
          <w:rFonts w:ascii="Times New Roman" w:hAnsi="Times New Roman" w:cs="Times New Roman"/>
          <w:color w:val="000000"/>
          <w:sz w:val="28"/>
          <w:szCs w:val="28"/>
          <w:shd w:val="clear" w:color="auto" w:fill="FFFFFF"/>
          <w:lang w:val="kk-KZ"/>
        </w:rPr>
        <w:t>индикаторлар бекітілген:</w:t>
      </w:r>
    </w:p>
    <w:p w14:paraId="3493D9D8" w14:textId="77777777" w:rsidR="00CF1B29" w:rsidRPr="00457CE9" w:rsidRDefault="00CF1B29" w:rsidP="0097172E">
      <w:pPr>
        <w:pStyle w:val="a5"/>
        <w:numPr>
          <w:ilvl w:val="0"/>
          <w:numId w:val="27"/>
        </w:numPr>
        <w:tabs>
          <w:tab w:val="left" w:pos="993"/>
        </w:tabs>
        <w:spacing w:after="0" w:line="240" w:lineRule="auto"/>
        <w:ind w:left="0" w:firstLine="709"/>
        <w:jc w:val="both"/>
        <w:rPr>
          <w:rFonts w:ascii="Times New Roman" w:hAnsi="Times New Roman"/>
          <w:sz w:val="28"/>
          <w:szCs w:val="28"/>
          <w:lang w:val="kk-KZ" w:eastAsia="ru-RU"/>
        </w:rPr>
      </w:pPr>
      <w:r w:rsidRPr="00457CE9">
        <w:rPr>
          <w:rFonts w:ascii="Times New Roman" w:hAnsi="Times New Roman"/>
          <w:sz w:val="28"/>
          <w:szCs w:val="28"/>
          <w:lang w:val="kk-KZ" w:eastAsia="ru-RU"/>
        </w:rPr>
        <w:t>үй шаруашылықтарының азық-түлік тауарларына арналған шығыстары, жалпы шығыстардың пайызы (республика бойынша);</w:t>
      </w:r>
    </w:p>
    <w:p w14:paraId="27190717" w14:textId="511E9456" w:rsidR="00CF1B29" w:rsidRPr="00457CE9" w:rsidRDefault="00CF1B29" w:rsidP="0097172E">
      <w:pPr>
        <w:pStyle w:val="a5"/>
        <w:numPr>
          <w:ilvl w:val="0"/>
          <w:numId w:val="27"/>
        </w:numPr>
        <w:tabs>
          <w:tab w:val="left" w:pos="993"/>
        </w:tabs>
        <w:spacing w:after="0" w:line="240" w:lineRule="auto"/>
        <w:ind w:left="0" w:firstLine="720"/>
        <w:jc w:val="both"/>
        <w:rPr>
          <w:rFonts w:ascii="Times New Roman" w:hAnsi="Times New Roman"/>
          <w:sz w:val="28"/>
          <w:szCs w:val="28"/>
          <w:lang w:val="kk-KZ" w:eastAsia="ru-RU"/>
        </w:rPr>
      </w:pPr>
      <w:r w:rsidRPr="00457CE9">
        <w:rPr>
          <w:rFonts w:ascii="Times New Roman" w:hAnsi="Times New Roman"/>
          <w:sz w:val="28"/>
          <w:szCs w:val="28"/>
          <w:lang w:val="kk-KZ" w:eastAsia="ru-RU"/>
        </w:rPr>
        <w:t>еңбек өнімділігін өсіру, 2019 жылғы деңгейден 2019 жылғы бағадағы өсім пайызы (ауыл шаруашылығы, орман, балық шаруашылығы саласы)</w:t>
      </w:r>
      <w:r w:rsidR="00F50F65" w:rsidRPr="00457CE9">
        <w:rPr>
          <w:rFonts w:ascii="Times New Roman" w:hAnsi="Times New Roman"/>
          <w:sz w:val="28"/>
          <w:szCs w:val="28"/>
          <w:lang w:val="kk-KZ" w:eastAsia="ru-RU"/>
        </w:rPr>
        <w:t xml:space="preserve"> [</w:t>
      </w:r>
      <w:r w:rsidR="00644665" w:rsidRPr="00644665">
        <w:rPr>
          <w:rFonts w:ascii="Times New Roman" w:hAnsi="Times New Roman"/>
          <w:sz w:val="28"/>
          <w:szCs w:val="28"/>
          <w:lang w:val="kk-KZ" w:eastAsia="ru-RU"/>
        </w:rPr>
        <w:t>107</w:t>
      </w:r>
      <w:r w:rsidR="00F50F65" w:rsidRPr="00457CE9">
        <w:rPr>
          <w:rFonts w:ascii="Times New Roman" w:hAnsi="Times New Roman"/>
          <w:sz w:val="28"/>
          <w:szCs w:val="28"/>
          <w:lang w:val="kk-KZ" w:eastAsia="ru-RU"/>
        </w:rPr>
        <w:t>]</w:t>
      </w:r>
      <w:r w:rsidRPr="00457CE9">
        <w:rPr>
          <w:rFonts w:ascii="Times New Roman" w:hAnsi="Times New Roman"/>
          <w:sz w:val="28"/>
          <w:szCs w:val="28"/>
          <w:lang w:val="kk-KZ" w:eastAsia="ru-RU"/>
        </w:rPr>
        <w:t xml:space="preserve">. </w:t>
      </w:r>
    </w:p>
    <w:p w14:paraId="0631CC1C" w14:textId="26F87CFE" w:rsidR="00CF1B29" w:rsidRPr="00457CE9" w:rsidRDefault="00CF1B29"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АӨК дамыту тұжырымдамасы және АӨК ұлттық жобасы шеңберінде «Азық-түлік корпорациясы» АҚ-на ауыл шаруашылығы дақылдарын форфардтық сатып алу, дайын азық-түлік тауарларын сатып алу, оның ішінде офтейк-келісім шарт жасасу арқылы АӨК субъектілерін қолдау, жемдік қор құру және құс, мал шаруашылығы кәсіпорындары мен балық шаруашылығы субъектілеріне жемдік астықты сату жөніндегі іс-шаралар бекітілді</w:t>
      </w:r>
      <w:r w:rsidR="00644665">
        <w:rPr>
          <w:rFonts w:ascii="Times New Roman" w:eastAsia="Times New Roman" w:hAnsi="Times New Roman" w:cs="Times New Roman"/>
          <w:kern w:val="36"/>
          <w:sz w:val="28"/>
          <w:szCs w:val="28"/>
          <w:lang w:val="kk-KZ" w:eastAsia="ru-RU"/>
        </w:rPr>
        <w:t xml:space="preserve"> </w:t>
      </w:r>
      <w:r w:rsidR="00644665" w:rsidRPr="00644665">
        <w:rPr>
          <w:rFonts w:ascii="Times New Roman" w:eastAsia="Times New Roman" w:hAnsi="Times New Roman" w:cs="Times New Roman"/>
          <w:kern w:val="36"/>
          <w:sz w:val="28"/>
          <w:szCs w:val="28"/>
          <w:lang w:val="kk-KZ" w:eastAsia="ru-RU"/>
        </w:rPr>
        <w:t>[107]</w:t>
      </w:r>
      <w:r w:rsidRPr="00457CE9">
        <w:rPr>
          <w:rFonts w:ascii="Times New Roman" w:eastAsia="Times New Roman" w:hAnsi="Times New Roman" w:cs="Times New Roman"/>
          <w:kern w:val="36"/>
          <w:sz w:val="28"/>
          <w:szCs w:val="28"/>
          <w:lang w:val="kk-KZ" w:eastAsia="ru-RU"/>
        </w:rPr>
        <w:t xml:space="preserve">. </w:t>
      </w:r>
    </w:p>
    <w:p w14:paraId="3F6FFDFA" w14:textId="0B24153C" w:rsidR="00CF1B29" w:rsidRPr="00457CE9" w:rsidRDefault="00CF1B29"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Мемлекет басшысының 2019 жылғы 2 қыркүйектегі «Сындарлы қоғамдық диалог – Қазақстанның тұрақтылығы мен өркендеуінің негізі» атты жолдауында тек елде ғана емес, шетелде де сұранысқа ие органикалық және экологиялық таза өнім өндіру үшін Қазақстанның елеулі әлеуеті, оның санын кезең-кезеңімен ұлғайту қажеттігі белгіленеді. 2030 жылға қарай 3 млн. гектарға дейін суармалы жерлер және фермерлерге олардың өнімдерін сыртқы нарықтарда сатумен қолдау көрсету</w:t>
      </w:r>
      <w:r w:rsidR="00F50F65" w:rsidRPr="00457CE9">
        <w:rPr>
          <w:rFonts w:ascii="Times New Roman" w:eastAsia="Times New Roman" w:hAnsi="Times New Roman" w:cs="Times New Roman"/>
          <w:kern w:val="36"/>
          <w:sz w:val="28"/>
          <w:szCs w:val="28"/>
          <w:lang w:val="kk-KZ" w:eastAsia="ru-RU"/>
        </w:rPr>
        <w:t xml:space="preserve"> [</w:t>
      </w:r>
      <w:r w:rsidR="00644665">
        <w:rPr>
          <w:rFonts w:ascii="Times New Roman" w:eastAsia="Times New Roman" w:hAnsi="Times New Roman" w:cs="Times New Roman"/>
          <w:kern w:val="36"/>
          <w:sz w:val="28"/>
          <w:szCs w:val="28"/>
          <w:lang w:val="kk-KZ" w:eastAsia="ru-RU"/>
        </w:rPr>
        <w:t>75</w:t>
      </w:r>
      <w:r w:rsidR="00F50F65"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xml:space="preserve">. </w:t>
      </w:r>
    </w:p>
    <w:p w14:paraId="466F3550" w14:textId="4336B7A8" w:rsidR="00CF1B29" w:rsidRPr="00457CE9" w:rsidRDefault="00CF1B29"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AF6490">
        <w:rPr>
          <w:rFonts w:ascii="Times New Roman" w:eastAsia="Times New Roman" w:hAnsi="Times New Roman" w:cs="Times New Roman"/>
          <w:kern w:val="36"/>
          <w:sz w:val="28"/>
          <w:szCs w:val="28"/>
          <w:lang w:val="kk-KZ" w:eastAsia="ru-RU"/>
        </w:rPr>
        <w:t xml:space="preserve">Мемлекет басшысының 2020 жылғы 31 наурыздағы мәлімдемесіне сәйкес </w:t>
      </w:r>
      <w:r w:rsidRPr="00457CE9">
        <w:rPr>
          <w:rFonts w:ascii="Times New Roman" w:eastAsia="Times New Roman" w:hAnsi="Times New Roman" w:cs="Times New Roman"/>
          <w:kern w:val="36"/>
          <w:sz w:val="28"/>
          <w:szCs w:val="28"/>
          <w:lang w:val="kk-KZ" w:eastAsia="ru-RU"/>
        </w:rPr>
        <w:t>әкімдіктер мен үкіметке отандық ауыл шаруашылығы және қайта өңдеу кәсіпорындарынан өнімді кепілді сатып алу тетігін жолға қою, яғни, «форвардтық сатып алу» немесе «егінге сатып алу» деп аталатынды енгізу тапсырылды</w:t>
      </w:r>
      <w:r w:rsidR="00143D47" w:rsidRPr="00457CE9">
        <w:rPr>
          <w:rFonts w:ascii="Times New Roman" w:eastAsia="Times New Roman" w:hAnsi="Times New Roman" w:cs="Times New Roman"/>
          <w:kern w:val="36"/>
          <w:sz w:val="28"/>
          <w:szCs w:val="28"/>
          <w:lang w:val="kk-KZ" w:eastAsia="ru-RU"/>
        </w:rPr>
        <w:t xml:space="preserve"> [</w:t>
      </w:r>
      <w:r w:rsidR="00644665" w:rsidRPr="00644665">
        <w:rPr>
          <w:rFonts w:ascii="Times New Roman" w:eastAsia="Times New Roman" w:hAnsi="Times New Roman" w:cs="Times New Roman"/>
          <w:kern w:val="36"/>
          <w:sz w:val="28"/>
          <w:szCs w:val="28"/>
          <w:lang w:val="kk-KZ" w:eastAsia="ru-RU"/>
        </w:rPr>
        <w:t>108</w:t>
      </w:r>
      <w:r w:rsidR="00143D47" w:rsidRPr="00457CE9">
        <w:rPr>
          <w:rFonts w:ascii="Times New Roman" w:eastAsia="Times New Roman" w:hAnsi="Times New Roman" w:cs="Times New Roman"/>
          <w:kern w:val="36"/>
          <w:sz w:val="28"/>
          <w:szCs w:val="28"/>
          <w:lang w:val="kk-KZ" w:eastAsia="ru-RU"/>
        </w:rPr>
        <w:t>]</w:t>
      </w:r>
      <w:r w:rsidRPr="00457CE9">
        <w:rPr>
          <w:rFonts w:ascii="Times New Roman" w:eastAsia="Times New Roman" w:hAnsi="Times New Roman" w:cs="Times New Roman"/>
          <w:kern w:val="36"/>
          <w:sz w:val="28"/>
          <w:szCs w:val="28"/>
          <w:lang w:val="kk-KZ" w:eastAsia="ru-RU"/>
        </w:rPr>
        <w:t>. Төтенше жағдай жөніндегі мемлекеттік комиссияның 2020 жылғы 10 сәуірдегі отырысында Мемлекет басшысы Үкіметке форвардтық сатып алу тетігін, қаржыландыру сомалары мен көздерін жедел бекітуді, іске асыруды, байқаудан өткізуді бастауды тапсырды. Осылайша Азық-түлік корпорациясының қызметі мемлекеттік жоспарлау жүйесін жоғары тұрған құжаттарында белгіленген АӨК саласындағы мемлекеттік саясат және мемлекет басшысының тапсырмалары шеңберінде жүзеге асырылады.</w:t>
      </w:r>
    </w:p>
    <w:p w14:paraId="49B616E7" w14:textId="390E2DDA" w:rsidR="002802A8" w:rsidRPr="00457CE9" w:rsidRDefault="005A3821"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457CE9">
        <w:rPr>
          <w:rFonts w:ascii="Times New Roman" w:eastAsia="Times New Roman" w:hAnsi="Times New Roman" w:cs="Times New Roman"/>
          <w:kern w:val="36"/>
          <w:sz w:val="28"/>
          <w:szCs w:val="28"/>
          <w:lang w:val="kk-KZ" w:eastAsia="ru-RU"/>
        </w:rPr>
        <w:t>ҚР АӨК дамытудың ұлттық жобасын іске асыру «отандық өндірістің негізгі азық-түліктік тауарларымен қамтамасыз етілуі» деп аталатын 2-ші міндеті жоспарланған, жалпы бұл міндетті іске асыруға 2021-2025 жж. аралығында 1067937,9 млн.теңге немесе жалпы қаражаттың</w:t>
      </w:r>
      <w:r w:rsidR="002A1E91" w:rsidRPr="00457CE9">
        <w:rPr>
          <w:rFonts w:ascii="Times New Roman" w:eastAsia="Times New Roman" w:hAnsi="Times New Roman" w:cs="Times New Roman"/>
          <w:kern w:val="36"/>
          <w:sz w:val="28"/>
          <w:szCs w:val="28"/>
          <w:lang w:val="kk-KZ" w:eastAsia="ru-RU"/>
        </w:rPr>
        <w:t xml:space="preserve"> </w:t>
      </w:r>
      <w:r w:rsidRPr="00457CE9">
        <w:rPr>
          <w:rFonts w:ascii="Times New Roman" w:eastAsia="Times New Roman" w:hAnsi="Times New Roman" w:cs="Times New Roman"/>
          <w:kern w:val="36"/>
          <w:sz w:val="28"/>
          <w:szCs w:val="28"/>
          <w:lang w:val="kk-KZ" w:eastAsia="ru-RU"/>
        </w:rPr>
        <w:t xml:space="preserve">15,7%-ы </w:t>
      </w:r>
      <w:r w:rsidR="002A1E91" w:rsidRPr="00457CE9">
        <w:rPr>
          <w:rFonts w:ascii="Times New Roman" w:eastAsia="Times New Roman" w:hAnsi="Times New Roman" w:cs="Times New Roman"/>
          <w:kern w:val="36"/>
          <w:sz w:val="28"/>
          <w:szCs w:val="28"/>
          <w:lang w:val="kk-KZ" w:eastAsia="ru-RU"/>
        </w:rPr>
        <w:t>қарастырыл</w:t>
      </w:r>
      <w:r w:rsidRPr="00457CE9">
        <w:rPr>
          <w:rFonts w:ascii="Times New Roman" w:eastAsia="Times New Roman" w:hAnsi="Times New Roman" w:cs="Times New Roman"/>
          <w:kern w:val="36"/>
          <w:sz w:val="28"/>
          <w:szCs w:val="28"/>
          <w:lang w:val="kk-KZ" w:eastAsia="ru-RU"/>
        </w:rPr>
        <w:t>ған.</w:t>
      </w:r>
      <w:r w:rsidR="00E534C8" w:rsidRPr="00457CE9">
        <w:rPr>
          <w:rFonts w:ascii="Times New Roman" w:eastAsia="Times New Roman" w:hAnsi="Times New Roman" w:cs="Times New Roman"/>
          <w:kern w:val="36"/>
          <w:sz w:val="28"/>
          <w:szCs w:val="28"/>
          <w:lang w:val="kk-KZ" w:eastAsia="ru-RU"/>
        </w:rPr>
        <w:t xml:space="preserve"> </w:t>
      </w:r>
      <w:r w:rsidR="002802A8" w:rsidRPr="00457CE9">
        <w:rPr>
          <w:rFonts w:ascii="Times New Roman" w:eastAsia="Times New Roman" w:hAnsi="Times New Roman" w:cs="Times New Roman"/>
          <w:kern w:val="36"/>
          <w:sz w:val="28"/>
          <w:szCs w:val="28"/>
          <w:lang w:val="kk-KZ" w:eastAsia="ru-RU"/>
        </w:rPr>
        <w:t>Кез-келген дамыған мемлекеттің стратегиялық бағытының бірі елдегі азық-түліктік қауіпсіздікті қамтамасыз ету болып табылатыны белгілі. 2020 жылдан басталған пандемиядан, әлемде тасымалдау жүйелері тоқтап, әлемдегі тұрақсыздықтар орын алып, азық-түліктік қауіпсіздік күшейді деп айтуға болады. 2022 жылы Қазақстан азық</w:t>
      </w:r>
      <w:r w:rsidR="00A742C2">
        <w:rPr>
          <w:rFonts w:ascii="Times New Roman" w:eastAsia="Times New Roman" w:hAnsi="Times New Roman" w:cs="Times New Roman"/>
          <w:kern w:val="36"/>
          <w:sz w:val="28"/>
          <w:szCs w:val="28"/>
          <w:lang w:val="kk-KZ" w:eastAsia="ru-RU"/>
        </w:rPr>
        <w:t>-</w:t>
      </w:r>
      <w:r w:rsidR="002802A8" w:rsidRPr="00457CE9">
        <w:rPr>
          <w:rFonts w:ascii="Times New Roman" w:eastAsia="Times New Roman" w:hAnsi="Times New Roman" w:cs="Times New Roman"/>
          <w:kern w:val="36"/>
          <w:sz w:val="28"/>
          <w:szCs w:val="28"/>
          <w:lang w:val="kk-KZ" w:eastAsia="ru-RU"/>
        </w:rPr>
        <w:t>түліктік қауіпсіздігін бағалау рейтингісінде 1</w:t>
      </w:r>
      <w:r w:rsidR="00FE49AB" w:rsidRPr="00457CE9">
        <w:rPr>
          <w:rFonts w:ascii="Times New Roman" w:eastAsia="Times New Roman" w:hAnsi="Times New Roman" w:cs="Times New Roman"/>
          <w:kern w:val="36"/>
          <w:sz w:val="28"/>
          <w:szCs w:val="28"/>
          <w:lang w:val="kk-KZ" w:eastAsia="ru-RU"/>
        </w:rPr>
        <w:t>13</w:t>
      </w:r>
      <w:r w:rsidR="002802A8" w:rsidRPr="00457CE9">
        <w:rPr>
          <w:rFonts w:ascii="Times New Roman" w:eastAsia="Times New Roman" w:hAnsi="Times New Roman" w:cs="Times New Roman"/>
          <w:kern w:val="36"/>
          <w:sz w:val="28"/>
          <w:szCs w:val="28"/>
          <w:lang w:val="kk-KZ" w:eastAsia="ru-RU"/>
        </w:rPr>
        <w:t xml:space="preserve"> елдің ішінде 41 орынға ие болды</w:t>
      </w:r>
      <w:r w:rsidR="00644665" w:rsidRPr="00644665">
        <w:rPr>
          <w:rFonts w:ascii="Times New Roman" w:eastAsia="Times New Roman" w:hAnsi="Times New Roman" w:cs="Times New Roman"/>
          <w:kern w:val="36"/>
          <w:sz w:val="28"/>
          <w:szCs w:val="28"/>
          <w:lang w:val="kk-KZ" w:eastAsia="ru-RU"/>
        </w:rPr>
        <w:t>.</w:t>
      </w:r>
      <w:r w:rsidR="002A1E91" w:rsidRPr="00457CE9">
        <w:rPr>
          <w:rFonts w:ascii="Times New Roman" w:eastAsia="Times New Roman" w:hAnsi="Times New Roman" w:cs="Times New Roman"/>
          <w:kern w:val="36"/>
          <w:sz w:val="28"/>
          <w:szCs w:val="28"/>
          <w:lang w:val="kk-KZ" w:eastAsia="ru-RU"/>
        </w:rPr>
        <w:t xml:space="preserve"> </w:t>
      </w:r>
      <w:r w:rsidR="002802A8" w:rsidRPr="00457CE9">
        <w:rPr>
          <w:rFonts w:ascii="Times New Roman" w:eastAsia="Times New Roman" w:hAnsi="Times New Roman" w:cs="Times New Roman"/>
          <w:kern w:val="36"/>
          <w:sz w:val="28"/>
          <w:szCs w:val="28"/>
          <w:lang w:val="kk-KZ" w:eastAsia="ru-RU"/>
        </w:rPr>
        <w:t xml:space="preserve">Рейтинг статистикасын қалыптастыру кезінде келесі факторлар ескерілген: </w:t>
      </w:r>
      <w:r w:rsidR="002802A8" w:rsidRPr="00A742C2">
        <w:rPr>
          <w:rFonts w:ascii="Times New Roman" w:eastAsia="Times New Roman" w:hAnsi="Times New Roman" w:cs="Times New Roman"/>
          <w:color w:val="FF0000"/>
          <w:kern w:val="36"/>
          <w:sz w:val="28"/>
          <w:szCs w:val="28"/>
          <w:lang w:val="kk-KZ" w:eastAsia="ru-RU"/>
        </w:rPr>
        <w:t>баға мен халықтың табысының ара қатынасы көрсеткіші, ішкі нарықта өнімдер жеткіліктілігі және оның сатылымға қойылған ассортименті. Қазақстанда кейбір аймақтар азық-түлікпен өзін</w:t>
      </w:r>
      <w:r w:rsidR="00A82500" w:rsidRPr="00A742C2">
        <w:rPr>
          <w:rFonts w:ascii="Times New Roman" w:eastAsia="Times New Roman" w:hAnsi="Times New Roman" w:cs="Times New Roman"/>
          <w:color w:val="FF0000"/>
          <w:kern w:val="36"/>
          <w:sz w:val="28"/>
          <w:szCs w:val="28"/>
          <w:lang w:val="kk-KZ" w:eastAsia="ru-RU"/>
        </w:rPr>
        <w:t>-</w:t>
      </w:r>
      <w:r w:rsidR="002802A8" w:rsidRPr="00A742C2">
        <w:rPr>
          <w:rFonts w:ascii="Times New Roman" w:eastAsia="Times New Roman" w:hAnsi="Times New Roman" w:cs="Times New Roman"/>
          <w:color w:val="FF0000"/>
          <w:kern w:val="36"/>
          <w:sz w:val="28"/>
          <w:szCs w:val="28"/>
          <w:lang w:val="kk-KZ" w:eastAsia="ru-RU"/>
        </w:rPr>
        <w:t>өзі жақсы қамтамасыз етуде, кейбір аймақтарда нашар деп бағаланған</w:t>
      </w:r>
      <w:r w:rsidR="00644665" w:rsidRPr="00A742C2">
        <w:rPr>
          <w:rFonts w:ascii="Times New Roman" w:eastAsia="Times New Roman" w:hAnsi="Times New Roman" w:cs="Times New Roman"/>
          <w:color w:val="FF0000"/>
          <w:kern w:val="36"/>
          <w:sz w:val="28"/>
          <w:szCs w:val="28"/>
          <w:lang w:val="kk-KZ" w:eastAsia="ru-RU"/>
        </w:rPr>
        <w:t xml:space="preserve"> </w:t>
      </w:r>
      <w:r w:rsidR="00644665" w:rsidRPr="00457CE9">
        <w:rPr>
          <w:rFonts w:ascii="Times New Roman" w:eastAsia="Times New Roman" w:hAnsi="Times New Roman" w:cs="Times New Roman"/>
          <w:kern w:val="36"/>
          <w:sz w:val="28"/>
          <w:szCs w:val="28"/>
          <w:lang w:val="kk-KZ" w:eastAsia="ru-RU"/>
        </w:rPr>
        <w:t>[</w:t>
      </w:r>
      <w:r w:rsidR="00644665" w:rsidRPr="00644665">
        <w:rPr>
          <w:rFonts w:ascii="Times New Roman" w:eastAsia="Times New Roman" w:hAnsi="Times New Roman" w:cs="Times New Roman"/>
          <w:kern w:val="36"/>
          <w:sz w:val="28"/>
          <w:szCs w:val="28"/>
          <w:lang w:val="kk-KZ" w:eastAsia="ru-RU"/>
        </w:rPr>
        <w:t>109</w:t>
      </w:r>
      <w:r w:rsidR="00644665" w:rsidRPr="00457CE9">
        <w:rPr>
          <w:rFonts w:ascii="Times New Roman" w:eastAsia="Times New Roman" w:hAnsi="Times New Roman" w:cs="Times New Roman"/>
          <w:kern w:val="36"/>
          <w:sz w:val="28"/>
          <w:szCs w:val="28"/>
          <w:lang w:val="kk-KZ" w:eastAsia="ru-RU"/>
        </w:rPr>
        <w:t>].</w:t>
      </w:r>
    </w:p>
    <w:p w14:paraId="48AF72C3" w14:textId="76B73469" w:rsidR="00E534C8" w:rsidRPr="00457CE9" w:rsidRDefault="000301C0" w:rsidP="00457CE9">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sidRPr="00A742C2">
        <w:rPr>
          <w:rFonts w:ascii="Times New Roman" w:eastAsia="Times New Roman" w:hAnsi="Times New Roman" w:cs="Times New Roman"/>
          <w:i/>
          <w:iCs/>
          <w:kern w:val="36"/>
          <w:sz w:val="28"/>
          <w:szCs w:val="28"/>
          <w:lang w:val="kk-KZ" w:eastAsia="ru-RU"/>
        </w:rPr>
        <w:t>Қосымша Б</w:t>
      </w:r>
      <w:r w:rsidRPr="00A742C2">
        <w:rPr>
          <w:rFonts w:ascii="Times New Roman" w:eastAsia="Times New Roman" w:hAnsi="Times New Roman" w:cs="Times New Roman"/>
          <w:kern w:val="36"/>
          <w:sz w:val="28"/>
          <w:szCs w:val="28"/>
          <w:lang w:val="kk-KZ" w:eastAsia="ru-RU"/>
        </w:rPr>
        <w:t xml:space="preserve"> негізінде </w:t>
      </w:r>
      <w:r w:rsidR="00E534C8" w:rsidRPr="00A742C2">
        <w:rPr>
          <w:rFonts w:ascii="Times New Roman" w:eastAsia="Times New Roman" w:hAnsi="Times New Roman" w:cs="Times New Roman"/>
          <w:kern w:val="36"/>
          <w:sz w:val="28"/>
          <w:szCs w:val="28"/>
          <w:lang w:val="kk-KZ" w:eastAsia="ru-RU"/>
        </w:rPr>
        <w:t xml:space="preserve">ҚР АӨК </w:t>
      </w:r>
      <w:r w:rsidR="00E534C8" w:rsidRPr="00457CE9">
        <w:rPr>
          <w:rFonts w:ascii="Times New Roman" w:eastAsia="Times New Roman" w:hAnsi="Times New Roman" w:cs="Times New Roman"/>
          <w:kern w:val="36"/>
          <w:sz w:val="28"/>
          <w:szCs w:val="28"/>
          <w:lang w:val="kk-KZ" w:eastAsia="ru-RU"/>
        </w:rPr>
        <w:t xml:space="preserve">дамытудың 2021-2025 жж. ұлттық жобасындағы </w:t>
      </w:r>
      <w:r w:rsidR="00E534C8" w:rsidRPr="00457CE9">
        <w:rPr>
          <w:rFonts w:ascii="Times New Roman" w:hAnsi="Times New Roman" w:cs="Times New Roman"/>
          <w:sz w:val="28"/>
          <w:szCs w:val="28"/>
          <w:lang w:val="kk-KZ"/>
        </w:rPr>
        <w:t>өңделген өнімнің үлесін 70%-ға дейін жеткізе отырып, АӨК өнімдерінің экспортын 2 есе ұлғайту</w:t>
      </w:r>
      <w:r w:rsidR="00E534C8" w:rsidRPr="00457CE9">
        <w:rPr>
          <w:rFonts w:ascii="Times New Roman" w:eastAsia="Times New Roman" w:hAnsi="Times New Roman" w:cs="Times New Roman"/>
          <w:kern w:val="36"/>
          <w:sz w:val="28"/>
          <w:szCs w:val="28"/>
          <w:lang w:val="kk-KZ" w:eastAsia="ru-RU"/>
        </w:rPr>
        <w:t xml:space="preserve"> міндетін іске асыруға арналған нәтижелі көрсеткіштер мен іс шаралар</w:t>
      </w:r>
      <w:r w:rsidR="002A1E91" w:rsidRPr="00457CE9">
        <w:rPr>
          <w:rFonts w:ascii="Times New Roman" w:eastAsia="Times New Roman" w:hAnsi="Times New Roman" w:cs="Times New Roman"/>
          <w:kern w:val="36"/>
          <w:sz w:val="28"/>
          <w:szCs w:val="28"/>
          <w:lang w:val="kk-KZ" w:eastAsia="ru-RU"/>
        </w:rPr>
        <w:t>ы</w:t>
      </w:r>
      <w:r w:rsidR="00E534C8" w:rsidRPr="00457CE9">
        <w:rPr>
          <w:rFonts w:ascii="Times New Roman" w:eastAsia="Times New Roman" w:hAnsi="Times New Roman" w:cs="Times New Roman"/>
          <w:kern w:val="36"/>
          <w:sz w:val="28"/>
          <w:szCs w:val="28"/>
          <w:lang w:val="kk-KZ" w:eastAsia="ru-RU"/>
        </w:rPr>
        <w:t xml:space="preserve"> келтірілген.</w:t>
      </w:r>
    </w:p>
    <w:p w14:paraId="6E6A2203" w14:textId="37BD9367" w:rsidR="004C30A8" w:rsidRPr="00457CE9" w:rsidRDefault="00656EE7" w:rsidP="00457C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Б мәліметтерінен</w:t>
      </w:r>
      <w:r w:rsidR="004C30A8" w:rsidRPr="001B19E4">
        <w:rPr>
          <w:rFonts w:ascii="Times New Roman" w:hAnsi="Times New Roman" w:cs="Times New Roman"/>
          <w:sz w:val="28"/>
          <w:szCs w:val="28"/>
          <w:lang w:val="kk-KZ"/>
        </w:rPr>
        <w:t xml:space="preserve"> </w:t>
      </w:r>
      <w:r w:rsidR="004C30A8" w:rsidRPr="001B19E4">
        <w:rPr>
          <w:rFonts w:ascii="Times New Roman" w:eastAsia="Times New Roman" w:hAnsi="Times New Roman" w:cs="Times New Roman"/>
          <w:kern w:val="36"/>
          <w:sz w:val="28"/>
          <w:szCs w:val="28"/>
          <w:lang w:val="kk-KZ" w:eastAsia="ru-RU"/>
        </w:rPr>
        <w:t xml:space="preserve">ҚР АӨК 2021-2025 жж. дамытудың ұлттық жобасындағы бекітілген 3-міндет </w:t>
      </w:r>
      <w:r w:rsidR="004C30A8" w:rsidRPr="001B19E4">
        <w:rPr>
          <w:rFonts w:ascii="Times New Roman" w:hAnsi="Times New Roman" w:cs="Times New Roman"/>
          <w:sz w:val="28"/>
          <w:szCs w:val="28"/>
          <w:lang w:val="kk-KZ"/>
        </w:rPr>
        <w:t xml:space="preserve">өңделген өнімнің үлесін 70%-ға дейін ұлғайта отырып, АӨК өнімдерінің экспортын 2 есе ұлғайту, яғни, 26 млрд. АҚШ долларына дейін </w:t>
      </w:r>
      <w:r w:rsidR="004C30A8" w:rsidRPr="00457CE9">
        <w:rPr>
          <w:rFonts w:ascii="Times New Roman" w:hAnsi="Times New Roman" w:cs="Times New Roman"/>
          <w:sz w:val="28"/>
          <w:szCs w:val="28"/>
          <w:lang w:val="kk-KZ"/>
        </w:rPr>
        <w:t xml:space="preserve">жеткізу деп анықталған. Бұл міндетті іске асыру үшін жоспарланған жалпы қаржының 923493 млн. теңгесі немесе 13,57 пайызы қарастырылған. Яғни, жалпы 4 көрсеткіш, 13 іс-шара анықталған. Кейбір көрсеткіштер мен іс-шараларды іске асыруға қаражат талап етілмейді деп көрсетілген, дегенмен оның жобаны іске асырудағы ықпалын бағалау да өте маңызды. </w:t>
      </w:r>
    </w:p>
    <w:p w14:paraId="78A7D262" w14:textId="061F8E5F" w:rsidR="004C30A8" w:rsidRPr="00457CE9" w:rsidRDefault="004C30A8"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Аталған нәтижелі көрсеткіштер мен іс-шаралар ішінде </w:t>
      </w:r>
      <w:r w:rsidRPr="00457CE9">
        <w:rPr>
          <w:rFonts w:ascii="Times New Roman" w:hAnsi="Times New Roman" w:cs="Times New Roman"/>
          <w:color w:val="000000"/>
          <w:sz w:val="28"/>
          <w:szCs w:val="28"/>
          <w:shd w:val="clear" w:color="auto" w:fill="FFFFFF"/>
          <w:lang w:val="kk-KZ"/>
        </w:rPr>
        <w:t xml:space="preserve">ауыл шаруашылығы өнімдерін (ұн, макарондар, жарма, ет, сүт, май-тоңмай, жеміс-көкөніс өнімі, кондитерлік өнім, алкогольсіз сусындар, сондай-ақ астықты терең өңдеу өнімі) өңдеу жөніндегі экспортқа бағдарланған инвестициялық жобаларды іске асыруға 867009 млн.теңгесін </w:t>
      </w:r>
      <w:r w:rsidRPr="00457CE9">
        <w:rPr>
          <w:rFonts w:ascii="Times New Roman" w:eastAsia="Times New Roman" w:hAnsi="Times New Roman" w:cs="Times New Roman"/>
          <w:kern w:val="36"/>
          <w:sz w:val="28"/>
          <w:szCs w:val="28"/>
          <w:lang w:val="kk-KZ" w:eastAsia="ru-RU"/>
        </w:rPr>
        <w:t xml:space="preserve">194 </w:t>
      </w:r>
      <w:r w:rsidRPr="00457CE9">
        <w:rPr>
          <w:rFonts w:ascii="Times New Roman" w:hAnsi="Times New Roman" w:cs="Times New Roman"/>
          <w:color w:val="000000"/>
          <w:sz w:val="28"/>
          <w:szCs w:val="28"/>
          <w:shd w:val="clear" w:color="auto" w:fill="FFFFFF"/>
          <w:lang w:val="kk-KZ"/>
        </w:rPr>
        <w:t xml:space="preserve">жобаларды іске асыруға осы міндетке жоспарланған қаржының 93 пайызы қарастырылған. </w:t>
      </w:r>
      <w:r w:rsidR="00A742C2" w:rsidRPr="00A742C2">
        <w:rPr>
          <w:rStyle w:val="a4"/>
          <w:color w:val="auto"/>
          <w:sz w:val="28"/>
          <w:szCs w:val="28"/>
          <w:u w:val="none"/>
          <w:lang w:val="kk-KZ"/>
        </w:rPr>
        <w:t xml:space="preserve">ҚР Стратегиялық жоспарлау және реформалар агенттінің ресми </w:t>
      </w:r>
      <w:r w:rsidRPr="00457CE9">
        <w:rPr>
          <w:rFonts w:ascii="Times New Roman" w:hAnsi="Times New Roman" w:cs="Times New Roman"/>
          <w:sz w:val="28"/>
          <w:szCs w:val="28"/>
          <w:lang w:val="kk-KZ"/>
        </w:rPr>
        <w:t>мәліметтері бойынша ауыл, орман және балық шаруашылығы саласында тіркелген кәсіпорындар саны 2016 жыл басына 12858 бірлік болса, 2021 жыл басына 18848 бірлік тіркелген</w:t>
      </w:r>
      <w:r w:rsidR="0096088F" w:rsidRPr="00457CE9">
        <w:rPr>
          <w:rFonts w:ascii="Times New Roman" w:hAnsi="Times New Roman" w:cs="Times New Roman"/>
          <w:sz w:val="28"/>
          <w:szCs w:val="28"/>
          <w:lang w:val="kk-KZ"/>
        </w:rPr>
        <w:t xml:space="preserve"> [</w:t>
      </w:r>
      <w:r w:rsidR="000301C0">
        <w:rPr>
          <w:rFonts w:ascii="Times New Roman" w:hAnsi="Times New Roman" w:cs="Times New Roman"/>
          <w:sz w:val="28"/>
          <w:szCs w:val="28"/>
          <w:lang w:val="kk-KZ"/>
        </w:rPr>
        <w:t>8</w:t>
      </w:r>
      <w:r w:rsidR="00644665" w:rsidRPr="00644665">
        <w:rPr>
          <w:rFonts w:ascii="Times New Roman" w:hAnsi="Times New Roman" w:cs="Times New Roman"/>
          <w:sz w:val="28"/>
          <w:szCs w:val="28"/>
          <w:lang w:val="kk-KZ"/>
        </w:rPr>
        <w:t>2</w:t>
      </w:r>
      <w:r w:rsidR="0096088F"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p>
    <w:p w14:paraId="593EFF33" w14:textId="6BA3E745" w:rsidR="004C30A8" w:rsidRPr="00457CE9" w:rsidRDefault="004C30A8"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Сәйкес жылдары тамақ өнімдерін қайта өңдеу 2016 жылы 1448386 млн. теңге, 2020 жылы 1928984 млн. теңгені құраған. Өңделген өнімнің үлесін 70 пайызға дейін жеткізу және АӨК өнімдерінің экспортын екі есе ұлғайтудың нәтижелі көрсеткіштеріне экспортқа бағдарланған инвестициялық жобалар арқылы іс</w:t>
      </w:r>
      <w:r w:rsidR="007C0ECB">
        <w:rPr>
          <w:rFonts w:ascii="Times New Roman" w:hAnsi="Times New Roman" w:cs="Times New Roman"/>
          <w:sz w:val="28"/>
          <w:szCs w:val="28"/>
          <w:lang w:val="kk-KZ"/>
        </w:rPr>
        <w:t>ке</w:t>
      </w:r>
      <w:r w:rsidRPr="00457CE9">
        <w:rPr>
          <w:rFonts w:ascii="Times New Roman" w:hAnsi="Times New Roman" w:cs="Times New Roman"/>
          <w:sz w:val="28"/>
          <w:szCs w:val="28"/>
          <w:lang w:val="kk-KZ"/>
        </w:rPr>
        <w:t xml:space="preserve"> асыру, өнім сапасын жоғарылату шараларымен, яғни</w:t>
      </w:r>
      <w:r w:rsidR="007C0ECB">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GMP стандартына сәйкестендіру, ветеринариялық іс</w:t>
      </w:r>
      <w:r w:rsidR="007C0ECB">
        <w:rPr>
          <w:rFonts w:ascii="Times New Roman" w:hAnsi="Times New Roman" w:cs="Times New Roman"/>
          <w:sz w:val="28"/>
          <w:szCs w:val="28"/>
          <w:lang w:val="kk-KZ"/>
        </w:rPr>
        <w:t>-</w:t>
      </w:r>
      <w:r w:rsidRPr="00457CE9">
        <w:rPr>
          <w:rFonts w:ascii="Times New Roman" w:hAnsi="Times New Roman" w:cs="Times New Roman"/>
          <w:sz w:val="28"/>
          <w:szCs w:val="28"/>
          <w:lang w:val="kk-KZ"/>
        </w:rPr>
        <w:t>шараларды өткізу үшін препараттар айналысын қадағалау, фитосанитарлық қызметті құрылымдау, ветеринариялық қызметтерді жарақтандыру, зертханалық жабдықтарды жаңарту, аумақтық инспекцияларды материалдық қамтамасыз ету арқылы іске асыру жоспарланып отыр</w:t>
      </w:r>
      <w:r w:rsidR="0096088F" w:rsidRPr="00457CE9">
        <w:rPr>
          <w:rFonts w:ascii="Times New Roman" w:hAnsi="Times New Roman" w:cs="Times New Roman"/>
          <w:sz w:val="28"/>
          <w:szCs w:val="28"/>
          <w:lang w:val="kk-KZ"/>
        </w:rPr>
        <w:t xml:space="preserve"> [</w:t>
      </w:r>
      <w:r w:rsidR="000301C0">
        <w:rPr>
          <w:rFonts w:ascii="Times New Roman" w:hAnsi="Times New Roman" w:cs="Times New Roman"/>
          <w:sz w:val="28"/>
          <w:szCs w:val="28"/>
          <w:lang w:val="kk-KZ"/>
        </w:rPr>
        <w:t>8</w:t>
      </w:r>
      <w:r w:rsidR="00644665" w:rsidRPr="00644665">
        <w:rPr>
          <w:rFonts w:ascii="Times New Roman" w:hAnsi="Times New Roman" w:cs="Times New Roman"/>
          <w:sz w:val="28"/>
          <w:szCs w:val="28"/>
          <w:lang w:val="kk-KZ"/>
        </w:rPr>
        <w:t>2</w:t>
      </w:r>
      <w:r w:rsidR="0096088F"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59F2F7ED" w14:textId="0F8331C6" w:rsidR="005A6CB8" w:rsidRPr="00457CE9" w:rsidRDefault="005A6CB8"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АӨК өнімдері экспортының жалпы көлеміндегі өңделген өнімдердің үлесін 2025 жылы 70 пайызға дейін жеткізу жоспарланып отырғанын көруге болады. АӨК өнімдері үшін экспорттық нарықтарды ашу және </w:t>
      </w:r>
      <w:r w:rsidRPr="00457CE9">
        <w:rPr>
          <w:rFonts w:ascii="Times New Roman" w:hAnsi="Times New Roman" w:cs="Times New Roman"/>
          <w:color w:val="000000"/>
          <w:sz w:val="28"/>
          <w:szCs w:val="28"/>
          <w:shd w:val="clear" w:color="auto" w:fill="FFFFFF"/>
          <w:lang w:val="kk-KZ"/>
        </w:rPr>
        <w:t>Республикалық мемлекеттік кәсіпорын мен МИК «РӨКР» ММ-н</w:t>
      </w:r>
      <w:r w:rsidR="004B1B78" w:rsidRPr="00457CE9">
        <w:rPr>
          <w:rFonts w:ascii="Times New Roman" w:hAnsi="Times New Roman" w:cs="Times New Roman"/>
          <w:color w:val="000000"/>
          <w:sz w:val="28"/>
          <w:szCs w:val="28"/>
          <w:shd w:val="clear" w:color="auto" w:fill="FFFFFF"/>
          <w:lang w:val="kk-KZ"/>
        </w:rPr>
        <w:t>і</w:t>
      </w:r>
      <w:r w:rsidRPr="00457CE9">
        <w:rPr>
          <w:rFonts w:ascii="Times New Roman" w:hAnsi="Times New Roman" w:cs="Times New Roman"/>
          <w:color w:val="000000"/>
          <w:sz w:val="28"/>
          <w:szCs w:val="28"/>
          <w:shd w:val="clear" w:color="auto" w:fill="FFFFFF"/>
          <w:lang w:val="kk-KZ"/>
        </w:rPr>
        <w:t xml:space="preserve"> ҚР АШМ АӨК-ге біріктіру жолымен фитосанитариялық қызмет құрылымын реформалауға қаржы талап етілмейді деп көрсетілген, мәселен Ауыл шаруашылық министрілігі ұлттық жобаны әзірлеуші және іске асырушы жауапты орган ретінде орындайтын жұмысы болып табылады. Берілген міндетті іске асырудың әлеуметтік әсері ретінде жаңа тұрақты 10670 және уақытша 11834 жұмыс орындарының құрылатыны жоспарланғанын атап өтуге болады</w:t>
      </w:r>
      <w:r w:rsidR="0096088F" w:rsidRPr="00457CE9">
        <w:rPr>
          <w:rFonts w:ascii="Times New Roman" w:hAnsi="Times New Roman" w:cs="Times New Roman"/>
          <w:color w:val="000000"/>
          <w:sz w:val="28"/>
          <w:szCs w:val="28"/>
          <w:shd w:val="clear" w:color="auto" w:fill="FFFFFF"/>
          <w:lang w:val="kk-KZ"/>
        </w:rPr>
        <w:t xml:space="preserve"> [</w:t>
      </w:r>
      <w:r w:rsidR="000301C0">
        <w:rPr>
          <w:rFonts w:ascii="Times New Roman" w:hAnsi="Times New Roman" w:cs="Times New Roman"/>
          <w:color w:val="000000"/>
          <w:sz w:val="28"/>
          <w:szCs w:val="28"/>
          <w:shd w:val="clear" w:color="auto" w:fill="FFFFFF"/>
          <w:lang w:val="kk-KZ"/>
        </w:rPr>
        <w:t>8</w:t>
      </w:r>
      <w:r w:rsidR="00644665" w:rsidRPr="00644665">
        <w:rPr>
          <w:rFonts w:ascii="Times New Roman" w:hAnsi="Times New Roman" w:cs="Times New Roman"/>
          <w:color w:val="000000"/>
          <w:sz w:val="28"/>
          <w:szCs w:val="28"/>
          <w:shd w:val="clear" w:color="auto" w:fill="FFFFFF"/>
          <w:lang w:val="kk-KZ"/>
        </w:rPr>
        <w:t>2</w:t>
      </w:r>
      <w:r w:rsidR="0096088F" w:rsidRPr="00457CE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color w:val="000000"/>
          <w:sz w:val="28"/>
          <w:szCs w:val="28"/>
          <w:shd w:val="clear" w:color="auto" w:fill="FFFFFF"/>
          <w:lang w:val="kk-KZ"/>
        </w:rPr>
        <w:t>.</w:t>
      </w:r>
      <w:r w:rsidRPr="00457CE9">
        <w:rPr>
          <w:rFonts w:ascii="Times New Roman" w:hAnsi="Times New Roman" w:cs="Times New Roman"/>
          <w:sz w:val="28"/>
          <w:szCs w:val="28"/>
          <w:lang w:val="kk-KZ"/>
        </w:rPr>
        <w:t xml:space="preserve"> </w:t>
      </w:r>
      <w:r w:rsidR="00BA3B02" w:rsidRPr="00457CE9">
        <w:rPr>
          <w:rFonts w:ascii="Times New Roman" w:hAnsi="Times New Roman" w:cs="Times New Roman"/>
          <w:sz w:val="28"/>
          <w:szCs w:val="28"/>
          <w:lang w:val="kk-KZ"/>
        </w:rPr>
        <w:t xml:space="preserve">ҚР АӨК МИК-де қарамағындағы ұйымдары «Республикалық өсімдіктер карантині» ММ-сі, «Республикалық фитосанитарлық диагностика және болжамдар әдістемелік орталығы» РММ, «Фитосанитария» ШЖҚ РМК болып табылады. Сонымен қатар республикалық маңызы бар қалалар мен облыстарда аумақтық инспекциялары жұмыстарды атқарады. </w:t>
      </w:r>
    </w:p>
    <w:p w14:paraId="3E444967" w14:textId="768F4964" w:rsidR="00BA3B02" w:rsidRPr="00457CE9" w:rsidRDefault="00DF7FBE"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Ауыл шаруашылығы министрлігінің қарамағындағы ұйымдары «Ұлттық аграрлық ғылыми-білім беру орталығы» КеАҚ-ы, «Азық-түлік келісім шарт корпорациясы» ҰК» АҚ-ы болып табылады. «Азық-түлік келісім шарт корпорациясы» ҰК» АҚ-ның ҚР астық саласындағы мемлекеттік саясатты, соның ішінде азық-түлік қауіпсіздігін қамтамасыз етуге, ішкі астық нарығын тұрақтандыруға, АӨК субъектілерін қаржылық қолдау шараларына белсенді қатысу арқылы іске асырып келе жатқан ұлттық компания.</w:t>
      </w:r>
    </w:p>
    <w:p w14:paraId="59F5543D" w14:textId="4705DB5A" w:rsidR="00815A3A" w:rsidRPr="00457CE9" w:rsidRDefault="000301C0" w:rsidP="00457CE9">
      <w:pPr>
        <w:spacing w:after="0" w:line="240" w:lineRule="auto"/>
        <w:ind w:firstLine="709"/>
        <w:jc w:val="both"/>
        <w:rPr>
          <w:rFonts w:ascii="Times New Roman" w:hAnsi="Times New Roman" w:cs="Times New Roman"/>
          <w:sz w:val="28"/>
          <w:szCs w:val="28"/>
          <w:lang w:val="kk-KZ"/>
        </w:rPr>
      </w:pPr>
      <w:r w:rsidRPr="007C0ECB">
        <w:rPr>
          <w:rFonts w:ascii="Times New Roman" w:hAnsi="Times New Roman" w:cs="Times New Roman"/>
          <w:i/>
          <w:iCs/>
          <w:sz w:val="28"/>
          <w:szCs w:val="28"/>
          <w:lang w:val="kk-KZ"/>
        </w:rPr>
        <w:t>Қосымша В</w:t>
      </w:r>
      <w:r w:rsidRPr="00656EE7">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бойынша </w:t>
      </w:r>
      <w:r w:rsidR="002802A8" w:rsidRPr="00457CE9">
        <w:rPr>
          <w:rFonts w:ascii="Times New Roman" w:hAnsi="Times New Roman" w:cs="Times New Roman"/>
          <w:sz w:val="28"/>
          <w:szCs w:val="28"/>
          <w:lang w:val="kk-KZ"/>
        </w:rPr>
        <w:t xml:space="preserve">ҚР АӨК дамытудың 2021-2025 жж. ұлттық жобасындағы </w:t>
      </w:r>
      <w:r w:rsidR="005A6CB8" w:rsidRPr="00457CE9">
        <w:rPr>
          <w:rFonts w:ascii="Times New Roman" w:eastAsia="Times New Roman" w:hAnsi="Times New Roman" w:cs="Times New Roman"/>
          <w:kern w:val="36"/>
          <w:sz w:val="28"/>
          <w:szCs w:val="28"/>
          <w:lang w:val="kk-KZ" w:eastAsia="ru-RU"/>
        </w:rPr>
        <w:t>7 ірі экожүйе қалыптастыру және инвестициялық жобаларды іске асыру есебінен 1 млн. ауыл тұрғынының табысын тұрақты арттыру</w:t>
      </w:r>
      <w:r w:rsidR="005A6CB8" w:rsidRPr="00457CE9">
        <w:rPr>
          <w:rFonts w:ascii="Times New Roman" w:hAnsi="Times New Roman" w:cs="Times New Roman"/>
          <w:sz w:val="28"/>
          <w:szCs w:val="28"/>
          <w:lang w:val="kk-KZ"/>
        </w:rPr>
        <w:t xml:space="preserve"> </w:t>
      </w:r>
      <w:r w:rsidR="002802A8" w:rsidRPr="00457CE9">
        <w:rPr>
          <w:rFonts w:ascii="Times New Roman" w:hAnsi="Times New Roman" w:cs="Times New Roman"/>
          <w:sz w:val="28"/>
          <w:szCs w:val="28"/>
          <w:lang w:val="kk-KZ"/>
        </w:rPr>
        <w:t>міндетін іске асырудың нәтижелі көрсеткіштері мен іс-шаралар</w:t>
      </w:r>
      <w:r w:rsidR="007C0ECB">
        <w:rPr>
          <w:rFonts w:ascii="Times New Roman" w:hAnsi="Times New Roman" w:cs="Times New Roman"/>
          <w:sz w:val="28"/>
          <w:szCs w:val="28"/>
          <w:lang w:val="kk-KZ"/>
        </w:rPr>
        <w:t>ы</w:t>
      </w:r>
      <w:r w:rsidR="002802A8" w:rsidRPr="00457CE9">
        <w:rPr>
          <w:rFonts w:ascii="Times New Roman" w:hAnsi="Times New Roman" w:cs="Times New Roman"/>
          <w:sz w:val="28"/>
          <w:szCs w:val="28"/>
          <w:lang w:val="kk-KZ"/>
        </w:rPr>
        <w:t xml:space="preserve"> келтірілген</w:t>
      </w:r>
      <w:r w:rsidR="0096088F" w:rsidRPr="00457CE9">
        <w:rPr>
          <w:rFonts w:ascii="Times New Roman" w:hAnsi="Times New Roman" w:cs="Times New Roman"/>
          <w:sz w:val="28"/>
          <w:szCs w:val="28"/>
          <w:lang w:val="kk-KZ"/>
        </w:rPr>
        <w:t xml:space="preserve"> [</w:t>
      </w:r>
      <w:r>
        <w:rPr>
          <w:rFonts w:ascii="Times New Roman" w:hAnsi="Times New Roman" w:cs="Times New Roman"/>
          <w:sz w:val="28"/>
          <w:szCs w:val="28"/>
          <w:lang w:val="kk-KZ"/>
        </w:rPr>
        <w:t>8</w:t>
      </w:r>
      <w:r w:rsidR="00644665" w:rsidRPr="00644665">
        <w:rPr>
          <w:rFonts w:ascii="Times New Roman" w:hAnsi="Times New Roman" w:cs="Times New Roman"/>
          <w:sz w:val="28"/>
          <w:szCs w:val="28"/>
          <w:lang w:val="kk-KZ"/>
        </w:rPr>
        <w:t>2</w:t>
      </w:r>
      <w:r w:rsidR="0096088F" w:rsidRPr="00457CE9">
        <w:rPr>
          <w:rFonts w:ascii="Times New Roman" w:hAnsi="Times New Roman" w:cs="Times New Roman"/>
          <w:sz w:val="28"/>
          <w:szCs w:val="28"/>
          <w:lang w:val="kk-KZ"/>
        </w:rPr>
        <w:t>]</w:t>
      </w:r>
      <w:r w:rsidR="002802A8" w:rsidRPr="00457CE9">
        <w:rPr>
          <w:rFonts w:ascii="Times New Roman" w:hAnsi="Times New Roman" w:cs="Times New Roman"/>
          <w:sz w:val="28"/>
          <w:szCs w:val="28"/>
          <w:lang w:val="kk-KZ"/>
        </w:rPr>
        <w:t xml:space="preserve">. </w:t>
      </w:r>
    </w:p>
    <w:p w14:paraId="18947252" w14:textId="77777777" w:rsidR="007C0ECB" w:rsidRDefault="003C220A" w:rsidP="007C0ECB">
      <w:pPr>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eastAsia="Times New Roman" w:hAnsi="Times New Roman" w:cs="Times New Roman"/>
          <w:kern w:val="36"/>
          <w:sz w:val="28"/>
          <w:szCs w:val="28"/>
          <w:lang w:val="kk-KZ" w:eastAsia="ru-RU"/>
        </w:rPr>
        <w:t>ҚР АӨК дамытудың 2021-2025 жж. ұлттық жобасындағы отандық өндірістің негізгі азық-түліктік тауарларымен қамтамасыз етілуі міндетін іске асыруға арналған нәтижелі көрсеткіштер мен іс-шараларын іске асыруға бөлінген жалпы қаражаттың ең үлкен бөлігі, яғни, 3641368 млн. теңге немесе 36,3 пайызы жоспарланған.</w:t>
      </w:r>
      <w:r w:rsidRPr="003C220A">
        <w:rPr>
          <w:rFonts w:ascii="Times New Roman" w:eastAsia="Times New Roman" w:hAnsi="Times New Roman" w:cs="Times New Roman"/>
          <w:kern w:val="36"/>
          <w:sz w:val="28"/>
          <w:szCs w:val="28"/>
          <w:lang w:val="kk-KZ" w:eastAsia="ru-RU"/>
        </w:rPr>
        <w:t xml:space="preserve"> </w:t>
      </w:r>
      <w:r>
        <w:rPr>
          <w:rFonts w:ascii="Times New Roman" w:eastAsia="Times New Roman" w:hAnsi="Times New Roman" w:cs="Times New Roman"/>
          <w:kern w:val="36"/>
          <w:sz w:val="28"/>
          <w:szCs w:val="28"/>
          <w:lang w:val="kk-KZ" w:eastAsia="ru-RU"/>
        </w:rPr>
        <w:t xml:space="preserve">Аталған міндетті іске асыру үшін 5 нәтижелі көрсеткіш пен 41 іс-шара бекітілген. </w:t>
      </w:r>
      <w:r>
        <w:rPr>
          <w:rFonts w:ascii="Times New Roman" w:hAnsi="Times New Roman" w:cs="Times New Roman"/>
          <w:color w:val="000000"/>
          <w:sz w:val="28"/>
          <w:szCs w:val="28"/>
          <w:shd w:val="clear" w:color="auto" w:fill="FFFFFF"/>
          <w:lang w:val="kk-KZ"/>
        </w:rPr>
        <w:t>1-көрсеткіш «Ауыл шаруашылығының негізгі капиталына тартылатын инвестициялар көлемі» 1214982,4 млрд.тг бюджеттен тыс қаражат көзінен деп қарастырылған, бұл осы міндетті іске асырудың 33 пайыз қаржысы арналған.</w:t>
      </w:r>
      <w:r w:rsidR="00656EE7">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Және 3-көрсеткіш. АӨК-те іске асырылатын </w:t>
      </w:r>
      <w:r>
        <w:rPr>
          <w:rFonts w:ascii="Times New Roman" w:eastAsia="Times New Roman" w:hAnsi="Times New Roman" w:cs="Times New Roman"/>
          <w:kern w:val="36"/>
          <w:sz w:val="28"/>
          <w:szCs w:val="28"/>
          <w:lang w:val="kk-KZ" w:eastAsia="ru-RU"/>
        </w:rPr>
        <w:t xml:space="preserve">582 </w:t>
      </w:r>
      <w:r>
        <w:rPr>
          <w:rFonts w:ascii="Times New Roman" w:hAnsi="Times New Roman" w:cs="Times New Roman"/>
          <w:color w:val="000000"/>
          <w:sz w:val="28"/>
          <w:szCs w:val="28"/>
          <w:shd w:val="clear" w:color="auto" w:fill="FFFFFF"/>
          <w:lang w:val="kk-KZ"/>
        </w:rPr>
        <w:t>инвестициялық</w:t>
      </w:r>
      <w:r>
        <w:rPr>
          <w:rFonts w:ascii="Times New Roman" w:eastAsia="Times New Roman" w:hAnsi="Times New Roman" w:cs="Times New Roman"/>
          <w:kern w:val="36"/>
          <w:sz w:val="28"/>
          <w:szCs w:val="28"/>
          <w:lang w:val="kk-KZ" w:eastAsia="ru-RU"/>
        </w:rPr>
        <w:t xml:space="preserve"> </w:t>
      </w:r>
      <w:r>
        <w:rPr>
          <w:rFonts w:ascii="Times New Roman" w:hAnsi="Times New Roman" w:cs="Times New Roman"/>
          <w:color w:val="000000"/>
          <w:sz w:val="28"/>
          <w:szCs w:val="28"/>
          <w:shd w:val="clear" w:color="auto" w:fill="FFFFFF"/>
          <w:lang w:val="kk-KZ"/>
        </w:rPr>
        <w:t>жобаларға 2319580,5 млн. теңге жұмсау қарасытырылған, бұл осы міндетті іске асыруға арналған қаржының 63 пайызын құрайды [8</w:t>
      </w:r>
      <w:r w:rsidR="00644665" w:rsidRPr="00644665">
        <w:rPr>
          <w:rFonts w:ascii="Times New Roman" w:hAnsi="Times New Roman" w:cs="Times New Roman"/>
          <w:color w:val="000000"/>
          <w:sz w:val="28"/>
          <w:szCs w:val="28"/>
          <w:shd w:val="clear" w:color="auto" w:fill="FFFFFF"/>
          <w:lang w:val="kk-KZ"/>
        </w:rPr>
        <w:t>2</w:t>
      </w:r>
      <w:r>
        <w:rPr>
          <w:rFonts w:ascii="Times New Roman" w:hAnsi="Times New Roman" w:cs="Times New Roman"/>
          <w:color w:val="000000"/>
          <w:sz w:val="28"/>
          <w:szCs w:val="28"/>
          <w:shd w:val="clear" w:color="auto" w:fill="FFFFFF"/>
          <w:lang w:val="kk-KZ"/>
        </w:rPr>
        <w:t xml:space="preserve">]. </w:t>
      </w:r>
      <w:r w:rsidR="002802A8" w:rsidRPr="00457CE9">
        <w:rPr>
          <w:rFonts w:ascii="Times New Roman" w:hAnsi="Times New Roman" w:cs="Times New Roman"/>
          <w:color w:val="000000"/>
          <w:sz w:val="28"/>
          <w:szCs w:val="28"/>
          <w:shd w:val="clear" w:color="auto" w:fill="FFFFFF"/>
          <w:lang w:val="kk-KZ"/>
        </w:rPr>
        <w:t>Негізінен отандық өндірістің негізгі азық-түліктік тауарларымен қамтамасыз ету тамақ өнімдері өндірісінің негізгі капиталына инвестиция тарту, ауыл шаруашылық тауар өндірушілер несие, лизинг алу кезіндегі сыйақыларды субсидиялау, қарыздарын кепілдендіру, сақтандыруды субсидиялау шеккен зияндарын өтеу, сүт, ет, жемістер, астық дақылдарын, майлы дақылдарын, балық өңдеу мен өндіру бойынша, қант өндірудің инвестициялық жобаларын іске асыра отырып жұмыс орындарын құру шараларын іске асыру жоспарланған. Сонымен қатар цифрландырылған жер үлесін жоғарылату шаралары, соның ішінде, топырақты зерттеу, аэроғарыштық түсірілімдер жүргізу, топырақ бонитетін анықтау, топырақтық және геоботаникалық карталар дайындау, ауыл шаруашылығы карталарын жасау жоспарланған.</w:t>
      </w:r>
      <w:r w:rsidR="000D7FF8" w:rsidRPr="00457CE9">
        <w:rPr>
          <w:rFonts w:ascii="Times New Roman" w:hAnsi="Times New Roman" w:cs="Times New Roman"/>
          <w:color w:val="000000"/>
          <w:sz w:val="28"/>
          <w:szCs w:val="28"/>
          <w:shd w:val="clear" w:color="auto" w:fill="FFFFFF"/>
          <w:lang w:val="kk-KZ"/>
        </w:rPr>
        <w:t xml:space="preserve"> </w:t>
      </w:r>
      <w:r w:rsidR="002802A8" w:rsidRPr="00457CE9">
        <w:rPr>
          <w:rFonts w:ascii="Times New Roman" w:hAnsi="Times New Roman" w:cs="Times New Roman"/>
          <w:color w:val="000000"/>
          <w:sz w:val="28"/>
          <w:szCs w:val="28"/>
          <w:shd w:val="clear" w:color="auto" w:fill="FFFFFF"/>
          <w:lang w:val="kk-KZ"/>
        </w:rPr>
        <w:t>Нәтижесінде 86887 адамға тұрақты жұмыс орындарын құру, 381406 адамға уақытша жұмыс орындарын құру көзделген.</w:t>
      </w:r>
      <w:r w:rsidR="007C0ECB">
        <w:rPr>
          <w:rFonts w:ascii="Times New Roman" w:hAnsi="Times New Roman" w:cs="Times New Roman"/>
          <w:color w:val="000000"/>
          <w:sz w:val="28"/>
          <w:szCs w:val="28"/>
          <w:shd w:val="clear" w:color="auto" w:fill="FFFFFF"/>
          <w:lang w:val="kk-KZ"/>
        </w:rPr>
        <w:t xml:space="preserve"> </w:t>
      </w:r>
    </w:p>
    <w:p w14:paraId="57EA8114" w14:textId="39F21ECD" w:rsidR="00656EE7" w:rsidRDefault="00656EE7" w:rsidP="007C0ECB">
      <w:pPr>
        <w:spacing w:after="0" w:line="240" w:lineRule="auto"/>
        <w:ind w:firstLine="567"/>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2022 жылы АӨК дамытудың ұлттық жобасына жоспарланған және нақты жұмсалған бюджет қаражаты туралы ақпарат 3</w:t>
      </w:r>
      <w:r w:rsidR="007F5D1B">
        <w:rPr>
          <w:rFonts w:ascii="Times New Roman" w:hAnsi="Times New Roman" w:cs="Times New Roman"/>
          <w:color w:val="000000"/>
          <w:spacing w:val="2"/>
          <w:sz w:val="28"/>
          <w:szCs w:val="28"/>
          <w:shd w:val="clear" w:color="auto" w:fill="FFFFFF"/>
          <w:lang w:val="kk-KZ"/>
        </w:rPr>
        <w:t>1</w:t>
      </w:r>
      <w:r>
        <w:rPr>
          <w:rFonts w:ascii="Times New Roman" w:hAnsi="Times New Roman" w:cs="Times New Roman"/>
          <w:color w:val="000000"/>
          <w:spacing w:val="2"/>
          <w:sz w:val="28"/>
          <w:szCs w:val="28"/>
          <w:shd w:val="clear" w:color="auto" w:fill="FFFFFF"/>
          <w:lang w:val="kk-KZ"/>
        </w:rPr>
        <w:t>-кестеде келтірілген.</w:t>
      </w:r>
    </w:p>
    <w:p w14:paraId="5A66C58A" w14:textId="77777777" w:rsidR="00656EE7" w:rsidRDefault="00656EE7" w:rsidP="00656EE7">
      <w:pPr>
        <w:spacing w:after="0" w:line="240" w:lineRule="auto"/>
        <w:jc w:val="both"/>
        <w:rPr>
          <w:rFonts w:ascii="Times New Roman" w:hAnsi="Times New Roman" w:cs="Times New Roman"/>
          <w:color w:val="000000"/>
          <w:spacing w:val="2"/>
          <w:sz w:val="28"/>
          <w:szCs w:val="28"/>
          <w:shd w:val="clear" w:color="auto" w:fill="FFFFFF"/>
          <w:lang w:val="kk-KZ"/>
        </w:rPr>
      </w:pPr>
    </w:p>
    <w:p w14:paraId="33B520D7" w14:textId="5D6351B9" w:rsidR="00656EE7" w:rsidRDefault="00656EE7" w:rsidP="00656EE7">
      <w:pPr>
        <w:spacing w:after="0" w:line="240" w:lineRule="auto"/>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Кесте 3</w:t>
      </w:r>
      <w:r w:rsidR="007F5D1B">
        <w:rPr>
          <w:rFonts w:ascii="Times New Roman" w:hAnsi="Times New Roman" w:cs="Times New Roman"/>
          <w:color w:val="000000"/>
          <w:spacing w:val="2"/>
          <w:sz w:val="28"/>
          <w:szCs w:val="28"/>
          <w:shd w:val="clear" w:color="auto" w:fill="FFFFFF"/>
          <w:lang w:val="kk-KZ"/>
        </w:rPr>
        <w:t>1</w:t>
      </w:r>
      <w:r>
        <w:rPr>
          <w:rFonts w:ascii="Times New Roman" w:hAnsi="Times New Roman" w:cs="Times New Roman"/>
          <w:color w:val="000000"/>
          <w:spacing w:val="2"/>
          <w:sz w:val="28"/>
          <w:szCs w:val="28"/>
          <w:shd w:val="clear" w:color="auto" w:fill="FFFFFF"/>
          <w:lang w:val="kk-KZ"/>
        </w:rPr>
        <w:t xml:space="preserve"> – ҚР АӨК дамытуға 2022 ж. жоспарлы, түзетілген және нақты бюджет қаражаты, млрд. теңге</w:t>
      </w:r>
    </w:p>
    <w:tbl>
      <w:tblPr>
        <w:tblStyle w:val="a3"/>
        <w:tblW w:w="9634" w:type="dxa"/>
        <w:tblLook w:val="04A0" w:firstRow="1" w:lastRow="0" w:firstColumn="1" w:lastColumn="0" w:noHBand="0" w:noVBand="1"/>
      </w:tblPr>
      <w:tblGrid>
        <w:gridCol w:w="447"/>
        <w:gridCol w:w="2466"/>
        <w:gridCol w:w="1310"/>
        <w:gridCol w:w="1329"/>
        <w:gridCol w:w="1025"/>
        <w:gridCol w:w="889"/>
        <w:gridCol w:w="1134"/>
        <w:gridCol w:w="1034"/>
      </w:tblGrid>
      <w:tr w:rsidR="00656EE7" w14:paraId="3DAC98C8" w14:textId="77777777" w:rsidTr="00656EE7">
        <w:tc>
          <w:tcPr>
            <w:tcW w:w="447" w:type="dxa"/>
            <w:vMerge w:val="restart"/>
            <w:tcBorders>
              <w:top w:val="single" w:sz="4" w:space="0" w:color="auto"/>
              <w:left w:val="single" w:sz="4" w:space="0" w:color="auto"/>
              <w:bottom w:val="single" w:sz="4" w:space="0" w:color="auto"/>
              <w:right w:val="single" w:sz="4" w:space="0" w:color="auto"/>
            </w:tcBorders>
            <w:hideMark/>
          </w:tcPr>
          <w:p w14:paraId="46B9AC8D"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2466" w:type="dxa"/>
            <w:vMerge w:val="restart"/>
            <w:tcBorders>
              <w:top w:val="single" w:sz="4" w:space="0" w:color="auto"/>
              <w:left w:val="single" w:sz="4" w:space="0" w:color="auto"/>
              <w:bottom w:val="single" w:sz="4" w:space="0" w:color="auto"/>
              <w:right w:val="single" w:sz="4" w:space="0" w:color="auto"/>
            </w:tcBorders>
            <w:hideMark/>
          </w:tcPr>
          <w:p w14:paraId="5C1D6BE5"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Көрсеткіштер </w:t>
            </w:r>
          </w:p>
        </w:tc>
        <w:tc>
          <w:tcPr>
            <w:tcW w:w="4553" w:type="dxa"/>
            <w:gridSpan w:val="4"/>
            <w:tcBorders>
              <w:top w:val="single" w:sz="4" w:space="0" w:color="auto"/>
              <w:left w:val="single" w:sz="4" w:space="0" w:color="auto"/>
              <w:bottom w:val="single" w:sz="4" w:space="0" w:color="auto"/>
              <w:right w:val="single" w:sz="4" w:space="0" w:color="auto"/>
            </w:tcBorders>
            <w:hideMark/>
          </w:tcPr>
          <w:p w14:paraId="6FC125C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FD236BA"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Орын далу </w:t>
            </w:r>
            <w:r>
              <w:rPr>
                <w:rFonts w:ascii="Times New Roman" w:hAnsi="Times New Roman" w:cs="Times New Roman"/>
                <w:color w:val="000000"/>
                <w:spacing w:val="2"/>
                <w:sz w:val="24"/>
                <w:szCs w:val="24"/>
                <w:shd w:val="clear" w:color="auto" w:fill="FFFFFF"/>
              </w:rPr>
              <w:t>%</w:t>
            </w:r>
          </w:p>
        </w:tc>
        <w:tc>
          <w:tcPr>
            <w:tcW w:w="1034" w:type="dxa"/>
            <w:vMerge w:val="restart"/>
            <w:tcBorders>
              <w:top w:val="single" w:sz="4" w:space="0" w:color="auto"/>
              <w:left w:val="single" w:sz="4" w:space="0" w:color="auto"/>
              <w:bottom w:val="single" w:sz="4" w:space="0" w:color="auto"/>
              <w:right w:val="single" w:sz="4" w:space="0" w:color="auto"/>
            </w:tcBorders>
            <w:hideMark/>
          </w:tcPr>
          <w:p w14:paraId="1E8A60B4"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Ауытқу</w:t>
            </w:r>
          </w:p>
        </w:tc>
      </w:tr>
      <w:tr w:rsidR="00656EE7" w14:paraId="2693CC89" w14:textId="77777777" w:rsidTr="00656EE7">
        <w:tc>
          <w:tcPr>
            <w:tcW w:w="0" w:type="auto"/>
            <w:vMerge/>
            <w:tcBorders>
              <w:top w:val="single" w:sz="4" w:space="0" w:color="auto"/>
              <w:left w:val="single" w:sz="4" w:space="0" w:color="auto"/>
              <w:bottom w:val="single" w:sz="4" w:space="0" w:color="auto"/>
              <w:right w:val="single" w:sz="4" w:space="0" w:color="auto"/>
            </w:tcBorders>
            <w:vAlign w:val="center"/>
            <w:hideMark/>
          </w:tcPr>
          <w:p w14:paraId="216DFDC2"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CD1CC"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1310" w:type="dxa"/>
            <w:tcBorders>
              <w:top w:val="single" w:sz="4" w:space="0" w:color="auto"/>
              <w:left w:val="single" w:sz="4" w:space="0" w:color="auto"/>
              <w:bottom w:val="single" w:sz="4" w:space="0" w:color="auto"/>
              <w:right w:val="single" w:sz="4" w:space="0" w:color="auto"/>
            </w:tcBorders>
            <w:hideMark/>
          </w:tcPr>
          <w:p w14:paraId="67F93C2C"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Жоспарлы</w:t>
            </w:r>
          </w:p>
        </w:tc>
        <w:tc>
          <w:tcPr>
            <w:tcW w:w="1329" w:type="dxa"/>
            <w:tcBorders>
              <w:top w:val="single" w:sz="4" w:space="0" w:color="auto"/>
              <w:left w:val="single" w:sz="4" w:space="0" w:color="auto"/>
              <w:bottom w:val="single" w:sz="4" w:space="0" w:color="auto"/>
              <w:right w:val="single" w:sz="4" w:space="0" w:color="auto"/>
            </w:tcBorders>
            <w:hideMark/>
          </w:tcPr>
          <w:p w14:paraId="5F86659C"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Түзетілген</w:t>
            </w:r>
          </w:p>
        </w:tc>
        <w:tc>
          <w:tcPr>
            <w:tcW w:w="1025" w:type="dxa"/>
            <w:tcBorders>
              <w:top w:val="single" w:sz="4" w:space="0" w:color="auto"/>
              <w:left w:val="single" w:sz="4" w:space="0" w:color="auto"/>
              <w:bottom w:val="single" w:sz="4" w:space="0" w:color="auto"/>
              <w:right w:val="single" w:sz="4" w:space="0" w:color="auto"/>
            </w:tcBorders>
            <w:hideMark/>
          </w:tcPr>
          <w:p w14:paraId="41F4F4A7"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Ауытқу</w:t>
            </w:r>
          </w:p>
        </w:tc>
        <w:tc>
          <w:tcPr>
            <w:tcW w:w="889" w:type="dxa"/>
            <w:tcBorders>
              <w:top w:val="single" w:sz="4" w:space="0" w:color="auto"/>
              <w:left w:val="single" w:sz="4" w:space="0" w:color="auto"/>
              <w:bottom w:val="single" w:sz="4" w:space="0" w:color="auto"/>
              <w:right w:val="single" w:sz="4" w:space="0" w:color="auto"/>
            </w:tcBorders>
            <w:hideMark/>
          </w:tcPr>
          <w:p w14:paraId="6D5A827B"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Нақты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4CA464"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4B4B65F9" w14:textId="77777777" w:rsidR="00656EE7" w:rsidRDefault="00656EE7">
            <w:pPr>
              <w:rPr>
                <w:rFonts w:ascii="Times New Roman" w:hAnsi="Times New Roman" w:cs="Times New Roman"/>
                <w:color w:val="000000"/>
                <w:spacing w:val="2"/>
                <w:sz w:val="24"/>
                <w:szCs w:val="24"/>
                <w:shd w:val="clear" w:color="auto" w:fill="FFFFFF"/>
                <w:lang w:val="kk-KZ"/>
              </w:rPr>
            </w:pPr>
          </w:p>
        </w:tc>
      </w:tr>
      <w:tr w:rsidR="00656EE7" w14:paraId="670DE2CC" w14:textId="77777777" w:rsidTr="00656EE7">
        <w:tc>
          <w:tcPr>
            <w:tcW w:w="447" w:type="dxa"/>
            <w:tcBorders>
              <w:top w:val="single" w:sz="4" w:space="0" w:color="auto"/>
              <w:left w:val="single" w:sz="4" w:space="0" w:color="auto"/>
              <w:bottom w:val="single" w:sz="4" w:space="0" w:color="auto"/>
              <w:right w:val="single" w:sz="4" w:space="0" w:color="auto"/>
            </w:tcBorders>
            <w:hideMark/>
          </w:tcPr>
          <w:p w14:paraId="0F1A7DC3"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2466" w:type="dxa"/>
            <w:tcBorders>
              <w:top w:val="single" w:sz="4" w:space="0" w:color="auto"/>
              <w:left w:val="single" w:sz="4" w:space="0" w:color="auto"/>
              <w:bottom w:val="single" w:sz="4" w:space="0" w:color="auto"/>
              <w:right w:val="single" w:sz="4" w:space="0" w:color="auto"/>
            </w:tcBorders>
            <w:hideMark/>
          </w:tcPr>
          <w:p w14:paraId="06575B17"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Республикалық бюджет</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04E2C2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231,3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200300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476,3</w:t>
            </w:r>
          </w:p>
        </w:tc>
        <w:tc>
          <w:tcPr>
            <w:tcW w:w="1025" w:type="dxa"/>
            <w:tcBorders>
              <w:top w:val="single" w:sz="4" w:space="0" w:color="auto"/>
              <w:left w:val="single" w:sz="4" w:space="0" w:color="auto"/>
              <w:bottom w:val="single" w:sz="4" w:space="0" w:color="auto"/>
              <w:right w:val="single" w:sz="4" w:space="0" w:color="auto"/>
            </w:tcBorders>
            <w:vAlign w:val="center"/>
            <w:hideMark/>
          </w:tcPr>
          <w:p w14:paraId="4C404DC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245</w:t>
            </w:r>
          </w:p>
        </w:tc>
        <w:tc>
          <w:tcPr>
            <w:tcW w:w="889" w:type="dxa"/>
            <w:tcBorders>
              <w:top w:val="single" w:sz="4" w:space="0" w:color="auto"/>
              <w:left w:val="single" w:sz="4" w:space="0" w:color="auto"/>
              <w:bottom w:val="single" w:sz="4" w:space="0" w:color="auto"/>
              <w:right w:val="single" w:sz="4" w:space="0" w:color="auto"/>
            </w:tcBorders>
            <w:vAlign w:val="center"/>
            <w:hideMark/>
          </w:tcPr>
          <w:p w14:paraId="33AD8CC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468,3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FEF90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98,32</w:t>
            </w:r>
          </w:p>
        </w:tc>
        <w:tc>
          <w:tcPr>
            <w:tcW w:w="1034" w:type="dxa"/>
            <w:tcBorders>
              <w:top w:val="single" w:sz="4" w:space="0" w:color="auto"/>
              <w:left w:val="single" w:sz="4" w:space="0" w:color="auto"/>
              <w:bottom w:val="single" w:sz="4" w:space="0" w:color="auto"/>
              <w:right w:val="single" w:sz="4" w:space="0" w:color="auto"/>
            </w:tcBorders>
            <w:vAlign w:val="center"/>
            <w:hideMark/>
          </w:tcPr>
          <w:p w14:paraId="07A52F2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w:t>
            </w:r>
          </w:p>
        </w:tc>
      </w:tr>
      <w:tr w:rsidR="00656EE7" w14:paraId="0ECF5764" w14:textId="77777777" w:rsidTr="00656EE7">
        <w:tc>
          <w:tcPr>
            <w:tcW w:w="447" w:type="dxa"/>
            <w:tcBorders>
              <w:top w:val="single" w:sz="4" w:space="0" w:color="auto"/>
              <w:left w:val="single" w:sz="4" w:space="0" w:color="auto"/>
              <w:bottom w:val="single" w:sz="4" w:space="0" w:color="auto"/>
              <w:right w:val="single" w:sz="4" w:space="0" w:color="auto"/>
            </w:tcBorders>
            <w:hideMark/>
          </w:tcPr>
          <w:p w14:paraId="1AC295D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2466" w:type="dxa"/>
            <w:tcBorders>
              <w:top w:val="single" w:sz="4" w:space="0" w:color="auto"/>
              <w:left w:val="single" w:sz="4" w:space="0" w:color="auto"/>
              <w:bottom w:val="single" w:sz="4" w:space="0" w:color="auto"/>
              <w:right w:val="single" w:sz="4" w:space="0" w:color="auto"/>
            </w:tcBorders>
            <w:hideMark/>
          </w:tcPr>
          <w:p w14:paraId="35FAF18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Жергілікті бюджет</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710D07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182,9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1B1C5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192,3</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A1AC95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9,4</w:t>
            </w:r>
          </w:p>
        </w:tc>
        <w:tc>
          <w:tcPr>
            <w:tcW w:w="889" w:type="dxa"/>
            <w:tcBorders>
              <w:top w:val="single" w:sz="4" w:space="0" w:color="auto"/>
              <w:left w:val="single" w:sz="4" w:space="0" w:color="auto"/>
              <w:bottom w:val="single" w:sz="4" w:space="0" w:color="auto"/>
              <w:right w:val="single" w:sz="4" w:space="0" w:color="auto"/>
            </w:tcBorders>
            <w:vAlign w:val="center"/>
            <w:hideMark/>
          </w:tcPr>
          <w:p w14:paraId="30A9D32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189,3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15ADB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98,44</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0B65B0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-3</w:t>
            </w:r>
          </w:p>
        </w:tc>
      </w:tr>
      <w:tr w:rsidR="00656EE7" w14:paraId="61390263" w14:textId="77777777" w:rsidTr="00656EE7">
        <w:tc>
          <w:tcPr>
            <w:tcW w:w="447" w:type="dxa"/>
            <w:tcBorders>
              <w:top w:val="single" w:sz="4" w:space="0" w:color="auto"/>
              <w:left w:val="single" w:sz="4" w:space="0" w:color="auto"/>
              <w:bottom w:val="single" w:sz="4" w:space="0" w:color="auto"/>
              <w:right w:val="single" w:sz="4" w:space="0" w:color="auto"/>
            </w:tcBorders>
            <w:hideMark/>
          </w:tcPr>
          <w:p w14:paraId="4358591E"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2466" w:type="dxa"/>
            <w:tcBorders>
              <w:top w:val="single" w:sz="4" w:space="0" w:color="auto"/>
              <w:left w:val="single" w:sz="4" w:space="0" w:color="auto"/>
              <w:bottom w:val="single" w:sz="4" w:space="0" w:color="auto"/>
              <w:right w:val="single" w:sz="4" w:space="0" w:color="auto"/>
            </w:tcBorders>
            <w:hideMark/>
          </w:tcPr>
          <w:p w14:paraId="2F5F99C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Бюджеттен тыс</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19C5FB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1052,5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711785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1052,5</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442F25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0</w:t>
            </w:r>
          </w:p>
        </w:tc>
        <w:tc>
          <w:tcPr>
            <w:tcW w:w="889" w:type="dxa"/>
            <w:tcBorders>
              <w:top w:val="single" w:sz="4" w:space="0" w:color="auto"/>
              <w:left w:val="single" w:sz="4" w:space="0" w:color="auto"/>
              <w:bottom w:val="single" w:sz="4" w:space="0" w:color="auto"/>
              <w:right w:val="single" w:sz="4" w:space="0" w:color="auto"/>
            </w:tcBorders>
            <w:vAlign w:val="center"/>
            <w:hideMark/>
          </w:tcPr>
          <w:p w14:paraId="3758745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357,6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2E01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33,98</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D0B2FE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-694,9</w:t>
            </w:r>
          </w:p>
        </w:tc>
      </w:tr>
      <w:tr w:rsidR="00656EE7" w14:paraId="01043529" w14:textId="77777777" w:rsidTr="00656EE7">
        <w:tc>
          <w:tcPr>
            <w:tcW w:w="447" w:type="dxa"/>
            <w:tcBorders>
              <w:top w:val="single" w:sz="4" w:space="0" w:color="auto"/>
              <w:left w:val="single" w:sz="4" w:space="0" w:color="auto"/>
              <w:bottom w:val="single" w:sz="4" w:space="0" w:color="auto"/>
              <w:right w:val="single" w:sz="4" w:space="0" w:color="auto"/>
            </w:tcBorders>
            <w:hideMark/>
          </w:tcPr>
          <w:p w14:paraId="631D719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2466" w:type="dxa"/>
            <w:tcBorders>
              <w:top w:val="single" w:sz="4" w:space="0" w:color="auto"/>
              <w:left w:val="single" w:sz="4" w:space="0" w:color="auto"/>
              <w:bottom w:val="single" w:sz="4" w:space="0" w:color="auto"/>
              <w:right w:val="single" w:sz="4" w:space="0" w:color="auto"/>
            </w:tcBorders>
            <w:hideMark/>
          </w:tcPr>
          <w:p w14:paraId="7B9BC80E"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Жиыны </w:t>
            </w:r>
          </w:p>
        </w:tc>
        <w:tc>
          <w:tcPr>
            <w:tcW w:w="1310" w:type="dxa"/>
            <w:tcBorders>
              <w:top w:val="single" w:sz="4" w:space="0" w:color="auto"/>
              <w:left w:val="single" w:sz="4" w:space="0" w:color="auto"/>
              <w:bottom w:val="single" w:sz="4" w:space="0" w:color="auto"/>
              <w:right w:val="single" w:sz="4" w:space="0" w:color="auto"/>
            </w:tcBorders>
            <w:vAlign w:val="center"/>
            <w:hideMark/>
          </w:tcPr>
          <w:p w14:paraId="2256BA3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1466,7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33D1C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1721,6</w:t>
            </w:r>
          </w:p>
        </w:tc>
        <w:tc>
          <w:tcPr>
            <w:tcW w:w="1025" w:type="dxa"/>
            <w:tcBorders>
              <w:top w:val="single" w:sz="4" w:space="0" w:color="auto"/>
              <w:left w:val="single" w:sz="4" w:space="0" w:color="auto"/>
              <w:bottom w:val="single" w:sz="4" w:space="0" w:color="auto"/>
              <w:right w:val="single" w:sz="4" w:space="0" w:color="auto"/>
            </w:tcBorders>
            <w:vAlign w:val="center"/>
            <w:hideMark/>
          </w:tcPr>
          <w:p w14:paraId="0303F02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254,9</w:t>
            </w:r>
          </w:p>
        </w:tc>
        <w:tc>
          <w:tcPr>
            <w:tcW w:w="889" w:type="dxa"/>
            <w:tcBorders>
              <w:top w:val="single" w:sz="4" w:space="0" w:color="auto"/>
              <w:left w:val="single" w:sz="4" w:space="0" w:color="auto"/>
              <w:bottom w:val="single" w:sz="4" w:space="0" w:color="auto"/>
              <w:right w:val="single" w:sz="4" w:space="0" w:color="auto"/>
            </w:tcBorders>
            <w:vAlign w:val="center"/>
            <w:hideMark/>
          </w:tcPr>
          <w:p w14:paraId="491FC8E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1015,3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6A1DA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58,97</w:t>
            </w:r>
          </w:p>
        </w:tc>
        <w:tc>
          <w:tcPr>
            <w:tcW w:w="1034" w:type="dxa"/>
            <w:tcBorders>
              <w:top w:val="single" w:sz="4" w:space="0" w:color="auto"/>
              <w:left w:val="single" w:sz="4" w:space="0" w:color="auto"/>
              <w:bottom w:val="single" w:sz="4" w:space="0" w:color="auto"/>
              <w:right w:val="single" w:sz="4" w:space="0" w:color="auto"/>
            </w:tcBorders>
            <w:vAlign w:val="center"/>
            <w:hideMark/>
          </w:tcPr>
          <w:p w14:paraId="78FF9BA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-706,3</w:t>
            </w:r>
          </w:p>
        </w:tc>
      </w:tr>
      <w:tr w:rsidR="00656EE7" w14:paraId="2FE51E03" w14:textId="77777777" w:rsidTr="00656EE7">
        <w:tc>
          <w:tcPr>
            <w:tcW w:w="9634" w:type="dxa"/>
            <w:gridSpan w:val="8"/>
            <w:tcBorders>
              <w:top w:val="single" w:sz="4" w:space="0" w:color="auto"/>
              <w:left w:val="single" w:sz="4" w:space="0" w:color="auto"/>
              <w:bottom w:val="single" w:sz="4" w:space="0" w:color="auto"/>
              <w:right w:val="single" w:sz="4" w:space="0" w:color="auto"/>
            </w:tcBorders>
            <w:hideMark/>
          </w:tcPr>
          <w:p w14:paraId="19781C5F" w14:textId="6535C53D" w:rsidR="00656EE7" w:rsidRDefault="00656EE7">
            <w:pPr>
              <w:ind w:firstLine="738"/>
              <w:rPr>
                <w:rFonts w:ascii="Times New Roman" w:hAnsi="Times New Roman" w:cs="Times New Roman"/>
                <w:color w:val="000000"/>
                <w:sz w:val="24"/>
                <w:szCs w:val="24"/>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kern w:val="36"/>
                <w:sz w:val="24"/>
                <w:szCs w:val="24"/>
                <w:lang w:val="kk-KZ" w:eastAsia="zh-CN"/>
              </w:rPr>
              <w:t>[</w:t>
            </w:r>
            <w:r w:rsidR="00644665" w:rsidRPr="00644665">
              <w:rPr>
                <w:rFonts w:ascii="Times New Roman" w:eastAsiaTheme="minorEastAsia" w:hAnsi="Times New Roman"/>
                <w:kern w:val="36"/>
                <w:sz w:val="24"/>
                <w:szCs w:val="24"/>
                <w:lang w:eastAsia="zh-CN"/>
              </w:rPr>
              <w:t>110</w:t>
            </w:r>
            <w:r>
              <w:rPr>
                <w:rFonts w:ascii="Times New Roman" w:eastAsiaTheme="minorEastAsia" w:hAnsi="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03BD3298" w14:textId="77777777" w:rsidR="00656EE7" w:rsidRDefault="00656EE7" w:rsidP="00656EE7">
      <w:pPr>
        <w:spacing w:after="0" w:line="240" w:lineRule="auto"/>
        <w:ind w:firstLine="709"/>
        <w:jc w:val="both"/>
        <w:rPr>
          <w:rFonts w:ascii="Times New Roman" w:hAnsi="Times New Roman" w:cs="Times New Roman"/>
          <w:color w:val="000000"/>
          <w:sz w:val="28"/>
          <w:szCs w:val="28"/>
          <w:lang w:val="kk-KZ"/>
        </w:rPr>
      </w:pPr>
    </w:p>
    <w:p w14:paraId="1CE8FC70" w14:textId="77777777" w:rsidR="007C0ECB" w:rsidRDefault="00656EE7" w:rsidP="00656EE7">
      <w:pPr>
        <w:spacing w:after="0" w:line="240" w:lineRule="auto"/>
        <w:ind w:firstLine="709"/>
        <w:jc w:val="both"/>
        <w:rPr>
          <w:rFonts w:ascii="Times New Roman" w:hAnsi="Times New Roman" w:cs="Times New Roman"/>
          <w:sz w:val="28"/>
          <w:szCs w:val="28"/>
          <w:lang w:val="kk-KZ"/>
        </w:rPr>
      </w:pPr>
      <w:r w:rsidRPr="00656EE7">
        <w:rPr>
          <w:rFonts w:ascii="Times New Roman" w:hAnsi="Times New Roman" w:cs="Times New Roman"/>
          <w:color w:val="000000"/>
          <w:sz w:val="28"/>
          <w:szCs w:val="28"/>
          <w:lang w:val="kk-KZ"/>
        </w:rPr>
        <w:t>30-кестеден іс жүзінде 2022 жылы ұлттық жобаны жалпы қаржыландыру 1721,6 млрд. теңгені, оның ішінде республикалық бюджет қаражаты 27,7%, жергілікті бюджет 11,2%, бюджеттен тыс қаражат 61,1%.</w:t>
      </w:r>
      <w:r w:rsidRPr="00656EE7">
        <w:rPr>
          <w:rFonts w:ascii="Times New Roman" w:hAnsi="Times New Roman" w:cs="Times New Roman"/>
          <w:sz w:val="28"/>
          <w:szCs w:val="28"/>
          <w:lang w:val="kk-KZ"/>
        </w:rPr>
        <w:t xml:space="preserve"> Ал нақты РБ-тен 46%, МБ-тен 18%, бюджеттен тыс 35%-ды ғана құраған, бұрынғыдай негізгі күш РБ-ке түскен.</w:t>
      </w:r>
      <w:r>
        <w:rPr>
          <w:rFonts w:ascii="Times New Roman" w:hAnsi="Times New Roman" w:cs="Times New Roman"/>
          <w:sz w:val="28"/>
          <w:szCs w:val="28"/>
          <w:lang w:val="kk-KZ"/>
        </w:rPr>
        <w:t xml:space="preserve"> </w:t>
      </w:r>
    </w:p>
    <w:p w14:paraId="2950633C" w14:textId="5F7B653C" w:rsidR="00656EE7" w:rsidRDefault="00656EE7" w:rsidP="00656EE7">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Жұмсалған бюджет қаражатына қарай АӨК дамытудың 2021-2022 жж. стратегиялық көрсеткіштерінің іс-жүзінде орындалуы туралы ақпарат 3</w:t>
      </w:r>
      <w:r w:rsidR="007F5D1B">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-кестеде келтірілген.</w:t>
      </w:r>
      <w:r w:rsidR="007C0ECB" w:rsidRPr="007C0ECB">
        <w:rPr>
          <w:rFonts w:ascii="Times New Roman" w:hAnsi="Times New Roman" w:cs="Times New Roman"/>
          <w:color w:val="000000"/>
          <w:spacing w:val="2"/>
          <w:sz w:val="28"/>
          <w:szCs w:val="28"/>
          <w:shd w:val="clear" w:color="auto" w:fill="FFFFFF"/>
          <w:lang w:val="kk-KZ"/>
        </w:rPr>
        <w:t xml:space="preserve"> </w:t>
      </w:r>
      <w:r w:rsidR="007C0ECB">
        <w:rPr>
          <w:rFonts w:ascii="Times New Roman" w:hAnsi="Times New Roman" w:cs="Times New Roman"/>
          <w:color w:val="000000"/>
          <w:spacing w:val="2"/>
          <w:sz w:val="28"/>
          <w:szCs w:val="28"/>
          <w:shd w:val="clear" w:color="auto" w:fill="FFFFFF"/>
          <w:lang w:val="kk-KZ"/>
        </w:rPr>
        <w:t>32-кесте мәліметтерінде АӨК дамыту ұлттық жобасы паспортында МЖЖ құжаттарының 4 стратегиялық көрсеткіштерінің динамикасынан 2021-2022 жылдары орындалмағанын көруге болады.</w:t>
      </w:r>
    </w:p>
    <w:p w14:paraId="0BFBC157" w14:textId="77777777" w:rsidR="00656EE7" w:rsidRDefault="00656EE7" w:rsidP="00656EE7">
      <w:pPr>
        <w:spacing w:after="0" w:line="240" w:lineRule="auto"/>
        <w:jc w:val="both"/>
        <w:rPr>
          <w:rFonts w:ascii="Times New Roman" w:hAnsi="Times New Roman" w:cs="Times New Roman"/>
          <w:color w:val="000000"/>
          <w:sz w:val="28"/>
          <w:szCs w:val="28"/>
          <w:lang w:val="kk-KZ"/>
        </w:rPr>
      </w:pPr>
    </w:p>
    <w:p w14:paraId="5434DBD7" w14:textId="291F0AE6" w:rsidR="00656EE7" w:rsidRDefault="00656EE7" w:rsidP="00656EE7">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 3</w:t>
      </w:r>
      <w:r w:rsidR="007F5D1B">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 АӨК дамытудың 2021-2022 жж. стратегиялық көрсеткіштері</w:t>
      </w:r>
    </w:p>
    <w:tbl>
      <w:tblPr>
        <w:tblStyle w:val="a3"/>
        <w:tblW w:w="9634" w:type="dxa"/>
        <w:tblLook w:val="04A0" w:firstRow="1" w:lastRow="0" w:firstColumn="1" w:lastColumn="0" w:noHBand="0" w:noVBand="1"/>
      </w:tblPr>
      <w:tblGrid>
        <w:gridCol w:w="447"/>
        <w:gridCol w:w="5305"/>
        <w:gridCol w:w="767"/>
        <w:gridCol w:w="848"/>
        <w:gridCol w:w="1076"/>
        <w:gridCol w:w="1191"/>
      </w:tblGrid>
      <w:tr w:rsidR="0020085F" w14:paraId="78CFCA5D" w14:textId="77777777" w:rsidTr="0020085F">
        <w:trPr>
          <w:trHeight w:val="470"/>
        </w:trPr>
        <w:tc>
          <w:tcPr>
            <w:tcW w:w="447" w:type="dxa"/>
            <w:tcBorders>
              <w:top w:val="single" w:sz="4" w:space="0" w:color="auto"/>
              <w:left w:val="single" w:sz="4" w:space="0" w:color="auto"/>
              <w:bottom w:val="single" w:sz="4" w:space="0" w:color="auto"/>
              <w:right w:val="single" w:sz="4" w:space="0" w:color="auto"/>
            </w:tcBorders>
            <w:hideMark/>
          </w:tcPr>
          <w:p w14:paraId="0AE2B644" w14:textId="77777777" w:rsidR="00656EE7" w:rsidRDefault="00656EE7">
            <w:pPr>
              <w:jc w:val="left"/>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5360" w:type="dxa"/>
            <w:tcBorders>
              <w:top w:val="single" w:sz="4" w:space="0" w:color="auto"/>
              <w:left w:val="single" w:sz="4" w:space="0" w:color="auto"/>
              <w:bottom w:val="single" w:sz="4" w:space="0" w:color="auto"/>
              <w:right w:val="single" w:sz="4" w:space="0" w:color="auto"/>
            </w:tcBorders>
            <w:hideMark/>
          </w:tcPr>
          <w:p w14:paraId="367700C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Көрсеткіштер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64D2D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 жыл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F95D1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077" w:type="dxa"/>
            <w:tcBorders>
              <w:top w:val="single" w:sz="4" w:space="0" w:color="auto"/>
              <w:left w:val="single" w:sz="4" w:space="0" w:color="auto"/>
              <w:bottom w:val="single" w:sz="4" w:space="0" w:color="auto"/>
              <w:right w:val="single" w:sz="4" w:space="0" w:color="auto"/>
            </w:tcBorders>
            <w:hideMark/>
          </w:tcPr>
          <w:p w14:paraId="157442A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Ауытқу </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82D9C3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Нәтиже </w:t>
            </w:r>
          </w:p>
        </w:tc>
      </w:tr>
      <w:tr w:rsidR="0020085F" w14:paraId="1A48147C" w14:textId="77777777" w:rsidTr="007C0ECB">
        <w:tc>
          <w:tcPr>
            <w:tcW w:w="447" w:type="dxa"/>
            <w:tcBorders>
              <w:top w:val="single" w:sz="4" w:space="0" w:color="auto"/>
              <w:left w:val="single" w:sz="4" w:space="0" w:color="auto"/>
              <w:bottom w:val="single" w:sz="4" w:space="0" w:color="auto"/>
              <w:right w:val="single" w:sz="4" w:space="0" w:color="auto"/>
            </w:tcBorders>
            <w:hideMark/>
          </w:tcPr>
          <w:p w14:paraId="56935BCD"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5360" w:type="dxa"/>
            <w:tcBorders>
              <w:top w:val="single" w:sz="4" w:space="0" w:color="auto"/>
              <w:left w:val="single" w:sz="4" w:space="0" w:color="auto"/>
              <w:bottom w:val="single" w:sz="4" w:space="0" w:color="auto"/>
              <w:right w:val="single" w:sz="4" w:space="0" w:color="auto"/>
            </w:tcBorders>
            <w:hideMark/>
          </w:tcPr>
          <w:p w14:paraId="6E35B7CA"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Бақыланбайтын (көлеңкелі) экономиканың үлесі ауыл, орман және балық шаруашылығы – ЖІӨ-де 1,4 %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D8A4F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3C5C0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5A39EB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D677E" w14:textId="77777777" w:rsidR="00656EE7" w:rsidRPr="007C0ECB" w:rsidRDefault="00656EE7">
            <w:pPr>
              <w:jc w:val="center"/>
              <w:rPr>
                <w:rFonts w:ascii="Times New Roman" w:hAnsi="Times New Roman" w:cs="Times New Roman"/>
                <w:color w:val="000000"/>
                <w:spacing w:val="2"/>
                <w:sz w:val="24"/>
                <w:szCs w:val="24"/>
                <w:shd w:val="clear" w:color="auto" w:fill="FFFFFF"/>
                <w:lang w:val="kk-KZ"/>
              </w:rPr>
            </w:pPr>
            <w:r w:rsidRPr="007C0ECB">
              <w:rPr>
                <w:rFonts w:ascii="Times New Roman" w:hAnsi="Times New Roman" w:cs="Times New Roman"/>
                <w:color w:val="000000"/>
                <w:spacing w:val="2"/>
                <w:sz w:val="24"/>
                <w:szCs w:val="24"/>
                <w:shd w:val="clear" w:color="auto" w:fill="FFFFFF"/>
                <w:lang w:val="kk-KZ"/>
              </w:rPr>
              <w:t>орындал-маған</w:t>
            </w:r>
          </w:p>
        </w:tc>
      </w:tr>
      <w:tr w:rsidR="0020085F" w14:paraId="447453E5" w14:textId="77777777" w:rsidTr="007C0ECB">
        <w:tc>
          <w:tcPr>
            <w:tcW w:w="447" w:type="dxa"/>
            <w:tcBorders>
              <w:top w:val="single" w:sz="4" w:space="0" w:color="auto"/>
              <w:left w:val="single" w:sz="4" w:space="0" w:color="auto"/>
              <w:bottom w:val="single" w:sz="4" w:space="0" w:color="auto"/>
              <w:right w:val="single" w:sz="4" w:space="0" w:color="auto"/>
            </w:tcBorders>
            <w:hideMark/>
          </w:tcPr>
          <w:p w14:paraId="5A468601"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5360" w:type="dxa"/>
            <w:tcBorders>
              <w:top w:val="single" w:sz="4" w:space="0" w:color="auto"/>
              <w:left w:val="single" w:sz="4" w:space="0" w:color="auto"/>
              <w:bottom w:val="single" w:sz="4" w:space="0" w:color="auto"/>
              <w:right w:val="single" w:sz="4" w:space="0" w:color="auto"/>
            </w:tcBorders>
            <w:hideMark/>
          </w:tcPr>
          <w:p w14:paraId="5E8FAD9A" w14:textId="77777777" w:rsidR="00656EE7" w:rsidRPr="00656EE7" w:rsidRDefault="00656EE7">
            <w:pPr>
              <w:rPr>
                <w:spacing w:val="2"/>
                <w:shd w:val="clear" w:color="auto" w:fill="FFFFFF"/>
                <w:lang w:val="kk-KZ"/>
              </w:rPr>
            </w:pPr>
            <w:r>
              <w:rPr>
                <w:rFonts w:ascii="Times New Roman" w:hAnsi="Times New Roman" w:cs="Times New Roman"/>
                <w:color w:val="000000"/>
                <w:sz w:val="24"/>
                <w:szCs w:val="24"/>
                <w:lang w:val="kk-KZ"/>
              </w:rPr>
              <w:t>Ауыл шаруашылығындағы еңбек өнімділігінің өсуі - 2019 жылғы бағадағы 2019 жылғы деңгейден 75,7% өсім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03D39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16,2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9689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30,2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98DC0F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1B833" w14:textId="77777777" w:rsidR="00656EE7" w:rsidRPr="007C0ECB" w:rsidRDefault="00656EE7">
            <w:pPr>
              <w:jc w:val="center"/>
              <w:rPr>
                <w:rFonts w:ascii="Times New Roman" w:hAnsi="Times New Roman" w:cs="Times New Roman"/>
                <w:color w:val="000000"/>
                <w:spacing w:val="2"/>
                <w:sz w:val="24"/>
                <w:szCs w:val="24"/>
                <w:shd w:val="clear" w:color="auto" w:fill="FFFFFF"/>
                <w:lang w:val="kk-KZ"/>
              </w:rPr>
            </w:pPr>
            <w:r w:rsidRPr="007C0ECB">
              <w:rPr>
                <w:rFonts w:ascii="Times New Roman" w:hAnsi="Times New Roman" w:cs="Times New Roman"/>
                <w:color w:val="000000"/>
                <w:spacing w:val="2"/>
                <w:sz w:val="24"/>
                <w:szCs w:val="24"/>
                <w:shd w:val="clear" w:color="auto" w:fill="FFFFFF"/>
                <w:lang w:val="kk-KZ"/>
              </w:rPr>
              <w:t>орындал-маған</w:t>
            </w:r>
          </w:p>
        </w:tc>
      </w:tr>
      <w:tr w:rsidR="0020085F" w14:paraId="6E1CFAA7" w14:textId="77777777" w:rsidTr="007C0ECB">
        <w:tc>
          <w:tcPr>
            <w:tcW w:w="447" w:type="dxa"/>
            <w:tcBorders>
              <w:top w:val="single" w:sz="4" w:space="0" w:color="auto"/>
              <w:left w:val="single" w:sz="4" w:space="0" w:color="auto"/>
              <w:bottom w:val="single" w:sz="4" w:space="0" w:color="auto"/>
              <w:right w:val="single" w:sz="4" w:space="0" w:color="auto"/>
            </w:tcBorders>
            <w:hideMark/>
          </w:tcPr>
          <w:p w14:paraId="3DC34A17"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5360" w:type="dxa"/>
            <w:tcBorders>
              <w:top w:val="single" w:sz="4" w:space="0" w:color="auto"/>
              <w:left w:val="single" w:sz="4" w:space="0" w:color="auto"/>
              <w:bottom w:val="single" w:sz="4" w:space="0" w:color="auto"/>
              <w:right w:val="single" w:sz="4" w:space="0" w:color="auto"/>
            </w:tcBorders>
            <w:hideMark/>
          </w:tcPr>
          <w:p w14:paraId="07FE1C4A" w14:textId="77777777" w:rsidR="00656EE7" w:rsidRPr="00656EE7" w:rsidRDefault="00656EE7">
            <w:pPr>
              <w:rPr>
                <w:spacing w:val="2"/>
                <w:shd w:val="clear" w:color="auto" w:fill="FFFFFF"/>
                <w:lang w:val="kk-KZ"/>
              </w:rPr>
            </w:pPr>
            <w:r>
              <w:rPr>
                <w:rFonts w:ascii="Times New Roman" w:hAnsi="Times New Roman" w:cs="Times New Roman"/>
                <w:color w:val="000000"/>
                <w:sz w:val="24"/>
                <w:szCs w:val="24"/>
                <w:lang w:val="kk-KZ"/>
              </w:rPr>
              <w:t>Негізгі капиталға инвестициялар – ЖІӨ-нің 53,9% (2019 жылғы деңгейге нақты өсімнің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9004B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133,5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12E04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122,6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932521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-10,9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51254" w14:textId="77777777" w:rsidR="00656EE7" w:rsidRPr="007C0ECB" w:rsidRDefault="00656EE7">
            <w:pPr>
              <w:jc w:val="center"/>
              <w:rPr>
                <w:rFonts w:ascii="Times New Roman" w:hAnsi="Times New Roman" w:cs="Times New Roman"/>
                <w:color w:val="000000"/>
                <w:spacing w:val="2"/>
                <w:sz w:val="24"/>
                <w:szCs w:val="24"/>
                <w:shd w:val="clear" w:color="auto" w:fill="FFFFFF"/>
                <w:lang w:val="kk-KZ"/>
              </w:rPr>
            </w:pPr>
            <w:r w:rsidRPr="007C0ECB">
              <w:rPr>
                <w:rFonts w:ascii="Times New Roman" w:hAnsi="Times New Roman" w:cs="Times New Roman"/>
                <w:color w:val="000000"/>
                <w:spacing w:val="2"/>
                <w:sz w:val="24"/>
                <w:szCs w:val="24"/>
                <w:shd w:val="clear" w:color="auto" w:fill="FFFFFF"/>
                <w:lang w:val="kk-KZ"/>
              </w:rPr>
              <w:t>орындал-маған</w:t>
            </w:r>
          </w:p>
        </w:tc>
      </w:tr>
      <w:tr w:rsidR="0020085F" w14:paraId="57B6A5C8" w14:textId="77777777" w:rsidTr="007C0ECB">
        <w:tc>
          <w:tcPr>
            <w:tcW w:w="447" w:type="dxa"/>
            <w:tcBorders>
              <w:top w:val="single" w:sz="4" w:space="0" w:color="auto"/>
              <w:left w:val="single" w:sz="4" w:space="0" w:color="auto"/>
              <w:bottom w:val="single" w:sz="4" w:space="0" w:color="auto"/>
              <w:right w:val="single" w:sz="4" w:space="0" w:color="auto"/>
            </w:tcBorders>
            <w:hideMark/>
          </w:tcPr>
          <w:p w14:paraId="68C8C63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5360" w:type="dxa"/>
            <w:tcBorders>
              <w:top w:val="single" w:sz="4" w:space="0" w:color="auto"/>
              <w:left w:val="single" w:sz="4" w:space="0" w:color="auto"/>
              <w:bottom w:val="single" w:sz="4" w:space="0" w:color="auto"/>
              <w:right w:val="single" w:sz="4" w:space="0" w:color="auto"/>
            </w:tcBorders>
            <w:hideMark/>
          </w:tcPr>
          <w:p w14:paraId="7968F50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Үй шаруашылықтарының азық-түлік тауарларына арналған шығыстары - жалпы шығындардың 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8D37E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A7816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51,1</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31BFB0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9EE45" w14:textId="77777777" w:rsidR="00656EE7" w:rsidRPr="007C0ECB" w:rsidRDefault="00656EE7">
            <w:pPr>
              <w:jc w:val="center"/>
              <w:rPr>
                <w:rFonts w:ascii="Times New Roman" w:hAnsi="Times New Roman" w:cs="Times New Roman"/>
                <w:color w:val="000000"/>
                <w:spacing w:val="2"/>
                <w:sz w:val="24"/>
                <w:szCs w:val="24"/>
                <w:shd w:val="clear" w:color="auto" w:fill="FFFFFF"/>
                <w:lang w:val="kk-KZ"/>
              </w:rPr>
            </w:pPr>
            <w:r w:rsidRPr="007C0ECB">
              <w:rPr>
                <w:rFonts w:ascii="Times New Roman" w:hAnsi="Times New Roman" w:cs="Times New Roman"/>
                <w:color w:val="000000"/>
                <w:spacing w:val="2"/>
                <w:sz w:val="24"/>
                <w:szCs w:val="24"/>
                <w:shd w:val="clear" w:color="auto" w:fill="FFFFFF"/>
                <w:lang w:val="kk-KZ"/>
              </w:rPr>
              <w:t>орындал-маған</w:t>
            </w:r>
          </w:p>
        </w:tc>
      </w:tr>
      <w:tr w:rsidR="00656EE7" w14:paraId="29E124F8" w14:textId="77777777" w:rsidTr="0020085F">
        <w:tc>
          <w:tcPr>
            <w:tcW w:w="9634" w:type="dxa"/>
            <w:gridSpan w:val="6"/>
            <w:tcBorders>
              <w:top w:val="single" w:sz="4" w:space="0" w:color="auto"/>
              <w:left w:val="single" w:sz="4" w:space="0" w:color="auto"/>
              <w:bottom w:val="single" w:sz="4" w:space="0" w:color="auto"/>
              <w:right w:val="single" w:sz="4" w:space="0" w:color="auto"/>
            </w:tcBorders>
            <w:hideMark/>
          </w:tcPr>
          <w:p w14:paraId="1502DCE6" w14:textId="7772EA18" w:rsidR="00656EE7" w:rsidRDefault="00656EE7">
            <w:pPr>
              <w:ind w:firstLine="738"/>
              <w:rPr>
                <w:rFonts w:ascii="Times New Roman" w:hAnsi="Times New Roman" w:cs="Times New Roman"/>
                <w:color w:val="000000"/>
                <w:spacing w:val="2"/>
                <w:sz w:val="24"/>
                <w:szCs w:val="24"/>
                <w:highlight w:val="red"/>
                <w:shd w:val="clear" w:color="auto" w:fill="FFFFFF"/>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cs="Times New Roman"/>
                <w:kern w:val="36"/>
                <w:sz w:val="24"/>
                <w:szCs w:val="24"/>
                <w:lang w:val="kk-KZ" w:eastAsia="zh-CN"/>
              </w:rPr>
              <w:t>[</w:t>
            </w:r>
            <w:r w:rsidR="00644665" w:rsidRPr="00644665">
              <w:rPr>
                <w:rFonts w:ascii="Times New Roman" w:eastAsiaTheme="minorEastAsia" w:hAnsi="Times New Roman" w:cs="Times New Roman"/>
                <w:kern w:val="36"/>
                <w:sz w:val="24"/>
                <w:szCs w:val="24"/>
                <w:lang w:eastAsia="zh-CN"/>
              </w:rPr>
              <w:t>7, 110</w:t>
            </w:r>
            <w:r>
              <w:rPr>
                <w:rFonts w:ascii="Times New Roman" w:eastAsiaTheme="minorEastAsia" w:hAnsi="Times New Roman" w:cs="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3D540786" w14:textId="77777777" w:rsidR="00656EE7" w:rsidRDefault="00656EE7" w:rsidP="00656EE7">
      <w:pPr>
        <w:spacing w:after="0" w:line="240" w:lineRule="auto"/>
        <w:ind w:firstLine="709"/>
        <w:jc w:val="both"/>
        <w:rPr>
          <w:rFonts w:ascii="Times New Roman" w:hAnsi="Times New Roman" w:cs="Times New Roman"/>
          <w:color w:val="000000"/>
          <w:spacing w:val="2"/>
          <w:sz w:val="28"/>
          <w:szCs w:val="28"/>
          <w:shd w:val="clear" w:color="auto" w:fill="FFFFFF"/>
          <w:lang w:val="kk-KZ"/>
        </w:rPr>
      </w:pPr>
    </w:p>
    <w:p w14:paraId="08F4FEB0" w14:textId="01A8EA6E" w:rsidR="00C42AC1" w:rsidRDefault="00656EE7" w:rsidP="00656EE7">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pacing w:val="2"/>
          <w:sz w:val="28"/>
          <w:szCs w:val="28"/>
          <w:shd w:val="clear" w:color="auto" w:fill="FFFFFF"/>
          <w:lang w:val="kk-KZ"/>
        </w:rPr>
        <w:t xml:space="preserve">Ұлттық жоба мақсатына жету үшін 4 міндеті бойынша жалпы 21 көрсеткіш жоспарланған. </w:t>
      </w:r>
      <w:r>
        <w:rPr>
          <w:rFonts w:ascii="Times New Roman" w:hAnsi="Times New Roman" w:cs="Times New Roman"/>
          <w:color w:val="000000"/>
          <w:sz w:val="28"/>
          <w:szCs w:val="28"/>
          <w:lang w:val="kk-KZ"/>
        </w:rPr>
        <w:t xml:space="preserve">Негізгі капиталға инвестициялар – ЖІӨ-нің 53,9% (2019 жылғы деңгейге нақты өсімнің %) деген көрсеткіш 2021 жылы ЖІӨ 83951,6 млрд теңге, 2022 жылы 102891,8 млрд теңге құраған кезде ауыл шаруашылығы негізгі капиталға салған инвестициялар үлесі 2021 жылы 0,9%, 2022 жылы 0,8%. </w:t>
      </w:r>
    </w:p>
    <w:p w14:paraId="5BB179D1" w14:textId="41738D00" w:rsidR="00656EE7" w:rsidRDefault="00656EE7" w:rsidP="00656EE7">
      <w:pPr>
        <w:spacing w:after="0" w:line="240" w:lineRule="auto"/>
        <w:ind w:firstLine="709"/>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z w:val="28"/>
          <w:szCs w:val="28"/>
          <w:lang w:val="kk-KZ"/>
        </w:rPr>
        <w:t>Ауыл шаруашылығының негізгі капиталына салынған инвестициялар 2019 жылы 494,9 млрд теңгені, 2021 жылы 773,2 млрд теңгені, 2022 жылы 853,5 млрд теңгені құрады. Ауыл шаруашылығы ЖІӨ-і 2021 жылы 7549,8 млрд теңгені, 2022 жылы 9257,4 млрд теңгені құрағандағы ЖІӨ-дегі үлесі 2021 жылы 10,2%, 2022 жылы 9,2% құрап отыр. 2019 жылы ауыл шаруашылығы ЖІӨ-і 5177,9 млрд теңгені құрады.</w:t>
      </w:r>
      <w:r w:rsidR="0020085F">
        <w:rPr>
          <w:rFonts w:ascii="Times New Roman" w:hAnsi="Times New Roman" w:cs="Times New Roman"/>
          <w:color w:val="000000"/>
          <w:sz w:val="28"/>
          <w:szCs w:val="28"/>
          <w:lang w:val="kk-KZ"/>
        </w:rPr>
        <w:t xml:space="preserve"> </w:t>
      </w:r>
      <w:r w:rsidR="00C42AC1">
        <w:rPr>
          <w:rFonts w:ascii="Times New Roman" w:hAnsi="Times New Roman" w:cs="Times New Roman"/>
          <w:color w:val="000000"/>
          <w:sz w:val="28"/>
          <w:szCs w:val="28"/>
          <w:lang w:val="kk-KZ"/>
        </w:rPr>
        <w:t xml:space="preserve">Стратегиялық көрсеткіштердің орындалмауы, бір жағынан ұлттық жобаның әлсіз жақтарының барын көрсетеді, немесе көрсеткіштерге қол жеткізу қиындығы не шаралар жеткіліксіздігін көрсетеді. </w:t>
      </w:r>
      <w:r>
        <w:rPr>
          <w:rFonts w:ascii="Times New Roman" w:hAnsi="Times New Roman" w:cs="Times New Roman"/>
          <w:color w:val="000000"/>
          <w:sz w:val="28"/>
          <w:szCs w:val="28"/>
          <w:lang w:val="kk-KZ"/>
        </w:rPr>
        <w:t xml:space="preserve">   </w:t>
      </w:r>
    </w:p>
    <w:p w14:paraId="429B3479" w14:textId="0A65E28B" w:rsidR="00656EE7" w:rsidRDefault="00656EE7" w:rsidP="00656EE7">
      <w:pPr>
        <w:spacing w:after="0" w:line="240" w:lineRule="auto"/>
        <w:ind w:firstLine="709"/>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1-ші міндет бойынша 2021-2022 жж. жоспарлы және нақты көрсеткіштер туралы ақпарат 3</w:t>
      </w:r>
      <w:r w:rsidR="007F5D1B">
        <w:rPr>
          <w:rFonts w:ascii="Times New Roman" w:hAnsi="Times New Roman" w:cs="Times New Roman"/>
          <w:color w:val="000000"/>
          <w:spacing w:val="2"/>
          <w:sz w:val="28"/>
          <w:szCs w:val="28"/>
          <w:shd w:val="clear" w:color="auto" w:fill="FFFFFF"/>
          <w:lang w:val="kk-KZ"/>
        </w:rPr>
        <w:t>3</w:t>
      </w:r>
      <w:r>
        <w:rPr>
          <w:rFonts w:ascii="Times New Roman" w:hAnsi="Times New Roman" w:cs="Times New Roman"/>
          <w:color w:val="000000"/>
          <w:spacing w:val="2"/>
          <w:sz w:val="28"/>
          <w:szCs w:val="28"/>
          <w:shd w:val="clear" w:color="auto" w:fill="FFFFFF"/>
          <w:lang w:val="kk-KZ"/>
        </w:rPr>
        <w:t>-кестеде келтірілген.</w:t>
      </w:r>
    </w:p>
    <w:p w14:paraId="158024EA" w14:textId="793C4E6C" w:rsidR="0020085F" w:rsidRDefault="0020085F" w:rsidP="002008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pacing w:val="2"/>
          <w:sz w:val="28"/>
          <w:szCs w:val="28"/>
          <w:shd w:val="clear" w:color="auto" w:fill="FFFFFF"/>
          <w:lang w:val="kk-KZ"/>
        </w:rPr>
        <w:t>3</w:t>
      </w:r>
      <w:r w:rsidR="007F5D1B">
        <w:rPr>
          <w:rFonts w:ascii="Times New Roman" w:hAnsi="Times New Roman" w:cs="Times New Roman"/>
          <w:color w:val="000000"/>
          <w:spacing w:val="2"/>
          <w:sz w:val="28"/>
          <w:szCs w:val="28"/>
          <w:shd w:val="clear" w:color="auto" w:fill="FFFFFF"/>
          <w:lang w:val="kk-KZ"/>
        </w:rPr>
        <w:t>3</w:t>
      </w:r>
      <w:r>
        <w:rPr>
          <w:rFonts w:ascii="Times New Roman" w:hAnsi="Times New Roman" w:cs="Times New Roman"/>
          <w:color w:val="000000"/>
          <w:spacing w:val="2"/>
          <w:sz w:val="28"/>
          <w:szCs w:val="28"/>
          <w:shd w:val="clear" w:color="auto" w:fill="FFFFFF"/>
          <w:lang w:val="ru-KZ"/>
        </w:rPr>
        <w:t xml:space="preserve">-кесте </w:t>
      </w:r>
      <w:r>
        <w:rPr>
          <w:rFonts w:ascii="Times New Roman" w:hAnsi="Times New Roman" w:cs="Times New Roman"/>
          <w:color w:val="000000"/>
          <w:spacing w:val="2"/>
          <w:sz w:val="28"/>
          <w:szCs w:val="28"/>
          <w:shd w:val="clear" w:color="auto" w:fill="FFFFFF"/>
          <w:lang w:val="kk-KZ"/>
        </w:rPr>
        <w:t xml:space="preserve">мәліметтерінен 1-ші міндет </w:t>
      </w:r>
      <w:r>
        <w:rPr>
          <w:rFonts w:ascii="Times New Roman" w:eastAsia="Times New Roman" w:hAnsi="Times New Roman" w:cs="Times New Roman"/>
          <w:kern w:val="36"/>
          <w:sz w:val="28"/>
          <w:szCs w:val="28"/>
          <w:lang w:val="kk-KZ" w:eastAsia="ru-RU"/>
        </w:rPr>
        <w:t xml:space="preserve">еңбек өнімділігін 2,5 есе ұлғайту міндетін іске асыруға арналған 7 нәтижелі көрсеткіштер мен әр көрсеткішке сәйкес 15 іс-шаралары жоспарланған. 2021-2022 жж. көрсеткіштер орындалуын талдайтын болсақ, 7 көрсеткіштің 5 орындалғанын көруге болады. </w:t>
      </w:r>
      <w:r>
        <w:rPr>
          <w:rFonts w:ascii="Times New Roman" w:hAnsi="Times New Roman" w:cs="Times New Roman"/>
          <w:color w:val="000000"/>
          <w:spacing w:val="2"/>
          <w:sz w:val="28"/>
          <w:szCs w:val="28"/>
          <w:shd w:val="clear" w:color="auto" w:fill="FFFFFF"/>
          <w:lang w:val="kk-KZ"/>
        </w:rPr>
        <w:t xml:space="preserve">Субсидиялау көлемін өсіру есебінен минералды тыңайтқыштарды 1,4 есе ұлғайту деп аталатын 4-ші көрсеткіш орындалмауы </w:t>
      </w:r>
      <w:r>
        <w:rPr>
          <w:rFonts w:ascii="Times New Roman" w:hAnsi="Times New Roman" w:cs="Times New Roman"/>
          <w:color w:val="000000"/>
          <w:sz w:val="28"/>
          <w:szCs w:val="28"/>
          <w:lang w:val="kk-KZ"/>
        </w:rPr>
        <w:t>2022 жылы тыңайтқыштар бағасының өсуіне және қымбат микротыңайтқыштарға АШТӨ өтінімдерін көп беру</w:t>
      </w:r>
      <w:r>
        <w:rPr>
          <w:rFonts w:ascii="Times New Roman" w:hAnsi="Times New Roman" w:cs="Times New Roman"/>
          <w:sz w:val="28"/>
          <w:szCs w:val="28"/>
          <w:lang w:val="kk-KZ"/>
        </w:rPr>
        <w:t xml:space="preserve">мен байланысты, соған орай тыңайтқыштарды субсидиялау 2021 жылы 102,6 пайызды, 2022 жылы 142,4 пайызға дейін өскен. </w:t>
      </w:r>
    </w:p>
    <w:p w14:paraId="2E94CE18" w14:textId="6DB51BEC" w:rsidR="00C42AC1" w:rsidRDefault="00C42AC1" w:rsidP="00C42AC1">
      <w:pPr>
        <w:spacing w:after="0" w:line="240" w:lineRule="auto"/>
        <w:ind w:firstLine="709"/>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sz w:val="28"/>
          <w:szCs w:val="28"/>
          <w:lang w:val="kk-KZ"/>
        </w:rPr>
        <w:t xml:space="preserve">Ұлттық жобада ІҚМ орташа салмағы 380 кг жеткізу деп жоспарланған және ЖАП берген қорытындыда орындалды деп көрсетілген, алайда </w:t>
      </w:r>
      <w:r>
        <w:rPr>
          <w:rFonts w:ascii="Times New Roman" w:hAnsi="Times New Roman" w:cs="Times New Roman"/>
          <w:color w:val="000000"/>
          <w:sz w:val="28"/>
          <w:szCs w:val="28"/>
          <w:lang w:val="kk-KZ"/>
        </w:rPr>
        <w:t>ҚР Стратегиялық жоспарлау және реформалар агенттігі Ұлттық статистика бюросының мәліметтерінде</w:t>
      </w:r>
      <w:r>
        <w:rPr>
          <w:rFonts w:ascii="Times New Roman" w:hAnsi="Times New Roman" w:cs="Times New Roman"/>
          <w:sz w:val="28"/>
          <w:szCs w:val="28"/>
          <w:lang w:val="kk-KZ"/>
        </w:rPr>
        <w:t xml:space="preserve"> ІҚМ орташа салмағы 339 кг деп келтірілген.</w:t>
      </w:r>
    </w:p>
    <w:p w14:paraId="3964C402" w14:textId="6E3A5689" w:rsidR="00656EE7" w:rsidRDefault="00656EE7" w:rsidP="00656EE7">
      <w:pPr>
        <w:spacing w:after="0" w:line="240" w:lineRule="auto"/>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Кесте 3</w:t>
      </w:r>
      <w:r w:rsidR="007F5D1B">
        <w:rPr>
          <w:rFonts w:ascii="Times New Roman" w:hAnsi="Times New Roman" w:cs="Times New Roman"/>
          <w:color w:val="000000"/>
          <w:spacing w:val="2"/>
          <w:sz w:val="28"/>
          <w:szCs w:val="28"/>
          <w:shd w:val="clear" w:color="auto" w:fill="FFFFFF"/>
          <w:lang w:val="kk-KZ"/>
        </w:rPr>
        <w:t>3</w:t>
      </w:r>
      <w:r>
        <w:rPr>
          <w:rFonts w:ascii="Times New Roman" w:hAnsi="Times New Roman" w:cs="Times New Roman"/>
          <w:color w:val="000000"/>
          <w:spacing w:val="2"/>
          <w:sz w:val="28"/>
          <w:szCs w:val="28"/>
          <w:shd w:val="clear" w:color="auto" w:fill="FFFFFF"/>
          <w:lang w:val="kk-KZ"/>
        </w:rPr>
        <w:t xml:space="preserve"> – ҚР АӨК дамыту ұлттық жобасының 1-ші міндеті бойынша 2021-2022 жж. жоспарлы және нақты көрсеткіштер туралы ақпарат</w:t>
      </w:r>
    </w:p>
    <w:tbl>
      <w:tblPr>
        <w:tblStyle w:val="a3"/>
        <w:tblW w:w="0" w:type="auto"/>
        <w:tblLook w:val="04A0" w:firstRow="1" w:lastRow="0" w:firstColumn="1" w:lastColumn="0" w:noHBand="0" w:noVBand="1"/>
      </w:tblPr>
      <w:tblGrid>
        <w:gridCol w:w="447"/>
        <w:gridCol w:w="2514"/>
        <w:gridCol w:w="996"/>
        <w:gridCol w:w="844"/>
        <w:gridCol w:w="996"/>
        <w:gridCol w:w="844"/>
        <w:gridCol w:w="756"/>
        <w:gridCol w:w="962"/>
        <w:gridCol w:w="1191"/>
      </w:tblGrid>
      <w:tr w:rsidR="00656EE7" w14:paraId="458CC569" w14:textId="77777777" w:rsidTr="0020085F">
        <w:tc>
          <w:tcPr>
            <w:tcW w:w="447" w:type="dxa"/>
            <w:vMerge w:val="restart"/>
            <w:tcBorders>
              <w:top w:val="single" w:sz="4" w:space="0" w:color="auto"/>
              <w:left w:val="single" w:sz="4" w:space="0" w:color="auto"/>
              <w:bottom w:val="single" w:sz="4" w:space="0" w:color="auto"/>
              <w:right w:val="single" w:sz="4" w:space="0" w:color="auto"/>
            </w:tcBorders>
            <w:hideMark/>
          </w:tcPr>
          <w:p w14:paraId="69C064C1"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2514" w:type="dxa"/>
            <w:vMerge w:val="restart"/>
            <w:tcBorders>
              <w:top w:val="single" w:sz="4" w:space="0" w:color="auto"/>
              <w:left w:val="single" w:sz="4" w:space="0" w:color="auto"/>
              <w:bottom w:val="single" w:sz="4" w:space="0" w:color="auto"/>
              <w:right w:val="single" w:sz="4" w:space="0" w:color="auto"/>
            </w:tcBorders>
            <w:hideMark/>
          </w:tcPr>
          <w:p w14:paraId="14E62CC3"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Көрсеткіштер </w:t>
            </w:r>
          </w:p>
        </w:tc>
        <w:tc>
          <w:tcPr>
            <w:tcW w:w="1840" w:type="dxa"/>
            <w:gridSpan w:val="2"/>
            <w:tcBorders>
              <w:top w:val="single" w:sz="4" w:space="0" w:color="auto"/>
              <w:left w:val="single" w:sz="4" w:space="0" w:color="auto"/>
              <w:bottom w:val="single" w:sz="4" w:space="0" w:color="auto"/>
              <w:right w:val="single" w:sz="4" w:space="0" w:color="auto"/>
            </w:tcBorders>
            <w:vAlign w:val="center"/>
            <w:hideMark/>
          </w:tcPr>
          <w:p w14:paraId="5D4FF6D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 жыл</w:t>
            </w:r>
          </w:p>
        </w:tc>
        <w:tc>
          <w:tcPr>
            <w:tcW w:w="1840" w:type="dxa"/>
            <w:gridSpan w:val="2"/>
            <w:tcBorders>
              <w:top w:val="single" w:sz="4" w:space="0" w:color="auto"/>
              <w:left w:val="single" w:sz="4" w:space="0" w:color="auto"/>
              <w:bottom w:val="single" w:sz="4" w:space="0" w:color="auto"/>
              <w:right w:val="single" w:sz="4" w:space="0" w:color="auto"/>
            </w:tcBorders>
            <w:vAlign w:val="center"/>
            <w:hideMark/>
          </w:tcPr>
          <w:p w14:paraId="5FBDE40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718" w:type="dxa"/>
            <w:gridSpan w:val="2"/>
            <w:tcBorders>
              <w:top w:val="single" w:sz="4" w:space="0" w:color="auto"/>
              <w:left w:val="single" w:sz="4" w:space="0" w:color="auto"/>
              <w:bottom w:val="single" w:sz="4" w:space="0" w:color="auto"/>
              <w:right w:val="single" w:sz="4" w:space="0" w:color="auto"/>
            </w:tcBorders>
            <w:hideMark/>
          </w:tcPr>
          <w:p w14:paraId="12E1004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Ауытқу, </w:t>
            </w:r>
            <w:r>
              <w:rPr>
                <w:rFonts w:ascii="Times New Roman" w:hAnsi="Times New Roman" w:cs="Times New Roman"/>
                <w:color w:val="000000"/>
                <w:spacing w:val="2"/>
                <w:sz w:val="24"/>
                <w:szCs w:val="24"/>
                <w:shd w:val="clear" w:color="auto" w:fill="FFFFFF"/>
                <w:lang w:val="ru-KZ"/>
              </w:rPr>
              <w:t>%</w:t>
            </w:r>
            <w:r>
              <w:rPr>
                <w:rFonts w:ascii="Times New Roman" w:hAnsi="Times New Roman" w:cs="Times New Roman"/>
                <w:color w:val="000000"/>
                <w:spacing w:val="2"/>
                <w:sz w:val="24"/>
                <w:szCs w:val="24"/>
                <w:shd w:val="clear" w:color="auto" w:fill="FFFFFF"/>
                <w:lang w:val="kk-KZ"/>
              </w:rPr>
              <w:t xml:space="preserve"> </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14:paraId="5CD3D48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Нәтиже </w:t>
            </w:r>
          </w:p>
        </w:tc>
      </w:tr>
      <w:tr w:rsidR="00656EE7" w14:paraId="10DFB4B1" w14:textId="77777777" w:rsidTr="0020085F">
        <w:tc>
          <w:tcPr>
            <w:tcW w:w="0" w:type="auto"/>
            <w:vMerge/>
            <w:tcBorders>
              <w:top w:val="single" w:sz="4" w:space="0" w:color="auto"/>
              <w:left w:val="single" w:sz="4" w:space="0" w:color="auto"/>
              <w:bottom w:val="single" w:sz="4" w:space="0" w:color="auto"/>
              <w:right w:val="single" w:sz="4" w:space="0" w:color="auto"/>
            </w:tcBorders>
            <w:vAlign w:val="center"/>
            <w:hideMark/>
          </w:tcPr>
          <w:p w14:paraId="447E37D8"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1261F" w14:textId="77777777" w:rsidR="00656EE7" w:rsidRDefault="00656EE7">
            <w:pPr>
              <w:rPr>
                <w:rFonts w:ascii="Times New Roman" w:eastAsia="Times New Roman" w:hAnsi="Times New Roman" w:cs="Times New Roman"/>
                <w:kern w:val="36"/>
                <w:sz w:val="24"/>
                <w:szCs w:val="24"/>
                <w:lang w:val="kk-KZ" w:eastAsia="ru-RU"/>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2D904622"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color w:val="000000"/>
                <w:spacing w:val="2"/>
                <w:sz w:val="24"/>
                <w:szCs w:val="24"/>
                <w:shd w:val="clear" w:color="auto" w:fill="FFFFFF"/>
                <w:lang w:val="kk-KZ"/>
              </w:rPr>
              <w:t>жоспар</w:t>
            </w:r>
          </w:p>
        </w:tc>
        <w:tc>
          <w:tcPr>
            <w:tcW w:w="844" w:type="dxa"/>
            <w:tcBorders>
              <w:top w:val="single" w:sz="4" w:space="0" w:color="auto"/>
              <w:left w:val="single" w:sz="4" w:space="0" w:color="auto"/>
              <w:bottom w:val="single" w:sz="4" w:space="0" w:color="auto"/>
              <w:right w:val="single" w:sz="4" w:space="0" w:color="auto"/>
            </w:tcBorders>
            <w:vAlign w:val="center"/>
            <w:hideMark/>
          </w:tcPr>
          <w:p w14:paraId="12DF5C2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996" w:type="dxa"/>
            <w:tcBorders>
              <w:top w:val="single" w:sz="4" w:space="0" w:color="auto"/>
              <w:left w:val="single" w:sz="4" w:space="0" w:color="auto"/>
              <w:bottom w:val="single" w:sz="4" w:space="0" w:color="auto"/>
              <w:right w:val="single" w:sz="4" w:space="0" w:color="auto"/>
            </w:tcBorders>
            <w:vAlign w:val="center"/>
            <w:hideMark/>
          </w:tcPr>
          <w:p w14:paraId="1DDED075"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color w:val="000000"/>
                <w:spacing w:val="2"/>
                <w:sz w:val="24"/>
                <w:szCs w:val="24"/>
                <w:shd w:val="clear" w:color="auto" w:fill="FFFFFF"/>
                <w:lang w:val="kk-KZ"/>
              </w:rPr>
              <w:t>жоспар</w:t>
            </w:r>
          </w:p>
        </w:tc>
        <w:tc>
          <w:tcPr>
            <w:tcW w:w="844" w:type="dxa"/>
            <w:tcBorders>
              <w:top w:val="single" w:sz="4" w:space="0" w:color="auto"/>
              <w:left w:val="single" w:sz="4" w:space="0" w:color="auto"/>
              <w:bottom w:val="single" w:sz="4" w:space="0" w:color="auto"/>
              <w:right w:val="single" w:sz="4" w:space="0" w:color="auto"/>
            </w:tcBorders>
            <w:vAlign w:val="center"/>
            <w:hideMark/>
          </w:tcPr>
          <w:p w14:paraId="07EFEA4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756" w:type="dxa"/>
            <w:tcBorders>
              <w:top w:val="single" w:sz="4" w:space="0" w:color="auto"/>
              <w:left w:val="single" w:sz="4" w:space="0" w:color="auto"/>
              <w:bottom w:val="single" w:sz="4" w:space="0" w:color="auto"/>
              <w:right w:val="single" w:sz="4" w:space="0" w:color="auto"/>
            </w:tcBorders>
            <w:hideMark/>
          </w:tcPr>
          <w:p w14:paraId="19FA799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w:t>
            </w:r>
          </w:p>
        </w:tc>
        <w:tc>
          <w:tcPr>
            <w:tcW w:w="962" w:type="dxa"/>
            <w:tcBorders>
              <w:top w:val="single" w:sz="4" w:space="0" w:color="auto"/>
              <w:left w:val="single" w:sz="4" w:space="0" w:color="auto"/>
              <w:bottom w:val="single" w:sz="4" w:space="0" w:color="auto"/>
              <w:right w:val="single" w:sz="4" w:space="0" w:color="auto"/>
            </w:tcBorders>
            <w:vAlign w:val="center"/>
            <w:hideMark/>
          </w:tcPr>
          <w:p w14:paraId="39181FC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D87E16B" w14:textId="77777777" w:rsidR="00656EE7" w:rsidRDefault="00656EE7">
            <w:pPr>
              <w:rPr>
                <w:rFonts w:ascii="Times New Roman" w:hAnsi="Times New Roman" w:cs="Times New Roman"/>
                <w:color w:val="000000"/>
                <w:spacing w:val="2"/>
                <w:sz w:val="24"/>
                <w:szCs w:val="24"/>
                <w:shd w:val="clear" w:color="auto" w:fill="FFFFFF"/>
                <w:lang w:val="kk-KZ"/>
              </w:rPr>
            </w:pPr>
          </w:p>
        </w:tc>
      </w:tr>
      <w:tr w:rsidR="00656EE7" w14:paraId="2C874219"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29F72FEB"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2514" w:type="dxa"/>
            <w:tcBorders>
              <w:top w:val="single" w:sz="4" w:space="0" w:color="auto"/>
              <w:left w:val="single" w:sz="4" w:space="0" w:color="auto"/>
              <w:bottom w:val="single" w:sz="4" w:space="0" w:color="auto"/>
              <w:right w:val="single" w:sz="4" w:space="0" w:color="auto"/>
            </w:tcBorders>
            <w:hideMark/>
          </w:tcPr>
          <w:p w14:paraId="0AF6128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Субсидия көлемін өсіру есебінен ауыл шаруашылығы техникасын сатып алуды 1,5 есеге ұлғайту, %</w:t>
            </w:r>
          </w:p>
        </w:tc>
        <w:tc>
          <w:tcPr>
            <w:tcW w:w="996" w:type="dxa"/>
            <w:tcBorders>
              <w:top w:val="single" w:sz="4" w:space="0" w:color="auto"/>
              <w:left w:val="single" w:sz="4" w:space="0" w:color="auto"/>
              <w:bottom w:val="single" w:sz="4" w:space="0" w:color="auto"/>
              <w:right w:val="single" w:sz="4" w:space="0" w:color="auto"/>
            </w:tcBorders>
            <w:vAlign w:val="center"/>
            <w:hideMark/>
          </w:tcPr>
          <w:p w14:paraId="1D319BD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106</w:t>
            </w:r>
          </w:p>
        </w:tc>
        <w:tc>
          <w:tcPr>
            <w:tcW w:w="844" w:type="dxa"/>
            <w:tcBorders>
              <w:top w:val="single" w:sz="4" w:space="0" w:color="auto"/>
              <w:left w:val="single" w:sz="4" w:space="0" w:color="auto"/>
              <w:bottom w:val="single" w:sz="4" w:space="0" w:color="auto"/>
              <w:right w:val="single" w:sz="4" w:space="0" w:color="auto"/>
            </w:tcBorders>
            <w:vAlign w:val="center"/>
            <w:hideMark/>
          </w:tcPr>
          <w:p w14:paraId="13333B1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137</w:t>
            </w:r>
          </w:p>
        </w:tc>
        <w:tc>
          <w:tcPr>
            <w:tcW w:w="996" w:type="dxa"/>
            <w:tcBorders>
              <w:top w:val="single" w:sz="4" w:space="0" w:color="auto"/>
              <w:left w:val="single" w:sz="4" w:space="0" w:color="auto"/>
              <w:bottom w:val="single" w:sz="4" w:space="0" w:color="auto"/>
              <w:right w:val="single" w:sz="4" w:space="0" w:color="auto"/>
            </w:tcBorders>
            <w:vAlign w:val="center"/>
            <w:hideMark/>
          </w:tcPr>
          <w:p w14:paraId="2F6E30C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115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1530DB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141</w:t>
            </w:r>
          </w:p>
        </w:tc>
        <w:tc>
          <w:tcPr>
            <w:tcW w:w="756" w:type="dxa"/>
            <w:tcBorders>
              <w:top w:val="single" w:sz="4" w:space="0" w:color="auto"/>
              <w:left w:val="single" w:sz="4" w:space="0" w:color="auto"/>
              <w:bottom w:val="single" w:sz="4" w:space="0" w:color="auto"/>
              <w:right w:val="single" w:sz="4" w:space="0" w:color="auto"/>
            </w:tcBorders>
            <w:vAlign w:val="center"/>
            <w:hideMark/>
          </w:tcPr>
          <w:p w14:paraId="5A41751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129,2</w:t>
            </w:r>
          </w:p>
        </w:tc>
        <w:tc>
          <w:tcPr>
            <w:tcW w:w="962" w:type="dxa"/>
            <w:tcBorders>
              <w:top w:val="single" w:sz="4" w:space="0" w:color="auto"/>
              <w:left w:val="single" w:sz="4" w:space="0" w:color="auto"/>
              <w:bottom w:val="single" w:sz="4" w:space="0" w:color="auto"/>
              <w:right w:val="single" w:sz="4" w:space="0" w:color="auto"/>
            </w:tcBorders>
            <w:vAlign w:val="center"/>
            <w:hideMark/>
          </w:tcPr>
          <w:p w14:paraId="1C354D1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122,6</w:t>
            </w:r>
          </w:p>
        </w:tc>
        <w:tc>
          <w:tcPr>
            <w:tcW w:w="11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DA65FC"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52FB6460"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5BFF92D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2514" w:type="dxa"/>
            <w:tcBorders>
              <w:top w:val="single" w:sz="4" w:space="0" w:color="auto"/>
              <w:left w:val="single" w:sz="4" w:space="0" w:color="auto"/>
              <w:bottom w:val="single" w:sz="4" w:space="0" w:color="auto"/>
              <w:right w:val="single" w:sz="4" w:space="0" w:color="auto"/>
            </w:tcBorders>
            <w:hideMark/>
          </w:tcPr>
          <w:p w14:paraId="76B1598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kern w:val="36"/>
                <w:sz w:val="24"/>
                <w:szCs w:val="24"/>
                <w:lang w:val="kk-KZ"/>
              </w:rPr>
              <w:t>Су үнемдеу технологиялары (тамшылатып суару, жаңбырлатып суару) қолданылатын жерлер алаңы, мың га</w:t>
            </w:r>
          </w:p>
        </w:tc>
        <w:tc>
          <w:tcPr>
            <w:tcW w:w="996" w:type="dxa"/>
            <w:tcBorders>
              <w:top w:val="single" w:sz="4" w:space="0" w:color="auto"/>
              <w:left w:val="single" w:sz="4" w:space="0" w:color="auto"/>
              <w:bottom w:val="single" w:sz="4" w:space="0" w:color="auto"/>
              <w:right w:val="single" w:sz="4" w:space="0" w:color="auto"/>
            </w:tcBorders>
            <w:vAlign w:val="center"/>
            <w:hideMark/>
          </w:tcPr>
          <w:p w14:paraId="0CC4BA4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230</w:t>
            </w:r>
          </w:p>
        </w:tc>
        <w:tc>
          <w:tcPr>
            <w:tcW w:w="844" w:type="dxa"/>
            <w:tcBorders>
              <w:top w:val="single" w:sz="4" w:space="0" w:color="auto"/>
              <w:left w:val="single" w:sz="4" w:space="0" w:color="auto"/>
              <w:bottom w:val="single" w:sz="4" w:space="0" w:color="auto"/>
              <w:right w:val="single" w:sz="4" w:space="0" w:color="auto"/>
            </w:tcBorders>
            <w:vAlign w:val="center"/>
            <w:hideMark/>
          </w:tcPr>
          <w:p w14:paraId="722B2A0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258</w:t>
            </w:r>
          </w:p>
        </w:tc>
        <w:tc>
          <w:tcPr>
            <w:tcW w:w="996" w:type="dxa"/>
            <w:tcBorders>
              <w:top w:val="single" w:sz="4" w:space="0" w:color="auto"/>
              <w:left w:val="single" w:sz="4" w:space="0" w:color="auto"/>
              <w:bottom w:val="single" w:sz="4" w:space="0" w:color="auto"/>
              <w:right w:val="single" w:sz="4" w:space="0" w:color="auto"/>
            </w:tcBorders>
            <w:vAlign w:val="center"/>
            <w:hideMark/>
          </w:tcPr>
          <w:p w14:paraId="7CF75DF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265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DE06B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279</w:t>
            </w:r>
          </w:p>
        </w:tc>
        <w:tc>
          <w:tcPr>
            <w:tcW w:w="756" w:type="dxa"/>
            <w:tcBorders>
              <w:top w:val="single" w:sz="4" w:space="0" w:color="auto"/>
              <w:left w:val="single" w:sz="4" w:space="0" w:color="auto"/>
              <w:bottom w:val="single" w:sz="4" w:space="0" w:color="auto"/>
              <w:right w:val="single" w:sz="4" w:space="0" w:color="auto"/>
            </w:tcBorders>
            <w:vAlign w:val="center"/>
            <w:hideMark/>
          </w:tcPr>
          <w:p w14:paraId="38B520F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112,2</w:t>
            </w:r>
          </w:p>
        </w:tc>
        <w:tc>
          <w:tcPr>
            <w:tcW w:w="962" w:type="dxa"/>
            <w:tcBorders>
              <w:top w:val="single" w:sz="4" w:space="0" w:color="auto"/>
              <w:left w:val="single" w:sz="4" w:space="0" w:color="auto"/>
              <w:bottom w:val="single" w:sz="4" w:space="0" w:color="auto"/>
              <w:right w:val="single" w:sz="4" w:space="0" w:color="auto"/>
            </w:tcBorders>
            <w:vAlign w:val="center"/>
            <w:hideMark/>
          </w:tcPr>
          <w:p w14:paraId="17BE157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105,3</w:t>
            </w:r>
          </w:p>
        </w:tc>
        <w:tc>
          <w:tcPr>
            <w:tcW w:w="11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24B6F57"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109796C5"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114695D0"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2514" w:type="dxa"/>
            <w:tcBorders>
              <w:top w:val="single" w:sz="4" w:space="0" w:color="auto"/>
              <w:left w:val="single" w:sz="4" w:space="0" w:color="auto"/>
              <w:bottom w:val="single" w:sz="4" w:space="0" w:color="auto"/>
              <w:right w:val="single" w:sz="4" w:space="0" w:color="auto"/>
            </w:tcBorders>
            <w:hideMark/>
          </w:tcPr>
          <w:p w14:paraId="5BEE055B"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Субсидиялау көлемін өсіру есебінен жоғары сапалы тұқымдарды 1,2 есе ұлғайту, %</w:t>
            </w:r>
          </w:p>
        </w:tc>
        <w:tc>
          <w:tcPr>
            <w:tcW w:w="996" w:type="dxa"/>
            <w:tcBorders>
              <w:top w:val="single" w:sz="4" w:space="0" w:color="auto"/>
              <w:left w:val="single" w:sz="4" w:space="0" w:color="auto"/>
              <w:bottom w:val="single" w:sz="4" w:space="0" w:color="auto"/>
              <w:right w:val="single" w:sz="4" w:space="0" w:color="auto"/>
            </w:tcBorders>
            <w:vAlign w:val="center"/>
            <w:hideMark/>
          </w:tcPr>
          <w:p w14:paraId="5550681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115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8B754F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291,3</w:t>
            </w:r>
          </w:p>
        </w:tc>
        <w:tc>
          <w:tcPr>
            <w:tcW w:w="996" w:type="dxa"/>
            <w:tcBorders>
              <w:top w:val="single" w:sz="4" w:space="0" w:color="auto"/>
              <w:left w:val="single" w:sz="4" w:space="0" w:color="auto"/>
              <w:bottom w:val="single" w:sz="4" w:space="0" w:color="auto"/>
              <w:right w:val="single" w:sz="4" w:space="0" w:color="auto"/>
            </w:tcBorders>
            <w:vAlign w:val="center"/>
            <w:hideMark/>
          </w:tcPr>
          <w:p w14:paraId="7C434A3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118</w:t>
            </w:r>
          </w:p>
        </w:tc>
        <w:tc>
          <w:tcPr>
            <w:tcW w:w="844" w:type="dxa"/>
            <w:tcBorders>
              <w:top w:val="single" w:sz="4" w:space="0" w:color="auto"/>
              <w:left w:val="single" w:sz="4" w:space="0" w:color="auto"/>
              <w:bottom w:val="single" w:sz="4" w:space="0" w:color="auto"/>
              <w:right w:val="single" w:sz="4" w:space="0" w:color="auto"/>
            </w:tcBorders>
            <w:vAlign w:val="center"/>
            <w:hideMark/>
          </w:tcPr>
          <w:p w14:paraId="3C82181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1E4C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253,3</w:t>
            </w:r>
          </w:p>
        </w:tc>
        <w:tc>
          <w:tcPr>
            <w:tcW w:w="962" w:type="dxa"/>
            <w:tcBorders>
              <w:top w:val="single" w:sz="4" w:space="0" w:color="auto"/>
              <w:left w:val="single" w:sz="4" w:space="0" w:color="auto"/>
              <w:bottom w:val="single" w:sz="4" w:space="0" w:color="auto"/>
              <w:right w:val="single" w:sz="4" w:space="0" w:color="auto"/>
            </w:tcBorders>
            <w:vAlign w:val="center"/>
            <w:hideMark/>
          </w:tcPr>
          <w:p w14:paraId="261233E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183,9</w:t>
            </w:r>
          </w:p>
        </w:tc>
        <w:tc>
          <w:tcPr>
            <w:tcW w:w="11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35F0D8D"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0CF28D25"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227FAE0E"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2514" w:type="dxa"/>
            <w:tcBorders>
              <w:top w:val="single" w:sz="4" w:space="0" w:color="auto"/>
              <w:left w:val="single" w:sz="4" w:space="0" w:color="auto"/>
              <w:bottom w:val="single" w:sz="4" w:space="0" w:color="auto"/>
              <w:right w:val="single" w:sz="4" w:space="0" w:color="auto"/>
            </w:tcBorders>
            <w:hideMark/>
          </w:tcPr>
          <w:p w14:paraId="17450231"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Субсидиялау көлемін өсіру есебінен минералды тыңайтқыштарды 1,4 есе ұлғайту</w:t>
            </w:r>
          </w:p>
        </w:tc>
        <w:tc>
          <w:tcPr>
            <w:tcW w:w="996" w:type="dxa"/>
            <w:tcBorders>
              <w:top w:val="single" w:sz="4" w:space="0" w:color="auto"/>
              <w:left w:val="single" w:sz="4" w:space="0" w:color="auto"/>
              <w:bottom w:val="single" w:sz="4" w:space="0" w:color="auto"/>
              <w:right w:val="single" w:sz="4" w:space="0" w:color="auto"/>
            </w:tcBorders>
            <w:vAlign w:val="center"/>
            <w:hideMark/>
          </w:tcPr>
          <w:p w14:paraId="4D71C0A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102,1</w:t>
            </w:r>
          </w:p>
        </w:tc>
        <w:tc>
          <w:tcPr>
            <w:tcW w:w="844" w:type="dxa"/>
            <w:tcBorders>
              <w:top w:val="single" w:sz="4" w:space="0" w:color="auto"/>
              <w:left w:val="single" w:sz="4" w:space="0" w:color="auto"/>
              <w:bottom w:val="single" w:sz="4" w:space="0" w:color="auto"/>
              <w:right w:val="single" w:sz="4" w:space="0" w:color="auto"/>
            </w:tcBorders>
            <w:vAlign w:val="center"/>
            <w:hideMark/>
          </w:tcPr>
          <w:p w14:paraId="1FF7CE7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92,6</w:t>
            </w:r>
          </w:p>
        </w:tc>
        <w:tc>
          <w:tcPr>
            <w:tcW w:w="996" w:type="dxa"/>
            <w:tcBorders>
              <w:top w:val="single" w:sz="4" w:space="0" w:color="auto"/>
              <w:left w:val="single" w:sz="4" w:space="0" w:color="auto"/>
              <w:bottom w:val="single" w:sz="4" w:space="0" w:color="auto"/>
              <w:right w:val="single" w:sz="4" w:space="0" w:color="auto"/>
            </w:tcBorders>
            <w:vAlign w:val="center"/>
            <w:hideMark/>
          </w:tcPr>
          <w:p w14:paraId="00B9376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99,8</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8F216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80,6</w:t>
            </w:r>
          </w:p>
        </w:tc>
        <w:tc>
          <w:tcPr>
            <w:tcW w:w="756" w:type="dxa"/>
            <w:tcBorders>
              <w:top w:val="single" w:sz="4" w:space="0" w:color="auto"/>
              <w:left w:val="single" w:sz="4" w:space="0" w:color="auto"/>
              <w:bottom w:val="single" w:sz="4" w:space="0" w:color="auto"/>
              <w:right w:val="single" w:sz="4" w:space="0" w:color="auto"/>
            </w:tcBorders>
            <w:vAlign w:val="center"/>
            <w:hideMark/>
          </w:tcPr>
          <w:p w14:paraId="7A01C5C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90,7</w:t>
            </w:r>
          </w:p>
        </w:tc>
        <w:tc>
          <w:tcPr>
            <w:tcW w:w="962" w:type="dxa"/>
            <w:tcBorders>
              <w:top w:val="single" w:sz="4" w:space="0" w:color="auto"/>
              <w:left w:val="single" w:sz="4" w:space="0" w:color="auto"/>
              <w:bottom w:val="single" w:sz="4" w:space="0" w:color="auto"/>
              <w:right w:val="single" w:sz="4" w:space="0" w:color="auto"/>
            </w:tcBorders>
            <w:vAlign w:val="center"/>
            <w:hideMark/>
          </w:tcPr>
          <w:p w14:paraId="310D930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80,76</w:t>
            </w:r>
          </w:p>
        </w:tc>
        <w:tc>
          <w:tcPr>
            <w:tcW w:w="119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0CD3EE3"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0C7D9596"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501D6F8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2514" w:type="dxa"/>
            <w:tcBorders>
              <w:top w:val="single" w:sz="4" w:space="0" w:color="auto"/>
              <w:left w:val="single" w:sz="4" w:space="0" w:color="auto"/>
              <w:bottom w:val="single" w:sz="4" w:space="0" w:color="auto"/>
              <w:right w:val="single" w:sz="4" w:space="0" w:color="auto"/>
            </w:tcBorders>
            <w:hideMark/>
          </w:tcPr>
          <w:p w14:paraId="144C528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1-іс-шара. Тыңайтқыштарды субсидиялау, </w:t>
            </w:r>
            <w:r>
              <w:rPr>
                <w:rFonts w:ascii="Times New Roman" w:hAnsi="Times New Roman" w:cs="Times New Roman"/>
                <w:kern w:val="36"/>
                <w:sz w:val="24"/>
                <w:szCs w:val="24"/>
                <w:lang w:val="kk-KZ"/>
              </w:rPr>
              <w:t>млн. тг</w:t>
            </w:r>
          </w:p>
        </w:tc>
        <w:tc>
          <w:tcPr>
            <w:tcW w:w="996" w:type="dxa"/>
            <w:tcBorders>
              <w:top w:val="single" w:sz="4" w:space="0" w:color="auto"/>
              <w:left w:val="single" w:sz="4" w:space="0" w:color="auto"/>
              <w:bottom w:val="single" w:sz="4" w:space="0" w:color="auto"/>
              <w:right w:val="single" w:sz="4" w:space="0" w:color="auto"/>
            </w:tcBorders>
            <w:vAlign w:val="center"/>
            <w:hideMark/>
          </w:tcPr>
          <w:p w14:paraId="4F06DFA1"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27834,0</w:t>
            </w:r>
          </w:p>
        </w:tc>
        <w:tc>
          <w:tcPr>
            <w:tcW w:w="844" w:type="dxa"/>
            <w:tcBorders>
              <w:top w:val="single" w:sz="4" w:space="0" w:color="auto"/>
              <w:left w:val="single" w:sz="4" w:space="0" w:color="auto"/>
              <w:bottom w:val="single" w:sz="4" w:space="0" w:color="auto"/>
              <w:right w:val="single" w:sz="4" w:space="0" w:color="auto"/>
            </w:tcBorders>
            <w:vAlign w:val="center"/>
            <w:hideMark/>
          </w:tcPr>
          <w:p w14:paraId="55BE147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28559</w:t>
            </w:r>
          </w:p>
        </w:tc>
        <w:tc>
          <w:tcPr>
            <w:tcW w:w="996" w:type="dxa"/>
            <w:tcBorders>
              <w:top w:val="single" w:sz="4" w:space="0" w:color="auto"/>
              <w:left w:val="single" w:sz="4" w:space="0" w:color="auto"/>
              <w:bottom w:val="single" w:sz="4" w:space="0" w:color="auto"/>
              <w:right w:val="single" w:sz="4" w:space="0" w:color="auto"/>
            </w:tcBorders>
            <w:vAlign w:val="center"/>
            <w:hideMark/>
          </w:tcPr>
          <w:p w14:paraId="78248939"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27038,</w:t>
            </w:r>
            <w:r>
              <w:rPr>
                <w:rFonts w:ascii="Times New Roman" w:hAnsi="Times New Roman" w:cs="Times New Roman"/>
                <w:sz w:val="24"/>
                <w:szCs w:val="24"/>
                <w:lang w:val="kk-KZ"/>
              </w:rPr>
              <w:t>4</w:t>
            </w:r>
          </w:p>
        </w:tc>
        <w:tc>
          <w:tcPr>
            <w:tcW w:w="844" w:type="dxa"/>
            <w:tcBorders>
              <w:top w:val="single" w:sz="4" w:space="0" w:color="auto"/>
              <w:left w:val="single" w:sz="4" w:space="0" w:color="auto"/>
              <w:bottom w:val="single" w:sz="4" w:space="0" w:color="auto"/>
              <w:right w:val="single" w:sz="4" w:space="0" w:color="auto"/>
            </w:tcBorders>
            <w:vAlign w:val="center"/>
            <w:hideMark/>
          </w:tcPr>
          <w:p w14:paraId="2CB1480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38514</w:t>
            </w:r>
          </w:p>
        </w:tc>
        <w:tc>
          <w:tcPr>
            <w:tcW w:w="756" w:type="dxa"/>
            <w:tcBorders>
              <w:top w:val="single" w:sz="4" w:space="0" w:color="auto"/>
              <w:left w:val="single" w:sz="4" w:space="0" w:color="auto"/>
              <w:bottom w:val="single" w:sz="4" w:space="0" w:color="auto"/>
              <w:right w:val="single" w:sz="4" w:space="0" w:color="auto"/>
            </w:tcBorders>
            <w:vAlign w:val="center"/>
            <w:hideMark/>
          </w:tcPr>
          <w:p w14:paraId="28259D0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102,6</w:t>
            </w:r>
          </w:p>
        </w:tc>
        <w:tc>
          <w:tcPr>
            <w:tcW w:w="962" w:type="dxa"/>
            <w:tcBorders>
              <w:top w:val="single" w:sz="4" w:space="0" w:color="auto"/>
              <w:left w:val="single" w:sz="4" w:space="0" w:color="auto"/>
              <w:bottom w:val="single" w:sz="4" w:space="0" w:color="auto"/>
              <w:right w:val="single" w:sz="4" w:space="0" w:color="auto"/>
            </w:tcBorders>
            <w:vAlign w:val="center"/>
            <w:hideMark/>
          </w:tcPr>
          <w:p w14:paraId="4606A10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142,4</w:t>
            </w:r>
          </w:p>
        </w:tc>
        <w:tc>
          <w:tcPr>
            <w:tcW w:w="11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5CC1A5"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62606C38"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48E0494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2514" w:type="dxa"/>
            <w:tcBorders>
              <w:top w:val="single" w:sz="4" w:space="0" w:color="auto"/>
              <w:left w:val="single" w:sz="4" w:space="0" w:color="auto"/>
              <w:bottom w:val="single" w:sz="4" w:space="0" w:color="auto"/>
              <w:right w:val="single" w:sz="4" w:space="0" w:color="auto"/>
            </w:tcBorders>
            <w:hideMark/>
          </w:tcPr>
          <w:p w14:paraId="5F67DB9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субсидияланған минералды тыңайтқыштар көлемі, мың тонна</w:t>
            </w:r>
          </w:p>
        </w:tc>
        <w:tc>
          <w:tcPr>
            <w:tcW w:w="996" w:type="dxa"/>
            <w:tcBorders>
              <w:top w:val="single" w:sz="4" w:space="0" w:color="auto"/>
              <w:left w:val="single" w:sz="4" w:space="0" w:color="auto"/>
              <w:bottom w:val="single" w:sz="4" w:space="0" w:color="auto"/>
              <w:right w:val="single" w:sz="4" w:space="0" w:color="auto"/>
            </w:tcBorders>
            <w:vAlign w:val="center"/>
            <w:hideMark/>
          </w:tcPr>
          <w:p w14:paraId="2E6035E7"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544,2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C00B709"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494,0</w:t>
            </w:r>
          </w:p>
        </w:tc>
        <w:tc>
          <w:tcPr>
            <w:tcW w:w="996" w:type="dxa"/>
            <w:tcBorders>
              <w:top w:val="single" w:sz="4" w:space="0" w:color="auto"/>
              <w:left w:val="single" w:sz="4" w:space="0" w:color="auto"/>
              <w:bottom w:val="single" w:sz="4" w:space="0" w:color="auto"/>
              <w:right w:val="single" w:sz="4" w:space="0" w:color="auto"/>
            </w:tcBorders>
            <w:vAlign w:val="center"/>
            <w:hideMark/>
          </w:tcPr>
          <w:p w14:paraId="027A9F21"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532,0</w:t>
            </w:r>
          </w:p>
        </w:tc>
        <w:tc>
          <w:tcPr>
            <w:tcW w:w="844" w:type="dxa"/>
            <w:tcBorders>
              <w:top w:val="single" w:sz="4" w:space="0" w:color="auto"/>
              <w:left w:val="single" w:sz="4" w:space="0" w:color="auto"/>
              <w:bottom w:val="single" w:sz="4" w:space="0" w:color="auto"/>
              <w:right w:val="single" w:sz="4" w:space="0" w:color="auto"/>
            </w:tcBorders>
            <w:vAlign w:val="center"/>
            <w:hideMark/>
          </w:tcPr>
          <w:p w14:paraId="353753B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429,4</w:t>
            </w:r>
          </w:p>
        </w:tc>
        <w:tc>
          <w:tcPr>
            <w:tcW w:w="756" w:type="dxa"/>
            <w:tcBorders>
              <w:top w:val="single" w:sz="4" w:space="0" w:color="auto"/>
              <w:left w:val="single" w:sz="4" w:space="0" w:color="auto"/>
              <w:bottom w:val="single" w:sz="4" w:space="0" w:color="auto"/>
              <w:right w:val="single" w:sz="4" w:space="0" w:color="auto"/>
            </w:tcBorders>
            <w:vAlign w:val="center"/>
            <w:hideMark/>
          </w:tcPr>
          <w:p w14:paraId="269332B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90,78</w:t>
            </w:r>
          </w:p>
        </w:tc>
        <w:tc>
          <w:tcPr>
            <w:tcW w:w="962" w:type="dxa"/>
            <w:tcBorders>
              <w:top w:val="single" w:sz="4" w:space="0" w:color="auto"/>
              <w:left w:val="single" w:sz="4" w:space="0" w:color="auto"/>
              <w:bottom w:val="single" w:sz="4" w:space="0" w:color="auto"/>
              <w:right w:val="single" w:sz="4" w:space="0" w:color="auto"/>
            </w:tcBorders>
            <w:vAlign w:val="center"/>
            <w:hideMark/>
          </w:tcPr>
          <w:p w14:paraId="780DF09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80,71</w:t>
            </w:r>
          </w:p>
        </w:tc>
        <w:tc>
          <w:tcPr>
            <w:tcW w:w="119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9D3EE0E"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2E557730"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28249815"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w:t>
            </w:r>
          </w:p>
        </w:tc>
        <w:tc>
          <w:tcPr>
            <w:tcW w:w="2514" w:type="dxa"/>
            <w:tcBorders>
              <w:top w:val="single" w:sz="4" w:space="0" w:color="auto"/>
              <w:left w:val="single" w:sz="4" w:space="0" w:color="auto"/>
              <w:bottom w:val="single" w:sz="4" w:space="0" w:color="auto"/>
              <w:right w:val="single" w:sz="4" w:space="0" w:color="auto"/>
            </w:tcBorders>
            <w:hideMark/>
          </w:tcPr>
          <w:p w14:paraId="1EEB1B26" w14:textId="32BA7EB2"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Егістікті (сүрі жерлерді) тиімді </w:t>
            </w:r>
            <w:r w:rsidR="0020085F">
              <w:rPr>
                <w:rFonts w:ascii="Times New Roman" w:hAnsi="Times New Roman" w:cs="Times New Roman"/>
                <w:color w:val="000000"/>
                <w:spacing w:val="2"/>
                <w:sz w:val="24"/>
                <w:szCs w:val="24"/>
                <w:shd w:val="clear" w:color="auto" w:fill="FFFFFF"/>
                <w:lang w:val="kk-KZ"/>
              </w:rPr>
              <w:t>өңдеуге арналған өсімдіктерді қорғау құралдарын сатып алу шығындарының 50%-ын субсидиялау, млн га</w:t>
            </w:r>
          </w:p>
        </w:tc>
        <w:tc>
          <w:tcPr>
            <w:tcW w:w="996" w:type="dxa"/>
            <w:tcBorders>
              <w:top w:val="single" w:sz="4" w:space="0" w:color="auto"/>
              <w:left w:val="single" w:sz="4" w:space="0" w:color="auto"/>
              <w:bottom w:val="single" w:sz="4" w:space="0" w:color="auto"/>
              <w:right w:val="single" w:sz="4" w:space="0" w:color="auto"/>
            </w:tcBorders>
            <w:vAlign w:val="center"/>
            <w:hideMark/>
          </w:tcPr>
          <w:p w14:paraId="3C7D392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w w:val="99"/>
                <w:sz w:val="24"/>
                <w:szCs w:val="24"/>
                <w:lang w:val="en-U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2B06576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3,8</w:t>
            </w:r>
          </w:p>
        </w:tc>
        <w:tc>
          <w:tcPr>
            <w:tcW w:w="996" w:type="dxa"/>
            <w:tcBorders>
              <w:top w:val="single" w:sz="4" w:space="0" w:color="auto"/>
              <w:left w:val="single" w:sz="4" w:space="0" w:color="auto"/>
              <w:bottom w:val="single" w:sz="4" w:space="0" w:color="auto"/>
              <w:right w:val="single" w:sz="4" w:space="0" w:color="auto"/>
            </w:tcBorders>
            <w:vAlign w:val="center"/>
            <w:hideMark/>
          </w:tcPr>
          <w:p w14:paraId="2D54A44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2,5</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2FDE3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E6BA47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190</w:t>
            </w:r>
          </w:p>
        </w:tc>
        <w:tc>
          <w:tcPr>
            <w:tcW w:w="962" w:type="dxa"/>
            <w:tcBorders>
              <w:top w:val="single" w:sz="4" w:space="0" w:color="auto"/>
              <w:left w:val="single" w:sz="4" w:space="0" w:color="auto"/>
              <w:bottom w:val="single" w:sz="4" w:space="0" w:color="auto"/>
              <w:right w:val="single" w:sz="4" w:space="0" w:color="auto"/>
            </w:tcBorders>
            <w:vAlign w:val="center"/>
            <w:hideMark/>
          </w:tcPr>
          <w:p w14:paraId="0291389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11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346D65"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52E5FBAF" w14:textId="77777777" w:rsidTr="004662A2">
        <w:tc>
          <w:tcPr>
            <w:tcW w:w="447" w:type="dxa"/>
            <w:tcBorders>
              <w:top w:val="single" w:sz="4" w:space="0" w:color="auto"/>
              <w:left w:val="single" w:sz="4" w:space="0" w:color="auto"/>
              <w:bottom w:val="single" w:sz="4" w:space="0" w:color="auto"/>
              <w:right w:val="single" w:sz="4" w:space="0" w:color="auto"/>
            </w:tcBorders>
            <w:hideMark/>
          </w:tcPr>
          <w:p w14:paraId="67E7CA1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w:t>
            </w:r>
          </w:p>
        </w:tc>
        <w:tc>
          <w:tcPr>
            <w:tcW w:w="2514" w:type="dxa"/>
            <w:tcBorders>
              <w:top w:val="single" w:sz="4" w:space="0" w:color="auto"/>
              <w:left w:val="single" w:sz="4" w:space="0" w:color="auto"/>
              <w:bottom w:val="single" w:sz="4" w:space="0" w:color="auto"/>
              <w:right w:val="single" w:sz="4" w:space="0" w:color="auto"/>
            </w:tcBorders>
            <w:hideMark/>
          </w:tcPr>
          <w:p w14:paraId="4241FFD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ІҚМ-нің орташа тірідей салмағы, кг</w:t>
            </w:r>
          </w:p>
        </w:tc>
        <w:tc>
          <w:tcPr>
            <w:tcW w:w="996" w:type="dxa"/>
            <w:tcBorders>
              <w:top w:val="single" w:sz="4" w:space="0" w:color="auto"/>
              <w:left w:val="single" w:sz="4" w:space="0" w:color="auto"/>
              <w:bottom w:val="single" w:sz="4" w:space="0" w:color="auto"/>
              <w:right w:val="single" w:sz="4" w:space="0" w:color="auto"/>
            </w:tcBorders>
            <w:vAlign w:val="center"/>
            <w:hideMark/>
          </w:tcPr>
          <w:p w14:paraId="78FFFF1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380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FEA1377" w14:textId="122519F1" w:rsidR="00656EE7" w:rsidRDefault="00C42AC1">
            <w:pPr>
              <w:jc w:val="center"/>
              <w:rPr>
                <w:rFonts w:ascii="Times New Roman" w:hAnsi="Times New Roman" w:cs="Times New Roman"/>
                <w:color w:val="000000"/>
                <w:spacing w:val="2"/>
                <w:sz w:val="24"/>
                <w:szCs w:val="24"/>
                <w:shd w:val="clear" w:color="auto" w:fill="FFFFFF"/>
                <w:lang w:val="kk-KZ"/>
              </w:rPr>
            </w:pPr>
            <w:r w:rsidRPr="00C42AC1">
              <w:rPr>
                <w:rFonts w:ascii="Times New Roman" w:hAnsi="Times New Roman" w:cs="Times New Roman"/>
                <w:color w:val="FF0000"/>
                <w:spacing w:val="2"/>
                <w:sz w:val="24"/>
                <w:szCs w:val="24"/>
                <w:shd w:val="clear" w:color="auto" w:fill="FFFFFF"/>
                <w:lang w:val="kk-KZ"/>
              </w:rPr>
              <w:t xml:space="preserve">380/ </w:t>
            </w:r>
            <w:r w:rsidR="00656EE7" w:rsidRPr="00C42AC1">
              <w:rPr>
                <w:rFonts w:ascii="Times New Roman" w:hAnsi="Times New Roman" w:cs="Times New Roman"/>
                <w:color w:val="FF0000"/>
                <w:spacing w:val="2"/>
                <w:sz w:val="24"/>
                <w:szCs w:val="24"/>
                <w:shd w:val="clear" w:color="auto" w:fill="FFFFFF"/>
                <w:lang w:val="kk-KZ"/>
              </w:rPr>
              <w:t>339</w:t>
            </w:r>
          </w:p>
        </w:tc>
        <w:tc>
          <w:tcPr>
            <w:tcW w:w="996" w:type="dxa"/>
            <w:tcBorders>
              <w:top w:val="single" w:sz="4" w:space="0" w:color="auto"/>
              <w:left w:val="single" w:sz="4" w:space="0" w:color="auto"/>
              <w:bottom w:val="single" w:sz="4" w:space="0" w:color="auto"/>
              <w:right w:val="single" w:sz="4" w:space="0" w:color="auto"/>
            </w:tcBorders>
            <w:vAlign w:val="center"/>
            <w:hideMark/>
          </w:tcPr>
          <w:p w14:paraId="21F9645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385</w:t>
            </w:r>
          </w:p>
        </w:tc>
        <w:tc>
          <w:tcPr>
            <w:tcW w:w="844" w:type="dxa"/>
            <w:tcBorders>
              <w:top w:val="single" w:sz="4" w:space="0" w:color="auto"/>
              <w:left w:val="single" w:sz="4" w:space="0" w:color="auto"/>
              <w:bottom w:val="single" w:sz="4" w:space="0" w:color="auto"/>
              <w:right w:val="single" w:sz="4" w:space="0" w:color="auto"/>
            </w:tcBorders>
            <w:vAlign w:val="center"/>
            <w:hideMark/>
          </w:tcPr>
          <w:p w14:paraId="778A5815" w14:textId="185E6BAB" w:rsidR="00656EE7" w:rsidRDefault="00C42AC1">
            <w:pPr>
              <w:jc w:val="center"/>
              <w:rPr>
                <w:rFonts w:ascii="Times New Roman" w:hAnsi="Times New Roman" w:cs="Times New Roman"/>
                <w:color w:val="000000"/>
                <w:spacing w:val="2"/>
                <w:sz w:val="24"/>
                <w:szCs w:val="24"/>
                <w:shd w:val="clear" w:color="auto" w:fill="FFFFFF"/>
                <w:lang w:val="kk-KZ"/>
              </w:rPr>
            </w:pPr>
            <w:r w:rsidRPr="00C42AC1">
              <w:rPr>
                <w:rFonts w:ascii="Times New Roman" w:hAnsi="Times New Roman" w:cs="Times New Roman"/>
                <w:color w:val="FF0000"/>
                <w:spacing w:val="2"/>
                <w:sz w:val="24"/>
                <w:szCs w:val="24"/>
                <w:shd w:val="clear" w:color="auto" w:fill="FFFFFF"/>
                <w:lang w:val="kk-KZ"/>
              </w:rPr>
              <w:t xml:space="preserve">380/ </w:t>
            </w:r>
            <w:r w:rsidR="00656EE7" w:rsidRPr="00C42AC1">
              <w:rPr>
                <w:rFonts w:ascii="Times New Roman" w:hAnsi="Times New Roman" w:cs="Times New Roman"/>
                <w:color w:val="FF0000"/>
                <w:spacing w:val="2"/>
                <w:sz w:val="24"/>
                <w:szCs w:val="24"/>
                <w:shd w:val="clear" w:color="auto" w:fill="FFFFFF"/>
                <w:lang w:val="kk-KZ"/>
              </w:rPr>
              <w:t>339</w:t>
            </w:r>
          </w:p>
        </w:tc>
        <w:tc>
          <w:tcPr>
            <w:tcW w:w="756" w:type="dxa"/>
            <w:tcBorders>
              <w:top w:val="single" w:sz="4" w:space="0" w:color="auto"/>
              <w:left w:val="single" w:sz="4" w:space="0" w:color="auto"/>
              <w:bottom w:val="single" w:sz="4" w:space="0" w:color="auto"/>
              <w:right w:val="single" w:sz="4" w:space="0" w:color="auto"/>
            </w:tcBorders>
            <w:vAlign w:val="center"/>
            <w:hideMark/>
          </w:tcPr>
          <w:p w14:paraId="1162039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89,2</w:t>
            </w:r>
          </w:p>
        </w:tc>
        <w:tc>
          <w:tcPr>
            <w:tcW w:w="962" w:type="dxa"/>
            <w:tcBorders>
              <w:top w:val="single" w:sz="4" w:space="0" w:color="auto"/>
              <w:left w:val="single" w:sz="4" w:space="0" w:color="auto"/>
              <w:bottom w:val="single" w:sz="4" w:space="0" w:color="auto"/>
              <w:right w:val="single" w:sz="4" w:space="0" w:color="auto"/>
            </w:tcBorders>
            <w:vAlign w:val="center"/>
            <w:hideMark/>
          </w:tcPr>
          <w:p w14:paraId="7831336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88,1</w:t>
            </w:r>
          </w:p>
        </w:tc>
        <w:tc>
          <w:tcPr>
            <w:tcW w:w="119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28D5441" w14:textId="59FBD285" w:rsidR="00656EE7" w:rsidRPr="004662A2" w:rsidRDefault="00656EE7">
            <w:pPr>
              <w:jc w:val="center"/>
              <w:rPr>
                <w:rFonts w:ascii="Times New Roman" w:hAnsi="Times New Roman" w:cs="Times New Roman"/>
                <w:color w:val="000000"/>
                <w:spacing w:val="2"/>
                <w:sz w:val="24"/>
                <w:szCs w:val="24"/>
                <w:highlight w:val="red"/>
                <w:shd w:val="clear" w:color="auto" w:fill="FFFFFF"/>
                <w:lang w:val="kk-KZ"/>
              </w:rPr>
            </w:pPr>
            <w:r w:rsidRPr="004662A2">
              <w:rPr>
                <w:rFonts w:ascii="Times New Roman" w:hAnsi="Times New Roman" w:cs="Times New Roman"/>
                <w:color w:val="000000"/>
                <w:spacing w:val="2"/>
                <w:sz w:val="24"/>
                <w:szCs w:val="24"/>
                <w:highlight w:val="red"/>
                <w:shd w:val="clear" w:color="auto" w:fill="FFFFFF"/>
                <w:lang w:val="kk-KZ"/>
              </w:rPr>
              <w:t>орындал-</w:t>
            </w:r>
            <w:r w:rsidR="004662A2" w:rsidRPr="004662A2">
              <w:rPr>
                <w:rFonts w:ascii="Times New Roman" w:hAnsi="Times New Roman" w:cs="Times New Roman"/>
                <w:color w:val="000000"/>
                <w:spacing w:val="2"/>
                <w:sz w:val="24"/>
                <w:szCs w:val="24"/>
                <w:highlight w:val="red"/>
                <w:shd w:val="clear" w:color="auto" w:fill="FFFFFF"/>
                <w:lang w:val="kk-KZ"/>
              </w:rPr>
              <w:t>ма</w:t>
            </w:r>
            <w:r w:rsidRPr="004662A2">
              <w:rPr>
                <w:rFonts w:ascii="Times New Roman" w:hAnsi="Times New Roman" w:cs="Times New Roman"/>
                <w:color w:val="000000"/>
                <w:spacing w:val="2"/>
                <w:sz w:val="24"/>
                <w:szCs w:val="24"/>
                <w:highlight w:val="red"/>
                <w:shd w:val="clear" w:color="auto" w:fill="FFFFFF"/>
                <w:lang w:val="kk-KZ"/>
              </w:rPr>
              <w:t>ған</w:t>
            </w:r>
          </w:p>
        </w:tc>
      </w:tr>
      <w:tr w:rsidR="00656EE7" w14:paraId="2229ED8D" w14:textId="77777777" w:rsidTr="00074E4E">
        <w:tc>
          <w:tcPr>
            <w:tcW w:w="447" w:type="dxa"/>
            <w:tcBorders>
              <w:top w:val="single" w:sz="4" w:space="0" w:color="auto"/>
              <w:left w:val="single" w:sz="4" w:space="0" w:color="auto"/>
              <w:bottom w:val="single" w:sz="4" w:space="0" w:color="auto"/>
              <w:right w:val="single" w:sz="4" w:space="0" w:color="auto"/>
            </w:tcBorders>
            <w:hideMark/>
          </w:tcPr>
          <w:p w14:paraId="5BF539A5"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w:t>
            </w:r>
          </w:p>
        </w:tc>
        <w:tc>
          <w:tcPr>
            <w:tcW w:w="2514" w:type="dxa"/>
            <w:tcBorders>
              <w:top w:val="single" w:sz="4" w:space="0" w:color="auto"/>
              <w:left w:val="single" w:sz="4" w:space="0" w:color="auto"/>
              <w:bottom w:val="single" w:sz="4" w:space="0" w:color="auto"/>
              <w:right w:val="single" w:sz="4" w:space="0" w:color="auto"/>
            </w:tcBorders>
            <w:hideMark/>
          </w:tcPr>
          <w:p w14:paraId="69B15D4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АӨК-ге енгізілген аяқталған ғылыми әзірлемелердің үлесі</w:t>
            </w:r>
          </w:p>
        </w:tc>
        <w:tc>
          <w:tcPr>
            <w:tcW w:w="996" w:type="dxa"/>
            <w:tcBorders>
              <w:top w:val="single" w:sz="4" w:space="0" w:color="auto"/>
              <w:left w:val="single" w:sz="4" w:space="0" w:color="auto"/>
              <w:bottom w:val="single" w:sz="4" w:space="0" w:color="auto"/>
              <w:right w:val="single" w:sz="4" w:space="0" w:color="auto"/>
            </w:tcBorders>
            <w:vAlign w:val="center"/>
            <w:hideMark/>
          </w:tcPr>
          <w:p w14:paraId="54558EE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10</w:t>
            </w:r>
          </w:p>
        </w:tc>
        <w:tc>
          <w:tcPr>
            <w:tcW w:w="844" w:type="dxa"/>
            <w:tcBorders>
              <w:top w:val="single" w:sz="4" w:space="0" w:color="auto"/>
              <w:left w:val="single" w:sz="4" w:space="0" w:color="auto"/>
              <w:bottom w:val="single" w:sz="4" w:space="0" w:color="auto"/>
              <w:right w:val="single" w:sz="4" w:space="0" w:color="auto"/>
            </w:tcBorders>
            <w:vAlign w:val="center"/>
            <w:hideMark/>
          </w:tcPr>
          <w:p w14:paraId="7157AFF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10</w:t>
            </w:r>
          </w:p>
        </w:tc>
        <w:tc>
          <w:tcPr>
            <w:tcW w:w="996" w:type="dxa"/>
            <w:tcBorders>
              <w:top w:val="single" w:sz="4" w:space="0" w:color="auto"/>
              <w:left w:val="single" w:sz="4" w:space="0" w:color="auto"/>
              <w:bottom w:val="single" w:sz="4" w:space="0" w:color="auto"/>
              <w:right w:val="single" w:sz="4" w:space="0" w:color="auto"/>
            </w:tcBorders>
            <w:vAlign w:val="center"/>
            <w:hideMark/>
          </w:tcPr>
          <w:p w14:paraId="4C05BF1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11,5</w:t>
            </w:r>
          </w:p>
        </w:tc>
        <w:tc>
          <w:tcPr>
            <w:tcW w:w="844" w:type="dxa"/>
            <w:tcBorders>
              <w:top w:val="single" w:sz="4" w:space="0" w:color="auto"/>
              <w:left w:val="single" w:sz="4" w:space="0" w:color="auto"/>
              <w:bottom w:val="single" w:sz="4" w:space="0" w:color="auto"/>
              <w:right w:val="single" w:sz="4" w:space="0" w:color="auto"/>
            </w:tcBorders>
            <w:vAlign w:val="center"/>
            <w:hideMark/>
          </w:tcPr>
          <w:p w14:paraId="137FB53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558924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962" w:type="dxa"/>
            <w:tcBorders>
              <w:top w:val="single" w:sz="4" w:space="0" w:color="auto"/>
              <w:left w:val="single" w:sz="4" w:space="0" w:color="auto"/>
              <w:bottom w:val="single" w:sz="4" w:space="0" w:color="auto"/>
              <w:right w:val="single" w:sz="4" w:space="0" w:color="auto"/>
            </w:tcBorders>
            <w:vAlign w:val="center"/>
            <w:hideMark/>
          </w:tcPr>
          <w:p w14:paraId="51F021E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11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4509327"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184EC0DD" w14:textId="77777777" w:rsidTr="0020085F">
        <w:tc>
          <w:tcPr>
            <w:tcW w:w="9550" w:type="dxa"/>
            <w:gridSpan w:val="9"/>
            <w:tcBorders>
              <w:top w:val="single" w:sz="4" w:space="0" w:color="auto"/>
              <w:left w:val="single" w:sz="4" w:space="0" w:color="auto"/>
              <w:bottom w:val="single" w:sz="4" w:space="0" w:color="auto"/>
              <w:right w:val="single" w:sz="4" w:space="0" w:color="auto"/>
            </w:tcBorders>
            <w:hideMark/>
          </w:tcPr>
          <w:p w14:paraId="3D8AFE68" w14:textId="58BB0588" w:rsidR="00656EE7" w:rsidRDefault="00656EE7">
            <w:pPr>
              <w:ind w:firstLine="738"/>
              <w:rPr>
                <w:rFonts w:ascii="Times New Roman" w:hAnsi="Times New Roman" w:cs="Times New Roman"/>
                <w:color w:val="000000"/>
                <w:sz w:val="24"/>
                <w:szCs w:val="24"/>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cs="Times New Roman"/>
                <w:kern w:val="36"/>
                <w:sz w:val="24"/>
                <w:szCs w:val="24"/>
                <w:lang w:val="kk-KZ" w:eastAsia="zh-CN"/>
              </w:rPr>
              <w:t>[</w:t>
            </w:r>
            <w:r w:rsidR="00C42AC1">
              <w:rPr>
                <w:rFonts w:ascii="Times New Roman" w:eastAsiaTheme="minorEastAsia" w:hAnsi="Times New Roman" w:cs="Times New Roman"/>
                <w:kern w:val="36"/>
                <w:sz w:val="24"/>
                <w:szCs w:val="24"/>
                <w:lang w:val="kk-KZ" w:eastAsia="zh-CN"/>
              </w:rPr>
              <w:t xml:space="preserve">7, </w:t>
            </w:r>
            <w:r w:rsidR="00644665" w:rsidRPr="00644665">
              <w:rPr>
                <w:rFonts w:ascii="Times New Roman" w:eastAsiaTheme="minorEastAsia" w:hAnsi="Times New Roman" w:cs="Times New Roman"/>
                <w:kern w:val="36"/>
                <w:sz w:val="24"/>
                <w:szCs w:val="24"/>
                <w:lang w:eastAsia="zh-CN"/>
              </w:rPr>
              <w:t>110</w:t>
            </w:r>
            <w:r>
              <w:rPr>
                <w:rFonts w:ascii="Times New Roman" w:eastAsiaTheme="minorEastAsia" w:hAnsi="Times New Roman" w:cs="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20499309" w14:textId="77777777" w:rsidR="00656EE7" w:rsidRDefault="00656EE7" w:rsidP="00656EE7">
      <w:pPr>
        <w:spacing w:after="0" w:line="240" w:lineRule="auto"/>
        <w:jc w:val="both"/>
        <w:rPr>
          <w:rFonts w:ascii="Times New Roman" w:hAnsi="Times New Roman" w:cs="Times New Roman"/>
          <w:color w:val="000000"/>
          <w:spacing w:val="2"/>
          <w:sz w:val="28"/>
          <w:szCs w:val="28"/>
          <w:shd w:val="clear" w:color="auto" w:fill="FFFFFF"/>
          <w:lang w:val="kk-KZ"/>
        </w:rPr>
      </w:pPr>
    </w:p>
    <w:p w14:paraId="625EFE1E" w14:textId="34714FD7" w:rsidR="00656EE7" w:rsidRDefault="00656EE7" w:rsidP="00656EE7">
      <w:pPr>
        <w:spacing w:after="0" w:line="240" w:lineRule="auto"/>
        <w:ind w:firstLine="709"/>
        <w:jc w:val="both"/>
        <w:rPr>
          <w:rFonts w:ascii="Times New Roman" w:hAnsi="Times New Roman" w:cs="Times New Roman"/>
          <w:color w:val="000000"/>
          <w:sz w:val="28"/>
          <w:szCs w:val="28"/>
          <w:lang w:val="kk-KZ"/>
        </w:rPr>
      </w:pPr>
      <w:r>
        <w:rPr>
          <w:rFonts w:ascii="Times New Roman" w:eastAsia="Times New Roman" w:hAnsi="Times New Roman" w:cs="Times New Roman"/>
          <w:kern w:val="36"/>
          <w:sz w:val="28"/>
          <w:szCs w:val="28"/>
          <w:lang w:val="kk-KZ" w:eastAsia="ru-RU"/>
        </w:rPr>
        <w:t>ҚР АӨК ұлттық жобасындағы отандық өндірістің негізгі азық-түліктік тауарларымен қамтамасыз етілуі міндетін іске асыруға арналған нәтижелі көрсеткіштер мен іс шаралар 2021-2022 жж. орындалуы туралы мәлімет 3</w:t>
      </w:r>
      <w:r w:rsidR="007F5D1B">
        <w:rPr>
          <w:rFonts w:ascii="Times New Roman" w:eastAsia="Times New Roman" w:hAnsi="Times New Roman" w:cs="Times New Roman"/>
          <w:kern w:val="36"/>
          <w:sz w:val="28"/>
          <w:szCs w:val="28"/>
          <w:lang w:val="kk-KZ" w:eastAsia="ru-RU"/>
        </w:rPr>
        <w:t>4</w:t>
      </w:r>
      <w:r>
        <w:rPr>
          <w:rFonts w:ascii="Times New Roman" w:eastAsia="Times New Roman" w:hAnsi="Times New Roman" w:cs="Times New Roman"/>
          <w:kern w:val="36"/>
          <w:sz w:val="28"/>
          <w:szCs w:val="28"/>
          <w:lang w:val="kk-KZ" w:eastAsia="ru-RU"/>
        </w:rPr>
        <w:t>-кестеде келтірілген.</w:t>
      </w:r>
    </w:p>
    <w:p w14:paraId="2016B149" w14:textId="77777777" w:rsidR="0020085F" w:rsidRDefault="0020085F" w:rsidP="00656EE7">
      <w:pPr>
        <w:spacing w:after="0" w:line="240" w:lineRule="auto"/>
        <w:jc w:val="both"/>
        <w:rPr>
          <w:rFonts w:ascii="Times New Roman" w:hAnsi="Times New Roman" w:cs="Times New Roman"/>
          <w:color w:val="000000"/>
          <w:spacing w:val="2"/>
          <w:sz w:val="28"/>
          <w:szCs w:val="28"/>
          <w:shd w:val="clear" w:color="auto" w:fill="FFFFFF"/>
          <w:lang w:val="kk-KZ"/>
        </w:rPr>
      </w:pPr>
    </w:p>
    <w:p w14:paraId="6898112B" w14:textId="717CDCC8" w:rsidR="00656EE7" w:rsidRDefault="00656EE7" w:rsidP="00656EE7">
      <w:pPr>
        <w:spacing w:after="0" w:line="240" w:lineRule="auto"/>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Кесте 3</w:t>
      </w:r>
      <w:r w:rsidR="007F5D1B">
        <w:rPr>
          <w:rFonts w:ascii="Times New Roman" w:hAnsi="Times New Roman" w:cs="Times New Roman"/>
          <w:color w:val="000000"/>
          <w:spacing w:val="2"/>
          <w:sz w:val="28"/>
          <w:szCs w:val="28"/>
          <w:shd w:val="clear" w:color="auto" w:fill="FFFFFF"/>
          <w:lang w:val="kk-KZ"/>
        </w:rPr>
        <w:t>4</w:t>
      </w:r>
      <w:r>
        <w:rPr>
          <w:rFonts w:ascii="Times New Roman" w:hAnsi="Times New Roman" w:cs="Times New Roman"/>
          <w:color w:val="000000"/>
          <w:spacing w:val="2"/>
          <w:sz w:val="28"/>
          <w:szCs w:val="28"/>
          <w:shd w:val="clear" w:color="auto" w:fill="FFFFFF"/>
          <w:lang w:val="kk-KZ"/>
        </w:rPr>
        <w:t xml:space="preserve"> – </w:t>
      </w:r>
      <w:r>
        <w:rPr>
          <w:rFonts w:ascii="Times New Roman" w:eastAsia="Times New Roman" w:hAnsi="Times New Roman" w:cs="Times New Roman"/>
          <w:kern w:val="36"/>
          <w:sz w:val="28"/>
          <w:szCs w:val="28"/>
          <w:lang w:val="kk-KZ" w:eastAsia="ru-RU"/>
        </w:rPr>
        <w:t>ҚР АӨК ұлттық жобасындағы 2-ші міндетін іске асыруға арналған көрсеткіштер мен іс шаралар 2021-2022 жж. орындалуы туралы мәлімет</w:t>
      </w:r>
    </w:p>
    <w:tbl>
      <w:tblPr>
        <w:tblStyle w:val="a3"/>
        <w:tblW w:w="0" w:type="auto"/>
        <w:tblLook w:val="04A0" w:firstRow="1" w:lastRow="0" w:firstColumn="1" w:lastColumn="0" w:noHBand="0" w:noVBand="1"/>
      </w:tblPr>
      <w:tblGrid>
        <w:gridCol w:w="447"/>
        <w:gridCol w:w="2693"/>
        <w:gridCol w:w="976"/>
        <w:gridCol w:w="876"/>
        <w:gridCol w:w="976"/>
        <w:gridCol w:w="957"/>
        <w:gridCol w:w="756"/>
        <w:gridCol w:w="756"/>
        <w:gridCol w:w="600"/>
        <w:gridCol w:w="591"/>
      </w:tblGrid>
      <w:tr w:rsidR="00656EE7" w14:paraId="3D1ED3EE" w14:textId="77777777" w:rsidTr="00656EE7">
        <w:tc>
          <w:tcPr>
            <w:tcW w:w="410" w:type="dxa"/>
            <w:vMerge w:val="restart"/>
            <w:tcBorders>
              <w:top w:val="single" w:sz="4" w:space="0" w:color="auto"/>
              <w:left w:val="single" w:sz="4" w:space="0" w:color="auto"/>
              <w:bottom w:val="single" w:sz="4" w:space="0" w:color="auto"/>
              <w:right w:val="single" w:sz="4" w:space="0" w:color="auto"/>
            </w:tcBorders>
            <w:hideMark/>
          </w:tcPr>
          <w:p w14:paraId="2CD78BF1"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3169" w:type="dxa"/>
            <w:vMerge w:val="restart"/>
            <w:tcBorders>
              <w:top w:val="single" w:sz="4" w:space="0" w:color="auto"/>
              <w:left w:val="single" w:sz="4" w:space="0" w:color="auto"/>
              <w:bottom w:val="single" w:sz="4" w:space="0" w:color="auto"/>
              <w:right w:val="single" w:sz="4" w:space="0" w:color="auto"/>
            </w:tcBorders>
            <w:hideMark/>
          </w:tcPr>
          <w:p w14:paraId="642076EA"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Көрсеткіштер </w:t>
            </w:r>
          </w:p>
        </w:tc>
        <w:tc>
          <w:tcPr>
            <w:tcW w:w="1636" w:type="dxa"/>
            <w:gridSpan w:val="2"/>
            <w:tcBorders>
              <w:top w:val="single" w:sz="4" w:space="0" w:color="auto"/>
              <w:left w:val="single" w:sz="4" w:space="0" w:color="auto"/>
              <w:bottom w:val="single" w:sz="4" w:space="0" w:color="auto"/>
              <w:right w:val="single" w:sz="4" w:space="0" w:color="auto"/>
            </w:tcBorders>
            <w:vAlign w:val="center"/>
            <w:hideMark/>
          </w:tcPr>
          <w:p w14:paraId="4C7ECB1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 жыл</w:t>
            </w:r>
          </w:p>
        </w:tc>
        <w:tc>
          <w:tcPr>
            <w:tcW w:w="1766" w:type="dxa"/>
            <w:gridSpan w:val="2"/>
            <w:tcBorders>
              <w:top w:val="single" w:sz="4" w:space="0" w:color="auto"/>
              <w:left w:val="single" w:sz="4" w:space="0" w:color="auto"/>
              <w:bottom w:val="single" w:sz="4" w:space="0" w:color="auto"/>
              <w:right w:val="single" w:sz="4" w:space="0" w:color="auto"/>
            </w:tcBorders>
            <w:vAlign w:val="center"/>
            <w:hideMark/>
          </w:tcPr>
          <w:p w14:paraId="37423AA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332" w:type="dxa"/>
            <w:gridSpan w:val="2"/>
            <w:tcBorders>
              <w:top w:val="single" w:sz="4" w:space="0" w:color="auto"/>
              <w:left w:val="single" w:sz="4" w:space="0" w:color="auto"/>
              <w:bottom w:val="single" w:sz="4" w:space="0" w:color="auto"/>
              <w:right w:val="single" w:sz="4" w:space="0" w:color="auto"/>
            </w:tcBorders>
            <w:hideMark/>
          </w:tcPr>
          <w:p w14:paraId="02CFDCF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Ауытқу, </w:t>
            </w:r>
            <w:r>
              <w:rPr>
                <w:rFonts w:ascii="Times New Roman" w:hAnsi="Times New Roman" w:cs="Times New Roman"/>
                <w:color w:val="000000"/>
                <w:spacing w:val="2"/>
                <w:sz w:val="24"/>
                <w:szCs w:val="24"/>
                <w:shd w:val="clear" w:color="auto" w:fill="FFFFFF"/>
              </w:rPr>
              <w:t>%</w:t>
            </w:r>
            <w:r>
              <w:rPr>
                <w:rFonts w:ascii="Times New Roman" w:hAnsi="Times New Roman" w:cs="Times New Roman"/>
                <w:color w:val="000000"/>
                <w:spacing w:val="2"/>
                <w:sz w:val="24"/>
                <w:szCs w:val="24"/>
                <w:shd w:val="clear" w:color="auto" w:fill="FFFFFF"/>
                <w:lang w:val="kk-KZ"/>
              </w:rPr>
              <w:t xml:space="preserve"> </w:t>
            </w:r>
          </w:p>
        </w:tc>
        <w:tc>
          <w:tcPr>
            <w:tcW w:w="10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B5D15E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Нәтиже </w:t>
            </w:r>
          </w:p>
        </w:tc>
      </w:tr>
      <w:tr w:rsidR="00656EE7" w14:paraId="6AED2711" w14:textId="77777777" w:rsidTr="00656EE7">
        <w:tc>
          <w:tcPr>
            <w:tcW w:w="0" w:type="auto"/>
            <w:vMerge/>
            <w:tcBorders>
              <w:top w:val="single" w:sz="4" w:space="0" w:color="auto"/>
              <w:left w:val="single" w:sz="4" w:space="0" w:color="auto"/>
              <w:bottom w:val="single" w:sz="4" w:space="0" w:color="auto"/>
              <w:right w:val="single" w:sz="4" w:space="0" w:color="auto"/>
            </w:tcBorders>
            <w:vAlign w:val="center"/>
            <w:hideMark/>
          </w:tcPr>
          <w:p w14:paraId="62B53018"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2F25E"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818DE5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785" w:type="dxa"/>
            <w:tcBorders>
              <w:top w:val="single" w:sz="4" w:space="0" w:color="auto"/>
              <w:left w:val="single" w:sz="4" w:space="0" w:color="auto"/>
              <w:bottom w:val="single" w:sz="4" w:space="0" w:color="auto"/>
              <w:right w:val="single" w:sz="4" w:space="0" w:color="auto"/>
            </w:tcBorders>
            <w:vAlign w:val="center"/>
            <w:hideMark/>
          </w:tcPr>
          <w:p w14:paraId="6D16491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942" w:type="dxa"/>
            <w:tcBorders>
              <w:top w:val="single" w:sz="4" w:space="0" w:color="auto"/>
              <w:left w:val="single" w:sz="4" w:space="0" w:color="auto"/>
              <w:bottom w:val="single" w:sz="4" w:space="0" w:color="auto"/>
              <w:right w:val="single" w:sz="4" w:space="0" w:color="auto"/>
            </w:tcBorders>
            <w:vAlign w:val="center"/>
            <w:hideMark/>
          </w:tcPr>
          <w:p w14:paraId="0AFE7B2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824" w:type="dxa"/>
            <w:tcBorders>
              <w:top w:val="single" w:sz="4" w:space="0" w:color="auto"/>
              <w:left w:val="single" w:sz="4" w:space="0" w:color="auto"/>
              <w:bottom w:val="single" w:sz="4" w:space="0" w:color="auto"/>
              <w:right w:val="single" w:sz="4" w:space="0" w:color="auto"/>
            </w:tcBorders>
            <w:vAlign w:val="center"/>
            <w:hideMark/>
          </w:tcPr>
          <w:p w14:paraId="5FC8516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666" w:type="dxa"/>
            <w:tcBorders>
              <w:top w:val="single" w:sz="4" w:space="0" w:color="auto"/>
              <w:left w:val="single" w:sz="4" w:space="0" w:color="auto"/>
              <w:bottom w:val="single" w:sz="4" w:space="0" w:color="auto"/>
              <w:right w:val="single" w:sz="4" w:space="0" w:color="auto"/>
            </w:tcBorders>
            <w:hideMark/>
          </w:tcPr>
          <w:p w14:paraId="22E6BC8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w:t>
            </w:r>
          </w:p>
        </w:tc>
        <w:tc>
          <w:tcPr>
            <w:tcW w:w="666" w:type="dxa"/>
            <w:tcBorders>
              <w:top w:val="single" w:sz="4" w:space="0" w:color="auto"/>
              <w:left w:val="single" w:sz="4" w:space="0" w:color="auto"/>
              <w:bottom w:val="single" w:sz="4" w:space="0" w:color="auto"/>
              <w:right w:val="single" w:sz="4" w:space="0" w:color="auto"/>
            </w:tcBorders>
            <w:vAlign w:val="center"/>
            <w:hideMark/>
          </w:tcPr>
          <w:p w14:paraId="08DB22B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CEBB1D" w14:textId="77777777" w:rsidR="00656EE7" w:rsidRDefault="00656EE7">
            <w:pPr>
              <w:rPr>
                <w:rFonts w:ascii="Times New Roman" w:hAnsi="Times New Roman" w:cs="Times New Roman"/>
                <w:color w:val="000000"/>
                <w:spacing w:val="2"/>
                <w:sz w:val="24"/>
                <w:szCs w:val="24"/>
                <w:shd w:val="clear" w:color="auto" w:fill="FFFFFF"/>
                <w:lang w:val="kk-KZ"/>
              </w:rPr>
            </w:pPr>
          </w:p>
        </w:tc>
      </w:tr>
      <w:tr w:rsidR="00656EE7" w14:paraId="138C5347" w14:textId="77777777" w:rsidTr="00074E4E">
        <w:tc>
          <w:tcPr>
            <w:tcW w:w="410" w:type="dxa"/>
            <w:tcBorders>
              <w:top w:val="single" w:sz="4" w:space="0" w:color="auto"/>
              <w:left w:val="single" w:sz="4" w:space="0" w:color="auto"/>
              <w:bottom w:val="single" w:sz="4" w:space="0" w:color="auto"/>
              <w:right w:val="single" w:sz="4" w:space="0" w:color="auto"/>
            </w:tcBorders>
            <w:hideMark/>
          </w:tcPr>
          <w:p w14:paraId="2700A7B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3169" w:type="dxa"/>
            <w:tcBorders>
              <w:top w:val="single" w:sz="4" w:space="0" w:color="auto"/>
              <w:left w:val="single" w:sz="4" w:space="0" w:color="auto"/>
              <w:bottom w:val="single" w:sz="4" w:space="0" w:color="auto"/>
              <w:right w:val="single" w:sz="4" w:space="0" w:color="auto"/>
            </w:tcBorders>
            <w:hideMark/>
          </w:tcPr>
          <w:p w14:paraId="5F2F111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1-көрсеткіш.Азық-түлік тауарларымен 80% деңгейінде қамтамасыз етілуі, млн.тг</w:t>
            </w:r>
          </w:p>
        </w:tc>
        <w:tc>
          <w:tcPr>
            <w:tcW w:w="851" w:type="dxa"/>
            <w:tcBorders>
              <w:top w:val="single" w:sz="4" w:space="0" w:color="auto"/>
              <w:left w:val="single" w:sz="4" w:space="0" w:color="auto"/>
              <w:bottom w:val="single" w:sz="4" w:space="0" w:color="auto"/>
              <w:right w:val="single" w:sz="4" w:space="0" w:color="auto"/>
            </w:tcBorders>
            <w:vAlign w:val="center"/>
          </w:tcPr>
          <w:p w14:paraId="2BAF71A1" w14:textId="77777777" w:rsidR="00656EE7" w:rsidRDefault="00656EE7">
            <w:pPr>
              <w:jc w:val="center"/>
              <w:rPr>
                <w:rFonts w:ascii="Times New Roman" w:hAnsi="Times New Roman" w:cs="Times New Roman"/>
                <w:color w:val="000000"/>
                <w:spacing w:val="2"/>
                <w:sz w:val="24"/>
                <w:szCs w:val="24"/>
                <w:shd w:val="clear" w:color="auto" w:fill="FFFFFF"/>
                <w:lang w:val="kk-KZ"/>
              </w:rPr>
            </w:pPr>
          </w:p>
        </w:tc>
        <w:tc>
          <w:tcPr>
            <w:tcW w:w="785" w:type="dxa"/>
            <w:tcBorders>
              <w:top w:val="single" w:sz="4" w:space="0" w:color="auto"/>
              <w:left w:val="single" w:sz="4" w:space="0" w:color="auto"/>
              <w:bottom w:val="single" w:sz="4" w:space="0" w:color="auto"/>
              <w:right w:val="single" w:sz="4" w:space="0" w:color="auto"/>
            </w:tcBorders>
            <w:vAlign w:val="center"/>
          </w:tcPr>
          <w:p w14:paraId="04A6F1E7" w14:textId="77777777" w:rsidR="00656EE7" w:rsidRDefault="00656EE7">
            <w:pPr>
              <w:jc w:val="center"/>
              <w:rPr>
                <w:rFonts w:ascii="Times New Roman" w:hAnsi="Times New Roman" w:cs="Times New Roman"/>
                <w:color w:val="000000"/>
                <w:spacing w:val="2"/>
                <w:sz w:val="24"/>
                <w:szCs w:val="24"/>
                <w:shd w:val="clear" w:color="auto" w:fill="FFFFFF"/>
                <w:lang w:val="kk-KZ"/>
              </w:rPr>
            </w:pPr>
          </w:p>
        </w:tc>
        <w:tc>
          <w:tcPr>
            <w:tcW w:w="942" w:type="dxa"/>
            <w:tcBorders>
              <w:top w:val="single" w:sz="4" w:space="0" w:color="auto"/>
              <w:left w:val="single" w:sz="4" w:space="0" w:color="auto"/>
              <w:bottom w:val="single" w:sz="4" w:space="0" w:color="auto"/>
              <w:right w:val="single" w:sz="4" w:space="0" w:color="auto"/>
            </w:tcBorders>
            <w:vAlign w:val="center"/>
          </w:tcPr>
          <w:p w14:paraId="139AD82D" w14:textId="77777777" w:rsidR="00656EE7" w:rsidRDefault="00656EE7">
            <w:pPr>
              <w:jc w:val="center"/>
              <w:rPr>
                <w:rFonts w:ascii="Times New Roman" w:hAnsi="Times New Roman" w:cs="Times New Roman"/>
                <w:color w:val="000000"/>
                <w:spacing w:val="2"/>
                <w:sz w:val="24"/>
                <w:szCs w:val="24"/>
                <w:shd w:val="clear" w:color="auto" w:fill="FFFFFF"/>
                <w:lang w:val="kk-KZ"/>
              </w:rPr>
            </w:pPr>
          </w:p>
        </w:tc>
        <w:tc>
          <w:tcPr>
            <w:tcW w:w="824" w:type="dxa"/>
            <w:tcBorders>
              <w:top w:val="single" w:sz="4" w:space="0" w:color="auto"/>
              <w:left w:val="single" w:sz="4" w:space="0" w:color="auto"/>
              <w:bottom w:val="single" w:sz="4" w:space="0" w:color="auto"/>
              <w:right w:val="single" w:sz="4" w:space="0" w:color="auto"/>
            </w:tcBorders>
            <w:vAlign w:val="center"/>
          </w:tcPr>
          <w:p w14:paraId="36640519" w14:textId="77777777" w:rsidR="00656EE7" w:rsidRDefault="00656EE7">
            <w:pPr>
              <w:jc w:val="center"/>
              <w:rPr>
                <w:rFonts w:ascii="Times New Roman" w:hAnsi="Times New Roman" w:cs="Times New Roman"/>
                <w:color w:val="000000"/>
                <w:spacing w:val="2"/>
                <w:sz w:val="24"/>
                <w:szCs w:val="24"/>
                <w:shd w:val="clear" w:color="auto" w:fill="FFFFFF"/>
                <w:lang w:val="kk-KZ"/>
              </w:rPr>
            </w:pPr>
          </w:p>
        </w:tc>
        <w:tc>
          <w:tcPr>
            <w:tcW w:w="666" w:type="dxa"/>
            <w:tcBorders>
              <w:top w:val="single" w:sz="4" w:space="0" w:color="auto"/>
              <w:left w:val="single" w:sz="4" w:space="0" w:color="auto"/>
              <w:bottom w:val="single" w:sz="4" w:space="0" w:color="auto"/>
              <w:right w:val="single" w:sz="4" w:space="0" w:color="auto"/>
            </w:tcBorders>
            <w:vAlign w:val="center"/>
          </w:tcPr>
          <w:p w14:paraId="36246640" w14:textId="77777777" w:rsidR="00656EE7" w:rsidRDefault="00656EE7">
            <w:pPr>
              <w:jc w:val="center"/>
              <w:rPr>
                <w:rFonts w:ascii="Times New Roman" w:hAnsi="Times New Roman" w:cs="Times New Roman"/>
                <w:color w:val="000000"/>
                <w:spacing w:val="2"/>
                <w:sz w:val="24"/>
                <w:szCs w:val="24"/>
                <w:shd w:val="clear" w:color="auto" w:fill="FFFFFF"/>
                <w:lang w:val="kk-KZ"/>
              </w:rPr>
            </w:pPr>
          </w:p>
        </w:tc>
        <w:tc>
          <w:tcPr>
            <w:tcW w:w="666" w:type="dxa"/>
            <w:tcBorders>
              <w:top w:val="single" w:sz="4" w:space="0" w:color="auto"/>
              <w:left w:val="single" w:sz="4" w:space="0" w:color="auto"/>
              <w:bottom w:val="single" w:sz="4" w:space="0" w:color="auto"/>
              <w:right w:val="single" w:sz="4" w:space="0" w:color="auto"/>
            </w:tcBorders>
            <w:vAlign w:val="center"/>
          </w:tcPr>
          <w:p w14:paraId="2D737ABF" w14:textId="77777777" w:rsidR="00656EE7" w:rsidRDefault="00656EE7">
            <w:pPr>
              <w:jc w:val="center"/>
              <w:rPr>
                <w:rFonts w:ascii="Times New Roman" w:hAnsi="Times New Roman" w:cs="Times New Roman"/>
                <w:color w:val="000000"/>
                <w:spacing w:val="2"/>
                <w:sz w:val="24"/>
                <w:szCs w:val="24"/>
                <w:shd w:val="clear" w:color="auto" w:fill="FFFFFF"/>
                <w:lang w:val="kk-KZ"/>
              </w:rPr>
            </w:pPr>
          </w:p>
        </w:tc>
        <w:tc>
          <w:tcPr>
            <w:tcW w:w="1031" w:type="dxa"/>
            <w:gridSpan w:val="2"/>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14:paraId="4238AE87"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47777729" w14:textId="77777777" w:rsidTr="00074E4E">
        <w:tc>
          <w:tcPr>
            <w:tcW w:w="410" w:type="dxa"/>
            <w:tcBorders>
              <w:top w:val="single" w:sz="4" w:space="0" w:color="auto"/>
              <w:left w:val="single" w:sz="4" w:space="0" w:color="auto"/>
              <w:bottom w:val="single" w:sz="4" w:space="0" w:color="auto"/>
              <w:right w:val="single" w:sz="4" w:space="0" w:color="auto"/>
            </w:tcBorders>
          </w:tcPr>
          <w:p w14:paraId="0963834B"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3169" w:type="dxa"/>
            <w:tcBorders>
              <w:top w:val="single" w:sz="4" w:space="0" w:color="auto"/>
              <w:left w:val="single" w:sz="4" w:space="0" w:color="auto"/>
              <w:bottom w:val="single" w:sz="4" w:space="0" w:color="auto"/>
              <w:right w:val="single" w:sz="4" w:space="0" w:color="auto"/>
            </w:tcBorders>
            <w:hideMark/>
          </w:tcPr>
          <w:p w14:paraId="49B08613" w14:textId="77777777" w:rsidR="00656EE7" w:rsidRDefault="00656EE7">
            <w:pPr>
              <w:rPr>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-алма,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1458B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80</w:t>
            </w:r>
          </w:p>
        </w:tc>
        <w:tc>
          <w:tcPr>
            <w:tcW w:w="785" w:type="dxa"/>
            <w:tcBorders>
              <w:top w:val="single" w:sz="4" w:space="0" w:color="auto"/>
              <w:left w:val="single" w:sz="4" w:space="0" w:color="auto"/>
              <w:bottom w:val="single" w:sz="4" w:space="0" w:color="auto"/>
              <w:right w:val="single" w:sz="4" w:space="0" w:color="auto"/>
            </w:tcBorders>
            <w:vAlign w:val="center"/>
            <w:hideMark/>
          </w:tcPr>
          <w:p w14:paraId="6B9C988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74</w:t>
            </w:r>
          </w:p>
        </w:tc>
        <w:tc>
          <w:tcPr>
            <w:tcW w:w="942" w:type="dxa"/>
            <w:tcBorders>
              <w:top w:val="single" w:sz="4" w:space="0" w:color="auto"/>
              <w:left w:val="single" w:sz="4" w:space="0" w:color="auto"/>
              <w:bottom w:val="single" w:sz="4" w:space="0" w:color="auto"/>
              <w:right w:val="single" w:sz="4" w:space="0" w:color="auto"/>
            </w:tcBorders>
            <w:vAlign w:val="center"/>
            <w:hideMark/>
          </w:tcPr>
          <w:p w14:paraId="719485C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88</w:t>
            </w:r>
          </w:p>
        </w:tc>
        <w:tc>
          <w:tcPr>
            <w:tcW w:w="824" w:type="dxa"/>
            <w:tcBorders>
              <w:top w:val="single" w:sz="4" w:space="0" w:color="auto"/>
              <w:left w:val="single" w:sz="4" w:space="0" w:color="auto"/>
              <w:bottom w:val="single" w:sz="4" w:space="0" w:color="auto"/>
              <w:right w:val="single" w:sz="4" w:space="0" w:color="auto"/>
            </w:tcBorders>
            <w:vAlign w:val="center"/>
            <w:hideMark/>
          </w:tcPr>
          <w:p w14:paraId="69DC09C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75,6</w:t>
            </w:r>
          </w:p>
        </w:tc>
        <w:tc>
          <w:tcPr>
            <w:tcW w:w="666" w:type="dxa"/>
            <w:tcBorders>
              <w:top w:val="single" w:sz="4" w:space="0" w:color="auto"/>
              <w:left w:val="single" w:sz="4" w:space="0" w:color="auto"/>
              <w:bottom w:val="single" w:sz="4" w:space="0" w:color="auto"/>
              <w:right w:val="single" w:sz="4" w:space="0" w:color="auto"/>
            </w:tcBorders>
            <w:vAlign w:val="center"/>
            <w:hideMark/>
          </w:tcPr>
          <w:p w14:paraId="396F772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92,5</w:t>
            </w:r>
          </w:p>
        </w:tc>
        <w:tc>
          <w:tcPr>
            <w:tcW w:w="666" w:type="dxa"/>
            <w:tcBorders>
              <w:top w:val="single" w:sz="4" w:space="0" w:color="auto"/>
              <w:left w:val="single" w:sz="4" w:space="0" w:color="auto"/>
              <w:bottom w:val="single" w:sz="4" w:space="0" w:color="auto"/>
              <w:right w:val="single" w:sz="4" w:space="0" w:color="auto"/>
            </w:tcBorders>
            <w:vAlign w:val="center"/>
            <w:hideMark/>
          </w:tcPr>
          <w:p w14:paraId="043AC99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85,91</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5E539491" w14:textId="77777777" w:rsidR="00656EE7" w:rsidRPr="00074E4E" w:rsidRDefault="00656EE7">
            <w:pPr>
              <w:rPr>
                <w:rFonts w:ascii="Times New Roman" w:hAnsi="Times New Roman" w:cs="Times New Roman"/>
                <w:color w:val="000000"/>
                <w:spacing w:val="2"/>
                <w:sz w:val="24"/>
                <w:szCs w:val="24"/>
                <w:highlight w:val="red"/>
                <w:shd w:val="clear" w:color="auto" w:fill="FFFFFF"/>
                <w:lang w:val="kk-KZ"/>
              </w:rPr>
            </w:pPr>
          </w:p>
        </w:tc>
      </w:tr>
      <w:tr w:rsidR="00656EE7" w14:paraId="6F4B8261" w14:textId="77777777" w:rsidTr="00074E4E">
        <w:tc>
          <w:tcPr>
            <w:tcW w:w="410" w:type="dxa"/>
            <w:tcBorders>
              <w:top w:val="single" w:sz="4" w:space="0" w:color="auto"/>
              <w:left w:val="single" w:sz="4" w:space="0" w:color="auto"/>
              <w:bottom w:val="single" w:sz="4" w:space="0" w:color="auto"/>
              <w:right w:val="single" w:sz="4" w:space="0" w:color="auto"/>
            </w:tcBorders>
          </w:tcPr>
          <w:p w14:paraId="4D233CBB"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3169" w:type="dxa"/>
            <w:tcBorders>
              <w:top w:val="single" w:sz="4" w:space="0" w:color="auto"/>
              <w:left w:val="single" w:sz="4" w:space="0" w:color="auto"/>
              <w:bottom w:val="single" w:sz="4" w:space="0" w:color="auto"/>
              <w:right w:val="single" w:sz="4" w:space="0" w:color="auto"/>
            </w:tcBorders>
            <w:hideMark/>
          </w:tcPr>
          <w:p w14:paraId="5BDDADCB" w14:textId="77777777" w:rsidR="00656EE7" w:rsidRDefault="00656EE7">
            <w:pPr>
              <w:rPr>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-балық, </w:t>
            </w:r>
            <w:r>
              <w:rPr>
                <w:rFonts w:ascii="Times New Roman" w:hAnsi="Times New Roman" w:cs="Times New Roman"/>
                <w:color w:val="000000"/>
                <w:spacing w:val="2"/>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61391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75</w:t>
            </w:r>
          </w:p>
        </w:tc>
        <w:tc>
          <w:tcPr>
            <w:tcW w:w="785" w:type="dxa"/>
            <w:tcBorders>
              <w:top w:val="single" w:sz="4" w:space="0" w:color="auto"/>
              <w:left w:val="single" w:sz="4" w:space="0" w:color="auto"/>
              <w:bottom w:val="single" w:sz="4" w:space="0" w:color="auto"/>
              <w:right w:val="single" w:sz="4" w:space="0" w:color="auto"/>
            </w:tcBorders>
            <w:vAlign w:val="center"/>
            <w:hideMark/>
          </w:tcPr>
          <w:p w14:paraId="46D8C46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4F2BBF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80</w:t>
            </w:r>
          </w:p>
        </w:tc>
        <w:tc>
          <w:tcPr>
            <w:tcW w:w="824" w:type="dxa"/>
            <w:tcBorders>
              <w:top w:val="single" w:sz="4" w:space="0" w:color="auto"/>
              <w:left w:val="single" w:sz="4" w:space="0" w:color="auto"/>
              <w:bottom w:val="single" w:sz="4" w:space="0" w:color="auto"/>
              <w:right w:val="single" w:sz="4" w:space="0" w:color="auto"/>
            </w:tcBorders>
            <w:vAlign w:val="center"/>
            <w:hideMark/>
          </w:tcPr>
          <w:p w14:paraId="6F20EC4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74</w:t>
            </w:r>
          </w:p>
        </w:tc>
        <w:tc>
          <w:tcPr>
            <w:tcW w:w="666" w:type="dxa"/>
            <w:tcBorders>
              <w:top w:val="single" w:sz="4" w:space="0" w:color="auto"/>
              <w:left w:val="single" w:sz="4" w:space="0" w:color="auto"/>
              <w:bottom w:val="single" w:sz="4" w:space="0" w:color="auto"/>
              <w:right w:val="single" w:sz="4" w:space="0" w:color="auto"/>
            </w:tcBorders>
            <w:vAlign w:val="center"/>
            <w:hideMark/>
          </w:tcPr>
          <w:p w14:paraId="5D1671C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88</w:t>
            </w:r>
          </w:p>
        </w:tc>
        <w:tc>
          <w:tcPr>
            <w:tcW w:w="666" w:type="dxa"/>
            <w:tcBorders>
              <w:top w:val="single" w:sz="4" w:space="0" w:color="auto"/>
              <w:left w:val="single" w:sz="4" w:space="0" w:color="auto"/>
              <w:bottom w:val="single" w:sz="4" w:space="0" w:color="auto"/>
              <w:right w:val="single" w:sz="4" w:space="0" w:color="auto"/>
            </w:tcBorders>
            <w:vAlign w:val="center"/>
            <w:hideMark/>
          </w:tcPr>
          <w:p w14:paraId="4117F2D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92,5</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4ECB7B71" w14:textId="77777777" w:rsidR="00656EE7" w:rsidRPr="00074E4E" w:rsidRDefault="00656EE7">
            <w:pPr>
              <w:rPr>
                <w:rFonts w:ascii="Times New Roman" w:hAnsi="Times New Roman" w:cs="Times New Roman"/>
                <w:color w:val="000000"/>
                <w:spacing w:val="2"/>
                <w:sz w:val="24"/>
                <w:szCs w:val="24"/>
                <w:highlight w:val="red"/>
                <w:shd w:val="clear" w:color="auto" w:fill="FFFFFF"/>
                <w:lang w:val="kk-KZ"/>
              </w:rPr>
            </w:pPr>
          </w:p>
        </w:tc>
      </w:tr>
      <w:tr w:rsidR="00656EE7" w14:paraId="71935BCE" w14:textId="77777777" w:rsidTr="00074E4E">
        <w:tc>
          <w:tcPr>
            <w:tcW w:w="410" w:type="dxa"/>
            <w:tcBorders>
              <w:top w:val="single" w:sz="4" w:space="0" w:color="auto"/>
              <w:left w:val="single" w:sz="4" w:space="0" w:color="auto"/>
              <w:bottom w:val="single" w:sz="4" w:space="0" w:color="auto"/>
              <w:right w:val="single" w:sz="4" w:space="0" w:color="auto"/>
            </w:tcBorders>
          </w:tcPr>
          <w:p w14:paraId="3ED5A565"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3169" w:type="dxa"/>
            <w:tcBorders>
              <w:top w:val="single" w:sz="4" w:space="0" w:color="auto"/>
              <w:left w:val="single" w:sz="4" w:space="0" w:color="auto"/>
              <w:bottom w:val="single" w:sz="4" w:space="0" w:color="auto"/>
              <w:right w:val="single" w:sz="4" w:space="0" w:color="auto"/>
            </w:tcBorders>
            <w:hideMark/>
          </w:tcPr>
          <w:p w14:paraId="2536EBBC"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-шұжық өнімдері, </w:t>
            </w:r>
            <w:r>
              <w:rPr>
                <w:rFonts w:ascii="Times New Roman" w:hAnsi="Times New Roman" w:cs="Times New Roman"/>
                <w:color w:val="000000"/>
                <w:spacing w:val="2"/>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FE4F2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70</w:t>
            </w:r>
          </w:p>
        </w:tc>
        <w:tc>
          <w:tcPr>
            <w:tcW w:w="785" w:type="dxa"/>
            <w:tcBorders>
              <w:top w:val="single" w:sz="4" w:space="0" w:color="auto"/>
              <w:left w:val="single" w:sz="4" w:space="0" w:color="auto"/>
              <w:bottom w:val="single" w:sz="4" w:space="0" w:color="auto"/>
              <w:right w:val="single" w:sz="4" w:space="0" w:color="auto"/>
            </w:tcBorders>
            <w:vAlign w:val="center"/>
            <w:hideMark/>
          </w:tcPr>
          <w:p w14:paraId="2530874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56,4</w:t>
            </w:r>
          </w:p>
        </w:tc>
        <w:tc>
          <w:tcPr>
            <w:tcW w:w="942" w:type="dxa"/>
            <w:tcBorders>
              <w:top w:val="single" w:sz="4" w:space="0" w:color="auto"/>
              <w:left w:val="single" w:sz="4" w:space="0" w:color="auto"/>
              <w:bottom w:val="single" w:sz="4" w:space="0" w:color="auto"/>
              <w:right w:val="single" w:sz="4" w:space="0" w:color="auto"/>
            </w:tcBorders>
            <w:vAlign w:val="center"/>
            <w:hideMark/>
          </w:tcPr>
          <w:p w14:paraId="51C29A6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85</w:t>
            </w:r>
          </w:p>
        </w:tc>
        <w:tc>
          <w:tcPr>
            <w:tcW w:w="824" w:type="dxa"/>
            <w:tcBorders>
              <w:top w:val="single" w:sz="4" w:space="0" w:color="auto"/>
              <w:left w:val="single" w:sz="4" w:space="0" w:color="auto"/>
              <w:bottom w:val="single" w:sz="4" w:space="0" w:color="auto"/>
              <w:right w:val="single" w:sz="4" w:space="0" w:color="auto"/>
            </w:tcBorders>
            <w:vAlign w:val="center"/>
            <w:hideMark/>
          </w:tcPr>
          <w:p w14:paraId="31A9C1E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61</w:t>
            </w:r>
          </w:p>
        </w:tc>
        <w:tc>
          <w:tcPr>
            <w:tcW w:w="666" w:type="dxa"/>
            <w:tcBorders>
              <w:top w:val="single" w:sz="4" w:space="0" w:color="auto"/>
              <w:left w:val="single" w:sz="4" w:space="0" w:color="auto"/>
              <w:bottom w:val="single" w:sz="4" w:space="0" w:color="auto"/>
              <w:right w:val="single" w:sz="4" w:space="0" w:color="auto"/>
            </w:tcBorders>
            <w:vAlign w:val="center"/>
            <w:hideMark/>
          </w:tcPr>
          <w:p w14:paraId="587F762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80,57</w:t>
            </w:r>
          </w:p>
        </w:tc>
        <w:tc>
          <w:tcPr>
            <w:tcW w:w="666" w:type="dxa"/>
            <w:tcBorders>
              <w:top w:val="single" w:sz="4" w:space="0" w:color="auto"/>
              <w:left w:val="single" w:sz="4" w:space="0" w:color="auto"/>
              <w:bottom w:val="single" w:sz="4" w:space="0" w:color="auto"/>
              <w:right w:val="single" w:sz="4" w:space="0" w:color="auto"/>
            </w:tcBorders>
            <w:vAlign w:val="center"/>
            <w:hideMark/>
          </w:tcPr>
          <w:p w14:paraId="2CE4B6D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71,76</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5D466B68" w14:textId="77777777" w:rsidR="00656EE7" w:rsidRPr="00074E4E" w:rsidRDefault="00656EE7">
            <w:pPr>
              <w:rPr>
                <w:rFonts w:ascii="Times New Roman" w:hAnsi="Times New Roman" w:cs="Times New Roman"/>
                <w:color w:val="000000"/>
                <w:spacing w:val="2"/>
                <w:sz w:val="24"/>
                <w:szCs w:val="24"/>
                <w:highlight w:val="red"/>
                <w:shd w:val="clear" w:color="auto" w:fill="FFFFFF"/>
                <w:lang w:val="kk-KZ"/>
              </w:rPr>
            </w:pPr>
          </w:p>
        </w:tc>
      </w:tr>
      <w:tr w:rsidR="00656EE7" w14:paraId="411E73BA" w14:textId="77777777" w:rsidTr="00074E4E">
        <w:tc>
          <w:tcPr>
            <w:tcW w:w="410" w:type="dxa"/>
            <w:tcBorders>
              <w:top w:val="single" w:sz="4" w:space="0" w:color="auto"/>
              <w:left w:val="single" w:sz="4" w:space="0" w:color="auto"/>
              <w:bottom w:val="single" w:sz="4" w:space="0" w:color="auto"/>
              <w:right w:val="single" w:sz="4" w:space="0" w:color="auto"/>
            </w:tcBorders>
          </w:tcPr>
          <w:p w14:paraId="3D35E4AC"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3169" w:type="dxa"/>
            <w:tcBorders>
              <w:top w:val="single" w:sz="4" w:space="0" w:color="auto"/>
              <w:left w:val="single" w:sz="4" w:space="0" w:color="auto"/>
              <w:bottom w:val="single" w:sz="4" w:space="0" w:color="auto"/>
              <w:right w:val="single" w:sz="4" w:space="0" w:color="auto"/>
            </w:tcBorders>
            <w:hideMark/>
          </w:tcPr>
          <w:p w14:paraId="5792779E"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-ірімшік пен сүзбе,%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03E02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70</w:t>
            </w:r>
          </w:p>
        </w:tc>
        <w:tc>
          <w:tcPr>
            <w:tcW w:w="785" w:type="dxa"/>
            <w:tcBorders>
              <w:top w:val="single" w:sz="4" w:space="0" w:color="auto"/>
              <w:left w:val="single" w:sz="4" w:space="0" w:color="auto"/>
              <w:bottom w:val="single" w:sz="4" w:space="0" w:color="auto"/>
              <w:right w:val="single" w:sz="4" w:space="0" w:color="auto"/>
            </w:tcBorders>
            <w:vAlign w:val="center"/>
            <w:hideMark/>
          </w:tcPr>
          <w:p w14:paraId="14BA5C3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56</w:t>
            </w:r>
          </w:p>
        </w:tc>
        <w:tc>
          <w:tcPr>
            <w:tcW w:w="942" w:type="dxa"/>
            <w:tcBorders>
              <w:top w:val="single" w:sz="4" w:space="0" w:color="auto"/>
              <w:left w:val="single" w:sz="4" w:space="0" w:color="auto"/>
              <w:bottom w:val="single" w:sz="4" w:space="0" w:color="auto"/>
              <w:right w:val="single" w:sz="4" w:space="0" w:color="auto"/>
            </w:tcBorders>
            <w:vAlign w:val="center"/>
            <w:hideMark/>
          </w:tcPr>
          <w:p w14:paraId="4C71222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80</w:t>
            </w:r>
          </w:p>
        </w:tc>
        <w:tc>
          <w:tcPr>
            <w:tcW w:w="824" w:type="dxa"/>
            <w:tcBorders>
              <w:top w:val="single" w:sz="4" w:space="0" w:color="auto"/>
              <w:left w:val="single" w:sz="4" w:space="0" w:color="auto"/>
              <w:bottom w:val="single" w:sz="4" w:space="0" w:color="auto"/>
              <w:right w:val="single" w:sz="4" w:space="0" w:color="auto"/>
            </w:tcBorders>
            <w:vAlign w:val="center"/>
            <w:hideMark/>
          </w:tcPr>
          <w:p w14:paraId="2B37AFB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53</w:t>
            </w:r>
          </w:p>
        </w:tc>
        <w:tc>
          <w:tcPr>
            <w:tcW w:w="666" w:type="dxa"/>
            <w:tcBorders>
              <w:top w:val="single" w:sz="4" w:space="0" w:color="auto"/>
              <w:left w:val="single" w:sz="4" w:space="0" w:color="auto"/>
              <w:bottom w:val="single" w:sz="4" w:space="0" w:color="auto"/>
              <w:right w:val="single" w:sz="4" w:space="0" w:color="auto"/>
            </w:tcBorders>
            <w:vAlign w:val="center"/>
            <w:hideMark/>
          </w:tcPr>
          <w:p w14:paraId="125C19B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80</w:t>
            </w:r>
          </w:p>
        </w:tc>
        <w:tc>
          <w:tcPr>
            <w:tcW w:w="666" w:type="dxa"/>
            <w:tcBorders>
              <w:top w:val="single" w:sz="4" w:space="0" w:color="auto"/>
              <w:left w:val="single" w:sz="4" w:space="0" w:color="auto"/>
              <w:bottom w:val="single" w:sz="4" w:space="0" w:color="auto"/>
              <w:right w:val="single" w:sz="4" w:space="0" w:color="auto"/>
            </w:tcBorders>
            <w:vAlign w:val="center"/>
            <w:hideMark/>
          </w:tcPr>
          <w:p w14:paraId="7253DB2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66,25</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160B0DD5" w14:textId="77777777" w:rsidR="00656EE7" w:rsidRPr="00074E4E" w:rsidRDefault="00656EE7">
            <w:pPr>
              <w:rPr>
                <w:rFonts w:ascii="Times New Roman" w:hAnsi="Times New Roman" w:cs="Times New Roman"/>
                <w:color w:val="000000"/>
                <w:spacing w:val="2"/>
                <w:sz w:val="24"/>
                <w:szCs w:val="24"/>
                <w:highlight w:val="red"/>
                <w:shd w:val="clear" w:color="auto" w:fill="FFFFFF"/>
                <w:lang w:val="kk-KZ"/>
              </w:rPr>
            </w:pPr>
          </w:p>
        </w:tc>
      </w:tr>
      <w:tr w:rsidR="00656EE7" w14:paraId="106BDB3A" w14:textId="77777777" w:rsidTr="00074E4E">
        <w:tc>
          <w:tcPr>
            <w:tcW w:w="410" w:type="dxa"/>
            <w:tcBorders>
              <w:top w:val="single" w:sz="4" w:space="0" w:color="auto"/>
              <w:left w:val="single" w:sz="4" w:space="0" w:color="auto"/>
              <w:bottom w:val="single" w:sz="4" w:space="0" w:color="auto"/>
              <w:right w:val="single" w:sz="4" w:space="0" w:color="auto"/>
            </w:tcBorders>
          </w:tcPr>
          <w:p w14:paraId="484A8E1F"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3169" w:type="dxa"/>
            <w:tcBorders>
              <w:top w:val="single" w:sz="4" w:space="0" w:color="auto"/>
              <w:left w:val="single" w:sz="4" w:space="0" w:color="auto"/>
              <w:bottom w:val="single" w:sz="4" w:space="0" w:color="auto"/>
              <w:right w:val="single" w:sz="4" w:space="0" w:color="auto"/>
            </w:tcBorders>
            <w:hideMark/>
          </w:tcPr>
          <w:p w14:paraId="6F3B162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қант,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CD964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65</w:t>
            </w:r>
          </w:p>
        </w:tc>
        <w:tc>
          <w:tcPr>
            <w:tcW w:w="785" w:type="dxa"/>
            <w:tcBorders>
              <w:top w:val="single" w:sz="4" w:space="0" w:color="auto"/>
              <w:left w:val="single" w:sz="4" w:space="0" w:color="auto"/>
              <w:bottom w:val="single" w:sz="4" w:space="0" w:color="auto"/>
              <w:right w:val="single" w:sz="4" w:space="0" w:color="auto"/>
            </w:tcBorders>
            <w:vAlign w:val="center"/>
            <w:hideMark/>
          </w:tcPr>
          <w:p w14:paraId="120C1AC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43</w:t>
            </w:r>
          </w:p>
        </w:tc>
        <w:tc>
          <w:tcPr>
            <w:tcW w:w="942" w:type="dxa"/>
            <w:tcBorders>
              <w:top w:val="single" w:sz="4" w:space="0" w:color="auto"/>
              <w:left w:val="single" w:sz="4" w:space="0" w:color="auto"/>
              <w:bottom w:val="single" w:sz="4" w:space="0" w:color="auto"/>
              <w:right w:val="single" w:sz="4" w:space="0" w:color="auto"/>
            </w:tcBorders>
            <w:vAlign w:val="center"/>
            <w:hideMark/>
          </w:tcPr>
          <w:p w14:paraId="756B57F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70</w:t>
            </w:r>
          </w:p>
        </w:tc>
        <w:tc>
          <w:tcPr>
            <w:tcW w:w="824" w:type="dxa"/>
            <w:tcBorders>
              <w:top w:val="single" w:sz="4" w:space="0" w:color="auto"/>
              <w:left w:val="single" w:sz="4" w:space="0" w:color="auto"/>
              <w:bottom w:val="single" w:sz="4" w:space="0" w:color="auto"/>
              <w:right w:val="single" w:sz="4" w:space="0" w:color="auto"/>
            </w:tcBorders>
            <w:vAlign w:val="center"/>
            <w:hideMark/>
          </w:tcPr>
          <w:p w14:paraId="3219C61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50,9</w:t>
            </w:r>
          </w:p>
        </w:tc>
        <w:tc>
          <w:tcPr>
            <w:tcW w:w="666" w:type="dxa"/>
            <w:tcBorders>
              <w:top w:val="single" w:sz="4" w:space="0" w:color="auto"/>
              <w:left w:val="single" w:sz="4" w:space="0" w:color="auto"/>
              <w:bottom w:val="single" w:sz="4" w:space="0" w:color="auto"/>
              <w:right w:val="single" w:sz="4" w:space="0" w:color="auto"/>
            </w:tcBorders>
            <w:vAlign w:val="center"/>
            <w:hideMark/>
          </w:tcPr>
          <w:p w14:paraId="21D13ED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66,15</w:t>
            </w:r>
          </w:p>
        </w:tc>
        <w:tc>
          <w:tcPr>
            <w:tcW w:w="666" w:type="dxa"/>
            <w:tcBorders>
              <w:top w:val="single" w:sz="4" w:space="0" w:color="auto"/>
              <w:left w:val="single" w:sz="4" w:space="0" w:color="auto"/>
              <w:bottom w:val="single" w:sz="4" w:space="0" w:color="auto"/>
              <w:right w:val="single" w:sz="4" w:space="0" w:color="auto"/>
            </w:tcBorders>
            <w:vAlign w:val="center"/>
            <w:hideMark/>
          </w:tcPr>
          <w:p w14:paraId="736499D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72,71</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756DCD5A" w14:textId="77777777" w:rsidR="00656EE7" w:rsidRPr="00074E4E" w:rsidRDefault="00656EE7">
            <w:pPr>
              <w:rPr>
                <w:rFonts w:ascii="Times New Roman" w:hAnsi="Times New Roman" w:cs="Times New Roman"/>
                <w:color w:val="000000"/>
                <w:spacing w:val="2"/>
                <w:sz w:val="24"/>
                <w:szCs w:val="24"/>
                <w:highlight w:val="red"/>
                <w:shd w:val="clear" w:color="auto" w:fill="FFFFFF"/>
                <w:lang w:val="kk-KZ"/>
              </w:rPr>
            </w:pPr>
          </w:p>
        </w:tc>
      </w:tr>
      <w:tr w:rsidR="00656EE7" w14:paraId="1E587E77" w14:textId="77777777" w:rsidTr="00074E4E">
        <w:tc>
          <w:tcPr>
            <w:tcW w:w="410" w:type="dxa"/>
            <w:tcBorders>
              <w:top w:val="single" w:sz="4" w:space="0" w:color="auto"/>
              <w:left w:val="single" w:sz="4" w:space="0" w:color="auto"/>
              <w:bottom w:val="single" w:sz="4" w:space="0" w:color="auto"/>
              <w:right w:val="single" w:sz="4" w:space="0" w:color="auto"/>
            </w:tcBorders>
          </w:tcPr>
          <w:p w14:paraId="14C5F858"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3169" w:type="dxa"/>
            <w:tcBorders>
              <w:top w:val="single" w:sz="4" w:space="0" w:color="auto"/>
              <w:left w:val="single" w:sz="4" w:space="0" w:color="auto"/>
              <w:bottom w:val="single" w:sz="4" w:space="0" w:color="auto"/>
              <w:right w:val="single" w:sz="4" w:space="0" w:color="auto"/>
            </w:tcBorders>
            <w:hideMark/>
          </w:tcPr>
          <w:p w14:paraId="09D50B4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құс еті,%</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1D9AC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75</w:t>
            </w:r>
          </w:p>
        </w:tc>
        <w:tc>
          <w:tcPr>
            <w:tcW w:w="785" w:type="dxa"/>
            <w:tcBorders>
              <w:top w:val="single" w:sz="4" w:space="0" w:color="auto"/>
              <w:left w:val="single" w:sz="4" w:space="0" w:color="auto"/>
              <w:bottom w:val="single" w:sz="4" w:space="0" w:color="auto"/>
              <w:right w:val="single" w:sz="4" w:space="0" w:color="auto"/>
            </w:tcBorders>
            <w:vAlign w:val="center"/>
            <w:hideMark/>
          </w:tcPr>
          <w:p w14:paraId="03C86A5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65,4</w:t>
            </w:r>
          </w:p>
        </w:tc>
        <w:tc>
          <w:tcPr>
            <w:tcW w:w="942" w:type="dxa"/>
            <w:tcBorders>
              <w:top w:val="single" w:sz="4" w:space="0" w:color="auto"/>
              <w:left w:val="single" w:sz="4" w:space="0" w:color="auto"/>
              <w:bottom w:val="single" w:sz="4" w:space="0" w:color="auto"/>
              <w:right w:val="single" w:sz="4" w:space="0" w:color="auto"/>
            </w:tcBorders>
            <w:vAlign w:val="center"/>
            <w:hideMark/>
          </w:tcPr>
          <w:p w14:paraId="3AA34F9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eastAsia="Times New Roman" w:hAnsi="Times New Roman" w:cs="Times New Roman"/>
                <w:kern w:val="36"/>
                <w:sz w:val="24"/>
                <w:szCs w:val="24"/>
                <w:lang w:val="kk-KZ" w:eastAsia="ru-RU"/>
              </w:rPr>
              <w:t>89</w:t>
            </w:r>
          </w:p>
        </w:tc>
        <w:tc>
          <w:tcPr>
            <w:tcW w:w="824" w:type="dxa"/>
            <w:tcBorders>
              <w:top w:val="single" w:sz="4" w:space="0" w:color="auto"/>
              <w:left w:val="single" w:sz="4" w:space="0" w:color="auto"/>
              <w:bottom w:val="single" w:sz="4" w:space="0" w:color="auto"/>
              <w:right w:val="single" w:sz="4" w:space="0" w:color="auto"/>
            </w:tcBorders>
            <w:vAlign w:val="center"/>
            <w:hideMark/>
          </w:tcPr>
          <w:p w14:paraId="2631F7A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67,9</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F59AC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87,2</w:t>
            </w:r>
          </w:p>
        </w:tc>
        <w:tc>
          <w:tcPr>
            <w:tcW w:w="666" w:type="dxa"/>
            <w:tcBorders>
              <w:top w:val="single" w:sz="4" w:space="0" w:color="auto"/>
              <w:left w:val="single" w:sz="4" w:space="0" w:color="auto"/>
              <w:bottom w:val="single" w:sz="4" w:space="0" w:color="auto"/>
              <w:right w:val="single" w:sz="4" w:space="0" w:color="auto"/>
            </w:tcBorders>
            <w:vAlign w:val="center"/>
            <w:hideMark/>
          </w:tcPr>
          <w:p w14:paraId="1A4096F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76,29</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3AEC8288" w14:textId="77777777" w:rsidR="00656EE7" w:rsidRPr="00074E4E" w:rsidRDefault="00656EE7">
            <w:pPr>
              <w:rPr>
                <w:rFonts w:ascii="Times New Roman" w:hAnsi="Times New Roman" w:cs="Times New Roman"/>
                <w:color w:val="000000"/>
                <w:spacing w:val="2"/>
                <w:sz w:val="24"/>
                <w:szCs w:val="24"/>
                <w:highlight w:val="red"/>
                <w:shd w:val="clear" w:color="auto" w:fill="FFFFFF"/>
                <w:lang w:val="kk-KZ"/>
              </w:rPr>
            </w:pPr>
          </w:p>
        </w:tc>
      </w:tr>
      <w:tr w:rsidR="00656EE7" w14:paraId="29E6547B" w14:textId="77777777" w:rsidTr="00074E4E">
        <w:tc>
          <w:tcPr>
            <w:tcW w:w="410" w:type="dxa"/>
            <w:tcBorders>
              <w:top w:val="single" w:sz="4" w:space="0" w:color="auto"/>
              <w:left w:val="single" w:sz="4" w:space="0" w:color="auto"/>
              <w:bottom w:val="single" w:sz="4" w:space="0" w:color="auto"/>
              <w:right w:val="single" w:sz="4" w:space="0" w:color="auto"/>
            </w:tcBorders>
            <w:hideMark/>
          </w:tcPr>
          <w:p w14:paraId="43F853A7"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3169" w:type="dxa"/>
            <w:tcBorders>
              <w:top w:val="single" w:sz="4" w:space="0" w:color="auto"/>
              <w:left w:val="single" w:sz="4" w:space="0" w:color="auto"/>
              <w:bottom w:val="single" w:sz="4" w:space="0" w:color="auto"/>
              <w:right w:val="single" w:sz="4" w:space="0" w:color="auto"/>
            </w:tcBorders>
            <w:hideMark/>
          </w:tcPr>
          <w:p w14:paraId="28ADFEE4"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Алма өндірісі, мың тонна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1846C6"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lang w:val="en-US"/>
              </w:rPr>
              <w:t>275,4</w:t>
            </w:r>
          </w:p>
        </w:tc>
        <w:tc>
          <w:tcPr>
            <w:tcW w:w="785" w:type="dxa"/>
            <w:tcBorders>
              <w:top w:val="single" w:sz="4" w:space="0" w:color="auto"/>
              <w:left w:val="single" w:sz="4" w:space="0" w:color="auto"/>
              <w:bottom w:val="single" w:sz="4" w:space="0" w:color="auto"/>
              <w:right w:val="single" w:sz="4" w:space="0" w:color="auto"/>
            </w:tcBorders>
            <w:vAlign w:val="center"/>
            <w:hideMark/>
          </w:tcPr>
          <w:p w14:paraId="5C5FDA8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275,4</w:t>
            </w:r>
          </w:p>
        </w:tc>
        <w:tc>
          <w:tcPr>
            <w:tcW w:w="942" w:type="dxa"/>
            <w:tcBorders>
              <w:top w:val="single" w:sz="4" w:space="0" w:color="auto"/>
              <w:left w:val="single" w:sz="4" w:space="0" w:color="auto"/>
              <w:bottom w:val="single" w:sz="4" w:space="0" w:color="auto"/>
              <w:right w:val="single" w:sz="4" w:space="0" w:color="auto"/>
            </w:tcBorders>
            <w:vAlign w:val="center"/>
            <w:hideMark/>
          </w:tcPr>
          <w:p w14:paraId="644EE9D2"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lang w:val="en-US"/>
              </w:rPr>
              <w:t>303</w:t>
            </w:r>
          </w:p>
        </w:tc>
        <w:tc>
          <w:tcPr>
            <w:tcW w:w="824" w:type="dxa"/>
            <w:tcBorders>
              <w:top w:val="single" w:sz="4" w:space="0" w:color="auto"/>
              <w:left w:val="single" w:sz="4" w:space="0" w:color="auto"/>
              <w:bottom w:val="single" w:sz="4" w:space="0" w:color="auto"/>
              <w:right w:val="single" w:sz="4" w:space="0" w:color="auto"/>
            </w:tcBorders>
            <w:vAlign w:val="center"/>
            <w:hideMark/>
          </w:tcPr>
          <w:p w14:paraId="426CFE6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268</w:t>
            </w:r>
          </w:p>
        </w:tc>
        <w:tc>
          <w:tcPr>
            <w:tcW w:w="666" w:type="dxa"/>
            <w:tcBorders>
              <w:top w:val="single" w:sz="4" w:space="0" w:color="auto"/>
              <w:left w:val="single" w:sz="4" w:space="0" w:color="auto"/>
              <w:bottom w:val="single" w:sz="4" w:space="0" w:color="auto"/>
              <w:right w:val="single" w:sz="4" w:space="0" w:color="auto"/>
            </w:tcBorders>
            <w:vAlign w:val="center"/>
            <w:hideMark/>
          </w:tcPr>
          <w:p w14:paraId="6A68521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F23122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88,45</w:t>
            </w:r>
          </w:p>
        </w:tc>
        <w:tc>
          <w:tcPr>
            <w:tcW w:w="51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7D3AEA"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w:t>
            </w:r>
          </w:p>
        </w:tc>
        <w:tc>
          <w:tcPr>
            <w:tcW w:w="51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249F26F"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w:t>
            </w:r>
          </w:p>
        </w:tc>
      </w:tr>
      <w:tr w:rsidR="00656EE7" w14:paraId="4AB9E27C" w14:textId="77777777" w:rsidTr="00074E4E">
        <w:tc>
          <w:tcPr>
            <w:tcW w:w="410" w:type="dxa"/>
            <w:tcBorders>
              <w:top w:val="single" w:sz="4" w:space="0" w:color="auto"/>
              <w:left w:val="single" w:sz="4" w:space="0" w:color="auto"/>
              <w:bottom w:val="single" w:sz="4" w:space="0" w:color="auto"/>
              <w:right w:val="single" w:sz="4" w:space="0" w:color="auto"/>
            </w:tcBorders>
            <w:hideMark/>
          </w:tcPr>
          <w:p w14:paraId="0443C974"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3169" w:type="dxa"/>
            <w:tcBorders>
              <w:top w:val="single" w:sz="4" w:space="0" w:color="auto"/>
              <w:left w:val="single" w:sz="4" w:space="0" w:color="auto"/>
              <w:bottom w:val="single" w:sz="4" w:space="0" w:color="auto"/>
              <w:right w:val="single" w:sz="4" w:space="0" w:color="auto"/>
            </w:tcBorders>
            <w:hideMark/>
          </w:tcPr>
          <w:p w14:paraId="379427A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Шұжық өнімдерінің өндірісі, мың 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C21A91"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785" w:type="dxa"/>
            <w:tcBorders>
              <w:top w:val="single" w:sz="4" w:space="0" w:color="auto"/>
              <w:left w:val="single" w:sz="4" w:space="0" w:color="auto"/>
              <w:bottom w:val="single" w:sz="4" w:space="0" w:color="auto"/>
              <w:right w:val="single" w:sz="4" w:space="0" w:color="auto"/>
            </w:tcBorders>
            <w:vAlign w:val="center"/>
            <w:hideMark/>
          </w:tcPr>
          <w:p w14:paraId="368211E8"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60,7/ 63,2</w:t>
            </w:r>
          </w:p>
        </w:tc>
        <w:tc>
          <w:tcPr>
            <w:tcW w:w="942" w:type="dxa"/>
            <w:tcBorders>
              <w:top w:val="single" w:sz="4" w:space="0" w:color="auto"/>
              <w:left w:val="single" w:sz="4" w:space="0" w:color="auto"/>
              <w:bottom w:val="single" w:sz="4" w:space="0" w:color="auto"/>
              <w:right w:val="single" w:sz="4" w:space="0" w:color="auto"/>
            </w:tcBorders>
            <w:vAlign w:val="center"/>
            <w:hideMark/>
          </w:tcPr>
          <w:p w14:paraId="36F5B3F8"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lang w:val="en-US"/>
              </w:rPr>
              <w:t>60</w:t>
            </w:r>
          </w:p>
        </w:tc>
        <w:tc>
          <w:tcPr>
            <w:tcW w:w="824" w:type="dxa"/>
            <w:tcBorders>
              <w:top w:val="single" w:sz="4" w:space="0" w:color="auto"/>
              <w:left w:val="single" w:sz="4" w:space="0" w:color="auto"/>
              <w:bottom w:val="single" w:sz="4" w:space="0" w:color="auto"/>
              <w:right w:val="single" w:sz="4" w:space="0" w:color="auto"/>
            </w:tcBorders>
            <w:vAlign w:val="center"/>
            <w:hideMark/>
          </w:tcPr>
          <w:p w14:paraId="0B05FDE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65,8</w:t>
            </w:r>
          </w:p>
        </w:tc>
        <w:tc>
          <w:tcPr>
            <w:tcW w:w="666" w:type="dxa"/>
            <w:tcBorders>
              <w:top w:val="single" w:sz="4" w:space="0" w:color="auto"/>
              <w:left w:val="single" w:sz="4" w:space="0" w:color="auto"/>
              <w:bottom w:val="single" w:sz="4" w:space="0" w:color="auto"/>
              <w:right w:val="single" w:sz="4" w:space="0" w:color="auto"/>
            </w:tcBorders>
            <w:vAlign w:val="center"/>
            <w:hideMark/>
          </w:tcPr>
          <w:p w14:paraId="7FEA1AF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104,7</w:t>
            </w:r>
          </w:p>
        </w:tc>
        <w:tc>
          <w:tcPr>
            <w:tcW w:w="666" w:type="dxa"/>
            <w:tcBorders>
              <w:top w:val="single" w:sz="4" w:space="0" w:color="auto"/>
              <w:left w:val="single" w:sz="4" w:space="0" w:color="auto"/>
              <w:bottom w:val="single" w:sz="4" w:space="0" w:color="auto"/>
              <w:right w:val="single" w:sz="4" w:space="0" w:color="auto"/>
            </w:tcBorders>
            <w:vAlign w:val="center"/>
            <w:hideMark/>
          </w:tcPr>
          <w:p w14:paraId="531A9C8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109,7</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3EF4A710"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орындал-ған</w:t>
            </w:r>
          </w:p>
        </w:tc>
      </w:tr>
      <w:tr w:rsidR="00656EE7" w14:paraId="068FDFE8" w14:textId="77777777" w:rsidTr="00074E4E">
        <w:tc>
          <w:tcPr>
            <w:tcW w:w="410" w:type="dxa"/>
            <w:tcBorders>
              <w:top w:val="single" w:sz="4" w:space="0" w:color="auto"/>
              <w:left w:val="single" w:sz="4" w:space="0" w:color="auto"/>
              <w:bottom w:val="single" w:sz="4" w:space="0" w:color="auto"/>
              <w:right w:val="single" w:sz="4" w:space="0" w:color="auto"/>
            </w:tcBorders>
            <w:hideMark/>
          </w:tcPr>
          <w:p w14:paraId="5832886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3169" w:type="dxa"/>
            <w:tcBorders>
              <w:top w:val="single" w:sz="4" w:space="0" w:color="auto"/>
              <w:left w:val="single" w:sz="4" w:space="0" w:color="auto"/>
              <w:bottom w:val="single" w:sz="4" w:space="0" w:color="auto"/>
              <w:right w:val="single" w:sz="4" w:space="0" w:color="auto"/>
            </w:tcBorders>
            <w:hideMark/>
          </w:tcPr>
          <w:p w14:paraId="25A8FEEA"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Құс етінің өндірісі, мың тонна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4822C2"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307</w:t>
            </w:r>
          </w:p>
        </w:tc>
        <w:tc>
          <w:tcPr>
            <w:tcW w:w="785" w:type="dxa"/>
            <w:tcBorders>
              <w:top w:val="single" w:sz="4" w:space="0" w:color="auto"/>
              <w:left w:val="single" w:sz="4" w:space="0" w:color="auto"/>
              <w:bottom w:val="single" w:sz="4" w:space="0" w:color="auto"/>
              <w:right w:val="single" w:sz="4" w:space="0" w:color="auto"/>
            </w:tcBorders>
            <w:vAlign w:val="center"/>
            <w:hideMark/>
          </w:tcPr>
          <w:p w14:paraId="6D6A5ED1" w14:textId="77777777" w:rsidR="00656EE7" w:rsidRDefault="00656EE7">
            <w:pPr>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282,3/ 272,6</w:t>
            </w:r>
          </w:p>
        </w:tc>
        <w:tc>
          <w:tcPr>
            <w:tcW w:w="942" w:type="dxa"/>
            <w:tcBorders>
              <w:top w:val="single" w:sz="4" w:space="0" w:color="auto"/>
              <w:left w:val="single" w:sz="4" w:space="0" w:color="auto"/>
              <w:bottom w:val="single" w:sz="4" w:space="0" w:color="auto"/>
              <w:right w:val="single" w:sz="4" w:space="0" w:color="auto"/>
            </w:tcBorders>
            <w:vAlign w:val="center"/>
            <w:hideMark/>
          </w:tcPr>
          <w:p w14:paraId="24C458CF" w14:textId="77777777" w:rsidR="00656EE7" w:rsidRDefault="00656EE7">
            <w:pPr>
              <w:jc w:val="center"/>
              <w:rPr>
                <w:rFonts w:ascii="Times New Roman" w:eastAsia="Times New Roman" w:hAnsi="Times New Roman" w:cs="Times New Roman"/>
                <w:color w:val="FF0000"/>
                <w:kern w:val="36"/>
                <w:sz w:val="24"/>
                <w:szCs w:val="24"/>
                <w:lang w:val="kk-KZ" w:eastAsia="ru-RU"/>
              </w:rPr>
            </w:pPr>
            <w:r>
              <w:rPr>
                <w:rFonts w:ascii="Times New Roman" w:hAnsi="Times New Roman" w:cs="Times New Roman"/>
                <w:color w:val="FF0000"/>
                <w:sz w:val="24"/>
                <w:szCs w:val="24"/>
                <w:lang w:val="en-US"/>
              </w:rPr>
              <w:t>350</w:t>
            </w:r>
          </w:p>
        </w:tc>
        <w:tc>
          <w:tcPr>
            <w:tcW w:w="824" w:type="dxa"/>
            <w:tcBorders>
              <w:top w:val="single" w:sz="4" w:space="0" w:color="auto"/>
              <w:left w:val="single" w:sz="4" w:space="0" w:color="auto"/>
              <w:bottom w:val="single" w:sz="4" w:space="0" w:color="auto"/>
              <w:right w:val="single" w:sz="4" w:space="0" w:color="auto"/>
            </w:tcBorders>
            <w:vAlign w:val="center"/>
            <w:hideMark/>
          </w:tcPr>
          <w:p w14:paraId="1B8FD1CC" w14:textId="77777777" w:rsidR="00656EE7" w:rsidRDefault="00656EE7">
            <w:pPr>
              <w:jc w:val="center"/>
              <w:rPr>
                <w:rFonts w:ascii="Times New Roman" w:hAnsi="Times New Roman" w:cs="Times New Roman"/>
                <w:color w:val="FF0000"/>
                <w:spacing w:val="2"/>
                <w:sz w:val="24"/>
                <w:szCs w:val="24"/>
                <w:shd w:val="clear" w:color="auto" w:fill="FFFFFF"/>
                <w:lang w:val="kk-KZ"/>
              </w:rPr>
            </w:pPr>
            <w:r>
              <w:rPr>
                <w:rFonts w:ascii="Times New Roman" w:hAnsi="Times New Roman" w:cs="Times New Roman"/>
                <w:color w:val="FF0000"/>
                <w:spacing w:val="2"/>
                <w:sz w:val="24"/>
                <w:szCs w:val="24"/>
                <w:shd w:val="clear" w:color="auto" w:fill="FFFFFF"/>
                <w:lang w:val="kk-KZ"/>
              </w:rPr>
              <w:t>365/ 288,7</w:t>
            </w:r>
          </w:p>
        </w:tc>
        <w:tc>
          <w:tcPr>
            <w:tcW w:w="666" w:type="dxa"/>
            <w:tcBorders>
              <w:top w:val="single" w:sz="4" w:space="0" w:color="auto"/>
              <w:left w:val="single" w:sz="4" w:space="0" w:color="auto"/>
              <w:bottom w:val="single" w:sz="4" w:space="0" w:color="auto"/>
              <w:right w:val="single" w:sz="4" w:space="0" w:color="auto"/>
            </w:tcBorders>
            <w:vAlign w:val="center"/>
            <w:hideMark/>
          </w:tcPr>
          <w:p w14:paraId="7770355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88,7</w:t>
            </w:r>
          </w:p>
        </w:tc>
        <w:tc>
          <w:tcPr>
            <w:tcW w:w="666" w:type="dxa"/>
            <w:tcBorders>
              <w:top w:val="single" w:sz="4" w:space="0" w:color="auto"/>
              <w:left w:val="single" w:sz="4" w:space="0" w:color="auto"/>
              <w:bottom w:val="single" w:sz="4" w:space="0" w:color="auto"/>
              <w:right w:val="single" w:sz="4" w:space="0" w:color="auto"/>
            </w:tcBorders>
            <w:vAlign w:val="center"/>
            <w:hideMark/>
          </w:tcPr>
          <w:p w14:paraId="26BBD16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82,5</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0E5C50AE"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34972CC8" w14:textId="77777777" w:rsidTr="00074E4E">
        <w:tc>
          <w:tcPr>
            <w:tcW w:w="410" w:type="dxa"/>
            <w:tcBorders>
              <w:top w:val="single" w:sz="4" w:space="0" w:color="auto"/>
              <w:left w:val="single" w:sz="4" w:space="0" w:color="auto"/>
              <w:bottom w:val="single" w:sz="4" w:space="0" w:color="auto"/>
              <w:right w:val="single" w:sz="4" w:space="0" w:color="auto"/>
            </w:tcBorders>
            <w:hideMark/>
          </w:tcPr>
          <w:p w14:paraId="588D7FB3"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w:t>
            </w:r>
          </w:p>
        </w:tc>
        <w:tc>
          <w:tcPr>
            <w:tcW w:w="3169" w:type="dxa"/>
            <w:tcBorders>
              <w:top w:val="single" w:sz="4" w:space="0" w:color="auto"/>
              <w:left w:val="single" w:sz="4" w:space="0" w:color="auto"/>
              <w:bottom w:val="single" w:sz="4" w:space="0" w:color="auto"/>
              <w:right w:val="single" w:sz="4" w:space="0" w:color="auto"/>
            </w:tcBorders>
            <w:hideMark/>
          </w:tcPr>
          <w:p w14:paraId="4768ED9D"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Балық өндірісі, мың тонна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7075FB"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70,4</w:t>
            </w:r>
          </w:p>
        </w:tc>
        <w:tc>
          <w:tcPr>
            <w:tcW w:w="785" w:type="dxa"/>
            <w:tcBorders>
              <w:top w:val="single" w:sz="4" w:space="0" w:color="auto"/>
              <w:left w:val="single" w:sz="4" w:space="0" w:color="auto"/>
              <w:bottom w:val="single" w:sz="4" w:space="0" w:color="auto"/>
              <w:right w:val="single" w:sz="4" w:space="0" w:color="auto"/>
            </w:tcBorders>
            <w:vAlign w:val="center"/>
            <w:hideMark/>
          </w:tcPr>
          <w:p w14:paraId="386ADEC6"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45,6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6F11B6E"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lang w:val="en-US"/>
              </w:rPr>
              <w:t>73,9</w:t>
            </w:r>
          </w:p>
        </w:tc>
        <w:tc>
          <w:tcPr>
            <w:tcW w:w="824" w:type="dxa"/>
            <w:tcBorders>
              <w:top w:val="single" w:sz="4" w:space="0" w:color="auto"/>
              <w:left w:val="single" w:sz="4" w:space="0" w:color="auto"/>
              <w:bottom w:val="single" w:sz="4" w:space="0" w:color="auto"/>
              <w:right w:val="single" w:sz="4" w:space="0" w:color="auto"/>
            </w:tcBorders>
            <w:vAlign w:val="center"/>
            <w:hideMark/>
          </w:tcPr>
          <w:p w14:paraId="1AB6526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FF0000"/>
                <w:spacing w:val="2"/>
                <w:sz w:val="24"/>
                <w:szCs w:val="24"/>
                <w:shd w:val="clear" w:color="auto" w:fill="FFFFFF"/>
                <w:lang w:val="kk-KZ"/>
              </w:rPr>
              <w:t>70,4/ 47,4</w:t>
            </w:r>
          </w:p>
        </w:tc>
        <w:tc>
          <w:tcPr>
            <w:tcW w:w="666" w:type="dxa"/>
            <w:tcBorders>
              <w:top w:val="single" w:sz="4" w:space="0" w:color="auto"/>
              <w:left w:val="single" w:sz="4" w:space="0" w:color="auto"/>
              <w:bottom w:val="single" w:sz="4" w:space="0" w:color="auto"/>
              <w:right w:val="single" w:sz="4" w:space="0" w:color="auto"/>
            </w:tcBorders>
            <w:vAlign w:val="center"/>
            <w:hideMark/>
          </w:tcPr>
          <w:p w14:paraId="5F852F6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64,77</w:t>
            </w:r>
          </w:p>
        </w:tc>
        <w:tc>
          <w:tcPr>
            <w:tcW w:w="666" w:type="dxa"/>
            <w:tcBorders>
              <w:top w:val="single" w:sz="4" w:space="0" w:color="auto"/>
              <w:left w:val="single" w:sz="4" w:space="0" w:color="auto"/>
              <w:bottom w:val="single" w:sz="4" w:space="0" w:color="auto"/>
              <w:right w:val="single" w:sz="4" w:space="0" w:color="auto"/>
            </w:tcBorders>
            <w:vAlign w:val="center"/>
            <w:hideMark/>
          </w:tcPr>
          <w:p w14:paraId="1377B23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64,14</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71FDE716"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6E4C52DD" w14:textId="77777777" w:rsidTr="00074E4E">
        <w:tc>
          <w:tcPr>
            <w:tcW w:w="410" w:type="dxa"/>
            <w:tcBorders>
              <w:top w:val="single" w:sz="4" w:space="0" w:color="auto"/>
              <w:left w:val="single" w:sz="4" w:space="0" w:color="auto"/>
              <w:bottom w:val="single" w:sz="4" w:space="0" w:color="auto"/>
              <w:right w:val="single" w:sz="4" w:space="0" w:color="auto"/>
            </w:tcBorders>
            <w:hideMark/>
          </w:tcPr>
          <w:p w14:paraId="269DBCD0"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w:t>
            </w:r>
          </w:p>
        </w:tc>
        <w:tc>
          <w:tcPr>
            <w:tcW w:w="3169" w:type="dxa"/>
            <w:tcBorders>
              <w:top w:val="single" w:sz="4" w:space="0" w:color="auto"/>
              <w:left w:val="single" w:sz="4" w:space="0" w:color="auto"/>
              <w:bottom w:val="single" w:sz="4" w:space="0" w:color="auto"/>
              <w:right w:val="single" w:sz="4" w:space="0" w:color="auto"/>
            </w:tcBorders>
            <w:hideMark/>
          </w:tcPr>
          <w:p w14:paraId="0C614E55"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Көкөніс өндірісі, мың тонна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06D365"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4370,6</w:t>
            </w:r>
          </w:p>
        </w:tc>
        <w:tc>
          <w:tcPr>
            <w:tcW w:w="785" w:type="dxa"/>
            <w:tcBorders>
              <w:top w:val="single" w:sz="4" w:space="0" w:color="auto"/>
              <w:left w:val="single" w:sz="4" w:space="0" w:color="auto"/>
              <w:bottom w:val="single" w:sz="4" w:space="0" w:color="auto"/>
              <w:right w:val="single" w:sz="4" w:space="0" w:color="auto"/>
            </w:tcBorders>
            <w:vAlign w:val="center"/>
            <w:hideMark/>
          </w:tcPr>
          <w:p w14:paraId="7CE88C39"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4511,9</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58724D"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hAnsi="Times New Roman" w:cs="Times New Roman"/>
                <w:sz w:val="24"/>
                <w:szCs w:val="24"/>
                <w:lang w:val="en-US"/>
              </w:rPr>
              <w:t>4434,4</w:t>
            </w:r>
          </w:p>
        </w:tc>
        <w:tc>
          <w:tcPr>
            <w:tcW w:w="824" w:type="dxa"/>
            <w:tcBorders>
              <w:top w:val="single" w:sz="4" w:space="0" w:color="auto"/>
              <w:left w:val="single" w:sz="4" w:space="0" w:color="auto"/>
              <w:bottom w:val="single" w:sz="4" w:space="0" w:color="auto"/>
              <w:right w:val="single" w:sz="4" w:space="0" w:color="auto"/>
            </w:tcBorders>
            <w:vAlign w:val="center"/>
            <w:hideMark/>
          </w:tcPr>
          <w:p w14:paraId="5C25B6BB" w14:textId="77777777" w:rsidR="00656EE7" w:rsidRDefault="00656EE7">
            <w:pPr>
              <w:jc w:val="center"/>
              <w:rPr>
                <w:rFonts w:ascii="Times New Roman" w:hAnsi="Times New Roman" w:cs="Times New Roman"/>
                <w:color w:val="FF0000"/>
                <w:spacing w:val="2"/>
                <w:sz w:val="24"/>
                <w:szCs w:val="24"/>
                <w:shd w:val="clear" w:color="auto" w:fill="FFFFFF"/>
                <w:lang w:val="kk-KZ"/>
              </w:rPr>
            </w:pPr>
            <w:r>
              <w:rPr>
                <w:rFonts w:ascii="Times New Roman" w:hAnsi="Times New Roman" w:cs="Times New Roman"/>
                <w:color w:val="FF0000"/>
                <w:spacing w:val="2"/>
                <w:sz w:val="24"/>
                <w:szCs w:val="24"/>
                <w:shd w:val="clear" w:color="auto" w:fill="FFFFFF"/>
                <w:lang w:val="kk-KZ"/>
              </w:rPr>
              <w:t>4792,7/ 4610,2</w:t>
            </w:r>
          </w:p>
        </w:tc>
        <w:tc>
          <w:tcPr>
            <w:tcW w:w="666" w:type="dxa"/>
            <w:tcBorders>
              <w:top w:val="single" w:sz="4" w:space="0" w:color="auto"/>
              <w:left w:val="single" w:sz="4" w:space="0" w:color="auto"/>
              <w:bottom w:val="single" w:sz="4" w:space="0" w:color="auto"/>
              <w:right w:val="single" w:sz="4" w:space="0" w:color="auto"/>
            </w:tcBorders>
            <w:vAlign w:val="center"/>
            <w:hideMark/>
          </w:tcPr>
          <w:p w14:paraId="2DE01E1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103,2</w:t>
            </w:r>
          </w:p>
        </w:tc>
        <w:tc>
          <w:tcPr>
            <w:tcW w:w="666" w:type="dxa"/>
            <w:tcBorders>
              <w:top w:val="single" w:sz="4" w:space="0" w:color="auto"/>
              <w:left w:val="single" w:sz="4" w:space="0" w:color="auto"/>
              <w:bottom w:val="single" w:sz="4" w:space="0" w:color="auto"/>
              <w:right w:val="single" w:sz="4" w:space="0" w:color="auto"/>
            </w:tcBorders>
            <w:vAlign w:val="center"/>
            <w:hideMark/>
          </w:tcPr>
          <w:p w14:paraId="09EE5D4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104,0</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187C2962"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орындал-ған</w:t>
            </w:r>
          </w:p>
        </w:tc>
      </w:tr>
      <w:tr w:rsidR="00656EE7" w14:paraId="737778FB" w14:textId="77777777" w:rsidTr="00656EE7">
        <w:tc>
          <w:tcPr>
            <w:tcW w:w="9344" w:type="dxa"/>
            <w:gridSpan w:val="10"/>
            <w:tcBorders>
              <w:top w:val="single" w:sz="4" w:space="0" w:color="auto"/>
              <w:left w:val="single" w:sz="4" w:space="0" w:color="auto"/>
              <w:bottom w:val="single" w:sz="4" w:space="0" w:color="auto"/>
              <w:right w:val="single" w:sz="4" w:space="0" w:color="auto"/>
            </w:tcBorders>
            <w:hideMark/>
          </w:tcPr>
          <w:p w14:paraId="0113E652" w14:textId="3283FD05" w:rsidR="00656EE7" w:rsidRDefault="00656EE7">
            <w:pPr>
              <w:ind w:firstLine="738"/>
              <w:rPr>
                <w:rFonts w:ascii="Times New Roman" w:hAnsi="Times New Roman" w:cs="Times New Roman"/>
                <w:color w:val="000000"/>
                <w:spacing w:val="2"/>
                <w:sz w:val="24"/>
                <w:szCs w:val="24"/>
                <w:highlight w:val="red"/>
                <w:shd w:val="clear" w:color="auto" w:fill="FFFFFF"/>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cs="Times New Roman"/>
                <w:kern w:val="36"/>
                <w:sz w:val="24"/>
                <w:szCs w:val="24"/>
                <w:lang w:val="kk-KZ" w:eastAsia="zh-CN"/>
              </w:rPr>
              <w:t>[</w:t>
            </w:r>
            <w:r w:rsidR="00C42AC1">
              <w:rPr>
                <w:rFonts w:ascii="Times New Roman" w:eastAsiaTheme="minorEastAsia" w:hAnsi="Times New Roman" w:cs="Times New Roman"/>
                <w:kern w:val="36"/>
                <w:sz w:val="24"/>
                <w:szCs w:val="24"/>
                <w:lang w:val="kk-KZ" w:eastAsia="zh-CN"/>
              </w:rPr>
              <w:t>7, 110</w:t>
            </w:r>
            <w:r>
              <w:rPr>
                <w:rFonts w:ascii="Times New Roman" w:eastAsiaTheme="minorEastAsia" w:hAnsi="Times New Roman" w:cs="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496920EE" w14:textId="77777777" w:rsidR="00656EE7"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p>
    <w:p w14:paraId="2F5648A8" w14:textId="1E95D660" w:rsidR="0020085F" w:rsidRDefault="0020085F" w:rsidP="0020085F">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АӨК дамытудың ұлттық жобасында 2-міндеті бойынша 6 көрсеткіш және 8 іс-шара белгіленген, 3</w:t>
      </w:r>
      <w:r w:rsidR="007F5D1B">
        <w:rPr>
          <w:rFonts w:ascii="Times New Roman" w:eastAsia="Times New Roman" w:hAnsi="Times New Roman" w:cs="Times New Roman"/>
          <w:kern w:val="36"/>
          <w:sz w:val="28"/>
          <w:szCs w:val="28"/>
          <w:lang w:val="kk-KZ" w:eastAsia="ru-RU"/>
        </w:rPr>
        <w:t>4</w:t>
      </w:r>
      <w:r>
        <w:rPr>
          <w:rFonts w:ascii="Times New Roman" w:eastAsia="Times New Roman" w:hAnsi="Times New Roman" w:cs="Times New Roman"/>
          <w:kern w:val="36"/>
          <w:sz w:val="28"/>
          <w:szCs w:val="28"/>
          <w:lang w:val="kk-KZ" w:eastAsia="ru-RU"/>
        </w:rPr>
        <w:t xml:space="preserve">-кесте мәліметтерінен жоспарланған 6 көрсеткіштің 3 орындалып, 3 орындалмаған. Әлеуметтік маңызы бар азық-түлікпен қамтамасыз ету деңгейлері 2021-2022 жж. орындалмағанын көруге болады. Бұл жерде жоспарлау әлсіздігін байқауға болады, мәселен, алма өндірісі 2021 жылы 275,4 мың тонна нақты өндірілгенімен, 80 пайыздық деңгейге жетпей, 74 пайыз ғана қамтамасыз етілгені келтірілген. </w:t>
      </w:r>
      <w:r>
        <w:rPr>
          <w:rFonts w:ascii="Times New Roman" w:hAnsi="Times New Roman" w:cs="Times New Roman"/>
          <w:color w:val="000000"/>
          <w:sz w:val="28"/>
          <w:szCs w:val="28"/>
          <w:lang w:val="kk-KZ"/>
        </w:rPr>
        <w:t>2 «алма өндірісі» көрсеткіші шеңберінде екінші жылы жаңа бақтар салу бойынша жоспарлы көрсеткіштердің орындалмағаны байқалады. Мәселен, 2021 жылы 1500 мың га жоспарда 1,55 мың га алма бағы (0,1%), 2022 жылы 2220 мың га жоспарда 0,35 мың га (0,01%) салынды. Сонымен қатар, статистика деректеріне сәйкес, алма бақтарының ауданы 2021 жылмен салыстырғанда 0,3 мың гектарға қысқарып, 35,7 мың гектарды құрады. Осыған байланысты 2021-2025 жылдарға арналған жаңа бақтарды отырғызу алаңы бойынша ұлттық жобаның жоспары 10,76 млн гектарға дейін асыра бағаланған және қол жеткізуге болмайтын болып табылады. Ұлттық жоба аясында ауыл шаруашылығы мақсатындағы ауыл шаруашылығы алқаптарының 9,5% (113,1 млн га) алма бақтарын отырғызу жоспарланған</w:t>
      </w:r>
      <w:r w:rsidR="009D4A99" w:rsidRPr="009D4A99">
        <w:rPr>
          <w:rFonts w:ascii="Times New Roman" w:hAnsi="Times New Roman" w:cs="Times New Roman"/>
          <w:color w:val="000000"/>
          <w:sz w:val="28"/>
          <w:szCs w:val="28"/>
          <w:lang w:val="kk-KZ"/>
        </w:rPr>
        <w:t xml:space="preserve"> [110]</w:t>
      </w:r>
      <w:r>
        <w:rPr>
          <w:rFonts w:ascii="Times New Roman" w:hAnsi="Times New Roman" w:cs="Times New Roman"/>
          <w:color w:val="000000"/>
          <w:sz w:val="28"/>
          <w:szCs w:val="28"/>
          <w:lang w:val="kk-KZ"/>
        </w:rPr>
        <w:t>.</w:t>
      </w:r>
    </w:p>
    <w:p w14:paraId="513D3440" w14:textId="02EAB22B" w:rsidR="0020085F" w:rsidRDefault="00656EE7" w:rsidP="0020085F">
      <w:pPr>
        <w:widowControl w:val="0"/>
        <w:spacing w:after="0" w:line="240" w:lineRule="auto"/>
        <w:ind w:firstLine="709"/>
        <w:jc w:val="both"/>
        <w:rPr>
          <w:rFonts w:ascii="Times New Roman" w:hAnsi="Times New Roman" w:cs="Times New Roman"/>
          <w:sz w:val="28"/>
          <w:szCs w:val="28"/>
          <w:lang w:val="kk-KZ"/>
        </w:rPr>
      </w:pPr>
      <w:r w:rsidRPr="0020085F">
        <w:rPr>
          <w:rFonts w:ascii="Times New Roman" w:hAnsi="Times New Roman" w:cs="Times New Roman"/>
          <w:color w:val="000000"/>
          <w:sz w:val="28"/>
          <w:szCs w:val="28"/>
          <w:lang w:val="kk-KZ"/>
        </w:rPr>
        <w:t xml:space="preserve">Жалпы, осы бағытты қаржыландырудың жеткіліксіздігін ескере отырып, 2025 жылға дейін «минералды тыңайтқыштарды субсидиялау көлемінің 1,4 есеге өсуі есебінен ұлғаюы» көрсеткішіне қол жеткізбеушілік тәуекелі бар. 2-міндетті қаржыландыруға </w:t>
      </w:r>
      <w:r w:rsidR="004535BE">
        <w:rPr>
          <w:rFonts w:ascii="Times New Roman" w:hAnsi="Times New Roman" w:cs="Times New Roman"/>
          <w:color w:val="000000"/>
          <w:sz w:val="28"/>
          <w:szCs w:val="28"/>
          <w:lang w:val="kk-KZ"/>
        </w:rPr>
        <w:t>ұ</w:t>
      </w:r>
      <w:r w:rsidRPr="0020085F">
        <w:rPr>
          <w:rFonts w:ascii="Times New Roman" w:hAnsi="Times New Roman" w:cs="Times New Roman"/>
          <w:color w:val="000000"/>
          <w:sz w:val="28"/>
          <w:szCs w:val="28"/>
          <w:lang w:val="kk-KZ"/>
        </w:rPr>
        <w:t>лттық жоба шеңберінде 252,7 млрд. теңге көзделген, нақты 257,4 млрд. теңге бағытталған, 147,5 млрд теңге (57,3%) орындалды.</w:t>
      </w:r>
      <w:r w:rsidRPr="0020085F">
        <w:rPr>
          <w:rFonts w:ascii="Times New Roman" w:hAnsi="Times New Roman" w:cs="Times New Roman"/>
          <w:sz w:val="28"/>
          <w:szCs w:val="28"/>
          <w:lang w:val="kk-KZ"/>
        </w:rPr>
        <w:t xml:space="preserve"> Орындалмаған 109,9 млрд. теңге сомасының 3 млрд. теңгесі – басым дақылдарды субсидиялау бойынша жергілікті бюджет қаражатын игермеу; 106,9 млрд теңге – жаңа бақтар салу жөніндегі іс-шараларға, сондай-ақ ет өнімдерін, құс, балықты қайта өңдеу жөніндегі инвестициялық жобаларды іске асыруға бюджеттен тыс қаражат есебінен жеткіліксіз қаржыландырудан болған.</w:t>
      </w:r>
      <w:r w:rsidR="0020085F">
        <w:rPr>
          <w:rFonts w:ascii="Times New Roman" w:hAnsi="Times New Roman" w:cs="Times New Roman"/>
          <w:sz w:val="28"/>
          <w:szCs w:val="28"/>
          <w:lang w:val="kk-KZ"/>
        </w:rPr>
        <w:t xml:space="preserve"> </w:t>
      </w:r>
    </w:p>
    <w:p w14:paraId="6121377B" w14:textId="0B60C5AD" w:rsidR="00656EE7" w:rsidRPr="0020085F" w:rsidRDefault="00656EE7" w:rsidP="0020085F">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sidRPr="0020085F">
        <w:rPr>
          <w:rFonts w:ascii="Times New Roman" w:hAnsi="Times New Roman" w:cs="Times New Roman"/>
          <w:sz w:val="28"/>
          <w:szCs w:val="28"/>
          <w:lang w:val="kk-KZ"/>
        </w:rPr>
        <w:t xml:space="preserve">Азық-түлік тауарларымен қамтамасыз ету деңгейі азық-түлік тауарларының отандық өндірісінің көлемі заттай түрдегі азық-түлік тауарларын нақты ішкі тұтыну көлеміне қатынас ретінде есептеледі. Осылайша, азық-түлік тауарларымен қамтамасыз ету көрсеткіші олардың өндіріс көлеміне тікелей байланысты. </w:t>
      </w:r>
    </w:p>
    <w:p w14:paraId="525A4E89" w14:textId="6F1E9ADF" w:rsidR="00656EE7" w:rsidRPr="0020085F" w:rsidRDefault="00656EE7" w:rsidP="00656EE7">
      <w:pPr>
        <w:spacing w:after="0" w:line="240" w:lineRule="auto"/>
        <w:ind w:firstLine="709"/>
        <w:jc w:val="both"/>
        <w:rPr>
          <w:rFonts w:ascii="Times New Roman" w:hAnsi="Times New Roman" w:cs="Times New Roman"/>
          <w:color w:val="000000"/>
          <w:sz w:val="28"/>
          <w:szCs w:val="28"/>
          <w:lang w:val="kk-KZ"/>
        </w:rPr>
      </w:pPr>
      <w:r w:rsidRPr="0020085F">
        <w:rPr>
          <w:rFonts w:ascii="Times New Roman" w:eastAsia="Times New Roman" w:hAnsi="Times New Roman" w:cs="Times New Roman"/>
          <w:kern w:val="36"/>
          <w:sz w:val="28"/>
          <w:szCs w:val="28"/>
          <w:lang w:val="kk-KZ" w:eastAsia="ru-RU"/>
        </w:rPr>
        <w:t xml:space="preserve">ҚР АӨК дамытудың 2021-2022 жж. </w:t>
      </w:r>
      <w:r w:rsidRPr="0020085F">
        <w:rPr>
          <w:rFonts w:ascii="Times New Roman" w:hAnsi="Times New Roman" w:cs="Times New Roman"/>
          <w:sz w:val="28"/>
          <w:szCs w:val="28"/>
          <w:lang w:val="kk-KZ"/>
        </w:rPr>
        <w:t>өңделген өнімнің үлесін 70%-ға дейін жеткізе отырып, АӨК өнімдерінің экспортын 2 есе ұлғайту</w:t>
      </w:r>
      <w:r w:rsidRPr="0020085F">
        <w:rPr>
          <w:rFonts w:ascii="Times New Roman" w:eastAsia="Times New Roman" w:hAnsi="Times New Roman" w:cs="Times New Roman"/>
          <w:kern w:val="36"/>
          <w:sz w:val="28"/>
          <w:szCs w:val="28"/>
          <w:lang w:val="kk-KZ" w:eastAsia="ru-RU"/>
        </w:rPr>
        <w:t xml:space="preserve"> міндетін іске асыруға арналған нәтижелі көрсеткіштер мен іс-шаралары 3</w:t>
      </w:r>
      <w:r w:rsidR="007F5D1B">
        <w:rPr>
          <w:rFonts w:ascii="Times New Roman" w:eastAsia="Times New Roman" w:hAnsi="Times New Roman" w:cs="Times New Roman"/>
          <w:kern w:val="36"/>
          <w:sz w:val="28"/>
          <w:szCs w:val="28"/>
          <w:lang w:val="kk-KZ" w:eastAsia="ru-RU"/>
        </w:rPr>
        <w:t>5</w:t>
      </w:r>
      <w:r w:rsidRPr="0020085F">
        <w:rPr>
          <w:rFonts w:ascii="Times New Roman" w:eastAsia="Times New Roman" w:hAnsi="Times New Roman" w:cs="Times New Roman"/>
          <w:kern w:val="36"/>
          <w:sz w:val="28"/>
          <w:szCs w:val="28"/>
          <w:lang w:val="kk-KZ" w:eastAsia="ru-RU"/>
        </w:rPr>
        <w:t xml:space="preserve">-кестеде келтірілген. </w:t>
      </w:r>
    </w:p>
    <w:p w14:paraId="6D83CA57" w14:textId="77777777" w:rsidR="00656EE7" w:rsidRPr="0020085F"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p>
    <w:p w14:paraId="73F64D02" w14:textId="6F15844B" w:rsidR="00656EE7" w:rsidRDefault="00656EE7" w:rsidP="00656EE7">
      <w:pPr>
        <w:spacing w:after="0" w:line="240" w:lineRule="auto"/>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Кесте 3</w:t>
      </w:r>
      <w:r w:rsidR="007F5D1B">
        <w:rPr>
          <w:rFonts w:ascii="Times New Roman" w:eastAsia="Times New Roman" w:hAnsi="Times New Roman" w:cs="Times New Roman"/>
          <w:kern w:val="36"/>
          <w:sz w:val="28"/>
          <w:szCs w:val="28"/>
          <w:lang w:val="kk-KZ" w:eastAsia="ru-RU"/>
        </w:rPr>
        <w:t>5</w:t>
      </w:r>
      <w:r>
        <w:rPr>
          <w:rFonts w:ascii="Times New Roman" w:eastAsia="Times New Roman" w:hAnsi="Times New Roman" w:cs="Times New Roman"/>
          <w:kern w:val="36"/>
          <w:sz w:val="28"/>
          <w:szCs w:val="28"/>
          <w:lang w:val="kk-KZ" w:eastAsia="ru-RU"/>
        </w:rPr>
        <w:t xml:space="preserve"> – ҚР АӨК дамытудың 2021-2022 жж. 3-міндеті</w:t>
      </w:r>
      <w:r w:rsidR="004662A2">
        <w:rPr>
          <w:rFonts w:ascii="Times New Roman" w:eastAsia="Times New Roman" w:hAnsi="Times New Roman" w:cs="Times New Roman"/>
          <w:kern w:val="36"/>
          <w:sz w:val="28"/>
          <w:szCs w:val="28"/>
          <w:lang w:val="kk-KZ" w:eastAsia="ru-RU"/>
        </w:rPr>
        <w:t>н</w:t>
      </w:r>
      <w:r>
        <w:rPr>
          <w:rFonts w:ascii="Times New Roman" w:eastAsia="Times New Roman" w:hAnsi="Times New Roman" w:cs="Times New Roman"/>
          <w:kern w:val="36"/>
          <w:sz w:val="28"/>
          <w:szCs w:val="28"/>
          <w:lang w:val="kk-KZ" w:eastAsia="ru-RU"/>
        </w:rPr>
        <w:t xml:space="preserve"> іске асыруға арналған нәтижелі көрсеткіштер мен іс-шаралары</w:t>
      </w:r>
    </w:p>
    <w:tbl>
      <w:tblPr>
        <w:tblStyle w:val="a3"/>
        <w:tblW w:w="0" w:type="auto"/>
        <w:tblLook w:val="04A0" w:firstRow="1" w:lastRow="0" w:firstColumn="1" w:lastColumn="0" w:noHBand="0" w:noVBand="1"/>
      </w:tblPr>
      <w:tblGrid>
        <w:gridCol w:w="447"/>
        <w:gridCol w:w="2838"/>
        <w:gridCol w:w="976"/>
        <w:gridCol w:w="844"/>
        <w:gridCol w:w="976"/>
        <w:gridCol w:w="844"/>
        <w:gridCol w:w="756"/>
        <w:gridCol w:w="756"/>
        <w:gridCol w:w="600"/>
        <w:gridCol w:w="591"/>
      </w:tblGrid>
      <w:tr w:rsidR="00656EE7" w14:paraId="3D2789E6" w14:textId="77777777" w:rsidTr="00656EE7">
        <w:tc>
          <w:tcPr>
            <w:tcW w:w="431" w:type="dxa"/>
            <w:vMerge w:val="restart"/>
            <w:tcBorders>
              <w:top w:val="single" w:sz="4" w:space="0" w:color="auto"/>
              <w:left w:val="single" w:sz="4" w:space="0" w:color="auto"/>
              <w:bottom w:val="single" w:sz="4" w:space="0" w:color="auto"/>
              <w:right w:val="single" w:sz="4" w:space="0" w:color="auto"/>
            </w:tcBorders>
            <w:hideMark/>
          </w:tcPr>
          <w:p w14:paraId="4AF54B0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3124" w:type="dxa"/>
            <w:vMerge w:val="restart"/>
            <w:tcBorders>
              <w:top w:val="single" w:sz="4" w:space="0" w:color="auto"/>
              <w:left w:val="single" w:sz="4" w:space="0" w:color="auto"/>
              <w:bottom w:val="single" w:sz="4" w:space="0" w:color="auto"/>
              <w:right w:val="single" w:sz="4" w:space="0" w:color="auto"/>
            </w:tcBorders>
            <w:hideMark/>
          </w:tcPr>
          <w:p w14:paraId="3F4C046A"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Көрсеткіштер </w:t>
            </w:r>
          </w:p>
        </w:tc>
        <w:tc>
          <w:tcPr>
            <w:tcW w:w="1639" w:type="dxa"/>
            <w:gridSpan w:val="2"/>
            <w:tcBorders>
              <w:top w:val="single" w:sz="4" w:space="0" w:color="auto"/>
              <w:left w:val="single" w:sz="4" w:space="0" w:color="auto"/>
              <w:bottom w:val="single" w:sz="4" w:space="0" w:color="auto"/>
              <w:right w:val="single" w:sz="4" w:space="0" w:color="auto"/>
            </w:tcBorders>
            <w:vAlign w:val="center"/>
            <w:hideMark/>
          </w:tcPr>
          <w:p w14:paraId="62522B2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 жыл</w:t>
            </w:r>
          </w:p>
        </w:tc>
        <w:tc>
          <w:tcPr>
            <w:tcW w:w="1787" w:type="dxa"/>
            <w:gridSpan w:val="2"/>
            <w:tcBorders>
              <w:top w:val="single" w:sz="4" w:space="0" w:color="auto"/>
              <w:left w:val="single" w:sz="4" w:space="0" w:color="auto"/>
              <w:bottom w:val="single" w:sz="4" w:space="0" w:color="auto"/>
              <w:right w:val="single" w:sz="4" w:space="0" w:color="auto"/>
            </w:tcBorders>
            <w:vAlign w:val="center"/>
            <w:hideMark/>
          </w:tcPr>
          <w:p w14:paraId="054F40E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332" w:type="dxa"/>
            <w:gridSpan w:val="2"/>
            <w:tcBorders>
              <w:top w:val="single" w:sz="4" w:space="0" w:color="auto"/>
              <w:left w:val="single" w:sz="4" w:space="0" w:color="auto"/>
              <w:bottom w:val="single" w:sz="4" w:space="0" w:color="auto"/>
              <w:right w:val="single" w:sz="4" w:space="0" w:color="auto"/>
            </w:tcBorders>
            <w:hideMark/>
          </w:tcPr>
          <w:p w14:paraId="4C7AAD4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Ауытқу, % </w:t>
            </w:r>
          </w:p>
        </w:tc>
        <w:tc>
          <w:tcPr>
            <w:tcW w:w="10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957175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Нәтиже </w:t>
            </w:r>
          </w:p>
        </w:tc>
      </w:tr>
      <w:tr w:rsidR="00656EE7" w14:paraId="40C0DE3F" w14:textId="77777777" w:rsidTr="00656EE7">
        <w:tc>
          <w:tcPr>
            <w:tcW w:w="0" w:type="auto"/>
            <w:vMerge/>
            <w:tcBorders>
              <w:top w:val="single" w:sz="4" w:space="0" w:color="auto"/>
              <w:left w:val="single" w:sz="4" w:space="0" w:color="auto"/>
              <w:bottom w:val="single" w:sz="4" w:space="0" w:color="auto"/>
              <w:right w:val="single" w:sz="4" w:space="0" w:color="auto"/>
            </w:tcBorders>
            <w:vAlign w:val="center"/>
            <w:hideMark/>
          </w:tcPr>
          <w:p w14:paraId="30E20ADB"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74647"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9E0000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788" w:type="dxa"/>
            <w:tcBorders>
              <w:top w:val="single" w:sz="4" w:space="0" w:color="auto"/>
              <w:left w:val="single" w:sz="4" w:space="0" w:color="auto"/>
              <w:bottom w:val="single" w:sz="4" w:space="0" w:color="auto"/>
              <w:right w:val="single" w:sz="4" w:space="0" w:color="auto"/>
            </w:tcBorders>
            <w:vAlign w:val="center"/>
            <w:hideMark/>
          </w:tcPr>
          <w:p w14:paraId="216D546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957" w:type="dxa"/>
            <w:tcBorders>
              <w:top w:val="single" w:sz="4" w:space="0" w:color="auto"/>
              <w:left w:val="single" w:sz="4" w:space="0" w:color="auto"/>
              <w:bottom w:val="single" w:sz="4" w:space="0" w:color="auto"/>
              <w:right w:val="single" w:sz="4" w:space="0" w:color="auto"/>
            </w:tcBorders>
            <w:vAlign w:val="center"/>
            <w:hideMark/>
          </w:tcPr>
          <w:p w14:paraId="7A4C8B4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830" w:type="dxa"/>
            <w:tcBorders>
              <w:top w:val="single" w:sz="4" w:space="0" w:color="auto"/>
              <w:left w:val="single" w:sz="4" w:space="0" w:color="auto"/>
              <w:bottom w:val="single" w:sz="4" w:space="0" w:color="auto"/>
              <w:right w:val="single" w:sz="4" w:space="0" w:color="auto"/>
            </w:tcBorders>
            <w:vAlign w:val="center"/>
            <w:hideMark/>
          </w:tcPr>
          <w:p w14:paraId="6587E6A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666" w:type="dxa"/>
            <w:tcBorders>
              <w:top w:val="single" w:sz="4" w:space="0" w:color="auto"/>
              <w:left w:val="single" w:sz="4" w:space="0" w:color="auto"/>
              <w:bottom w:val="single" w:sz="4" w:space="0" w:color="auto"/>
              <w:right w:val="single" w:sz="4" w:space="0" w:color="auto"/>
            </w:tcBorders>
            <w:hideMark/>
          </w:tcPr>
          <w:p w14:paraId="29A96A9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w:t>
            </w:r>
          </w:p>
        </w:tc>
        <w:tc>
          <w:tcPr>
            <w:tcW w:w="666" w:type="dxa"/>
            <w:tcBorders>
              <w:top w:val="single" w:sz="4" w:space="0" w:color="auto"/>
              <w:left w:val="single" w:sz="4" w:space="0" w:color="auto"/>
              <w:bottom w:val="single" w:sz="4" w:space="0" w:color="auto"/>
              <w:right w:val="single" w:sz="4" w:space="0" w:color="auto"/>
            </w:tcBorders>
            <w:vAlign w:val="center"/>
            <w:hideMark/>
          </w:tcPr>
          <w:p w14:paraId="636A0FD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EEC322" w14:textId="77777777" w:rsidR="00656EE7" w:rsidRDefault="00656EE7">
            <w:pPr>
              <w:rPr>
                <w:rFonts w:ascii="Times New Roman" w:hAnsi="Times New Roman" w:cs="Times New Roman"/>
                <w:color w:val="000000"/>
                <w:spacing w:val="2"/>
                <w:sz w:val="24"/>
                <w:szCs w:val="24"/>
                <w:shd w:val="clear" w:color="auto" w:fill="FFFFFF"/>
                <w:lang w:val="kk-KZ"/>
              </w:rPr>
            </w:pPr>
          </w:p>
        </w:tc>
      </w:tr>
      <w:tr w:rsidR="00656EE7" w14:paraId="76FCDC74"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421AEA2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3124" w:type="dxa"/>
            <w:tcBorders>
              <w:top w:val="single" w:sz="4" w:space="0" w:color="auto"/>
              <w:left w:val="single" w:sz="4" w:space="0" w:color="auto"/>
              <w:bottom w:val="single" w:sz="4" w:space="0" w:color="auto"/>
              <w:right w:val="single" w:sz="4" w:space="0" w:color="auto"/>
            </w:tcBorders>
            <w:hideMark/>
          </w:tcPr>
          <w:p w14:paraId="1D94ECA0" w14:textId="69756FDD"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kk-KZ"/>
              </w:rPr>
              <w:t>АӨК өнімдерінің экспортын 2019 жылғы деңгеймен салыстырған</w:t>
            </w:r>
            <w:r w:rsidR="00F6434A">
              <w:rPr>
                <w:rFonts w:ascii="Times New Roman" w:hAnsi="Times New Roman" w:cs="Times New Roman"/>
                <w:sz w:val="24"/>
                <w:szCs w:val="24"/>
                <w:lang w:val="kk-KZ"/>
              </w:rPr>
              <w:t>-</w:t>
            </w:r>
            <w:r>
              <w:rPr>
                <w:rFonts w:ascii="Times New Roman" w:hAnsi="Times New Roman" w:cs="Times New Roman"/>
                <w:sz w:val="24"/>
                <w:szCs w:val="24"/>
                <w:lang w:val="kk-KZ"/>
              </w:rPr>
              <w:t>да 2 есе ұлғайту, млрд АҚШ доллары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467A8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4,3</w:t>
            </w:r>
          </w:p>
        </w:tc>
        <w:tc>
          <w:tcPr>
            <w:tcW w:w="788" w:type="dxa"/>
            <w:tcBorders>
              <w:top w:val="single" w:sz="4" w:space="0" w:color="auto"/>
              <w:left w:val="single" w:sz="4" w:space="0" w:color="auto"/>
              <w:bottom w:val="single" w:sz="4" w:space="0" w:color="auto"/>
              <w:right w:val="single" w:sz="4" w:space="0" w:color="auto"/>
            </w:tcBorders>
            <w:vAlign w:val="center"/>
            <w:hideMark/>
          </w:tcPr>
          <w:p w14:paraId="2BD7AD6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3,8</w:t>
            </w:r>
          </w:p>
        </w:tc>
        <w:tc>
          <w:tcPr>
            <w:tcW w:w="957" w:type="dxa"/>
            <w:tcBorders>
              <w:top w:val="single" w:sz="4" w:space="0" w:color="auto"/>
              <w:left w:val="single" w:sz="4" w:space="0" w:color="auto"/>
              <w:bottom w:val="single" w:sz="4" w:space="0" w:color="auto"/>
              <w:right w:val="single" w:sz="4" w:space="0" w:color="auto"/>
            </w:tcBorders>
            <w:vAlign w:val="center"/>
            <w:hideMark/>
          </w:tcPr>
          <w:p w14:paraId="0C23A41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4,6</w:t>
            </w:r>
          </w:p>
        </w:tc>
        <w:tc>
          <w:tcPr>
            <w:tcW w:w="830" w:type="dxa"/>
            <w:tcBorders>
              <w:top w:val="single" w:sz="4" w:space="0" w:color="auto"/>
              <w:left w:val="single" w:sz="4" w:space="0" w:color="auto"/>
              <w:bottom w:val="single" w:sz="4" w:space="0" w:color="auto"/>
              <w:right w:val="single" w:sz="4" w:space="0" w:color="auto"/>
            </w:tcBorders>
            <w:vAlign w:val="center"/>
            <w:hideMark/>
          </w:tcPr>
          <w:p w14:paraId="4E5A696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5,6</w:t>
            </w:r>
          </w:p>
        </w:tc>
        <w:tc>
          <w:tcPr>
            <w:tcW w:w="666" w:type="dxa"/>
            <w:tcBorders>
              <w:top w:val="single" w:sz="4" w:space="0" w:color="auto"/>
              <w:left w:val="single" w:sz="4" w:space="0" w:color="auto"/>
              <w:bottom w:val="single" w:sz="4" w:space="0" w:color="auto"/>
              <w:right w:val="single" w:sz="4" w:space="0" w:color="auto"/>
            </w:tcBorders>
            <w:vAlign w:val="center"/>
            <w:hideMark/>
          </w:tcPr>
          <w:p w14:paraId="7D8B9CD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88,37</w:t>
            </w:r>
          </w:p>
        </w:tc>
        <w:tc>
          <w:tcPr>
            <w:tcW w:w="666" w:type="dxa"/>
            <w:tcBorders>
              <w:top w:val="single" w:sz="4" w:space="0" w:color="auto"/>
              <w:left w:val="single" w:sz="4" w:space="0" w:color="auto"/>
              <w:bottom w:val="single" w:sz="4" w:space="0" w:color="auto"/>
              <w:right w:val="single" w:sz="4" w:space="0" w:color="auto"/>
            </w:tcBorders>
            <w:vAlign w:val="center"/>
            <w:hideMark/>
          </w:tcPr>
          <w:p w14:paraId="700BE16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121,7</w:t>
            </w:r>
          </w:p>
        </w:tc>
        <w:tc>
          <w:tcPr>
            <w:tcW w:w="51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2D41B32"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w:t>
            </w:r>
          </w:p>
        </w:tc>
        <w:tc>
          <w:tcPr>
            <w:tcW w:w="51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2405BC"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w:t>
            </w:r>
          </w:p>
        </w:tc>
      </w:tr>
      <w:tr w:rsidR="00656EE7" w14:paraId="740E325B"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5DA2425A"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3124" w:type="dxa"/>
            <w:tcBorders>
              <w:top w:val="single" w:sz="4" w:space="0" w:color="auto"/>
              <w:left w:val="single" w:sz="4" w:space="0" w:color="auto"/>
              <w:bottom w:val="single" w:sz="4" w:space="0" w:color="auto"/>
              <w:right w:val="single" w:sz="4" w:space="0" w:color="auto"/>
            </w:tcBorders>
            <w:hideMark/>
          </w:tcPr>
          <w:p w14:paraId="34D86C69" w14:textId="77777777" w:rsidR="00656EE7" w:rsidRDefault="00656EE7">
            <w:pPr>
              <w:rPr>
                <w:spacing w:val="2"/>
                <w:sz w:val="24"/>
                <w:szCs w:val="24"/>
                <w:shd w:val="clear" w:color="auto" w:fill="FFFFFF"/>
                <w:lang w:val="kk-KZ"/>
              </w:rPr>
            </w:pPr>
            <w:r>
              <w:rPr>
                <w:rFonts w:ascii="Times New Roman" w:hAnsi="Times New Roman" w:cs="Times New Roman"/>
                <w:sz w:val="24"/>
                <w:szCs w:val="24"/>
                <w:lang w:val="kk-KZ"/>
              </w:rPr>
              <w:t>АӨК өнімдері экспортының жалпы көлеміндегі өңделген өнімдердің үлесі, %-бен</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C3B95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35</w:t>
            </w:r>
          </w:p>
        </w:tc>
        <w:tc>
          <w:tcPr>
            <w:tcW w:w="788" w:type="dxa"/>
            <w:tcBorders>
              <w:top w:val="single" w:sz="4" w:space="0" w:color="auto"/>
              <w:left w:val="single" w:sz="4" w:space="0" w:color="auto"/>
              <w:bottom w:val="single" w:sz="4" w:space="0" w:color="auto"/>
              <w:right w:val="single" w:sz="4" w:space="0" w:color="auto"/>
            </w:tcBorders>
            <w:vAlign w:val="center"/>
            <w:hideMark/>
          </w:tcPr>
          <w:p w14:paraId="08A9CCC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37,3</w:t>
            </w:r>
          </w:p>
        </w:tc>
        <w:tc>
          <w:tcPr>
            <w:tcW w:w="957" w:type="dxa"/>
            <w:tcBorders>
              <w:top w:val="single" w:sz="4" w:space="0" w:color="auto"/>
              <w:left w:val="single" w:sz="4" w:space="0" w:color="auto"/>
              <w:bottom w:val="single" w:sz="4" w:space="0" w:color="auto"/>
              <w:right w:val="single" w:sz="4" w:space="0" w:color="auto"/>
            </w:tcBorders>
            <w:vAlign w:val="center"/>
            <w:hideMark/>
          </w:tcPr>
          <w:p w14:paraId="752161C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40</w:t>
            </w:r>
          </w:p>
        </w:tc>
        <w:tc>
          <w:tcPr>
            <w:tcW w:w="830" w:type="dxa"/>
            <w:tcBorders>
              <w:top w:val="single" w:sz="4" w:space="0" w:color="auto"/>
              <w:left w:val="single" w:sz="4" w:space="0" w:color="auto"/>
              <w:bottom w:val="single" w:sz="4" w:space="0" w:color="auto"/>
              <w:right w:val="single" w:sz="4" w:space="0" w:color="auto"/>
            </w:tcBorders>
            <w:vAlign w:val="center"/>
            <w:hideMark/>
          </w:tcPr>
          <w:p w14:paraId="1CB102A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41,9</w:t>
            </w:r>
          </w:p>
        </w:tc>
        <w:tc>
          <w:tcPr>
            <w:tcW w:w="666" w:type="dxa"/>
            <w:tcBorders>
              <w:top w:val="single" w:sz="4" w:space="0" w:color="auto"/>
              <w:left w:val="single" w:sz="4" w:space="0" w:color="auto"/>
              <w:bottom w:val="single" w:sz="4" w:space="0" w:color="auto"/>
              <w:right w:val="single" w:sz="4" w:space="0" w:color="auto"/>
            </w:tcBorders>
            <w:vAlign w:val="center"/>
            <w:hideMark/>
          </w:tcPr>
          <w:p w14:paraId="4DC0C2E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106,6</w:t>
            </w:r>
          </w:p>
        </w:tc>
        <w:tc>
          <w:tcPr>
            <w:tcW w:w="666" w:type="dxa"/>
            <w:tcBorders>
              <w:top w:val="single" w:sz="4" w:space="0" w:color="auto"/>
              <w:left w:val="single" w:sz="4" w:space="0" w:color="auto"/>
              <w:bottom w:val="single" w:sz="4" w:space="0" w:color="auto"/>
              <w:right w:val="single" w:sz="4" w:space="0" w:color="auto"/>
            </w:tcBorders>
            <w:vAlign w:val="center"/>
            <w:hideMark/>
          </w:tcPr>
          <w:p w14:paraId="7702BF4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104,8</w:t>
            </w:r>
          </w:p>
        </w:tc>
        <w:tc>
          <w:tcPr>
            <w:tcW w:w="103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3F712E68"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483494E0"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5FAEC07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3124" w:type="dxa"/>
            <w:tcBorders>
              <w:top w:val="single" w:sz="4" w:space="0" w:color="auto"/>
              <w:left w:val="single" w:sz="4" w:space="0" w:color="auto"/>
              <w:bottom w:val="single" w:sz="4" w:space="0" w:color="auto"/>
              <w:right w:val="single" w:sz="4" w:space="0" w:color="auto"/>
            </w:tcBorders>
            <w:hideMark/>
          </w:tcPr>
          <w:p w14:paraId="4E19CB20" w14:textId="77777777" w:rsidR="00656EE7" w:rsidRDefault="00656EE7">
            <w:pPr>
              <w:rPr>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Өндірісі халықаралық стандарт (оның ішінде GMP-стандарт) бойынша сертификатталған жануарлардың аса қауіпті ауруларына қарсы ветеринариялық препараттардың үлесі </w:t>
            </w:r>
            <w:r>
              <w:rPr>
                <w:rFonts w:ascii="Times New Roman" w:eastAsia="Times New Roman" w:hAnsi="Times New Roman" w:cs="Times New Roman"/>
                <w:kern w:val="36"/>
                <w:sz w:val="24"/>
                <w:szCs w:val="24"/>
                <w:lang w:val="kk-KZ" w:eastAsia="ru-RU"/>
              </w:rPr>
              <w:t>70</w:t>
            </w:r>
            <w:r>
              <w:rPr>
                <w:rFonts w:ascii="Times New Roman" w:hAnsi="Times New Roman" w:cs="Times New Roman"/>
                <w:color w:val="000000"/>
                <w:spacing w:val="2"/>
                <w:sz w:val="24"/>
                <w:szCs w:val="24"/>
                <w:shd w:val="clear" w:color="auto" w:fill="FFFFFF"/>
                <w:lang w:val="kk-KZ"/>
              </w:rPr>
              <w:t xml:space="preserve">%-бен, млн.теңге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92722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65,7</w:t>
            </w:r>
          </w:p>
        </w:tc>
        <w:tc>
          <w:tcPr>
            <w:tcW w:w="788" w:type="dxa"/>
            <w:tcBorders>
              <w:top w:val="single" w:sz="4" w:space="0" w:color="auto"/>
              <w:left w:val="single" w:sz="4" w:space="0" w:color="auto"/>
              <w:bottom w:val="single" w:sz="4" w:space="0" w:color="auto"/>
              <w:right w:val="single" w:sz="4" w:space="0" w:color="auto"/>
            </w:tcBorders>
            <w:vAlign w:val="center"/>
            <w:hideMark/>
          </w:tcPr>
          <w:p w14:paraId="6333033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65,7</w:t>
            </w:r>
          </w:p>
        </w:tc>
        <w:tc>
          <w:tcPr>
            <w:tcW w:w="957" w:type="dxa"/>
            <w:tcBorders>
              <w:top w:val="single" w:sz="4" w:space="0" w:color="auto"/>
              <w:left w:val="single" w:sz="4" w:space="0" w:color="auto"/>
              <w:bottom w:val="single" w:sz="4" w:space="0" w:color="auto"/>
              <w:right w:val="single" w:sz="4" w:space="0" w:color="auto"/>
            </w:tcBorders>
            <w:vAlign w:val="center"/>
            <w:hideMark/>
          </w:tcPr>
          <w:p w14:paraId="370FFB4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65,7</w:t>
            </w:r>
          </w:p>
        </w:tc>
        <w:tc>
          <w:tcPr>
            <w:tcW w:w="830" w:type="dxa"/>
            <w:tcBorders>
              <w:top w:val="single" w:sz="4" w:space="0" w:color="auto"/>
              <w:left w:val="single" w:sz="4" w:space="0" w:color="auto"/>
              <w:bottom w:val="single" w:sz="4" w:space="0" w:color="auto"/>
              <w:right w:val="single" w:sz="4" w:space="0" w:color="auto"/>
            </w:tcBorders>
            <w:vAlign w:val="center"/>
            <w:hideMark/>
          </w:tcPr>
          <w:p w14:paraId="7B287F0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B9E296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DA62F3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106,5</w:t>
            </w:r>
          </w:p>
        </w:tc>
        <w:tc>
          <w:tcPr>
            <w:tcW w:w="103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B6DA3E0"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539A9D99"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244040AD"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3124" w:type="dxa"/>
            <w:tcBorders>
              <w:top w:val="single" w:sz="4" w:space="0" w:color="auto"/>
              <w:left w:val="single" w:sz="4" w:space="0" w:color="auto"/>
              <w:bottom w:val="single" w:sz="4" w:space="0" w:color="auto"/>
              <w:right w:val="single" w:sz="4" w:space="0" w:color="auto"/>
            </w:tcBorders>
            <w:hideMark/>
          </w:tcPr>
          <w:p w14:paraId="4FFDE485" w14:textId="5F02403D"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Қауіпсіздік көрсеткіште</w:t>
            </w:r>
            <w:r w:rsidR="00F6434A">
              <w:rPr>
                <w:rFonts w:ascii="Times New Roman" w:hAnsi="Times New Roman" w:cs="Times New Roman"/>
                <w:color w:val="000000"/>
                <w:spacing w:val="2"/>
                <w:sz w:val="24"/>
                <w:szCs w:val="24"/>
                <w:shd w:val="clear" w:color="auto" w:fill="FFFFFF"/>
                <w:lang w:val="kk-KZ"/>
              </w:rPr>
              <w:t>-</w:t>
            </w:r>
            <w:r>
              <w:rPr>
                <w:rFonts w:ascii="Times New Roman" w:hAnsi="Times New Roman" w:cs="Times New Roman"/>
                <w:color w:val="000000"/>
                <w:spacing w:val="2"/>
                <w:sz w:val="24"/>
                <w:szCs w:val="24"/>
                <w:shd w:val="clear" w:color="auto" w:fill="FFFFFF"/>
                <w:lang w:val="kk-KZ"/>
              </w:rPr>
              <w:t>рі бойынша мониторинг</w:t>
            </w:r>
            <w:r w:rsidR="00F6434A">
              <w:rPr>
                <w:rFonts w:ascii="Times New Roman" w:hAnsi="Times New Roman" w:cs="Times New Roman"/>
                <w:color w:val="000000"/>
                <w:spacing w:val="2"/>
                <w:sz w:val="24"/>
                <w:szCs w:val="24"/>
                <w:shd w:val="clear" w:color="auto" w:fill="FFFFFF"/>
                <w:lang w:val="kk-KZ"/>
              </w:rPr>
              <w:t>-</w:t>
            </w:r>
            <w:r>
              <w:rPr>
                <w:rFonts w:ascii="Times New Roman" w:hAnsi="Times New Roman" w:cs="Times New Roman"/>
                <w:color w:val="000000"/>
                <w:spacing w:val="2"/>
                <w:sz w:val="24"/>
                <w:szCs w:val="24"/>
                <w:shd w:val="clear" w:color="auto" w:fill="FFFFFF"/>
                <w:lang w:val="kk-KZ"/>
              </w:rPr>
              <w:t>телуі тиіс тамақ өнімдерін қамту үлесі</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349A9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0,64*</w:t>
            </w:r>
          </w:p>
        </w:tc>
        <w:tc>
          <w:tcPr>
            <w:tcW w:w="788" w:type="dxa"/>
            <w:tcBorders>
              <w:top w:val="single" w:sz="4" w:space="0" w:color="auto"/>
              <w:left w:val="single" w:sz="4" w:space="0" w:color="auto"/>
              <w:bottom w:val="single" w:sz="4" w:space="0" w:color="auto"/>
              <w:right w:val="single" w:sz="4" w:space="0" w:color="auto"/>
            </w:tcBorders>
            <w:vAlign w:val="center"/>
            <w:hideMark/>
          </w:tcPr>
          <w:p w14:paraId="2F1B1EE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0,65</w:t>
            </w:r>
          </w:p>
        </w:tc>
        <w:tc>
          <w:tcPr>
            <w:tcW w:w="957" w:type="dxa"/>
            <w:tcBorders>
              <w:top w:val="single" w:sz="4" w:space="0" w:color="auto"/>
              <w:left w:val="single" w:sz="4" w:space="0" w:color="auto"/>
              <w:bottom w:val="single" w:sz="4" w:space="0" w:color="auto"/>
              <w:right w:val="single" w:sz="4" w:space="0" w:color="auto"/>
            </w:tcBorders>
            <w:vAlign w:val="center"/>
            <w:hideMark/>
          </w:tcPr>
          <w:p w14:paraId="3E7E009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0,65*</w:t>
            </w:r>
          </w:p>
        </w:tc>
        <w:tc>
          <w:tcPr>
            <w:tcW w:w="830" w:type="dxa"/>
            <w:tcBorders>
              <w:top w:val="single" w:sz="4" w:space="0" w:color="auto"/>
              <w:left w:val="single" w:sz="4" w:space="0" w:color="auto"/>
              <w:bottom w:val="single" w:sz="4" w:space="0" w:color="auto"/>
              <w:right w:val="single" w:sz="4" w:space="0" w:color="auto"/>
            </w:tcBorders>
            <w:vAlign w:val="center"/>
            <w:hideMark/>
          </w:tcPr>
          <w:p w14:paraId="02E8F42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0,65</w:t>
            </w:r>
          </w:p>
        </w:tc>
        <w:tc>
          <w:tcPr>
            <w:tcW w:w="666" w:type="dxa"/>
            <w:tcBorders>
              <w:top w:val="single" w:sz="4" w:space="0" w:color="auto"/>
              <w:left w:val="single" w:sz="4" w:space="0" w:color="auto"/>
              <w:bottom w:val="single" w:sz="4" w:space="0" w:color="auto"/>
              <w:right w:val="single" w:sz="4" w:space="0" w:color="auto"/>
            </w:tcBorders>
            <w:vAlign w:val="center"/>
            <w:hideMark/>
          </w:tcPr>
          <w:p w14:paraId="3DEA389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101,6</w:t>
            </w:r>
          </w:p>
        </w:tc>
        <w:tc>
          <w:tcPr>
            <w:tcW w:w="666" w:type="dxa"/>
            <w:tcBorders>
              <w:top w:val="single" w:sz="4" w:space="0" w:color="auto"/>
              <w:left w:val="single" w:sz="4" w:space="0" w:color="auto"/>
              <w:bottom w:val="single" w:sz="4" w:space="0" w:color="auto"/>
              <w:right w:val="single" w:sz="4" w:space="0" w:color="auto"/>
            </w:tcBorders>
            <w:vAlign w:val="center"/>
            <w:hideMark/>
          </w:tcPr>
          <w:p w14:paraId="5D8A690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103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1EB1BEA"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35BABC79" w14:textId="77777777" w:rsidTr="00656EE7">
        <w:tc>
          <w:tcPr>
            <w:tcW w:w="9344" w:type="dxa"/>
            <w:gridSpan w:val="10"/>
            <w:tcBorders>
              <w:top w:val="single" w:sz="4" w:space="0" w:color="auto"/>
              <w:left w:val="single" w:sz="4" w:space="0" w:color="auto"/>
              <w:bottom w:val="single" w:sz="4" w:space="0" w:color="auto"/>
              <w:right w:val="single" w:sz="4" w:space="0" w:color="auto"/>
            </w:tcBorders>
            <w:hideMark/>
          </w:tcPr>
          <w:p w14:paraId="6D9CDC42" w14:textId="05401F66" w:rsidR="00656EE7" w:rsidRDefault="00656EE7">
            <w:pPr>
              <w:ind w:firstLine="596"/>
              <w:rPr>
                <w:rFonts w:ascii="Times New Roman" w:hAnsi="Times New Roman" w:cs="Times New Roman"/>
                <w:color w:val="000000"/>
                <w:spacing w:val="2"/>
                <w:sz w:val="24"/>
                <w:szCs w:val="24"/>
                <w:highlight w:val="red"/>
                <w:shd w:val="clear" w:color="auto" w:fill="FFFFFF"/>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cs="Times New Roman"/>
                <w:kern w:val="36"/>
                <w:sz w:val="24"/>
                <w:szCs w:val="24"/>
                <w:lang w:val="kk-KZ" w:eastAsia="zh-CN"/>
              </w:rPr>
              <w:t>[</w:t>
            </w:r>
            <w:r w:rsidR="00C42AC1">
              <w:rPr>
                <w:rFonts w:ascii="Times New Roman" w:eastAsiaTheme="minorEastAsia" w:hAnsi="Times New Roman" w:cs="Times New Roman"/>
                <w:kern w:val="36"/>
                <w:sz w:val="24"/>
                <w:szCs w:val="24"/>
                <w:lang w:val="kk-KZ" w:eastAsia="zh-CN"/>
              </w:rPr>
              <w:t>7, 110</w:t>
            </w:r>
            <w:r>
              <w:rPr>
                <w:rFonts w:ascii="Times New Roman" w:eastAsiaTheme="minorEastAsia" w:hAnsi="Times New Roman" w:cs="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3D7FE0C7" w14:textId="77777777" w:rsidR="0020085F" w:rsidRPr="00C42AC1" w:rsidRDefault="0020085F" w:rsidP="00C42AC1">
      <w:pPr>
        <w:widowControl w:val="0"/>
        <w:spacing w:after="0" w:line="240" w:lineRule="auto"/>
        <w:ind w:firstLine="709"/>
        <w:jc w:val="both"/>
        <w:rPr>
          <w:rFonts w:ascii="Times New Roman" w:hAnsi="Times New Roman" w:cs="Times New Roman"/>
          <w:sz w:val="16"/>
          <w:szCs w:val="16"/>
          <w:lang w:val="kk-KZ"/>
        </w:rPr>
      </w:pPr>
    </w:p>
    <w:p w14:paraId="123FC08D" w14:textId="62143D48" w:rsidR="0020085F" w:rsidRDefault="0020085F" w:rsidP="00C42AC1">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hAnsi="Times New Roman" w:cs="Times New Roman"/>
          <w:sz w:val="28"/>
          <w:szCs w:val="28"/>
          <w:lang w:val="kk-KZ"/>
        </w:rPr>
        <w:t>Өндіріс – тұтыну көлемі бойынша статистикалық деректерді заттай түрде талдау құс еті бойынша тұтынудың шамалы өсуін көрсетеді (2022 жылы тұтыну көлемі 10,6 мың тоннаға немесе 2,5%-ға өсті, өндіріс көлемі 16,1 мың тоннаға немесе 5,9%-ға өсті) және шұжық өнімдері бойынша тұтыну көлемінің төмендеуі (2022 жылы тұтыну көлемі 2,6 мың тоннаға немесе 2,4%-ға азайды, өндіріс көлемі 2,5 мың тоннаға немесе 3,9%-ға өсті). Осыған байланысты тұтыну көлемінің қамтамасыз ету деңгейіне әсерін елеусіз деп атап өтуге болады, бұл ұлттық жоба мәндерінің дұрыс жоспарланбағанын көрсетеді.</w:t>
      </w:r>
    </w:p>
    <w:p w14:paraId="5F2F2DBF" w14:textId="77777777" w:rsidR="00656EE7" w:rsidRDefault="00656EE7" w:rsidP="00656EE7">
      <w:pPr>
        <w:spacing w:after="0" w:line="240" w:lineRule="auto"/>
        <w:ind w:firstLine="709"/>
        <w:jc w:val="both"/>
        <w:rPr>
          <w:rFonts w:ascii="Times New Roman" w:hAnsi="Times New Roman" w:cs="Times New Roman"/>
          <w:color w:val="000000"/>
          <w:sz w:val="28"/>
          <w:szCs w:val="28"/>
          <w:lang w:val="kk-KZ"/>
        </w:rPr>
      </w:pPr>
      <w:r>
        <w:rPr>
          <w:rFonts w:ascii="Times New Roman" w:eastAsia="Times New Roman" w:hAnsi="Times New Roman" w:cs="Times New Roman"/>
          <w:kern w:val="36"/>
          <w:sz w:val="28"/>
          <w:szCs w:val="28"/>
          <w:lang w:val="kk-KZ" w:eastAsia="ru-RU"/>
        </w:rPr>
        <w:t xml:space="preserve">АӨК дамыту ұлттық жобасында 4-міндеті бойынша 4 көрсеткіш, 40 іс-шара жоспарланған, 34-кесте мәліметтерінен 2021 жылы 4 көрсеткіштің 3 орындалғанын, 2022 жылы 4-і де асыра орындалғанын көруге болады. </w:t>
      </w:r>
      <w:r>
        <w:rPr>
          <w:rFonts w:ascii="Times New Roman" w:hAnsi="Times New Roman" w:cs="Times New Roman"/>
          <w:color w:val="000000"/>
          <w:sz w:val="28"/>
          <w:szCs w:val="28"/>
          <w:lang w:val="kk-KZ"/>
        </w:rPr>
        <w:t>3-міндетін қаржыландыруға ұлттық жобамен 318,7 млрд теңге көзделген, нақты 318,7 млрд теңге бағытталды, 88,3 млрд теңге (27,7%) орындалды. 230,4 млрд теңгені орындамау негізінен экспортқа бағдарланған ауыл шаруашылығы өнімдерін қайта өңдеу жөніндегі инвестициялық жобаларын бюджеттен тыс қаражат есебінен қаржыландырылмауына байланысты қалыптасты.</w:t>
      </w:r>
    </w:p>
    <w:p w14:paraId="2FFAD72C" w14:textId="00C1D3E5" w:rsidR="00656EE7" w:rsidRPr="00656EE7" w:rsidRDefault="00656EE7" w:rsidP="00656EE7">
      <w:pPr>
        <w:spacing w:after="0" w:line="240" w:lineRule="auto"/>
        <w:ind w:firstLine="709"/>
        <w:jc w:val="both"/>
        <w:rPr>
          <w:lang w:val="kk-KZ"/>
        </w:rPr>
      </w:pPr>
      <w:r>
        <w:rPr>
          <w:rFonts w:ascii="Times New Roman" w:hAnsi="Times New Roman" w:cs="Times New Roman"/>
          <w:color w:val="000000"/>
          <w:sz w:val="28"/>
          <w:szCs w:val="28"/>
          <w:lang w:val="kk-KZ"/>
        </w:rPr>
        <w:t>2022 жылы АӨК өнімі экспортының өсімі (1,8 млрд теңге немесе 46,2%) негізінен өңделген өнім экспортының (912,8 млн теңге немесе жалпы өсімнің 51,7%), өсімдік шаруашылығы өнімінің (831,4 млн теңге немесе жалпы өсімнің 47,1%) өсуі есебінен болды. Мал шаруашылығы өнімдерінің үлесі 1,2% немесе 20,6 млн теңгені құрады.</w:t>
      </w:r>
    </w:p>
    <w:p w14:paraId="451D8435" w14:textId="77777777" w:rsidR="00656EE7" w:rsidRPr="0020085F" w:rsidRDefault="00656EE7" w:rsidP="00656E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Өңделген ауылшаруашылық өнімдерінің экспортының жартысына жуығы дәстүрлі түрде бидай, қара бидай ұны мен күнбағыс майынан тұрады (сәйкесінше 32,2% және 14,9%). Ауыл шаруашылығы өнімдерінің қалған түрлері бойынша экспорттағы үлесі шамалы. Сонымен қатар, ауыл шаруашылығы өнімдерін қайта өңдеу бойынша экспортқа бағдарланған жобаларды іске асыру жөніндегі іс-шара шеңберінде екі жыл қатарынан жобаларды пайдалануға беру бойынша көрсеткішке қол жеткізілмеу байқалады (2021 жылы жоспарлы 56 жоба, нақты 24 жобаны құрады, 2022 жылы жоспарлы 65 жоба кезінде нақты 36 жоба), бұл жалпы алғанда қайта өңделген өнім үлесінің динамикасымен бірге экспорттың көлемі оның 2025 жылға дейінгі жоспарлы мәніне (70%) қол жеткізу мүмкіндігіне күмән </w:t>
      </w:r>
      <w:r w:rsidRPr="0020085F">
        <w:rPr>
          <w:rFonts w:ascii="Times New Roman" w:hAnsi="Times New Roman" w:cs="Times New Roman"/>
          <w:color w:val="000000"/>
          <w:sz w:val="28"/>
          <w:szCs w:val="28"/>
          <w:lang w:val="kk-KZ"/>
        </w:rPr>
        <w:t>келтіреді. 4-ші «7 ірі экожүйені қалыптастыру және инвестициялық жобаларды іске асыру есебінен 1 млн ауыл тұрғынының табысын тұрақты арттыру» міндетін қаржыландыруға ұлттық жобамен 721,6 млрд теңге көзделген, нақты 912,7 млрд теңге бағытталды, 547,4 млрд теңге (60,1%) орындалды.</w:t>
      </w:r>
      <w:r w:rsidRPr="0020085F">
        <w:rPr>
          <w:rFonts w:ascii="Times New Roman" w:hAnsi="Times New Roman" w:cs="Times New Roman"/>
          <w:sz w:val="28"/>
          <w:szCs w:val="28"/>
          <w:lang w:val="kk-KZ"/>
        </w:rPr>
        <w:t xml:space="preserve"> Орындамалмаған 365,3 млрд теңге сомасынан: 7,9 млрд теңге – жергілікті атқарушы органға қаражаттың кеш бөлінуіне байланысты ауыл халқына микрокредит беру бойынша республикалық бюджет қаражатын игермеуінен (2022 ж. қыркүйек-қараша), (игеру кезеңі 2022-2023 жылдар), 357,4 млрд теңгесі – сүтті, етті, жемістерді, дәнді дақылдарды, жемістер мен көкөністерді, қантты, майлы дақылдарды, балықты өңдеу өндірісі бойынша экожүйелер құру шеңберінде инвестициялық жобаларды іске асыруға бюджеттен тыс қаражат есебінен жеткіліксіз қаржыландырудан болған.</w:t>
      </w:r>
    </w:p>
    <w:p w14:paraId="1865BB33" w14:textId="4BD582C4" w:rsidR="00656EE7" w:rsidRDefault="00656EE7" w:rsidP="00656EE7">
      <w:pPr>
        <w:spacing w:after="0" w:line="240" w:lineRule="auto"/>
        <w:ind w:firstLine="709"/>
        <w:jc w:val="both"/>
        <w:rPr>
          <w:rFonts w:ascii="Times New Roman" w:hAnsi="Times New Roman" w:cs="Times New Roman"/>
          <w:color w:val="000000"/>
          <w:sz w:val="28"/>
          <w:szCs w:val="28"/>
          <w:lang w:val="kk-KZ"/>
        </w:rPr>
      </w:pPr>
      <w:r w:rsidRPr="0020085F">
        <w:rPr>
          <w:rFonts w:ascii="Times New Roman" w:hAnsi="Times New Roman" w:cs="Times New Roman"/>
          <w:color w:val="000000"/>
          <w:sz w:val="28"/>
          <w:szCs w:val="28"/>
          <w:lang w:val="kk-KZ"/>
        </w:rPr>
        <w:t>3</w:t>
      </w:r>
      <w:r w:rsidR="007F5D1B">
        <w:rPr>
          <w:rFonts w:ascii="Times New Roman" w:hAnsi="Times New Roman" w:cs="Times New Roman"/>
          <w:color w:val="000000"/>
          <w:sz w:val="28"/>
          <w:szCs w:val="28"/>
          <w:lang w:val="kk-KZ"/>
        </w:rPr>
        <w:t>5</w:t>
      </w:r>
      <w:r w:rsidRPr="0020085F">
        <w:rPr>
          <w:rFonts w:ascii="Times New Roman" w:hAnsi="Times New Roman" w:cs="Times New Roman"/>
          <w:color w:val="000000"/>
          <w:sz w:val="28"/>
          <w:szCs w:val="28"/>
          <w:lang w:val="kk-KZ"/>
        </w:rPr>
        <w:t>-кесте мәліметтеріндегі 2,3,4 көрсеткіштер</w:t>
      </w:r>
      <w:r>
        <w:rPr>
          <w:rFonts w:ascii="Times New Roman" w:hAnsi="Times New Roman" w:cs="Times New Roman"/>
          <w:color w:val="000000"/>
          <w:sz w:val="28"/>
          <w:szCs w:val="28"/>
          <w:lang w:val="kk-KZ"/>
        </w:rPr>
        <w:t xml:space="preserve"> бойынша мәліметтер ҚР Стратегиялық жоспарлау және реформалар агенттігі Ұлттық статистика бюросының мәліметтерінде келтірілмегендіктен, АШМ берген мәліметтері негізінде орындалған ретінде көрсетілген. </w:t>
      </w:r>
    </w:p>
    <w:p w14:paraId="11CB541E" w14:textId="65A3B3BF" w:rsidR="00656EE7"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hAnsi="Times New Roman" w:cs="Times New Roman"/>
          <w:color w:val="000000"/>
          <w:sz w:val="28"/>
          <w:szCs w:val="28"/>
          <w:lang w:val="kk-KZ"/>
        </w:rPr>
        <w:t>3</w:t>
      </w:r>
      <w:r w:rsidR="007F5D1B">
        <w:rPr>
          <w:rFonts w:ascii="Times New Roman" w:hAnsi="Times New Roman" w:cs="Times New Roman"/>
          <w:color w:val="000000"/>
          <w:sz w:val="28"/>
          <w:szCs w:val="28"/>
          <w:lang w:val="kk-KZ"/>
        </w:rPr>
        <w:t>6</w:t>
      </w:r>
      <w:r>
        <w:rPr>
          <w:rFonts w:ascii="Times New Roman" w:hAnsi="Times New Roman" w:cs="Times New Roman"/>
          <w:color w:val="000000"/>
          <w:sz w:val="28"/>
          <w:szCs w:val="28"/>
          <w:lang w:val="kk-KZ"/>
        </w:rPr>
        <w:t>-кестеде ҚР АӨК-нің 4-</w:t>
      </w:r>
      <w:r>
        <w:rPr>
          <w:rFonts w:ascii="Times New Roman" w:eastAsia="Times New Roman" w:hAnsi="Times New Roman" w:cs="Times New Roman"/>
          <w:kern w:val="36"/>
          <w:sz w:val="28"/>
          <w:szCs w:val="28"/>
          <w:lang w:val="kk-KZ" w:eastAsia="ru-RU"/>
        </w:rPr>
        <w:t>міндетінің «7 ірі экожүйе қалыптастыру және инвестициялық жобаларды іске асыру есебінен 1 млн. ауыл тұрғынының табысын тұрақты арттыру» 2021-2022 жж. көрсеткіштері келтірілген.</w:t>
      </w:r>
    </w:p>
    <w:p w14:paraId="519C3A1A" w14:textId="77777777" w:rsidR="00656EE7" w:rsidRDefault="00656EE7" w:rsidP="00656EE7">
      <w:pPr>
        <w:spacing w:after="0" w:line="240" w:lineRule="auto"/>
        <w:ind w:firstLine="709"/>
        <w:jc w:val="both"/>
        <w:rPr>
          <w:rFonts w:ascii="Times New Roman" w:hAnsi="Times New Roman" w:cs="Times New Roman"/>
          <w:color w:val="000000"/>
          <w:sz w:val="28"/>
          <w:szCs w:val="28"/>
          <w:lang w:val="kk-KZ"/>
        </w:rPr>
      </w:pPr>
    </w:p>
    <w:p w14:paraId="716DE716" w14:textId="59A801C3" w:rsidR="00656EE7" w:rsidRDefault="00656EE7" w:rsidP="00656EE7">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 3</w:t>
      </w:r>
      <w:r w:rsidR="007F5D1B">
        <w:rPr>
          <w:rFonts w:ascii="Times New Roman" w:hAnsi="Times New Roman" w:cs="Times New Roman"/>
          <w:color w:val="000000"/>
          <w:sz w:val="28"/>
          <w:szCs w:val="28"/>
          <w:lang w:val="kk-KZ"/>
        </w:rPr>
        <w:t>6</w:t>
      </w:r>
      <w:r>
        <w:rPr>
          <w:rFonts w:ascii="Times New Roman" w:hAnsi="Times New Roman" w:cs="Times New Roman"/>
          <w:color w:val="000000"/>
          <w:sz w:val="28"/>
          <w:szCs w:val="28"/>
          <w:lang w:val="kk-KZ"/>
        </w:rPr>
        <w:t xml:space="preserve"> – ҚР АӨК-нің 4-</w:t>
      </w:r>
      <w:r>
        <w:rPr>
          <w:rFonts w:ascii="Times New Roman" w:eastAsia="Times New Roman" w:hAnsi="Times New Roman" w:cs="Times New Roman"/>
          <w:kern w:val="36"/>
          <w:sz w:val="28"/>
          <w:szCs w:val="28"/>
          <w:lang w:val="kk-KZ" w:eastAsia="ru-RU"/>
        </w:rPr>
        <w:t>міндетінің 2021-2022 жж. көрсеткіштері</w:t>
      </w:r>
    </w:p>
    <w:tbl>
      <w:tblPr>
        <w:tblStyle w:val="a3"/>
        <w:tblW w:w="0" w:type="auto"/>
        <w:tblLook w:val="04A0" w:firstRow="1" w:lastRow="0" w:firstColumn="1" w:lastColumn="0" w:noHBand="0" w:noVBand="1"/>
      </w:tblPr>
      <w:tblGrid>
        <w:gridCol w:w="447"/>
        <w:gridCol w:w="2838"/>
        <w:gridCol w:w="976"/>
        <w:gridCol w:w="844"/>
        <w:gridCol w:w="976"/>
        <w:gridCol w:w="844"/>
        <w:gridCol w:w="756"/>
        <w:gridCol w:w="756"/>
        <w:gridCol w:w="600"/>
        <w:gridCol w:w="591"/>
      </w:tblGrid>
      <w:tr w:rsidR="00656EE7" w14:paraId="7C3FB2EC" w14:textId="77777777" w:rsidTr="00656EE7">
        <w:tc>
          <w:tcPr>
            <w:tcW w:w="431" w:type="dxa"/>
            <w:vMerge w:val="restart"/>
            <w:tcBorders>
              <w:top w:val="single" w:sz="4" w:space="0" w:color="auto"/>
              <w:left w:val="single" w:sz="4" w:space="0" w:color="auto"/>
              <w:bottom w:val="single" w:sz="4" w:space="0" w:color="auto"/>
              <w:right w:val="single" w:sz="4" w:space="0" w:color="auto"/>
            </w:tcBorders>
            <w:hideMark/>
          </w:tcPr>
          <w:p w14:paraId="2047298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3124" w:type="dxa"/>
            <w:vMerge w:val="restart"/>
            <w:tcBorders>
              <w:top w:val="single" w:sz="4" w:space="0" w:color="auto"/>
              <w:left w:val="single" w:sz="4" w:space="0" w:color="auto"/>
              <w:bottom w:val="single" w:sz="4" w:space="0" w:color="auto"/>
              <w:right w:val="single" w:sz="4" w:space="0" w:color="auto"/>
            </w:tcBorders>
            <w:hideMark/>
          </w:tcPr>
          <w:p w14:paraId="6512227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Көрсеткіштер </w:t>
            </w:r>
          </w:p>
        </w:tc>
        <w:tc>
          <w:tcPr>
            <w:tcW w:w="1639" w:type="dxa"/>
            <w:gridSpan w:val="2"/>
            <w:tcBorders>
              <w:top w:val="single" w:sz="4" w:space="0" w:color="auto"/>
              <w:left w:val="single" w:sz="4" w:space="0" w:color="auto"/>
              <w:bottom w:val="single" w:sz="4" w:space="0" w:color="auto"/>
              <w:right w:val="single" w:sz="4" w:space="0" w:color="auto"/>
            </w:tcBorders>
            <w:vAlign w:val="center"/>
            <w:hideMark/>
          </w:tcPr>
          <w:p w14:paraId="03C064E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 жыл</w:t>
            </w:r>
          </w:p>
        </w:tc>
        <w:tc>
          <w:tcPr>
            <w:tcW w:w="1787" w:type="dxa"/>
            <w:gridSpan w:val="2"/>
            <w:tcBorders>
              <w:top w:val="single" w:sz="4" w:space="0" w:color="auto"/>
              <w:left w:val="single" w:sz="4" w:space="0" w:color="auto"/>
              <w:bottom w:val="single" w:sz="4" w:space="0" w:color="auto"/>
              <w:right w:val="single" w:sz="4" w:space="0" w:color="auto"/>
            </w:tcBorders>
            <w:vAlign w:val="center"/>
            <w:hideMark/>
          </w:tcPr>
          <w:p w14:paraId="06EBC49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332" w:type="dxa"/>
            <w:gridSpan w:val="2"/>
            <w:tcBorders>
              <w:top w:val="single" w:sz="4" w:space="0" w:color="auto"/>
              <w:left w:val="single" w:sz="4" w:space="0" w:color="auto"/>
              <w:bottom w:val="single" w:sz="4" w:space="0" w:color="auto"/>
              <w:right w:val="single" w:sz="4" w:space="0" w:color="auto"/>
            </w:tcBorders>
            <w:hideMark/>
          </w:tcPr>
          <w:p w14:paraId="1DE0AF9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Ауытқу, %</w:t>
            </w:r>
          </w:p>
        </w:tc>
        <w:tc>
          <w:tcPr>
            <w:tcW w:w="103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BC0CB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Нәтиже </w:t>
            </w:r>
          </w:p>
        </w:tc>
      </w:tr>
      <w:tr w:rsidR="00656EE7" w14:paraId="09BB13DA" w14:textId="77777777" w:rsidTr="00656EE7">
        <w:tc>
          <w:tcPr>
            <w:tcW w:w="0" w:type="auto"/>
            <w:vMerge/>
            <w:tcBorders>
              <w:top w:val="single" w:sz="4" w:space="0" w:color="auto"/>
              <w:left w:val="single" w:sz="4" w:space="0" w:color="auto"/>
              <w:bottom w:val="single" w:sz="4" w:space="0" w:color="auto"/>
              <w:right w:val="single" w:sz="4" w:space="0" w:color="auto"/>
            </w:tcBorders>
            <w:vAlign w:val="center"/>
            <w:hideMark/>
          </w:tcPr>
          <w:p w14:paraId="32BFF2A8"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CF8AB"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A6C5F3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788" w:type="dxa"/>
            <w:tcBorders>
              <w:top w:val="single" w:sz="4" w:space="0" w:color="auto"/>
              <w:left w:val="single" w:sz="4" w:space="0" w:color="auto"/>
              <w:bottom w:val="single" w:sz="4" w:space="0" w:color="auto"/>
              <w:right w:val="single" w:sz="4" w:space="0" w:color="auto"/>
            </w:tcBorders>
            <w:vAlign w:val="center"/>
            <w:hideMark/>
          </w:tcPr>
          <w:p w14:paraId="6A8E539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957" w:type="dxa"/>
            <w:tcBorders>
              <w:top w:val="single" w:sz="4" w:space="0" w:color="auto"/>
              <w:left w:val="single" w:sz="4" w:space="0" w:color="auto"/>
              <w:bottom w:val="single" w:sz="4" w:space="0" w:color="auto"/>
              <w:right w:val="single" w:sz="4" w:space="0" w:color="auto"/>
            </w:tcBorders>
            <w:vAlign w:val="center"/>
            <w:hideMark/>
          </w:tcPr>
          <w:p w14:paraId="7129BD0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830" w:type="dxa"/>
            <w:tcBorders>
              <w:top w:val="single" w:sz="4" w:space="0" w:color="auto"/>
              <w:left w:val="single" w:sz="4" w:space="0" w:color="auto"/>
              <w:bottom w:val="single" w:sz="4" w:space="0" w:color="auto"/>
              <w:right w:val="single" w:sz="4" w:space="0" w:color="auto"/>
            </w:tcBorders>
            <w:vAlign w:val="center"/>
            <w:hideMark/>
          </w:tcPr>
          <w:p w14:paraId="69462C2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666" w:type="dxa"/>
            <w:tcBorders>
              <w:top w:val="single" w:sz="4" w:space="0" w:color="auto"/>
              <w:left w:val="single" w:sz="4" w:space="0" w:color="auto"/>
              <w:bottom w:val="single" w:sz="4" w:space="0" w:color="auto"/>
              <w:right w:val="single" w:sz="4" w:space="0" w:color="auto"/>
            </w:tcBorders>
            <w:hideMark/>
          </w:tcPr>
          <w:p w14:paraId="4417E5C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w:t>
            </w:r>
          </w:p>
        </w:tc>
        <w:tc>
          <w:tcPr>
            <w:tcW w:w="666" w:type="dxa"/>
            <w:tcBorders>
              <w:top w:val="single" w:sz="4" w:space="0" w:color="auto"/>
              <w:left w:val="single" w:sz="4" w:space="0" w:color="auto"/>
              <w:bottom w:val="single" w:sz="4" w:space="0" w:color="auto"/>
              <w:right w:val="single" w:sz="4" w:space="0" w:color="auto"/>
            </w:tcBorders>
            <w:vAlign w:val="center"/>
            <w:hideMark/>
          </w:tcPr>
          <w:p w14:paraId="63D7ADF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396A97" w14:textId="77777777" w:rsidR="00656EE7" w:rsidRDefault="00656EE7">
            <w:pPr>
              <w:rPr>
                <w:rFonts w:ascii="Times New Roman" w:hAnsi="Times New Roman" w:cs="Times New Roman"/>
                <w:color w:val="000000"/>
                <w:spacing w:val="2"/>
                <w:sz w:val="24"/>
                <w:szCs w:val="24"/>
                <w:shd w:val="clear" w:color="auto" w:fill="FFFFFF"/>
                <w:lang w:val="kk-KZ"/>
              </w:rPr>
            </w:pPr>
          </w:p>
        </w:tc>
      </w:tr>
      <w:tr w:rsidR="00656EE7" w14:paraId="18121906"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68F5425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3124" w:type="dxa"/>
            <w:tcBorders>
              <w:top w:val="single" w:sz="4" w:space="0" w:color="auto"/>
              <w:left w:val="single" w:sz="4" w:space="0" w:color="auto"/>
              <w:bottom w:val="single" w:sz="4" w:space="0" w:color="auto"/>
              <w:right w:val="single" w:sz="4" w:space="0" w:color="auto"/>
            </w:tcBorders>
            <w:hideMark/>
          </w:tcPr>
          <w:p w14:paraId="24002ED9" w14:textId="77777777" w:rsidR="00656EE7" w:rsidRDefault="00656EE7">
            <w:pPr>
              <w:rPr>
                <w:rFonts w:ascii="Times New Roman" w:hAnsi="Times New Roman" w:cs="Times New Roman"/>
                <w:spacing w:val="2"/>
                <w:sz w:val="24"/>
                <w:szCs w:val="24"/>
                <w:shd w:val="clear" w:color="auto" w:fill="FFFFFF"/>
                <w:lang w:val="kk-KZ"/>
              </w:rPr>
            </w:pPr>
            <w:r>
              <w:rPr>
                <w:rFonts w:ascii="Times New Roman" w:hAnsi="Times New Roman" w:cs="Times New Roman"/>
                <w:spacing w:val="2"/>
                <w:sz w:val="24"/>
                <w:szCs w:val="24"/>
                <w:shd w:val="clear" w:color="auto" w:fill="FFFFFF"/>
                <w:lang w:val="kk-KZ"/>
              </w:rPr>
              <w:t>Ауыл шаруашылығының негізгі капиталына тартылған инвестициялар көлемі, млрд теңге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1209B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700,4</w:t>
            </w:r>
          </w:p>
        </w:tc>
        <w:tc>
          <w:tcPr>
            <w:tcW w:w="788" w:type="dxa"/>
            <w:tcBorders>
              <w:top w:val="single" w:sz="4" w:space="0" w:color="auto"/>
              <w:left w:val="single" w:sz="4" w:space="0" w:color="auto"/>
              <w:bottom w:val="single" w:sz="4" w:space="0" w:color="auto"/>
              <w:right w:val="single" w:sz="4" w:space="0" w:color="auto"/>
            </w:tcBorders>
            <w:vAlign w:val="center"/>
            <w:hideMark/>
          </w:tcPr>
          <w:p w14:paraId="6D0C2F0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773,2</w:t>
            </w:r>
          </w:p>
        </w:tc>
        <w:tc>
          <w:tcPr>
            <w:tcW w:w="957" w:type="dxa"/>
            <w:tcBorders>
              <w:top w:val="single" w:sz="4" w:space="0" w:color="auto"/>
              <w:left w:val="single" w:sz="4" w:space="0" w:color="auto"/>
              <w:bottom w:val="single" w:sz="4" w:space="0" w:color="auto"/>
              <w:right w:val="single" w:sz="4" w:space="0" w:color="auto"/>
            </w:tcBorders>
            <w:vAlign w:val="center"/>
            <w:hideMark/>
          </w:tcPr>
          <w:p w14:paraId="07755FE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914,6</w:t>
            </w:r>
          </w:p>
        </w:tc>
        <w:tc>
          <w:tcPr>
            <w:tcW w:w="830" w:type="dxa"/>
            <w:tcBorders>
              <w:top w:val="single" w:sz="4" w:space="0" w:color="auto"/>
              <w:left w:val="single" w:sz="4" w:space="0" w:color="auto"/>
              <w:bottom w:val="single" w:sz="4" w:space="0" w:color="auto"/>
              <w:right w:val="single" w:sz="4" w:space="0" w:color="auto"/>
            </w:tcBorders>
            <w:vAlign w:val="center"/>
            <w:hideMark/>
          </w:tcPr>
          <w:p w14:paraId="3CEC456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853,5</w:t>
            </w:r>
          </w:p>
        </w:tc>
        <w:tc>
          <w:tcPr>
            <w:tcW w:w="666" w:type="dxa"/>
            <w:tcBorders>
              <w:top w:val="single" w:sz="4" w:space="0" w:color="auto"/>
              <w:left w:val="single" w:sz="4" w:space="0" w:color="auto"/>
              <w:bottom w:val="single" w:sz="4" w:space="0" w:color="auto"/>
              <w:right w:val="single" w:sz="4" w:space="0" w:color="auto"/>
            </w:tcBorders>
            <w:vAlign w:val="center"/>
            <w:hideMark/>
          </w:tcPr>
          <w:p w14:paraId="4F306F1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110,4</w:t>
            </w:r>
          </w:p>
        </w:tc>
        <w:tc>
          <w:tcPr>
            <w:tcW w:w="666" w:type="dxa"/>
            <w:tcBorders>
              <w:top w:val="single" w:sz="4" w:space="0" w:color="auto"/>
              <w:left w:val="single" w:sz="4" w:space="0" w:color="auto"/>
              <w:bottom w:val="single" w:sz="4" w:space="0" w:color="auto"/>
              <w:right w:val="single" w:sz="4" w:space="0" w:color="auto"/>
            </w:tcBorders>
            <w:vAlign w:val="center"/>
            <w:hideMark/>
          </w:tcPr>
          <w:p w14:paraId="1023A9C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93,32</w:t>
            </w:r>
          </w:p>
        </w:tc>
        <w:tc>
          <w:tcPr>
            <w:tcW w:w="51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3586B2"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w:t>
            </w:r>
          </w:p>
        </w:tc>
        <w:tc>
          <w:tcPr>
            <w:tcW w:w="51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7D2C1C"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w:t>
            </w:r>
          </w:p>
        </w:tc>
      </w:tr>
      <w:tr w:rsidR="00656EE7" w14:paraId="38F15C4E"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0956AF8F"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3124" w:type="dxa"/>
            <w:tcBorders>
              <w:top w:val="single" w:sz="4" w:space="0" w:color="auto"/>
              <w:left w:val="single" w:sz="4" w:space="0" w:color="auto"/>
              <w:bottom w:val="single" w:sz="4" w:space="0" w:color="auto"/>
              <w:right w:val="single" w:sz="4" w:space="0" w:color="auto"/>
            </w:tcBorders>
            <w:hideMark/>
          </w:tcPr>
          <w:p w14:paraId="5D99B326" w14:textId="77777777" w:rsidR="00656EE7" w:rsidRDefault="00656EE7">
            <w:pPr>
              <w:rPr>
                <w:rFonts w:ascii="Times New Roman" w:hAnsi="Times New Roman" w:cs="Times New Roman"/>
                <w:spacing w:val="2"/>
                <w:sz w:val="24"/>
                <w:szCs w:val="24"/>
                <w:shd w:val="clear" w:color="auto" w:fill="FFFFFF"/>
                <w:lang w:val="kk-KZ"/>
              </w:rPr>
            </w:pPr>
            <w:r>
              <w:rPr>
                <w:rFonts w:ascii="Times New Roman" w:hAnsi="Times New Roman" w:cs="Times New Roman"/>
                <w:spacing w:val="2"/>
                <w:sz w:val="24"/>
                <w:szCs w:val="24"/>
                <w:shd w:val="clear" w:color="auto" w:fill="FFFFFF"/>
                <w:lang w:val="kk-KZ"/>
              </w:rPr>
              <w:t>Тамақ өнімдері өндірісінің негізгі капиталына тартылған инвестициялар көлемі, млрд теңге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7AAD7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123,6</w:t>
            </w:r>
          </w:p>
        </w:tc>
        <w:tc>
          <w:tcPr>
            <w:tcW w:w="788" w:type="dxa"/>
            <w:tcBorders>
              <w:top w:val="single" w:sz="4" w:space="0" w:color="auto"/>
              <w:left w:val="single" w:sz="4" w:space="0" w:color="auto"/>
              <w:bottom w:val="single" w:sz="4" w:space="0" w:color="auto"/>
              <w:right w:val="single" w:sz="4" w:space="0" w:color="auto"/>
            </w:tcBorders>
            <w:vAlign w:val="center"/>
            <w:hideMark/>
          </w:tcPr>
          <w:p w14:paraId="395DA75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114,4</w:t>
            </w:r>
          </w:p>
        </w:tc>
        <w:tc>
          <w:tcPr>
            <w:tcW w:w="957" w:type="dxa"/>
            <w:tcBorders>
              <w:top w:val="single" w:sz="4" w:space="0" w:color="auto"/>
              <w:left w:val="single" w:sz="4" w:space="0" w:color="auto"/>
              <w:bottom w:val="single" w:sz="4" w:space="0" w:color="auto"/>
              <w:right w:val="single" w:sz="4" w:space="0" w:color="auto"/>
            </w:tcBorders>
            <w:vAlign w:val="center"/>
            <w:hideMark/>
          </w:tcPr>
          <w:p w14:paraId="58E8964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161,4</w:t>
            </w:r>
          </w:p>
        </w:tc>
        <w:tc>
          <w:tcPr>
            <w:tcW w:w="830" w:type="dxa"/>
            <w:tcBorders>
              <w:top w:val="single" w:sz="4" w:space="0" w:color="auto"/>
              <w:left w:val="single" w:sz="4" w:space="0" w:color="auto"/>
              <w:bottom w:val="single" w:sz="4" w:space="0" w:color="auto"/>
              <w:right w:val="single" w:sz="4" w:space="0" w:color="auto"/>
            </w:tcBorders>
            <w:vAlign w:val="center"/>
            <w:hideMark/>
          </w:tcPr>
          <w:p w14:paraId="6DDA296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140,6</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73988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92,56</w:t>
            </w:r>
          </w:p>
        </w:tc>
        <w:tc>
          <w:tcPr>
            <w:tcW w:w="666" w:type="dxa"/>
            <w:tcBorders>
              <w:top w:val="single" w:sz="4" w:space="0" w:color="auto"/>
              <w:left w:val="single" w:sz="4" w:space="0" w:color="auto"/>
              <w:bottom w:val="single" w:sz="4" w:space="0" w:color="auto"/>
              <w:right w:val="single" w:sz="4" w:space="0" w:color="auto"/>
            </w:tcBorders>
            <w:vAlign w:val="center"/>
            <w:hideMark/>
          </w:tcPr>
          <w:p w14:paraId="1EAE745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87,11</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25B20187" w14:textId="77777777" w:rsidR="00656EE7" w:rsidRPr="00074E4E" w:rsidRDefault="00656EE7">
            <w:pPr>
              <w:jc w:val="center"/>
              <w:rPr>
                <w:rFonts w:ascii="Times New Roman" w:hAnsi="Times New Roman" w:cs="Times New Roman"/>
                <w:color w:val="000000"/>
                <w:spacing w:val="2"/>
                <w:sz w:val="24"/>
                <w:szCs w:val="24"/>
                <w:highlight w:val="red"/>
                <w:shd w:val="clear" w:color="auto" w:fill="FFFFFF"/>
                <w:lang w:val="kk-KZ"/>
              </w:rPr>
            </w:pPr>
            <w:r w:rsidRPr="00074E4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793064C3"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1E6EE20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3124" w:type="dxa"/>
            <w:tcBorders>
              <w:top w:val="single" w:sz="4" w:space="0" w:color="auto"/>
              <w:left w:val="single" w:sz="4" w:space="0" w:color="auto"/>
              <w:bottom w:val="single" w:sz="4" w:space="0" w:color="auto"/>
              <w:right w:val="single" w:sz="4" w:space="0" w:color="auto"/>
            </w:tcBorders>
            <w:hideMark/>
          </w:tcPr>
          <w:p w14:paraId="1EE1B0CF" w14:textId="77777777" w:rsidR="00656EE7" w:rsidRDefault="00656EE7">
            <w:pPr>
              <w:rPr>
                <w:rFonts w:ascii="Times New Roman" w:hAnsi="Times New Roman" w:cs="Times New Roman"/>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АӨК-де іске асырылған инвестициялық жобалардың саны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48CA9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75</w:t>
            </w:r>
          </w:p>
        </w:tc>
        <w:tc>
          <w:tcPr>
            <w:tcW w:w="788" w:type="dxa"/>
            <w:tcBorders>
              <w:top w:val="single" w:sz="4" w:space="0" w:color="auto"/>
              <w:left w:val="single" w:sz="4" w:space="0" w:color="auto"/>
              <w:bottom w:val="single" w:sz="4" w:space="0" w:color="auto"/>
              <w:right w:val="single" w:sz="4" w:space="0" w:color="auto"/>
            </w:tcBorders>
            <w:vAlign w:val="center"/>
            <w:hideMark/>
          </w:tcPr>
          <w:p w14:paraId="2A91EBF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285</w:t>
            </w:r>
          </w:p>
        </w:tc>
        <w:tc>
          <w:tcPr>
            <w:tcW w:w="957" w:type="dxa"/>
            <w:tcBorders>
              <w:top w:val="single" w:sz="4" w:space="0" w:color="auto"/>
              <w:left w:val="single" w:sz="4" w:space="0" w:color="auto"/>
              <w:bottom w:val="single" w:sz="4" w:space="0" w:color="auto"/>
              <w:right w:val="single" w:sz="4" w:space="0" w:color="auto"/>
            </w:tcBorders>
            <w:vAlign w:val="center"/>
            <w:hideMark/>
          </w:tcPr>
          <w:p w14:paraId="3B15162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kk-KZ"/>
              </w:rPr>
              <w:t>80</w:t>
            </w:r>
          </w:p>
        </w:tc>
        <w:tc>
          <w:tcPr>
            <w:tcW w:w="830" w:type="dxa"/>
            <w:tcBorders>
              <w:top w:val="single" w:sz="4" w:space="0" w:color="auto"/>
              <w:left w:val="single" w:sz="4" w:space="0" w:color="auto"/>
              <w:bottom w:val="single" w:sz="4" w:space="0" w:color="auto"/>
              <w:right w:val="single" w:sz="4" w:space="0" w:color="auto"/>
            </w:tcBorders>
            <w:vAlign w:val="center"/>
            <w:hideMark/>
          </w:tcPr>
          <w:p w14:paraId="33009AD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270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940B91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380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3098DC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337,5</w:t>
            </w:r>
          </w:p>
        </w:tc>
        <w:tc>
          <w:tcPr>
            <w:tcW w:w="103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091171D"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1B62548A" w14:textId="77777777" w:rsidTr="00DC6110">
        <w:tc>
          <w:tcPr>
            <w:tcW w:w="431" w:type="dxa"/>
            <w:tcBorders>
              <w:top w:val="single" w:sz="4" w:space="0" w:color="auto"/>
              <w:left w:val="single" w:sz="4" w:space="0" w:color="auto"/>
              <w:bottom w:val="single" w:sz="4" w:space="0" w:color="auto"/>
              <w:right w:val="single" w:sz="4" w:space="0" w:color="auto"/>
            </w:tcBorders>
            <w:hideMark/>
          </w:tcPr>
          <w:p w14:paraId="50968AA5"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3124" w:type="dxa"/>
            <w:tcBorders>
              <w:top w:val="single" w:sz="4" w:space="0" w:color="auto"/>
              <w:left w:val="single" w:sz="4" w:space="0" w:color="auto"/>
              <w:bottom w:val="single" w:sz="4" w:space="0" w:color="auto"/>
              <w:right w:val="single" w:sz="4" w:space="0" w:color="auto"/>
            </w:tcBorders>
            <w:hideMark/>
          </w:tcPr>
          <w:p w14:paraId="3A51B4E2"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Ауыл шаруашылығы кооперативтері өндірген өнімдер көлемінің өсуі,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950CE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110</w:t>
            </w:r>
          </w:p>
        </w:tc>
        <w:tc>
          <w:tcPr>
            <w:tcW w:w="788" w:type="dxa"/>
            <w:tcBorders>
              <w:top w:val="single" w:sz="4" w:space="0" w:color="auto"/>
              <w:left w:val="single" w:sz="4" w:space="0" w:color="auto"/>
              <w:bottom w:val="single" w:sz="4" w:space="0" w:color="auto"/>
              <w:right w:val="single" w:sz="4" w:space="0" w:color="auto"/>
            </w:tcBorders>
            <w:vAlign w:val="center"/>
            <w:hideMark/>
          </w:tcPr>
          <w:p w14:paraId="501BF83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957" w:type="dxa"/>
            <w:tcBorders>
              <w:top w:val="single" w:sz="4" w:space="0" w:color="auto"/>
              <w:left w:val="single" w:sz="4" w:space="0" w:color="auto"/>
              <w:bottom w:val="single" w:sz="4" w:space="0" w:color="auto"/>
              <w:right w:val="single" w:sz="4" w:space="0" w:color="auto"/>
            </w:tcBorders>
            <w:vAlign w:val="center"/>
            <w:hideMark/>
          </w:tcPr>
          <w:p w14:paraId="5C0E462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110</w:t>
            </w:r>
          </w:p>
        </w:tc>
        <w:tc>
          <w:tcPr>
            <w:tcW w:w="830" w:type="dxa"/>
            <w:tcBorders>
              <w:top w:val="single" w:sz="4" w:space="0" w:color="auto"/>
              <w:left w:val="single" w:sz="4" w:space="0" w:color="auto"/>
              <w:bottom w:val="single" w:sz="4" w:space="0" w:color="auto"/>
              <w:right w:val="single" w:sz="4" w:space="0" w:color="auto"/>
            </w:tcBorders>
            <w:vAlign w:val="center"/>
            <w:hideMark/>
          </w:tcPr>
          <w:p w14:paraId="2AA5F66C"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3BEB662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0BB972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0</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A18B1B" w14:textId="77777777" w:rsidR="00656EE7" w:rsidRPr="00DC6110" w:rsidRDefault="00656EE7">
            <w:pPr>
              <w:jc w:val="center"/>
              <w:rPr>
                <w:rFonts w:ascii="Times New Roman" w:hAnsi="Times New Roman" w:cs="Times New Roman"/>
                <w:color w:val="000000"/>
                <w:spacing w:val="2"/>
                <w:sz w:val="24"/>
                <w:szCs w:val="24"/>
                <w:shd w:val="clear" w:color="auto" w:fill="FFFFFF"/>
                <w:lang w:val="kk-KZ"/>
              </w:rPr>
            </w:pPr>
            <w:r w:rsidRPr="00DC6110">
              <w:rPr>
                <w:rFonts w:ascii="Times New Roman" w:hAnsi="Times New Roman" w:cs="Times New Roman"/>
                <w:color w:val="000000"/>
                <w:spacing w:val="2"/>
                <w:sz w:val="24"/>
                <w:szCs w:val="24"/>
                <w:shd w:val="clear" w:color="auto" w:fill="FFFFFF"/>
                <w:lang w:val="kk-KZ"/>
              </w:rPr>
              <w:t>мәлімет жоқ</w:t>
            </w:r>
          </w:p>
        </w:tc>
      </w:tr>
      <w:tr w:rsidR="00656EE7" w14:paraId="61260FC0" w14:textId="77777777" w:rsidTr="00074E4E">
        <w:tc>
          <w:tcPr>
            <w:tcW w:w="431" w:type="dxa"/>
            <w:tcBorders>
              <w:top w:val="single" w:sz="4" w:space="0" w:color="auto"/>
              <w:left w:val="single" w:sz="4" w:space="0" w:color="auto"/>
              <w:bottom w:val="single" w:sz="4" w:space="0" w:color="auto"/>
              <w:right w:val="single" w:sz="4" w:space="0" w:color="auto"/>
            </w:tcBorders>
            <w:hideMark/>
          </w:tcPr>
          <w:p w14:paraId="265201C9"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w:t>
            </w:r>
          </w:p>
        </w:tc>
        <w:tc>
          <w:tcPr>
            <w:tcW w:w="3124" w:type="dxa"/>
            <w:tcBorders>
              <w:top w:val="single" w:sz="4" w:space="0" w:color="auto"/>
              <w:left w:val="single" w:sz="4" w:space="0" w:color="auto"/>
              <w:bottom w:val="single" w:sz="4" w:space="0" w:color="auto"/>
              <w:right w:val="single" w:sz="4" w:space="0" w:color="auto"/>
            </w:tcBorders>
            <w:hideMark/>
          </w:tcPr>
          <w:p w14:paraId="331B32B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Цифрландырылған жер деректерінің үлесі, 27,5-35,3%-бен</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758740" w14:textId="77777777" w:rsidR="00656EE7" w:rsidRDefault="00656EE7">
            <w:pPr>
              <w:jc w:val="center"/>
              <w:rPr>
                <w:rFonts w:ascii="Times New Roman" w:hAnsi="Times New Roman" w:cs="Times New Roman"/>
                <w:sz w:val="24"/>
                <w:szCs w:val="24"/>
                <w:lang w:val="en-US"/>
              </w:rPr>
            </w:pPr>
            <w:r>
              <w:rPr>
                <w:rFonts w:ascii="Times New Roman" w:hAnsi="Times New Roman" w:cs="Times New Roman"/>
                <w:sz w:val="24"/>
                <w:szCs w:val="24"/>
                <w:lang w:val="en-US"/>
              </w:rPr>
              <w:t>27,5</w:t>
            </w:r>
          </w:p>
        </w:tc>
        <w:tc>
          <w:tcPr>
            <w:tcW w:w="788" w:type="dxa"/>
            <w:tcBorders>
              <w:top w:val="single" w:sz="4" w:space="0" w:color="auto"/>
              <w:left w:val="single" w:sz="4" w:space="0" w:color="auto"/>
              <w:bottom w:val="single" w:sz="4" w:space="0" w:color="auto"/>
              <w:right w:val="single" w:sz="4" w:space="0" w:color="auto"/>
            </w:tcBorders>
            <w:vAlign w:val="center"/>
            <w:hideMark/>
          </w:tcPr>
          <w:p w14:paraId="78D263E2"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27,5</w:t>
            </w:r>
          </w:p>
        </w:tc>
        <w:tc>
          <w:tcPr>
            <w:tcW w:w="957" w:type="dxa"/>
            <w:tcBorders>
              <w:top w:val="single" w:sz="4" w:space="0" w:color="auto"/>
              <w:left w:val="single" w:sz="4" w:space="0" w:color="auto"/>
              <w:bottom w:val="single" w:sz="4" w:space="0" w:color="auto"/>
              <w:right w:val="single" w:sz="4" w:space="0" w:color="auto"/>
            </w:tcBorders>
            <w:vAlign w:val="center"/>
            <w:hideMark/>
          </w:tcPr>
          <w:p w14:paraId="3A4ED9C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35,3</w:t>
            </w:r>
          </w:p>
        </w:tc>
        <w:tc>
          <w:tcPr>
            <w:tcW w:w="830" w:type="dxa"/>
            <w:tcBorders>
              <w:top w:val="single" w:sz="4" w:space="0" w:color="auto"/>
              <w:left w:val="single" w:sz="4" w:space="0" w:color="auto"/>
              <w:bottom w:val="single" w:sz="4" w:space="0" w:color="auto"/>
              <w:right w:val="single" w:sz="4" w:space="0" w:color="auto"/>
            </w:tcBorders>
            <w:vAlign w:val="center"/>
            <w:hideMark/>
          </w:tcPr>
          <w:p w14:paraId="7E065B5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44</w:t>
            </w:r>
          </w:p>
        </w:tc>
        <w:tc>
          <w:tcPr>
            <w:tcW w:w="666" w:type="dxa"/>
            <w:tcBorders>
              <w:top w:val="single" w:sz="4" w:space="0" w:color="auto"/>
              <w:left w:val="single" w:sz="4" w:space="0" w:color="auto"/>
              <w:bottom w:val="single" w:sz="4" w:space="0" w:color="auto"/>
              <w:right w:val="single" w:sz="4" w:space="0" w:color="auto"/>
            </w:tcBorders>
            <w:vAlign w:val="center"/>
            <w:hideMark/>
          </w:tcPr>
          <w:p w14:paraId="54EA4E6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BCF8C5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124,6</w:t>
            </w:r>
          </w:p>
        </w:tc>
        <w:tc>
          <w:tcPr>
            <w:tcW w:w="103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4475F77" w14:textId="77777777" w:rsidR="00656EE7" w:rsidRPr="00074E4E" w:rsidRDefault="00656EE7">
            <w:pPr>
              <w:jc w:val="center"/>
              <w:rPr>
                <w:rFonts w:ascii="Times New Roman" w:hAnsi="Times New Roman" w:cs="Times New Roman"/>
                <w:color w:val="000000"/>
                <w:spacing w:val="2"/>
                <w:sz w:val="24"/>
                <w:szCs w:val="24"/>
                <w:highlight w:val="green"/>
                <w:shd w:val="clear" w:color="auto" w:fill="FFFFFF"/>
                <w:lang w:val="kk-KZ"/>
              </w:rPr>
            </w:pPr>
            <w:r w:rsidRPr="00074E4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3B3DB515" w14:textId="77777777" w:rsidTr="00656EE7">
        <w:tc>
          <w:tcPr>
            <w:tcW w:w="9344" w:type="dxa"/>
            <w:gridSpan w:val="10"/>
            <w:tcBorders>
              <w:top w:val="single" w:sz="4" w:space="0" w:color="auto"/>
              <w:left w:val="single" w:sz="4" w:space="0" w:color="auto"/>
              <w:bottom w:val="single" w:sz="4" w:space="0" w:color="auto"/>
              <w:right w:val="single" w:sz="4" w:space="0" w:color="auto"/>
            </w:tcBorders>
            <w:hideMark/>
          </w:tcPr>
          <w:p w14:paraId="0C372972" w14:textId="45F75A49" w:rsidR="00656EE7" w:rsidRDefault="00656EE7">
            <w:pPr>
              <w:ind w:firstLine="596"/>
              <w:rPr>
                <w:rFonts w:ascii="Times New Roman" w:hAnsi="Times New Roman" w:cs="Times New Roman"/>
                <w:color w:val="000000"/>
                <w:spacing w:val="2"/>
                <w:sz w:val="24"/>
                <w:szCs w:val="24"/>
                <w:highlight w:val="red"/>
                <w:shd w:val="clear" w:color="auto" w:fill="FFFFFF"/>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cs="Times New Roman"/>
                <w:kern w:val="36"/>
                <w:sz w:val="24"/>
                <w:szCs w:val="24"/>
                <w:lang w:val="kk-KZ" w:eastAsia="zh-CN"/>
              </w:rPr>
              <w:t>[</w:t>
            </w:r>
            <w:r w:rsidR="00C42AC1">
              <w:rPr>
                <w:rFonts w:ascii="Times New Roman" w:eastAsiaTheme="minorEastAsia" w:hAnsi="Times New Roman" w:cs="Times New Roman"/>
                <w:kern w:val="36"/>
                <w:sz w:val="24"/>
                <w:szCs w:val="24"/>
                <w:lang w:val="kk-KZ" w:eastAsia="zh-CN"/>
              </w:rPr>
              <w:t>7, 110</w:t>
            </w:r>
            <w:r>
              <w:rPr>
                <w:rFonts w:ascii="Times New Roman" w:eastAsiaTheme="minorEastAsia" w:hAnsi="Times New Roman" w:cs="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4958C916" w14:textId="77777777" w:rsidR="00656EE7" w:rsidRDefault="00656EE7" w:rsidP="00656EE7">
      <w:pPr>
        <w:spacing w:after="0" w:line="240" w:lineRule="auto"/>
        <w:ind w:firstLine="709"/>
        <w:jc w:val="both"/>
        <w:rPr>
          <w:rFonts w:ascii="Times New Roman" w:hAnsi="Times New Roman" w:cs="Times New Roman"/>
          <w:color w:val="000000"/>
          <w:sz w:val="28"/>
          <w:szCs w:val="28"/>
          <w:lang w:val="kk-KZ"/>
        </w:rPr>
      </w:pPr>
    </w:p>
    <w:p w14:paraId="6E271E64" w14:textId="682DF070" w:rsidR="00656EE7" w:rsidRDefault="0020085F" w:rsidP="0020085F">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007F5D1B">
        <w:rPr>
          <w:rFonts w:ascii="Times New Roman" w:hAnsi="Times New Roman" w:cs="Times New Roman"/>
          <w:color w:val="000000"/>
          <w:sz w:val="28"/>
          <w:szCs w:val="28"/>
          <w:lang w:val="kk-KZ"/>
        </w:rPr>
        <w:t>6</w:t>
      </w:r>
      <w:r>
        <w:rPr>
          <w:rFonts w:ascii="Times New Roman" w:hAnsi="Times New Roman" w:cs="Times New Roman"/>
          <w:color w:val="000000"/>
          <w:sz w:val="28"/>
          <w:szCs w:val="28"/>
          <w:lang w:val="kk-KZ"/>
        </w:rPr>
        <w:t xml:space="preserve">-кесте мәліметтерінен 1-«ауыл шаруашылығына негізгі капиталға тартылған инвестициялар көлемі» көрсеткішіне қол жеткізбеу елдің инвестициялық ахуалына теріс әсер еткен сыртқы жағдайдың күрделенуімен байланысты. Іс-шаралар көзделмеген, осылайша уәкілетті мемлекеттік орган қызметінің көрсеткішке қол жеткізуге ықпалының жоқтығы көрінеді. </w:t>
      </w:r>
      <w:r w:rsidR="00656EE7">
        <w:rPr>
          <w:rFonts w:ascii="Times New Roman" w:hAnsi="Times New Roman" w:cs="Times New Roman"/>
          <w:color w:val="000000"/>
          <w:sz w:val="28"/>
          <w:szCs w:val="28"/>
          <w:lang w:val="kk-KZ"/>
        </w:rPr>
        <w:t xml:space="preserve">2022 жылы «Азық-түлік өндірісіне негізгі капиталға тартылған инвестициялар көлемі» 2-көрсеткішіне қол жеткізу мынадай іс-шаралармен қамтамасыз етілді: </w:t>
      </w:r>
    </w:p>
    <w:p w14:paraId="6DC5D484" w14:textId="77777777" w:rsidR="00656EE7" w:rsidRDefault="00656EE7" w:rsidP="0097172E">
      <w:pPr>
        <w:pStyle w:val="a5"/>
        <w:numPr>
          <w:ilvl w:val="0"/>
          <w:numId w:val="52"/>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ауыл шаруашылығында 500 мың адамға дейін жұмыспен қамтамасыз ету - инвестициялық жобаларды (жылыжайлар, сүт-тауар фермалары, ет фермалары және т.б.) іске асыру арқылы жұмыс орындарын құру; </w:t>
      </w:r>
    </w:p>
    <w:p w14:paraId="5976C543" w14:textId="23E3EC9E" w:rsidR="00656EE7" w:rsidRDefault="00656EE7" w:rsidP="0097172E">
      <w:pPr>
        <w:pStyle w:val="a5"/>
        <w:numPr>
          <w:ilvl w:val="0"/>
          <w:numId w:val="52"/>
        </w:numPr>
        <w:tabs>
          <w:tab w:val="left" w:pos="993"/>
        </w:tabs>
        <w:spacing w:after="0" w:line="240" w:lineRule="auto"/>
        <w:ind w:left="0" w:firstLine="709"/>
        <w:jc w:val="both"/>
        <w:rPr>
          <w:rFonts w:ascii="Times New Roman" w:eastAsia="SimSun" w:hAnsi="Times New Roman"/>
          <w:color w:val="000000"/>
          <w:sz w:val="28"/>
          <w:szCs w:val="28"/>
          <w:lang w:val="kk-KZ"/>
        </w:rPr>
      </w:pPr>
      <w:r>
        <w:rPr>
          <w:rFonts w:ascii="Times New Roman" w:hAnsi="Times New Roman"/>
          <w:color w:val="000000"/>
          <w:sz w:val="28"/>
          <w:szCs w:val="28"/>
          <w:lang w:val="kk-KZ"/>
        </w:rPr>
        <w:t xml:space="preserve">жыл сайын іс-шара шеңберінде шамамен 40 мың жұмыс орны құру (2022 жылы 40414 жұмыс орны, оның ішінде тұрақты 14064, маусымдық – 26350); </w:t>
      </w:r>
    </w:p>
    <w:p w14:paraId="3C7A782D" w14:textId="77777777" w:rsidR="00656EE7" w:rsidRDefault="00656EE7" w:rsidP="0097172E">
      <w:pPr>
        <w:pStyle w:val="a5"/>
        <w:numPr>
          <w:ilvl w:val="0"/>
          <w:numId w:val="52"/>
        </w:numPr>
        <w:tabs>
          <w:tab w:val="left" w:pos="993"/>
        </w:tabs>
        <w:spacing w:after="0" w:line="240" w:lineRule="auto"/>
        <w:ind w:left="0" w:firstLine="709"/>
        <w:jc w:val="both"/>
        <w:rPr>
          <w:rFonts w:ascii="Times New Roman" w:eastAsia="SimSun" w:hAnsi="Times New Roman"/>
          <w:color w:val="000000"/>
          <w:sz w:val="28"/>
          <w:szCs w:val="28"/>
          <w:lang w:val="kk-KZ"/>
        </w:rPr>
      </w:pPr>
      <w:r>
        <w:rPr>
          <w:rFonts w:ascii="Times New Roman" w:hAnsi="Times New Roman"/>
          <w:color w:val="000000"/>
          <w:sz w:val="28"/>
          <w:szCs w:val="28"/>
          <w:lang w:val="kk-KZ"/>
        </w:rPr>
        <w:t xml:space="preserve">инвестициялық субсидиялау - 122,2 млрд теңге. Субсидиялаумен 19406 инвестициялық жоба қамтылды, инвестициялық субсидиялау есебінен тартылған инвестициялар көлемі 461,2 млрд теңгені құрады; </w:t>
      </w:r>
    </w:p>
    <w:p w14:paraId="41613236" w14:textId="482C6167" w:rsidR="00656EE7" w:rsidRDefault="00656EE7" w:rsidP="0097172E">
      <w:pPr>
        <w:pStyle w:val="a5"/>
        <w:numPr>
          <w:ilvl w:val="0"/>
          <w:numId w:val="52"/>
        </w:numPr>
        <w:tabs>
          <w:tab w:val="left" w:pos="993"/>
        </w:tabs>
        <w:spacing w:after="0" w:line="240" w:lineRule="auto"/>
        <w:ind w:left="0" w:firstLine="709"/>
        <w:jc w:val="both"/>
        <w:rPr>
          <w:rFonts w:ascii="Times New Roman" w:eastAsia="SimSun" w:hAnsi="Times New Roman"/>
          <w:color w:val="000000"/>
          <w:sz w:val="28"/>
          <w:szCs w:val="28"/>
          <w:lang w:val="kk-KZ"/>
        </w:rPr>
      </w:pPr>
      <w:r>
        <w:rPr>
          <w:rFonts w:ascii="Times New Roman" w:hAnsi="Times New Roman"/>
          <w:color w:val="000000"/>
          <w:sz w:val="28"/>
          <w:szCs w:val="28"/>
          <w:lang w:val="kk-KZ"/>
        </w:rPr>
        <w:t xml:space="preserve">несиелеу, ауыл шаруашылығы жануарларын, техникасы және технологиялық жабдық лизингі кезінде сыйақы мөлшерлемелерін субсидиялау – 76,8 млрд теңге. Бағдарламаға қатысатын АӨК субъектілерінің саны 18275 бірлікті құрады, сыйақы мөлшерлемелерін субсидиялау бағдарламалары шеңберінде тартылған </w:t>
      </w:r>
      <w:r w:rsidR="00534FF4">
        <w:rPr>
          <w:rFonts w:ascii="Times New Roman" w:hAnsi="Times New Roman"/>
          <w:color w:val="000000"/>
          <w:sz w:val="28"/>
          <w:szCs w:val="28"/>
          <w:lang w:val="kk-KZ"/>
        </w:rPr>
        <w:t>несиел</w:t>
      </w:r>
      <w:r>
        <w:rPr>
          <w:rFonts w:ascii="Times New Roman" w:hAnsi="Times New Roman"/>
          <w:color w:val="000000"/>
          <w:sz w:val="28"/>
          <w:szCs w:val="28"/>
          <w:lang w:val="kk-KZ"/>
        </w:rPr>
        <w:t xml:space="preserve">ік қаражаттың көлемі 505,5 млрд теңгені құрады; </w:t>
      </w:r>
    </w:p>
    <w:p w14:paraId="48D00F9E" w14:textId="77777777" w:rsidR="00656EE7" w:rsidRDefault="00656EE7" w:rsidP="0097172E">
      <w:pPr>
        <w:pStyle w:val="a5"/>
        <w:numPr>
          <w:ilvl w:val="0"/>
          <w:numId w:val="52"/>
        </w:numPr>
        <w:tabs>
          <w:tab w:val="left" w:pos="993"/>
        </w:tabs>
        <w:spacing w:after="0" w:line="240" w:lineRule="auto"/>
        <w:ind w:left="0" w:firstLine="709"/>
        <w:jc w:val="both"/>
        <w:rPr>
          <w:rFonts w:ascii="Times New Roman" w:eastAsia="SimSun" w:hAnsi="Times New Roman"/>
          <w:color w:val="000000"/>
          <w:sz w:val="28"/>
          <w:szCs w:val="28"/>
          <w:lang w:val="kk-KZ"/>
        </w:rPr>
      </w:pPr>
      <w:r>
        <w:rPr>
          <w:rFonts w:ascii="Times New Roman" w:hAnsi="Times New Roman"/>
          <w:color w:val="000000"/>
          <w:sz w:val="28"/>
          <w:szCs w:val="28"/>
          <w:lang w:val="kk-KZ"/>
        </w:rPr>
        <w:t>АӨК субъектілерін қаржылық сауықтыру шеңберінде несиелік және лизингтік міндеттемелер бойынша сыйақы мөлшерлемелерін субсидиялау-0,4 млрд теңге. Бағдарламаға қатысатын АӨК субъектілерінің саны 90 күннен астам төлемдердің кешіктірілуі, сондай-ақ мерзімінен бұрын өтелуі себебінен 20 бірлікке дейін (2021 жылы 24 бірліктен) азайды;</w:t>
      </w:r>
    </w:p>
    <w:p w14:paraId="70F3FD9B" w14:textId="77777777" w:rsidR="00656EE7" w:rsidRDefault="00656EE7" w:rsidP="0097172E">
      <w:pPr>
        <w:pStyle w:val="a5"/>
        <w:numPr>
          <w:ilvl w:val="0"/>
          <w:numId w:val="52"/>
        </w:numPr>
        <w:tabs>
          <w:tab w:val="left" w:pos="993"/>
        </w:tabs>
        <w:spacing w:after="0" w:line="240" w:lineRule="auto"/>
        <w:ind w:left="0" w:firstLine="709"/>
        <w:jc w:val="both"/>
        <w:rPr>
          <w:rFonts w:ascii="Times New Roman" w:eastAsia="SimSun" w:hAnsi="Times New Roman"/>
          <w:color w:val="000000"/>
          <w:sz w:val="28"/>
          <w:szCs w:val="28"/>
          <w:lang w:val="kk-KZ"/>
        </w:rPr>
      </w:pPr>
      <w:r>
        <w:rPr>
          <w:rFonts w:ascii="Times New Roman" w:hAnsi="Times New Roman"/>
          <w:color w:val="000000"/>
          <w:sz w:val="28"/>
          <w:szCs w:val="28"/>
          <w:lang w:val="kk-KZ"/>
        </w:rPr>
        <w:t xml:space="preserve">көктемгі егіс және егін жинау жұмыстары бойынша іс-шараларды өткізу үшін қаржыландыру – 140 млрд теңге. АӨК-нің несиеленген субъектілерінің саны 2619 бірлікті құрады, оның ішінде жаңа қарыз алушылар – 755 бірлік (2021 жылы 2636 бірлік, оның ішінде жаңа қарыз алушылар – 737 бірлік). </w:t>
      </w:r>
    </w:p>
    <w:p w14:paraId="5B552203" w14:textId="77777777" w:rsidR="00656EE7" w:rsidRDefault="00656EE7" w:rsidP="00656EE7">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35-кестедегі 4-көрсеткіш бойынша мәліметтерді </w:t>
      </w:r>
      <w:r>
        <w:rPr>
          <w:rFonts w:ascii="Times New Roman" w:hAnsi="Times New Roman" w:cs="Times New Roman"/>
          <w:color w:val="000000"/>
          <w:sz w:val="28"/>
          <w:szCs w:val="28"/>
          <w:lang w:val="kk-KZ"/>
        </w:rPr>
        <w:t xml:space="preserve">ҚР Стратегиялық жоспарлау және реформалар агенттігі Ұлттық статистика бюросының 2022 жылғы мәліметтерінде 2019 жылы шаруа қожалықтарымен өндірілген ауыл шаруашылық өнімдері 1607,8 млрд. теңгені құраған, 2021 жылы 2420,2 млрд теңге, өсімі 1,5 есе, ал 2022 жылы 2984,1 млрд теңге болғанда, 1,9 есе өскен. Алайда деректерде ауыл шаруашылығы кооперативтері туралы жеке мәлімет құрастырылмағандықтан, нақты баға беру мүмкін емес. </w:t>
      </w:r>
    </w:p>
    <w:p w14:paraId="6C06ACEC" w14:textId="77777777" w:rsidR="00656EE7" w:rsidRDefault="00656EE7" w:rsidP="00656EE7">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ҚР АӨК дамыту ұлттық жобасының 2021-2022 жж. әлеуметтік әсерге «азық-түлік тауарларымен (оның ішінде әлеуметтік маңызы бар) 80% деңгейінде қамтамасыз ету» көрсеткіші арқылы қол жеткізу жатқызылған. Бұл көрсеткіштер жоғарыдағы 33-кестеден орындалмағандығы келтірілген.</w:t>
      </w:r>
    </w:p>
    <w:p w14:paraId="5724BFC9" w14:textId="227CE7D8" w:rsidR="00656EE7" w:rsidRDefault="00656EE7" w:rsidP="00656EE7">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ҚР АӨК дамыту ұлттық жобасының 2021-2022 жж. экономикалық әсер көрсеткіштерінің динамикасы 3</w:t>
      </w:r>
      <w:r w:rsidR="007F5D1B">
        <w:rPr>
          <w:rFonts w:ascii="Times New Roman" w:hAnsi="Times New Roman"/>
          <w:color w:val="000000"/>
          <w:sz w:val="28"/>
          <w:szCs w:val="28"/>
          <w:lang w:val="kk-KZ"/>
        </w:rPr>
        <w:t>7</w:t>
      </w:r>
      <w:r>
        <w:rPr>
          <w:rFonts w:ascii="Times New Roman" w:hAnsi="Times New Roman"/>
          <w:color w:val="000000"/>
          <w:sz w:val="28"/>
          <w:szCs w:val="28"/>
          <w:lang w:val="kk-KZ"/>
        </w:rPr>
        <w:t>-кестеде келтірілген.</w:t>
      </w:r>
    </w:p>
    <w:p w14:paraId="37DE6B25" w14:textId="77777777" w:rsidR="00656EE7" w:rsidRDefault="00656EE7" w:rsidP="00656EE7">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Ауыл шаруашылығы өнімінің шығарылымы 2019 жылы 5151,5 млрд теңге, 2021 жылы 7515,4 млрд теңгені құраса, 45,9 пайызға, ал 2022 жылы 9223,0 млрд теңгені құрап, 2019 жылмен салыстырғанда 1,8 есе өскені анықталып отыр.</w:t>
      </w:r>
    </w:p>
    <w:p w14:paraId="6AC13E35" w14:textId="77777777" w:rsidR="00656EE7" w:rsidRDefault="00656EE7" w:rsidP="00656EE7">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2019 жылы экспорт көлемі 3282,4 мың АҚШ долларын құрағанын ескере отырып, 2021 жылы 14,4%-ға, 2022 жылы 70%-ға өскені анықталды. </w:t>
      </w:r>
    </w:p>
    <w:p w14:paraId="15E963DB" w14:textId="77777777" w:rsidR="00A07288" w:rsidRDefault="00656EE7" w:rsidP="00656EE7">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Ауыл шаруашылығында 500 мың адамға дейін жұмыспен қамтамасыз ету 2021 жылы тұрақты және маусымдық жұмыс орындарымен қамтамасыз ету жоспарланған, алайда статистикалық мәліметтерге сәйкес ауыл шаруашылығында жұмыспен қамтылған адам саны 2020 жылы 1175,1 мың адам, 2021 жылы 1175,4 мың адам, 2022 жылы 1108,9 мың адам, яғни, 2021 жылы 300 адамға өссе, ал 2022 жылы керісінше 66500 адамға азайған. Соның ішінде, шаруа қожалықтарында 2020 жылы 276,1 мың адам, 2021 жылы 283,3 мың адам, 2022 жылы 252,2 мың адамды құраған, бұл 2021 жылы 7200 адамға өскенін, ал 2022 жылы 31100 адамға төмендегенін көрсетеді. </w:t>
      </w:r>
    </w:p>
    <w:p w14:paraId="127C7A4E" w14:textId="32BEA27F" w:rsidR="00656EE7" w:rsidRDefault="00656EE7" w:rsidP="00656EE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АШМ 250 ББ 2022 жылғы есеп мәліметтері бойынша «АӨК субъектілерін инвестициялық субсидиялау есебінен тартылған инвестициялар көлемі АӨК-тің 19406 жобасын іске асыруға, </w:t>
      </w:r>
      <w:r w:rsidRPr="00074E4E">
        <w:rPr>
          <w:rFonts w:ascii="Times New Roman" w:hAnsi="Times New Roman" w:cs="Times New Roman"/>
          <w:sz w:val="28"/>
          <w:szCs w:val="28"/>
          <w:lang w:val="kk-KZ"/>
        </w:rPr>
        <w:t xml:space="preserve">7024 жұмыс орнын құруға мүмкіндік берді» деп жазылған, аудиторлық есептегі 40414 </w:t>
      </w:r>
      <w:r>
        <w:rPr>
          <w:rFonts w:ascii="Times New Roman" w:hAnsi="Times New Roman" w:cs="Times New Roman"/>
          <w:sz w:val="28"/>
          <w:szCs w:val="28"/>
          <w:lang w:val="kk-KZ"/>
        </w:rPr>
        <w:t xml:space="preserve">жұмыс орны, соның ішінде тұрақты 14064 және уақытша 26350 орны деген жергілікті атқарушы орган мәліметтерімен сәйкес келмейтінін көруге болады. Тура солай 2021 жылы 250 ББ мәліметтерінде 20183 жұмыс орны құрылғаны, ал 262 ББ мәліметтерінде 3366 жаңа жұмыс орны, және 30956 жұмыс орны сақталған деп келтірілген. </w:t>
      </w:r>
      <w:r w:rsidR="00A07288">
        <w:rPr>
          <w:rFonts w:ascii="Times New Roman" w:hAnsi="Times New Roman" w:cs="Times New Roman"/>
          <w:color w:val="000000"/>
          <w:sz w:val="28"/>
          <w:szCs w:val="28"/>
          <w:lang w:val="kk-KZ"/>
        </w:rPr>
        <w:t>АШМ деректері бойынша өңірлердің әлеуетін талдау және әкімдіктер жасаған өңірлік жұмыспен қамту карталарын зерделеу ауыл шаруашылығында 2025 жылға дейін 500 мың адамға дейін жұмыспен қамтамасыз ету бойынша бұл көрсеткіш жоғары және қол жетімсіз болып табылатынын көрсетеді.</w:t>
      </w:r>
    </w:p>
    <w:p w14:paraId="656DE831" w14:textId="77777777" w:rsidR="0020085F" w:rsidRDefault="0020085F" w:rsidP="00656EE7">
      <w:pPr>
        <w:tabs>
          <w:tab w:val="left" w:pos="993"/>
        </w:tabs>
        <w:spacing w:after="0" w:line="240" w:lineRule="auto"/>
        <w:ind w:firstLine="709"/>
        <w:jc w:val="both"/>
        <w:rPr>
          <w:rFonts w:ascii="Times New Roman" w:hAnsi="Times New Roman" w:cs="Times New Roman"/>
          <w:sz w:val="28"/>
          <w:szCs w:val="28"/>
          <w:lang w:val="kk-KZ"/>
        </w:rPr>
      </w:pPr>
    </w:p>
    <w:p w14:paraId="4C6CD043" w14:textId="5258D78E" w:rsidR="00656EE7" w:rsidRDefault="00656EE7" w:rsidP="00656EE7">
      <w:pPr>
        <w:tabs>
          <w:tab w:val="left" w:pos="993"/>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Кесте 3</w:t>
      </w:r>
      <w:r w:rsidR="007F5D1B">
        <w:rPr>
          <w:rFonts w:ascii="Times New Roman" w:hAnsi="Times New Roman"/>
          <w:color w:val="000000"/>
          <w:sz w:val="28"/>
          <w:szCs w:val="28"/>
          <w:lang w:val="kk-KZ"/>
        </w:rPr>
        <w:t>7</w:t>
      </w:r>
      <w:r>
        <w:rPr>
          <w:rFonts w:ascii="Times New Roman" w:hAnsi="Times New Roman"/>
          <w:color w:val="000000"/>
          <w:sz w:val="28"/>
          <w:szCs w:val="28"/>
          <w:lang w:val="kk-KZ"/>
        </w:rPr>
        <w:t xml:space="preserve"> – ҚР АӨК дамыту ұлттық жобасының 2021-2022 жж. экономикалық әсер көрсеткіштерінің динамикасы</w:t>
      </w:r>
    </w:p>
    <w:tbl>
      <w:tblPr>
        <w:tblStyle w:val="a3"/>
        <w:tblW w:w="9634" w:type="dxa"/>
        <w:tblLook w:val="04A0" w:firstRow="1" w:lastRow="0" w:firstColumn="1" w:lastColumn="0" w:noHBand="0" w:noVBand="1"/>
      </w:tblPr>
      <w:tblGrid>
        <w:gridCol w:w="447"/>
        <w:gridCol w:w="2731"/>
        <w:gridCol w:w="976"/>
        <w:gridCol w:w="844"/>
        <w:gridCol w:w="976"/>
        <w:gridCol w:w="844"/>
        <w:gridCol w:w="756"/>
        <w:gridCol w:w="756"/>
        <w:gridCol w:w="1304"/>
      </w:tblGrid>
      <w:tr w:rsidR="00656EE7" w14:paraId="6393B952" w14:textId="77777777" w:rsidTr="004662A2">
        <w:tc>
          <w:tcPr>
            <w:tcW w:w="447" w:type="dxa"/>
            <w:vMerge w:val="restart"/>
            <w:tcBorders>
              <w:top w:val="single" w:sz="4" w:space="0" w:color="auto"/>
              <w:left w:val="single" w:sz="4" w:space="0" w:color="auto"/>
              <w:bottom w:val="single" w:sz="4" w:space="0" w:color="auto"/>
              <w:right w:val="single" w:sz="4" w:space="0" w:color="auto"/>
            </w:tcBorders>
            <w:hideMark/>
          </w:tcPr>
          <w:p w14:paraId="057E7096"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w:t>
            </w:r>
          </w:p>
        </w:tc>
        <w:tc>
          <w:tcPr>
            <w:tcW w:w="2950" w:type="dxa"/>
            <w:vMerge w:val="restart"/>
            <w:tcBorders>
              <w:top w:val="single" w:sz="4" w:space="0" w:color="auto"/>
              <w:left w:val="single" w:sz="4" w:space="0" w:color="auto"/>
              <w:bottom w:val="single" w:sz="4" w:space="0" w:color="auto"/>
              <w:right w:val="single" w:sz="4" w:space="0" w:color="auto"/>
            </w:tcBorders>
            <w:hideMark/>
          </w:tcPr>
          <w:p w14:paraId="5EB1E097"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Көрсеткіштер </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14:paraId="6901E03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 жыл</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080466C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 жыл</w:t>
            </w:r>
          </w:p>
        </w:tc>
        <w:tc>
          <w:tcPr>
            <w:tcW w:w="1512" w:type="dxa"/>
            <w:gridSpan w:val="2"/>
            <w:tcBorders>
              <w:top w:val="single" w:sz="4" w:space="0" w:color="auto"/>
              <w:left w:val="single" w:sz="4" w:space="0" w:color="auto"/>
              <w:bottom w:val="single" w:sz="4" w:space="0" w:color="auto"/>
              <w:right w:val="single" w:sz="4" w:space="0" w:color="auto"/>
            </w:tcBorders>
            <w:hideMark/>
          </w:tcPr>
          <w:p w14:paraId="2BE7488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Ауытқу, %</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14:paraId="62D6C01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 xml:space="preserve">Нәтиже </w:t>
            </w:r>
          </w:p>
        </w:tc>
      </w:tr>
      <w:tr w:rsidR="00656EE7" w14:paraId="438572F4" w14:textId="77777777" w:rsidTr="004662A2">
        <w:tc>
          <w:tcPr>
            <w:tcW w:w="0" w:type="auto"/>
            <w:vMerge/>
            <w:tcBorders>
              <w:top w:val="single" w:sz="4" w:space="0" w:color="auto"/>
              <w:left w:val="single" w:sz="4" w:space="0" w:color="auto"/>
              <w:bottom w:val="single" w:sz="4" w:space="0" w:color="auto"/>
              <w:right w:val="single" w:sz="4" w:space="0" w:color="auto"/>
            </w:tcBorders>
            <w:vAlign w:val="center"/>
            <w:hideMark/>
          </w:tcPr>
          <w:p w14:paraId="35397ADF"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14:paraId="792B8F0E"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718" w:type="dxa"/>
            <w:tcBorders>
              <w:top w:val="single" w:sz="4" w:space="0" w:color="auto"/>
              <w:left w:val="single" w:sz="4" w:space="0" w:color="auto"/>
              <w:bottom w:val="single" w:sz="4" w:space="0" w:color="auto"/>
              <w:right w:val="single" w:sz="4" w:space="0" w:color="auto"/>
            </w:tcBorders>
            <w:vAlign w:val="center"/>
            <w:hideMark/>
          </w:tcPr>
          <w:p w14:paraId="171C085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844" w:type="dxa"/>
            <w:tcBorders>
              <w:top w:val="single" w:sz="4" w:space="0" w:color="auto"/>
              <w:left w:val="single" w:sz="4" w:space="0" w:color="auto"/>
              <w:bottom w:val="single" w:sz="4" w:space="0" w:color="auto"/>
              <w:right w:val="single" w:sz="4" w:space="0" w:color="auto"/>
            </w:tcBorders>
            <w:vAlign w:val="center"/>
            <w:hideMark/>
          </w:tcPr>
          <w:p w14:paraId="2977EB8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976" w:type="dxa"/>
            <w:tcBorders>
              <w:top w:val="single" w:sz="4" w:space="0" w:color="auto"/>
              <w:left w:val="single" w:sz="4" w:space="0" w:color="auto"/>
              <w:bottom w:val="single" w:sz="4" w:space="0" w:color="auto"/>
              <w:right w:val="single" w:sz="4" w:space="0" w:color="auto"/>
            </w:tcBorders>
            <w:vAlign w:val="center"/>
            <w:hideMark/>
          </w:tcPr>
          <w:p w14:paraId="7894A88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жоспар</w:t>
            </w:r>
          </w:p>
        </w:tc>
        <w:tc>
          <w:tcPr>
            <w:tcW w:w="844" w:type="dxa"/>
            <w:tcBorders>
              <w:top w:val="single" w:sz="4" w:space="0" w:color="auto"/>
              <w:left w:val="single" w:sz="4" w:space="0" w:color="auto"/>
              <w:bottom w:val="single" w:sz="4" w:space="0" w:color="auto"/>
              <w:right w:val="single" w:sz="4" w:space="0" w:color="auto"/>
            </w:tcBorders>
            <w:vAlign w:val="center"/>
            <w:hideMark/>
          </w:tcPr>
          <w:p w14:paraId="7A11821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нақты</w:t>
            </w:r>
          </w:p>
        </w:tc>
        <w:tc>
          <w:tcPr>
            <w:tcW w:w="756" w:type="dxa"/>
            <w:tcBorders>
              <w:top w:val="single" w:sz="4" w:space="0" w:color="auto"/>
              <w:left w:val="single" w:sz="4" w:space="0" w:color="auto"/>
              <w:bottom w:val="single" w:sz="4" w:space="0" w:color="auto"/>
              <w:right w:val="single" w:sz="4" w:space="0" w:color="auto"/>
            </w:tcBorders>
            <w:hideMark/>
          </w:tcPr>
          <w:p w14:paraId="0CB8270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2021</w:t>
            </w:r>
          </w:p>
        </w:tc>
        <w:tc>
          <w:tcPr>
            <w:tcW w:w="756" w:type="dxa"/>
            <w:tcBorders>
              <w:top w:val="single" w:sz="4" w:space="0" w:color="auto"/>
              <w:left w:val="single" w:sz="4" w:space="0" w:color="auto"/>
              <w:bottom w:val="single" w:sz="4" w:space="0" w:color="auto"/>
              <w:right w:val="single" w:sz="4" w:space="0" w:color="auto"/>
            </w:tcBorders>
            <w:vAlign w:val="center"/>
            <w:hideMark/>
          </w:tcPr>
          <w:p w14:paraId="0FBE6228"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2022</w:t>
            </w: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15C862DD" w14:textId="77777777" w:rsidR="00656EE7" w:rsidRDefault="00656EE7">
            <w:pPr>
              <w:rPr>
                <w:rFonts w:ascii="Times New Roman" w:hAnsi="Times New Roman" w:cs="Times New Roman"/>
                <w:color w:val="000000"/>
                <w:spacing w:val="2"/>
                <w:sz w:val="24"/>
                <w:szCs w:val="24"/>
                <w:shd w:val="clear" w:color="auto" w:fill="FFFFFF"/>
                <w:lang w:val="kk-KZ"/>
              </w:rPr>
            </w:pPr>
          </w:p>
        </w:tc>
      </w:tr>
      <w:tr w:rsidR="00656EE7" w14:paraId="12BFA468" w14:textId="77777777" w:rsidTr="004662A2">
        <w:tc>
          <w:tcPr>
            <w:tcW w:w="447" w:type="dxa"/>
            <w:tcBorders>
              <w:top w:val="single" w:sz="4" w:space="0" w:color="auto"/>
              <w:left w:val="single" w:sz="4" w:space="0" w:color="auto"/>
              <w:bottom w:val="single" w:sz="4" w:space="0" w:color="auto"/>
              <w:right w:val="single" w:sz="4" w:space="0" w:color="auto"/>
            </w:tcBorders>
            <w:hideMark/>
          </w:tcPr>
          <w:p w14:paraId="7197DD18"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2950" w:type="dxa"/>
            <w:tcBorders>
              <w:top w:val="single" w:sz="4" w:space="0" w:color="auto"/>
              <w:left w:val="single" w:sz="4" w:space="0" w:color="auto"/>
              <w:bottom w:val="single" w:sz="4" w:space="0" w:color="auto"/>
              <w:right w:val="single" w:sz="4" w:space="0" w:color="auto"/>
            </w:tcBorders>
            <w:hideMark/>
          </w:tcPr>
          <w:p w14:paraId="6A09D57B" w14:textId="77777777" w:rsidR="00656EE7" w:rsidRDefault="00656EE7">
            <w:pPr>
              <w:rPr>
                <w:rFonts w:ascii="Times New Roman" w:hAnsi="Times New Roman" w:cs="Times New Roman"/>
                <w:spacing w:val="2"/>
                <w:sz w:val="24"/>
                <w:szCs w:val="24"/>
                <w:shd w:val="clear" w:color="auto" w:fill="FFFFFF"/>
                <w:lang w:val="kk-KZ"/>
              </w:rPr>
            </w:pPr>
            <w:r>
              <w:rPr>
                <w:rFonts w:ascii="Times New Roman" w:hAnsi="Times New Roman" w:cs="Times New Roman"/>
                <w:spacing w:val="2"/>
                <w:sz w:val="24"/>
                <w:szCs w:val="24"/>
                <w:shd w:val="clear" w:color="auto" w:fill="FFFFFF"/>
                <w:lang w:val="kk-KZ"/>
              </w:rPr>
              <w:t>Еңбек өнімділігін 2,5 есе ұлғайту</w:t>
            </w:r>
          </w:p>
        </w:tc>
        <w:tc>
          <w:tcPr>
            <w:tcW w:w="718" w:type="dxa"/>
            <w:tcBorders>
              <w:top w:val="single" w:sz="4" w:space="0" w:color="auto"/>
              <w:left w:val="single" w:sz="4" w:space="0" w:color="auto"/>
              <w:bottom w:val="single" w:sz="4" w:space="0" w:color="auto"/>
              <w:right w:val="single" w:sz="4" w:space="0" w:color="auto"/>
            </w:tcBorders>
            <w:vAlign w:val="center"/>
            <w:hideMark/>
          </w:tcPr>
          <w:p w14:paraId="164FC1F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3430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D0613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6394</w:t>
            </w:r>
          </w:p>
        </w:tc>
        <w:tc>
          <w:tcPr>
            <w:tcW w:w="976" w:type="dxa"/>
            <w:tcBorders>
              <w:top w:val="single" w:sz="4" w:space="0" w:color="auto"/>
              <w:left w:val="single" w:sz="4" w:space="0" w:color="auto"/>
              <w:bottom w:val="single" w:sz="4" w:space="0" w:color="auto"/>
              <w:right w:val="single" w:sz="4" w:space="0" w:color="auto"/>
            </w:tcBorders>
            <w:vAlign w:val="center"/>
            <w:hideMark/>
          </w:tcPr>
          <w:p w14:paraId="312D6D7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4075,3</w:t>
            </w:r>
          </w:p>
        </w:tc>
        <w:tc>
          <w:tcPr>
            <w:tcW w:w="844" w:type="dxa"/>
            <w:tcBorders>
              <w:top w:val="single" w:sz="4" w:space="0" w:color="auto"/>
              <w:left w:val="single" w:sz="4" w:space="0" w:color="auto"/>
              <w:bottom w:val="single" w:sz="4" w:space="0" w:color="auto"/>
              <w:right w:val="single" w:sz="4" w:space="0" w:color="auto"/>
            </w:tcBorders>
            <w:vAlign w:val="center"/>
            <w:hideMark/>
          </w:tcPr>
          <w:p w14:paraId="36CC5D52" w14:textId="68D5B43D" w:rsidR="00203EF5" w:rsidRDefault="00203EF5" w:rsidP="00203EF5">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4500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924E16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186,4</w:t>
            </w:r>
          </w:p>
        </w:tc>
        <w:tc>
          <w:tcPr>
            <w:tcW w:w="756" w:type="dxa"/>
            <w:tcBorders>
              <w:top w:val="single" w:sz="4" w:space="0" w:color="auto"/>
              <w:left w:val="single" w:sz="4" w:space="0" w:color="auto"/>
              <w:bottom w:val="single" w:sz="4" w:space="0" w:color="auto"/>
              <w:right w:val="single" w:sz="4" w:space="0" w:color="auto"/>
            </w:tcBorders>
            <w:vAlign w:val="center"/>
            <w:hideMark/>
          </w:tcPr>
          <w:p w14:paraId="76E7818E" w14:textId="219DC3D8" w:rsidR="00656EE7" w:rsidRDefault="00203EF5">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110,4</w:t>
            </w:r>
          </w:p>
        </w:tc>
        <w:tc>
          <w:tcPr>
            <w:tcW w:w="13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A6228B0" w14:textId="77777777" w:rsidR="00656EE7" w:rsidRPr="00DC6110" w:rsidRDefault="00656EE7">
            <w:pPr>
              <w:jc w:val="center"/>
              <w:rPr>
                <w:rFonts w:ascii="Times New Roman" w:hAnsi="Times New Roman" w:cs="Times New Roman"/>
                <w:color w:val="000000"/>
                <w:spacing w:val="2"/>
                <w:sz w:val="24"/>
                <w:szCs w:val="24"/>
                <w:shd w:val="clear" w:color="auto" w:fill="FFFFFF"/>
                <w:lang w:val="kk-KZ"/>
              </w:rPr>
            </w:pPr>
            <w:r w:rsidRPr="00E07FC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1924FB7F" w14:textId="77777777" w:rsidTr="004662A2">
        <w:tc>
          <w:tcPr>
            <w:tcW w:w="447" w:type="dxa"/>
            <w:tcBorders>
              <w:top w:val="single" w:sz="4" w:space="0" w:color="auto"/>
              <w:left w:val="single" w:sz="4" w:space="0" w:color="auto"/>
              <w:bottom w:val="single" w:sz="4" w:space="0" w:color="auto"/>
              <w:right w:val="single" w:sz="4" w:space="0" w:color="auto"/>
            </w:tcBorders>
            <w:hideMark/>
          </w:tcPr>
          <w:p w14:paraId="5D12F3A9"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w:t>
            </w:r>
          </w:p>
        </w:tc>
        <w:tc>
          <w:tcPr>
            <w:tcW w:w="2950" w:type="dxa"/>
            <w:tcBorders>
              <w:top w:val="single" w:sz="4" w:space="0" w:color="auto"/>
              <w:left w:val="single" w:sz="4" w:space="0" w:color="auto"/>
              <w:bottom w:val="single" w:sz="4" w:space="0" w:color="auto"/>
              <w:right w:val="single" w:sz="4" w:space="0" w:color="auto"/>
            </w:tcBorders>
            <w:hideMark/>
          </w:tcPr>
          <w:p w14:paraId="3B1A77FB" w14:textId="77777777" w:rsidR="00656EE7" w:rsidRDefault="00656EE7">
            <w:pPr>
              <w:rPr>
                <w:rFonts w:ascii="Times New Roman" w:hAnsi="Times New Roman" w:cs="Times New Roman"/>
                <w:spacing w:val="2"/>
                <w:sz w:val="24"/>
                <w:szCs w:val="24"/>
                <w:shd w:val="clear" w:color="auto" w:fill="FFFFFF"/>
                <w:lang w:val="kk-KZ"/>
              </w:rPr>
            </w:pPr>
            <w:r>
              <w:rPr>
                <w:rFonts w:ascii="Times New Roman" w:hAnsi="Times New Roman" w:cs="Times New Roman"/>
                <w:color w:val="000000"/>
                <w:sz w:val="24"/>
                <w:szCs w:val="24"/>
                <w:lang w:val="kk-KZ"/>
              </w:rPr>
              <w:t>АӨК өнімінің экспортын 2019 жылғы деңгейге 2 есеге ұлғайту</w:t>
            </w:r>
          </w:p>
        </w:tc>
        <w:tc>
          <w:tcPr>
            <w:tcW w:w="718" w:type="dxa"/>
            <w:tcBorders>
              <w:top w:val="single" w:sz="4" w:space="0" w:color="auto"/>
              <w:left w:val="single" w:sz="4" w:space="0" w:color="auto"/>
              <w:bottom w:val="single" w:sz="4" w:space="0" w:color="auto"/>
              <w:right w:val="single" w:sz="4" w:space="0" w:color="auto"/>
            </w:tcBorders>
            <w:vAlign w:val="center"/>
            <w:hideMark/>
          </w:tcPr>
          <w:p w14:paraId="0179AD0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130</w:t>
            </w:r>
          </w:p>
        </w:tc>
        <w:tc>
          <w:tcPr>
            <w:tcW w:w="844" w:type="dxa"/>
            <w:tcBorders>
              <w:top w:val="single" w:sz="4" w:space="0" w:color="auto"/>
              <w:left w:val="single" w:sz="4" w:space="0" w:color="auto"/>
              <w:bottom w:val="single" w:sz="4" w:space="0" w:color="auto"/>
              <w:right w:val="single" w:sz="4" w:space="0" w:color="auto"/>
            </w:tcBorders>
            <w:vAlign w:val="center"/>
            <w:hideMark/>
          </w:tcPr>
          <w:p w14:paraId="33EECA84" w14:textId="77777777" w:rsidR="00656EE7" w:rsidRDefault="00656EE7">
            <w:pPr>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lang w:val="kk-KZ"/>
              </w:rPr>
              <w:t>14,4</w:t>
            </w:r>
          </w:p>
        </w:tc>
        <w:tc>
          <w:tcPr>
            <w:tcW w:w="976" w:type="dxa"/>
            <w:tcBorders>
              <w:top w:val="single" w:sz="4" w:space="0" w:color="auto"/>
              <w:left w:val="single" w:sz="4" w:space="0" w:color="auto"/>
              <w:bottom w:val="single" w:sz="4" w:space="0" w:color="auto"/>
              <w:right w:val="single" w:sz="4" w:space="0" w:color="auto"/>
            </w:tcBorders>
            <w:vAlign w:val="center"/>
            <w:hideMark/>
          </w:tcPr>
          <w:p w14:paraId="6ADC0AE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140</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9B73A3"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70</w:t>
            </w:r>
          </w:p>
        </w:tc>
        <w:tc>
          <w:tcPr>
            <w:tcW w:w="756" w:type="dxa"/>
            <w:tcBorders>
              <w:top w:val="single" w:sz="4" w:space="0" w:color="auto"/>
              <w:left w:val="single" w:sz="4" w:space="0" w:color="auto"/>
              <w:bottom w:val="single" w:sz="4" w:space="0" w:color="auto"/>
              <w:right w:val="single" w:sz="4" w:space="0" w:color="auto"/>
            </w:tcBorders>
            <w:vAlign w:val="center"/>
            <w:hideMark/>
          </w:tcPr>
          <w:p w14:paraId="64AFEE2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11,08</w:t>
            </w:r>
          </w:p>
        </w:tc>
        <w:tc>
          <w:tcPr>
            <w:tcW w:w="756" w:type="dxa"/>
            <w:tcBorders>
              <w:top w:val="single" w:sz="4" w:space="0" w:color="auto"/>
              <w:left w:val="single" w:sz="4" w:space="0" w:color="auto"/>
              <w:bottom w:val="single" w:sz="4" w:space="0" w:color="auto"/>
              <w:right w:val="single" w:sz="4" w:space="0" w:color="auto"/>
            </w:tcBorders>
            <w:vAlign w:val="center"/>
            <w:hideMark/>
          </w:tcPr>
          <w:p w14:paraId="4C4F77D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50</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B5B672" w14:textId="77777777" w:rsidR="00656EE7" w:rsidRPr="00DC6110" w:rsidRDefault="00656EE7">
            <w:pPr>
              <w:jc w:val="center"/>
              <w:rPr>
                <w:rFonts w:ascii="Times New Roman" w:hAnsi="Times New Roman" w:cs="Times New Roman"/>
                <w:color w:val="000000"/>
                <w:spacing w:val="2"/>
                <w:sz w:val="24"/>
                <w:szCs w:val="24"/>
                <w:shd w:val="clear" w:color="auto" w:fill="FFFFFF"/>
                <w:lang w:val="kk-KZ"/>
              </w:rPr>
            </w:pPr>
            <w:r w:rsidRPr="00E07FC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7C223D7B" w14:textId="77777777" w:rsidTr="004662A2">
        <w:tc>
          <w:tcPr>
            <w:tcW w:w="447" w:type="dxa"/>
            <w:tcBorders>
              <w:top w:val="single" w:sz="4" w:space="0" w:color="auto"/>
              <w:left w:val="single" w:sz="4" w:space="0" w:color="auto"/>
              <w:bottom w:val="single" w:sz="4" w:space="0" w:color="auto"/>
              <w:right w:val="single" w:sz="4" w:space="0" w:color="auto"/>
            </w:tcBorders>
            <w:hideMark/>
          </w:tcPr>
          <w:p w14:paraId="3AD106F0"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3</w:t>
            </w:r>
          </w:p>
        </w:tc>
        <w:tc>
          <w:tcPr>
            <w:tcW w:w="2950" w:type="dxa"/>
            <w:tcBorders>
              <w:top w:val="single" w:sz="4" w:space="0" w:color="auto"/>
              <w:left w:val="single" w:sz="4" w:space="0" w:color="auto"/>
              <w:bottom w:val="single" w:sz="4" w:space="0" w:color="auto"/>
              <w:right w:val="single" w:sz="4" w:space="0" w:color="auto"/>
            </w:tcBorders>
            <w:hideMark/>
          </w:tcPr>
          <w:p w14:paraId="0003E9D3" w14:textId="77777777" w:rsidR="00656EE7" w:rsidRDefault="00656EE7">
            <w:pPr>
              <w:rPr>
                <w:rFonts w:ascii="Times New Roman" w:hAnsi="Times New Roman" w:cs="Times New Roman"/>
                <w:spacing w:val="2"/>
                <w:sz w:val="24"/>
                <w:szCs w:val="24"/>
                <w:shd w:val="clear" w:color="auto" w:fill="FFFFFF"/>
                <w:lang w:val="kk-KZ"/>
              </w:rPr>
            </w:pPr>
            <w:r>
              <w:rPr>
                <w:rFonts w:ascii="Times New Roman" w:hAnsi="Times New Roman" w:cs="Times New Roman"/>
                <w:color w:val="000000"/>
                <w:sz w:val="24"/>
                <w:szCs w:val="24"/>
                <w:lang w:val="kk-KZ"/>
              </w:rPr>
              <w:t>Ауыл шаруашылығы жалпы өнімінің көлемін 2019 жылғы деңгейге қарағанда 1,3 есе ұлғайту</w:t>
            </w:r>
            <w:r w:rsidRPr="00656EE7">
              <w:rPr>
                <w:lang w:val="kk-KZ"/>
              </w:rPr>
              <w:t>, %</w:t>
            </w:r>
          </w:p>
        </w:tc>
        <w:tc>
          <w:tcPr>
            <w:tcW w:w="718" w:type="dxa"/>
            <w:tcBorders>
              <w:top w:val="single" w:sz="4" w:space="0" w:color="auto"/>
              <w:left w:val="single" w:sz="4" w:space="0" w:color="auto"/>
              <w:bottom w:val="single" w:sz="4" w:space="0" w:color="auto"/>
              <w:right w:val="single" w:sz="4" w:space="0" w:color="auto"/>
            </w:tcBorders>
            <w:vAlign w:val="center"/>
            <w:hideMark/>
          </w:tcPr>
          <w:p w14:paraId="312E05D1"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7</w:t>
            </w:r>
          </w:p>
        </w:tc>
        <w:tc>
          <w:tcPr>
            <w:tcW w:w="844" w:type="dxa"/>
            <w:tcBorders>
              <w:top w:val="single" w:sz="4" w:space="0" w:color="auto"/>
              <w:left w:val="single" w:sz="4" w:space="0" w:color="auto"/>
              <w:bottom w:val="single" w:sz="4" w:space="0" w:color="auto"/>
              <w:right w:val="single" w:sz="4" w:space="0" w:color="auto"/>
            </w:tcBorders>
            <w:vAlign w:val="center"/>
            <w:hideMark/>
          </w:tcPr>
          <w:p w14:paraId="4DA1E55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45,9</w:t>
            </w:r>
          </w:p>
        </w:tc>
        <w:tc>
          <w:tcPr>
            <w:tcW w:w="976" w:type="dxa"/>
            <w:tcBorders>
              <w:top w:val="single" w:sz="4" w:space="0" w:color="auto"/>
              <w:left w:val="single" w:sz="4" w:space="0" w:color="auto"/>
              <w:bottom w:val="single" w:sz="4" w:space="0" w:color="auto"/>
              <w:right w:val="single" w:sz="4" w:space="0" w:color="auto"/>
            </w:tcBorders>
            <w:vAlign w:val="center"/>
            <w:hideMark/>
          </w:tcPr>
          <w:p w14:paraId="56E7132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14</w:t>
            </w:r>
          </w:p>
        </w:tc>
        <w:tc>
          <w:tcPr>
            <w:tcW w:w="844" w:type="dxa"/>
            <w:tcBorders>
              <w:top w:val="single" w:sz="4" w:space="0" w:color="auto"/>
              <w:left w:val="single" w:sz="4" w:space="0" w:color="auto"/>
              <w:bottom w:val="single" w:sz="4" w:space="0" w:color="auto"/>
              <w:right w:val="single" w:sz="4" w:space="0" w:color="auto"/>
            </w:tcBorders>
            <w:vAlign w:val="center"/>
            <w:hideMark/>
          </w:tcPr>
          <w:p w14:paraId="79D7971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180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ECC1CD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655,7</w:t>
            </w:r>
          </w:p>
        </w:tc>
        <w:tc>
          <w:tcPr>
            <w:tcW w:w="756" w:type="dxa"/>
            <w:tcBorders>
              <w:top w:val="single" w:sz="4" w:space="0" w:color="auto"/>
              <w:left w:val="single" w:sz="4" w:space="0" w:color="auto"/>
              <w:bottom w:val="single" w:sz="4" w:space="0" w:color="auto"/>
              <w:right w:val="single" w:sz="4" w:space="0" w:color="auto"/>
            </w:tcBorders>
            <w:vAlign w:val="center"/>
            <w:hideMark/>
          </w:tcPr>
          <w:p w14:paraId="577BCCC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1286</w:t>
            </w:r>
          </w:p>
        </w:tc>
        <w:tc>
          <w:tcPr>
            <w:tcW w:w="13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6B0817" w14:textId="77777777" w:rsidR="00656EE7" w:rsidRPr="00E07FCE" w:rsidRDefault="00656EE7">
            <w:pPr>
              <w:jc w:val="center"/>
              <w:rPr>
                <w:rFonts w:ascii="Times New Roman" w:hAnsi="Times New Roman" w:cs="Times New Roman"/>
                <w:color w:val="000000"/>
                <w:spacing w:val="2"/>
                <w:sz w:val="24"/>
                <w:szCs w:val="24"/>
                <w:highlight w:val="green"/>
                <w:shd w:val="clear" w:color="auto" w:fill="FFFFFF"/>
                <w:lang w:val="kk-KZ"/>
              </w:rPr>
            </w:pPr>
            <w:r w:rsidRPr="00E07FCE">
              <w:rPr>
                <w:rFonts w:ascii="Times New Roman" w:hAnsi="Times New Roman" w:cs="Times New Roman"/>
                <w:color w:val="000000"/>
                <w:spacing w:val="2"/>
                <w:sz w:val="24"/>
                <w:szCs w:val="24"/>
                <w:highlight w:val="green"/>
                <w:shd w:val="clear" w:color="auto" w:fill="FFFFFF"/>
                <w:lang w:val="kk-KZ"/>
              </w:rPr>
              <w:t>орындал-ған</w:t>
            </w:r>
          </w:p>
        </w:tc>
      </w:tr>
      <w:tr w:rsidR="00656EE7" w14:paraId="4BEBB106" w14:textId="77777777" w:rsidTr="004662A2">
        <w:tc>
          <w:tcPr>
            <w:tcW w:w="447" w:type="dxa"/>
            <w:tcBorders>
              <w:top w:val="single" w:sz="4" w:space="0" w:color="auto"/>
              <w:left w:val="single" w:sz="4" w:space="0" w:color="auto"/>
              <w:bottom w:val="single" w:sz="4" w:space="0" w:color="auto"/>
              <w:right w:val="single" w:sz="4" w:space="0" w:color="auto"/>
            </w:tcBorders>
            <w:hideMark/>
          </w:tcPr>
          <w:p w14:paraId="489DA3CD"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w:t>
            </w:r>
          </w:p>
        </w:tc>
        <w:tc>
          <w:tcPr>
            <w:tcW w:w="2950" w:type="dxa"/>
            <w:tcBorders>
              <w:top w:val="single" w:sz="4" w:space="0" w:color="auto"/>
              <w:left w:val="single" w:sz="4" w:space="0" w:color="auto"/>
              <w:bottom w:val="single" w:sz="4" w:space="0" w:color="auto"/>
              <w:right w:val="single" w:sz="4" w:space="0" w:color="auto"/>
            </w:tcBorders>
            <w:hideMark/>
          </w:tcPr>
          <w:p w14:paraId="62A1BCB9"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lang w:val="kk-KZ"/>
              </w:rPr>
              <w:t xml:space="preserve">1 млн ауыл тұрғынының табысын ұлғайта отырып, экожүйеге 350 мың фермерлік және үй шаруашылығын тарту, саны </w:t>
            </w:r>
          </w:p>
        </w:tc>
        <w:tc>
          <w:tcPr>
            <w:tcW w:w="718" w:type="dxa"/>
            <w:tcBorders>
              <w:top w:val="single" w:sz="4" w:space="0" w:color="auto"/>
              <w:left w:val="single" w:sz="4" w:space="0" w:color="auto"/>
              <w:bottom w:val="single" w:sz="4" w:space="0" w:color="auto"/>
              <w:right w:val="single" w:sz="4" w:space="0" w:color="auto"/>
            </w:tcBorders>
            <w:vAlign w:val="center"/>
            <w:hideMark/>
          </w:tcPr>
          <w:p w14:paraId="71D1E97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41550</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F62F0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19991</w:t>
            </w:r>
          </w:p>
        </w:tc>
        <w:tc>
          <w:tcPr>
            <w:tcW w:w="976" w:type="dxa"/>
            <w:tcBorders>
              <w:top w:val="single" w:sz="4" w:space="0" w:color="auto"/>
              <w:left w:val="single" w:sz="4" w:space="0" w:color="auto"/>
              <w:bottom w:val="single" w:sz="4" w:space="0" w:color="auto"/>
              <w:right w:val="single" w:sz="4" w:space="0" w:color="auto"/>
            </w:tcBorders>
            <w:vAlign w:val="center"/>
            <w:hideMark/>
          </w:tcPr>
          <w:p w14:paraId="2B78082D"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56725</w:t>
            </w:r>
          </w:p>
        </w:tc>
        <w:tc>
          <w:tcPr>
            <w:tcW w:w="844" w:type="dxa"/>
            <w:tcBorders>
              <w:top w:val="single" w:sz="4" w:space="0" w:color="auto"/>
              <w:left w:val="single" w:sz="4" w:space="0" w:color="auto"/>
              <w:bottom w:val="single" w:sz="4" w:space="0" w:color="auto"/>
              <w:right w:val="single" w:sz="4" w:space="0" w:color="auto"/>
            </w:tcBorders>
            <w:vAlign w:val="center"/>
            <w:hideMark/>
          </w:tcPr>
          <w:p w14:paraId="36DE62E4"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20327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0C8495A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48,11</w:t>
            </w:r>
          </w:p>
        </w:tc>
        <w:tc>
          <w:tcPr>
            <w:tcW w:w="756" w:type="dxa"/>
            <w:tcBorders>
              <w:top w:val="single" w:sz="4" w:space="0" w:color="auto"/>
              <w:left w:val="single" w:sz="4" w:space="0" w:color="auto"/>
              <w:bottom w:val="single" w:sz="4" w:space="0" w:color="auto"/>
              <w:right w:val="single" w:sz="4" w:space="0" w:color="auto"/>
            </w:tcBorders>
            <w:vAlign w:val="center"/>
            <w:hideMark/>
          </w:tcPr>
          <w:p w14:paraId="556EE75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35,83</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tcPr>
          <w:p w14:paraId="1AACBD42" w14:textId="77777777" w:rsidR="00656EE7" w:rsidRPr="00E07FCE" w:rsidRDefault="00656EE7">
            <w:pPr>
              <w:jc w:val="center"/>
              <w:rPr>
                <w:rFonts w:ascii="Times New Roman" w:hAnsi="Times New Roman" w:cs="Times New Roman"/>
                <w:color w:val="000000"/>
                <w:spacing w:val="2"/>
                <w:sz w:val="24"/>
                <w:szCs w:val="24"/>
                <w:highlight w:val="red"/>
                <w:shd w:val="clear" w:color="auto" w:fill="FFFFFF"/>
                <w:lang w:val="kk-KZ"/>
              </w:rPr>
            </w:pPr>
            <w:r w:rsidRPr="00E07FCE">
              <w:rPr>
                <w:rFonts w:ascii="Times New Roman" w:hAnsi="Times New Roman" w:cs="Times New Roman"/>
                <w:color w:val="000000"/>
                <w:spacing w:val="2"/>
                <w:sz w:val="24"/>
                <w:szCs w:val="24"/>
                <w:highlight w:val="red"/>
                <w:shd w:val="clear" w:color="auto" w:fill="FFFFFF"/>
                <w:lang w:val="kk-KZ"/>
              </w:rPr>
              <w:t>орындал-маған</w:t>
            </w:r>
          </w:p>
          <w:p w14:paraId="6FE5549B" w14:textId="77777777" w:rsidR="00656EE7" w:rsidRPr="00E07FCE" w:rsidRDefault="00656EE7">
            <w:pPr>
              <w:jc w:val="center"/>
              <w:rPr>
                <w:rFonts w:ascii="Times New Roman" w:hAnsi="Times New Roman" w:cs="Times New Roman"/>
                <w:color w:val="000000"/>
                <w:spacing w:val="2"/>
                <w:sz w:val="24"/>
                <w:szCs w:val="24"/>
                <w:highlight w:val="red"/>
                <w:shd w:val="clear" w:color="auto" w:fill="FFFFFF"/>
                <w:lang w:val="kk-KZ"/>
              </w:rPr>
            </w:pPr>
          </w:p>
        </w:tc>
      </w:tr>
      <w:tr w:rsidR="00656EE7" w14:paraId="1CB3FEF0" w14:textId="77777777" w:rsidTr="004662A2">
        <w:tc>
          <w:tcPr>
            <w:tcW w:w="447" w:type="dxa"/>
            <w:tcBorders>
              <w:top w:val="single" w:sz="4" w:space="0" w:color="auto"/>
              <w:left w:val="single" w:sz="4" w:space="0" w:color="auto"/>
              <w:bottom w:val="single" w:sz="4" w:space="0" w:color="auto"/>
              <w:right w:val="single" w:sz="4" w:space="0" w:color="auto"/>
            </w:tcBorders>
            <w:hideMark/>
          </w:tcPr>
          <w:p w14:paraId="2BF3109E" w14:textId="77777777" w:rsidR="00656EE7" w:rsidRDefault="00656EE7">
            <w:pP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5</w:t>
            </w:r>
          </w:p>
        </w:tc>
        <w:tc>
          <w:tcPr>
            <w:tcW w:w="2950" w:type="dxa"/>
            <w:tcBorders>
              <w:top w:val="single" w:sz="4" w:space="0" w:color="auto"/>
              <w:left w:val="single" w:sz="4" w:space="0" w:color="auto"/>
              <w:bottom w:val="single" w:sz="4" w:space="0" w:color="auto"/>
              <w:right w:val="single" w:sz="4" w:space="0" w:color="auto"/>
            </w:tcBorders>
            <w:hideMark/>
          </w:tcPr>
          <w:p w14:paraId="26D14448" w14:textId="77777777" w:rsidR="00656EE7" w:rsidRPr="00656EE7" w:rsidRDefault="00656EE7">
            <w:pPr>
              <w:rPr>
                <w:spacing w:val="2"/>
                <w:shd w:val="clear" w:color="auto" w:fill="FFFFFF"/>
                <w:lang w:val="kk-KZ"/>
              </w:rPr>
            </w:pPr>
            <w:r>
              <w:rPr>
                <w:rFonts w:ascii="Times New Roman" w:hAnsi="Times New Roman" w:cs="Times New Roman"/>
                <w:color w:val="000000"/>
                <w:sz w:val="24"/>
                <w:szCs w:val="24"/>
                <w:lang w:val="kk-KZ"/>
              </w:rPr>
              <w:t>Ауыл шаруашылығында 500 мың адамға дейін жұмыспен қамтамасыз ету, оның ішінде 100 мың тұрақты жұмыс орны, 400 мың маусымдық жұмыс орны</w:t>
            </w:r>
            <w:r w:rsidRPr="00656EE7">
              <w:rPr>
                <w:lang w:val="kk-KZ"/>
              </w:rPr>
              <w:t>, адам</w:t>
            </w:r>
          </w:p>
        </w:tc>
        <w:tc>
          <w:tcPr>
            <w:tcW w:w="718" w:type="dxa"/>
            <w:tcBorders>
              <w:top w:val="single" w:sz="4" w:space="0" w:color="auto"/>
              <w:left w:val="single" w:sz="4" w:space="0" w:color="auto"/>
              <w:bottom w:val="single" w:sz="4" w:space="0" w:color="auto"/>
              <w:right w:val="single" w:sz="4" w:space="0" w:color="auto"/>
            </w:tcBorders>
            <w:vAlign w:val="center"/>
            <w:hideMark/>
          </w:tcPr>
          <w:p w14:paraId="4535518D"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en-US"/>
              </w:rPr>
              <w:t>41850</w:t>
            </w:r>
          </w:p>
        </w:tc>
        <w:tc>
          <w:tcPr>
            <w:tcW w:w="844" w:type="dxa"/>
            <w:tcBorders>
              <w:top w:val="single" w:sz="4" w:space="0" w:color="auto"/>
              <w:left w:val="single" w:sz="4" w:space="0" w:color="auto"/>
              <w:bottom w:val="single" w:sz="4" w:space="0" w:color="auto"/>
              <w:right w:val="single" w:sz="4" w:space="0" w:color="auto"/>
            </w:tcBorders>
            <w:vAlign w:val="center"/>
            <w:hideMark/>
          </w:tcPr>
          <w:p w14:paraId="29866E6F"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20183</w:t>
            </w:r>
          </w:p>
        </w:tc>
        <w:tc>
          <w:tcPr>
            <w:tcW w:w="976" w:type="dxa"/>
            <w:tcBorders>
              <w:top w:val="single" w:sz="4" w:space="0" w:color="auto"/>
              <w:left w:val="single" w:sz="4" w:space="0" w:color="auto"/>
              <w:bottom w:val="single" w:sz="4" w:space="0" w:color="auto"/>
              <w:right w:val="single" w:sz="4" w:space="0" w:color="auto"/>
            </w:tcBorders>
            <w:vAlign w:val="center"/>
            <w:hideMark/>
          </w:tcPr>
          <w:p w14:paraId="2547547E"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64050</w:t>
            </w:r>
          </w:p>
        </w:tc>
        <w:tc>
          <w:tcPr>
            <w:tcW w:w="844" w:type="dxa"/>
            <w:tcBorders>
              <w:top w:val="single" w:sz="4" w:space="0" w:color="auto"/>
              <w:left w:val="single" w:sz="4" w:space="0" w:color="auto"/>
              <w:bottom w:val="single" w:sz="4" w:space="0" w:color="auto"/>
              <w:right w:val="single" w:sz="4" w:space="0" w:color="auto"/>
            </w:tcBorders>
            <w:vAlign w:val="center"/>
            <w:hideMark/>
          </w:tcPr>
          <w:p w14:paraId="3C813A25"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40414</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A06526"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48,23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8553620"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63,1</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80A42DD" w14:textId="77777777" w:rsidR="00656EE7" w:rsidRPr="00E07FCE" w:rsidRDefault="00656EE7">
            <w:pPr>
              <w:jc w:val="center"/>
              <w:rPr>
                <w:rFonts w:ascii="Times New Roman" w:hAnsi="Times New Roman" w:cs="Times New Roman"/>
                <w:color w:val="000000"/>
                <w:spacing w:val="2"/>
                <w:sz w:val="24"/>
                <w:szCs w:val="24"/>
                <w:highlight w:val="red"/>
                <w:shd w:val="clear" w:color="auto" w:fill="FFFFFF"/>
                <w:lang w:val="kk-KZ"/>
              </w:rPr>
            </w:pPr>
            <w:r w:rsidRPr="00E07FC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43926E03" w14:textId="77777777" w:rsidTr="004662A2">
        <w:tc>
          <w:tcPr>
            <w:tcW w:w="447" w:type="dxa"/>
            <w:tcBorders>
              <w:top w:val="single" w:sz="4" w:space="0" w:color="auto"/>
              <w:left w:val="single" w:sz="4" w:space="0" w:color="auto"/>
              <w:bottom w:val="single" w:sz="4" w:space="0" w:color="auto"/>
              <w:right w:val="single" w:sz="4" w:space="0" w:color="auto"/>
            </w:tcBorders>
          </w:tcPr>
          <w:p w14:paraId="4048112F"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27C8034E" w14:textId="77777777" w:rsidR="00656EE7" w:rsidRDefault="00656EE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-тұрақты жұмыс орны, адам</w:t>
            </w:r>
          </w:p>
        </w:tc>
        <w:tc>
          <w:tcPr>
            <w:tcW w:w="718" w:type="dxa"/>
            <w:tcBorders>
              <w:top w:val="single" w:sz="4" w:space="0" w:color="auto"/>
              <w:left w:val="single" w:sz="4" w:space="0" w:color="auto"/>
              <w:bottom w:val="single" w:sz="4" w:space="0" w:color="auto"/>
              <w:right w:val="single" w:sz="4" w:space="0" w:color="auto"/>
            </w:tcBorders>
            <w:vAlign w:val="center"/>
            <w:hideMark/>
          </w:tcPr>
          <w:p w14:paraId="3F3388E6"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en-US"/>
              </w:rPr>
              <w:t>8370</w:t>
            </w:r>
          </w:p>
        </w:tc>
        <w:tc>
          <w:tcPr>
            <w:tcW w:w="844" w:type="dxa"/>
            <w:tcBorders>
              <w:top w:val="single" w:sz="4" w:space="0" w:color="auto"/>
              <w:left w:val="single" w:sz="4" w:space="0" w:color="auto"/>
              <w:bottom w:val="single" w:sz="4" w:space="0" w:color="auto"/>
              <w:right w:val="single" w:sz="4" w:space="0" w:color="auto"/>
            </w:tcBorders>
            <w:vAlign w:val="center"/>
            <w:hideMark/>
          </w:tcPr>
          <w:p w14:paraId="3717B6EC"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9000*</w:t>
            </w:r>
          </w:p>
        </w:tc>
        <w:tc>
          <w:tcPr>
            <w:tcW w:w="976" w:type="dxa"/>
            <w:tcBorders>
              <w:top w:val="single" w:sz="4" w:space="0" w:color="auto"/>
              <w:left w:val="single" w:sz="4" w:space="0" w:color="auto"/>
              <w:bottom w:val="single" w:sz="4" w:space="0" w:color="auto"/>
              <w:right w:val="single" w:sz="4" w:space="0" w:color="auto"/>
            </w:tcBorders>
            <w:vAlign w:val="center"/>
            <w:hideMark/>
          </w:tcPr>
          <w:p w14:paraId="23D14DA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12810</w:t>
            </w:r>
          </w:p>
        </w:tc>
        <w:tc>
          <w:tcPr>
            <w:tcW w:w="844" w:type="dxa"/>
            <w:tcBorders>
              <w:top w:val="single" w:sz="4" w:space="0" w:color="auto"/>
              <w:left w:val="single" w:sz="4" w:space="0" w:color="auto"/>
              <w:bottom w:val="single" w:sz="4" w:space="0" w:color="auto"/>
              <w:right w:val="single" w:sz="4" w:space="0" w:color="auto"/>
            </w:tcBorders>
            <w:vAlign w:val="center"/>
            <w:hideMark/>
          </w:tcPr>
          <w:p w14:paraId="2F9C07C9"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14064</w:t>
            </w:r>
          </w:p>
        </w:tc>
        <w:tc>
          <w:tcPr>
            <w:tcW w:w="756" w:type="dxa"/>
            <w:tcBorders>
              <w:top w:val="single" w:sz="4" w:space="0" w:color="auto"/>
              <w:left w:val="single" w:sz="4" w:space="0" w:color="auto"/>
              <w:bottom w:val="single" w:sz="4" w:space="0" w:color="auto"/>
              <w:right w:val="single" w:sz="4" w:space="0" w:color="auto"/>
            </w:tcBorders>
            <w:vAlign w:val="center"/>
            <w:hideMark/>
          </w:tcPr>
          <w:p w14:paraId="0FE36BE2"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107,5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2AE89F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109,8</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CF02399" w14:textId="77777777" w:rsidR="00656EE7" w:rsidRPr="00E07FCE" w:rsidRDefault="00656EE7">
            <w:pPr>
              <w:jc w:val="center"/>
              <w:rPr>
                <w:rFonts w:ascii="Times New Roman" w:hAnsi="Times New Roman" w:cs="Times New Roman"/>
                <w:color w:val="000000"/>
                <w:spacing w:val="2"/>
                <w:sz w:val="24"/>
                <w:szCs w:val="24"/>
                <w:highlight w:val="red"/>
                <w:shd w:val="clear" w:color="auto" w:fill="FFFFFF"/>
                <w:lang w:val="kk-KZ"/>
              </w:rPr>
            </w:pPr>
            <w:r w:rsidRPr="00E07FC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5CEC84C9" w14:textId="77777777" w:rsidTr="004662A2">
        <w:tc>
          <w:tcPr>
            <w:tcW w:w="447" w:type="dxa"/>
            <w:tcBorders>
              <w:top w:val="single" w:sz="4" w:space="0" w:color="auto"/>
              <w:left w:val="single" w:sz="4" w:space="0" w:color="auto"/>
              <w:bottom w:val="single" w:sz="4" w:space="0" w:color="auto"/>
              <w:right w:val="single" w:sz="4" w:space="0" w:color="auto"/>
            </w:tcBorders>
          </w:tcPr>
          <w:p w14:paraId="6393433A" w14:textId="77777777" w:rsidR="00656EE7" w:rsidRDefault="00656EE7">
            <w:pPr>
              <w:rPr>
                <w:rFonts w:ascii="Times New Roman" w:hAnsi="Times New Roman" w:cs="Times New Roman"/>
                <w:color w:val="000000"/>
                <w:spacing w:val="2"/>
                <w:sz w:val="24"/>
                <w:szCs w:val="24"/>
                <w:shd w:val="clear" w:color="auto" w:fill="FFFFFF"/>
                <w:lang w:val="kk-KZ"/>
              </w:rPr>
            </w:pPr>
          </w:p>
        </w:tc>
        <w:tc>
          <w:tcPr>
            <w:tcW w:w="2950" w:type="dxa"/>
            <w:tcBorders>
              <w:top w:val="single" w:sz="4" w:space="0" w:color="auto"/>
              <w:left w:val="single" w:sz="4" w:space="0" w:color="auto"/>
              <w:bottom w:val="single" w:sz="4" w:space="0" w:color="auto"/>
              <w:right w:val="single" w:sz="4" w:space="0" w:color="auto"/>
            </w:tcBorders>
            <w:hideMark/>
          </w:tcPr>
          <w:p w14:paraId="2386F59E" w14:textId="77777777" w:rsidR="00656EE7" w:rsidRDefault="00656EE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-маусымдық жұмыс орны, адам</w:t>
            </w:r>
          </w:p>
        </w:tc>
        <w:tc>
          <w:tcPr>
            <w:tcW w:w="718" w:type="dxa"/>
            <w:tcBorders>
              <w:top w:val="single" w:sz="4" w:space="0" w:color="auto"/>
              <w:left w:val="single" w:sz="4" w:space="0" w:color="auto"/>
              <w:bottom w:val="single" w:sz="4" w:space="0" w:color="auto"/>
              <w:right w:val="single" w:sz="4" w:space="0" w:color="auto"/>
            </w:tcBorders>
            <w:vAlign w:val="center"/>
            <w:hideMark/>
          </w:tcPr>
          <w:p w14:paraId="0B89774F"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en-US"/>
              </w:rPr>
              <w:t>33480</w:t>
            </w:r>
          </w:p>
        </w:tc>
        <w:tc>
          <w:tcPr>
            <w:tcW w:w="844" w:type="dxa"/>
            <w:tcBorders>
              <w:top w:val="single" w:sz="4" w:space="0" w:color="auto"/>
              <w:left w:val="single" w:sz="4" w:space="0" w:color="auto"/>
              <w:bottom w:val="single" w:sz="4" w:space="0" w:color="auto"/>
              <w:right w:val="single" w:sz="4" w:space="0" w:color="auto"/>
            </w:tcBorders>
            <w:vAlign w:val="center"/>
            <w:hideMark/>
          </w:tcPr>
          <w:p w14:paraId="33B2BB10" w14:textId="77777777" w:rsidR="00656EE7" w:rsidRDefault="00656EE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76" w:type="dxa"/>
            <w:tcBorders>
              <w:top w:val="single" w:sz="4" w:space="0" w:color="auto"/>
              <w:left w:val="single" w:sz="4" w:space="0" w:color="auto"/>
              <w:bottom w:val="single" w:sz="4" w:space="0" w:color="auto"/>
              <w:right w:val="single" w:sz="4" w:space="0" w:color="auto"/>
            </w:tcBorders>
            <w:vAlign w:val="center"/>
            <w:hideMark/>
          </w:tcPr>
          <w:p w14:paraId="6ABF127A"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sz w:val="24"/>
                <w:szCs w:val="24"/>
                <w:lang w:val="en-US"/>
              </w:rPr>
              <w:t>51240</w:t>
            </w:r>
          </w:p>
        </w:tc>
        <w:tc>
          <w:tcPr>
            <w:tcW w:w="844" w:type="dxa"/>
            <w:tcBorders>
              <w:top w:val="single" w:sz="4" w:space="0" w:color="auto"/>
              <w:left w:val="single" w:sz="4" w:space="0" w:color="auto"/>
              <w:bottom w:val="single" w:sz="4" w:space="0" w:color="auto"/>
              <w:right w:val="single" w:sz="4" w:space="0" w:color="auto"/>
            </w:tcBorders>
            <w:vAlign w:val="center"/>
            <w:hideMark/>
          </w:tcPr>
          <w:p w14:paraId="3F34BEF7"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26350</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8EF21B"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7EAD09F" w14:textId="77777777" w:rsidR="00656EE7" w:rsidRDefault="00656EE7">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z w:val="24"/>
                <w:szCs w:val="24"/>
              </w:rPr>
              <w:t>51,42</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652434C" w14:textId="77777777" w:rsidR="00656EE7" w:rsidRPr="00E07FCE" w:rsidRDefault="00656EE7">
            <w:pPr>
              <w:jc w:val="center"/>
              <w:rPr>
                <w:rFonts w:ascii="Times New Roman" w:hAnsi="Times New Roman" w:cs="Times New Roman"/>
                <w:color w:val="000000"/>
                <w:spacing w:val="2"/>
                <w:sz w:val="24"/>
                <w:szCs w:val="24"/>
                <w:highlight w:val="red"/>
                <w:shd w:val="clear" w:color="auto" w:fill="FFFFFF"/>
                <w:lang w:val="kk-KZ"/>
              </w:rPr>
            </w:pPr>
            <w:r w:rsidRPr="00E07FCE">
              <w:rPr>
                <w:rFonts w:ascii="Times New Roman" w:hAnsi="Times New Roman" w:cs="Times New Roman"/>
                <w:color w:val="000000"/>
                <w:spacing w:val="2"/>
                <w:sz w:val="24"/>
                <w:szCs w:val="24"/>
                <w:highlight w:val="red"/>
                <w:shd w:val="clear" w:color="auto" w:fill="FFFFFF"/>
                <w:lang w:val="kk-KZ"/>
              </w:rPr>
              <w:t>орындал-маған</w:t>
            </w:r>
          </w:p>
        </w:tc>
      </w:tr>
      <w:tr w:rsidR="00656EE7" w14:paraId="6E7E8F04" w14:textId="77777777" w:rsidTr="004662A2">
        <w:tc>
          <w:tcPr>
            <w:tcW w:w="9634" w:type="dxa"/>
            <w:gridSpan w:val="9"/>
            <w:tcBorders>
              <w:top w:val="single" w:sz="4" w:space="0" w:color="auto"/>
              <w:left w:val="single" w:sz="4" w:space="0" w:color="auto"/>
              <w:bottom w:val="single" w:sz="4" w:space="0" w:color="auto"/>
              <w:right w:val="single" w:sz="4" w:space="0" w:color="auto"/>
            </w:tcBorders>
            <w:hideMark/>
          </w:tcPr>
          <w:p w14:paraId="78AF0C7A" w14:textId="206A62C9" w:rsidR="00656EE7" w:rsidRDefault="00656EE7">
            <w:pPr>
              <w:ind w:firstLine="596"/>
              <w:rPr>
                <w:rFonts w:ascii="Times New Roman" w:hAnsi="Times New Roman" w:cs="Times New Roman"/>
                <w:color w:val="000000"/>
                <w:spacing w:val="2"/>
                <w:sz w:val="24"/>
                <w:szCs w:val="24"/>
                <w:highlight w:val="red"/>
                <w:shd w:val="clear" w:color="auto" w:fill="FFFFFF"/>
                <w:lang w:val="kk-KZ"/>
              </w:rPr>
            </w:pPr>
            <w:r>
              <w:rPr>
                <w:rFonts w:ascii="Times New Roman" w:hAnsi="Times New Roman" w:cs="Times New Roman"/>
                <w:color w:val="000000"/>
                <w:spacing w:val="2"/>
                <w:sz w:val="24"/>
                <w:szCs w:val="24"/>
                <w:shd w:val="clear" w:color="auto" w:fill="FFFFFF"/>
                <w:lang w:val="kk-KZ"/>
              </w:rPr>
              <w:t xml:space="preserve">Ескерту – </w:t>
            </w:r>
            <w:r>
              <w:rPr>
                <w:rFonts w:ascii="Times New Roman" w:eastAsiaTheme="minorEastAsia" w:hAnsi="Times New Roman" w:cs="Times New Roman"/>
                <w:kern w:val="36"/>
                <w:sz w:val="24"/>
                <w:szCs w:val="24"/>
                <w:lang w:val="kk-KZ" w:eastAsia="zh-CN"/>
              </w:rPr>
              <w:t>[</w:t>
            </w:r>
            <w:r w:rsidR="00C42AC1">
              <w:rPr>
                <w:rFonts w:ascii="Times New Roman" w:eastAsiaTheme="minorEastAsia" w:hAnsi="Times New Roman" w:cs="Times New Roman"/>
                <w:kern w:val="36"/>
                <w:sz w:val="24"/>
                <w:szCs w:val="24"/>
                <w:lang w:val="kk-KZ" w:eastAsia="zh-CN"/>
              </w:rPr>
              <w:t>7, 110</w:t>
            </w:r>
            <w:r>
              <w:rPr>
                <w:rFonts w:ascii="Times New Roman" w:eastAsiaTheme="minorEastAsia" w:hAnsi="Times New Roman" w:cs="Times New Roman"/>
                <w:kern w:val="36"/>
                <w:sz w:val="24"/>
                <w:szCs w:val="24"/>
                <w:lang w:val="kk-KZ" w:eastAsia="zh-CN"/>
              </w:rPr>
              <w:t xml:space="preserve">] мәліметтері негізінде </w:t>
            </w:r>
            <w:r>
              <w:rPr>
                <w:rFonts w:ascii="Times New Roman" w:hAnsi="Times New Roman" w:cs="Times New Roman"/>
                <w:color w:val="000000"/>
                <w:spacing w:val="2"/>
                <w:sz w:val="24"/>
                <w:szCs w:val="24"/>
                <w:shd w:val="clear" w:color="auto" w:fill="FFFFFF"/>
                <w:lang w:val="kk-KZ"/>
              </w:rPr>
              <w:t>автормен құрастырылған</w:t>
            </w:r>
          </w:p>
        </w:tc>
      </w:tr>
    </w:tbl>
    <w:p w14:paraId="08417F79" w14:textId="77777777" w:rsidR="00656EE7" w:rsidRDefault="00656EE7" w:rsidP="00656EE7">
      <w:pPr>
        <w:tabs>
          <w:tab w:val="left" w:pos="993"/>
        </w:tabs>
        <w:spacing w:after="0" w:line="240" w:lineRule="auto"/>
        <w:ind w:firstLine="709"/>
        <w:jc w:val="both"/>
        <w:rPr>
          <w:rFonts w:ascii="Times New Roman" w:hAnsi="Times New Roman"/>
          <w:color w:val="000000"/>
          <w:sz w:val="28"/>
          <w:szCs w:val="28"/>
        </w:rPr>
      </w:pPr>
    </w:p>
    <w:p w14:paraId="53C3F18A" w14:textId="5D3AD29C" w:rsidR="00656EE7" w:rsidRPr="00656EE7" w:rsidRDefault="00656EE7" w:rsidP="00656EE7">
      <w:pPr>
        <w:tabs>
          <w:tab w:val="left" w:pos="993"/>
        </w:tabs>
        <w:spacing w:after="0" w:line="240" w:lineRule="auto"/>
        <w:ind w:firstLine="709"/>
        <w:jc w:val="both"/>
        <w:rPr>
          <w:lang w:val="kk-KZ"/>
        </w:rPr>
      </w:pPr>
      <w:r>
        <w:rPr>
          <w:rFonts w:ascii="Times New Roman" w:hAnsi="Times New Roman" w:cs="Times New Roman"/>
          <w:color w:val="000000"/>
          <w:sz w:val="28"/>
          <w:szCs w:val="28"/>
          <w:lang w:val="kk-KZ"/>
        </w:rPr>
        <w:t>Бүгінгі таңда ауыл шаруашылығында 1078,2 мың адам жұмыс істейді және ауыл шаруашылығы процестерін урбанизациялау және механикаландыру салдарынан олардың саны үнемі азаяды, бұл аз еңбек ресурстарын қажет етеді.</w:t>
      </w:r>
    </w:p>
    <w:p w14:paraId="1F1617E5" w14:textId="77777777" w:rsidR="00656EE7" w:rsidRDefault="00656EE7" w:rsidP="004662A2">
      <w:pPr>
        <w:widowControl w:val="0"/>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Ұлттық жобадағы көрсеткіштер туралы мәліметтер нәтижелері АШМ іске асырып отырған ББ-да әртүрлі мәліметтер келтіріліп, олардың ҚР Стратегиялық жоспарлау және реформалар агенттігі Ұлттық статистика бюросының мәліметтеріне сәйкессіздігін байқауға болады.   </w:t>
      </w:r>
    </w:p>
    <w:p w14:paraId="2D9F8116" w14:textId="77777777" w:rsidR="00656EE7" w:rsidRDefault="00656EE7" w:rsidP="004662A2">
      <w:pPr>
        <w:widowControl w:val="0"/>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ҚР Стратегиялық жоспарлау және реформалар агенттігі Ұлттық статистика бюросының мәліметтеріне сәйкес АШТӨ ретінде тіркелген ұйым үй шаруашылықтарымен саны 2022 жылы жалпы 1922684 шаруашылық, 2021 жылы 1899836 шаруашылық, яғни, 22848-ге өскен. </w:t>
      </w:r>
    </w:p>
    <w:p w14:paraId="5B27FB1D" w14:textId="5CB283D9" w:rsidR="00656EE7" w:rsidRDefault="00656EE7" w:rsidP="004662A2">
      <w:pPr>
        <w:widowControl w:val="0"/>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ҚР АӨК дамытудың ұлттық жобасының 2021-2022 жж. жоспарлы стратегиялық және міндеттері бойынша нәтижелі көрсеткіштерінің нақты орындалуы негізінде оның тиімділігін бағалау қажеттілігі туындап отыр. </w:t>
      </w:r>
    </w:p>
    <w:p w14:paraId="27D96460" w14:textId="2881B5C0" w:rsidR="00656EE7"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Жоғары аудит палатасы аудиторлары «</w:t>
      </w:r>
      <w:r>
        <w:rPr>
          <w:rFonts w:ascii="Times New Roman" w:hAnsi="Times New Roman" w:cs="Times New Roman"/>
          <w:color w:val="000000"/>
          <w:sz w:val="28"/>
          <w:szCs w:val="28"/>
          <w:lang w:val="kk-KZ"/>
        </w:rPr>
        <w:t>Қазақстан Республикасы Үкіметінің 2022 жылғы республикалық бюджеттің атқарылуы туралы есебіне қорытындысында</w:t>
      </w:r>
      <w:r>
        <w:rPr>
          <w:rFonts w:ascii="Times New Roman" w:eastAsia="Times New Roman" w:hAnsi="Times New Roman" w:cs="Times New Roman"/>
          <w:kern w:val="36"/>
          <w:sz w:val="28"/>
          <w:szCs w:val="28"/>
          <w:lang w:val="kk-KZ" w:eastAsia="ru-RU"/>
        </w:rPr>
        <w:t>» АӨК дамыту ұлттық жобасына келесідей қорытынды жазған: «</w:t>
      </w:r>
      <w:r>
        <w:rPr>
          <w:rFonts w:ascii="Times New Roman" w:hAnsi="Times New Roman" w:cs="Times New Roman"/>
          <w:color w:val="000000"/>
          <w:sz w:val="28"/>
          <w:szCs w:val="28"/>
          <w:lang w:val="kk-KZ"/>
        </w:rPr>
        <w:t>Ұлттық жоба көрсеткіштерінің сапасыз жоспарлануы байқалады, олардың жекелеген мәндерін асыра бағалау</w:t>
      </w:r>
      <w:r w:rsidR="00A07288">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xml:space="preserve"> көрінеді. Ұлттық жобаның жекелеген көрсеткіштері бойынша оларға қол жеткізу үшін нақты іс-шаралар көзделмеген (АӨК өнімінің экспортын ұлғайту, негізгі капиталға инвестициялар, халықаралық стандарттар бойынша сертификатталған ветеринариялық препараттардың үлесі), бұл көрсеткіштердің сыртқы факторларға көбірек тәуелділігін және уәкілетті мемлекеттік орган қызметінің оларға қол жеткізуге ықпалының жоқтығын көрсетеді. Тұтастай алғанда, әрбір өңірдің алға қойылған міндеттерге қол жеткізудегі үлесінің әлеуеті мен нақты мүмкіндігін ескермей жоспарлаудағы қате есептеулер салдарынан ұлттық жобаның мақсатына қол жеткізбеу тәуекелі бар</w:t>
      </w:r>
      <w:r>
        <w:rPr>
          <w:rFonts w:ascii="Times New Roman" w:eastAsia="Times New Roman" w:hAnsi="Times New Roman" w:cs="Times New Roman"/>
          <w:kern w:val="36"/>
          <w:sz w:val="28"/>
          <w:szCs w:val="28"/>
          <w:lang w:val="kk-KZ" w:eastAsia="ru-RU"/>
        </w:rPr>
        <w:t>».</w:t>
      </w:r>
    </w:p>
    <w:p w14:paraId="59EC6C5F" w14:textId="77777777" w:rsidR="00656EE7"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Диссертациялық жұмысты зерттеу кезінде аталған есептіліктегі ақпарат </w:t>
      </w:r>
      <w:r>
        <w:rPr>
          <w:rFonts w:ascii="Times New Roman" w:hAnsi="Times New Roman" w:cs="Times New Roman"/>
          <w:color w:val="000000"/>
          <w:sz w:val="28"/>
          <w:szCs w:val="28"/>
          <w:lang w:val="kk-KZ"/>
        </w:rPr>
        <w:t>ҚР Стратегиялық жоспарлау және реформалар агенттігі Ұлттық статистика бюросының мәліметтеріне сәйкестігі зерттеліп, кейбір ауытқулар анықталды.</w:t>
      </w:r>
      <w:r>
        <w:rPr>
          <w:rFonts w:ascii="Times New Roman" w:eastAsia="Times New Roman" w:hAnsi="Times New Roman" w:cs="Times New Roman"/>
          <w:kern w:val="36"/>
          <w:sz w:val="28"/>
          <w:szCs w:val="28"/>
          <w:lang w:val="kk-KZ" w:eastAsia="ru-RU"/>
        </w:rPr>
        <w:t xml:space="preserve">  </w:t>
      </w:r>
    </w:p>
    <w:p w14:paraId="5E066CE0" w14:textId="2F550E3A" w:rsidR="00656EE7"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Біздің ойымызша, АӨК дамытудың ұлттық жобасына бағалауды жүргізу кезінде тиімділік жүйелері ретінде: әлеуметтік, экономикалық, бюджеттік, технологиялық және экологиялық әсерлерін кешенді баға беру арқылы жүргізген объективті болады деп есептейміз. </w:t>
      </w:r>
      <w:r w:rsidR="00BD2814">
        <w:rPr>
          <w:rFonts w:ascii="Times New Roman" w:eastAsia="Times New Roman" w:hAnsi="Times New Roman" w:cs="Times New Roman"/>
          <w:kern w:val="36"/>
          <w:sz w:val="28"/>
          <w:szCs w:val="28"/>
          <w:lang w:val="kk-KZ" w:eastAsia="ru-RU"/>
        </w:rPr>
        <w:t xml:space="preserve">ҚР АӨК дамытудың негізгі көрсеткіштерінің орындалуы бойынша тиімділік жүйелері бойынша әсерін бағалау үшін қажет ақпарат </w:t>
      </w:r>
      <w:r>
        <w:rPr>
          <w:rFonts w:ascii="Times New Roman" w:eastAsia="Times New Roman" w:hAnsi="Times New Roman" w:cs="Times New Roman"/>
          <w:kern w:val="36"/>
          <w:sz w:val="28"/>
          <w:szCs w:val="28"/>
          <w:lang w:val="kk-KZ" w:eastAsia="ru-RU"/>
        </w:rPr>
        <w:t>3</w:t>
      </w:r>
      <w:r w:rsidR="007F5D1B">
        <w:rPr>
          <w:rFonts w:ascii="Times New Roman" w:eastAsia="Times New Roman" w:hAnsi="Times New Roman" w:cs="Times New Roman"/>
          <w:kern w:val="36"/>
          <w:sz w:val="28"/>
          <w:szCs w:val="28"/>
          <w:lang w:val="kk-KZ" w:eastAsia="ru-RU"/>
        </w:rPr>
        <w:t>8</w:t>
      </w:r>
      <w:r>
        <w:rPr>
          <w:rFonts w:ascii="Times New Roman" w:eastAsia="Times New Roman" w:hAnsi="Times New Roman" w:cs="Times New Roman"/>
          <w:kern w:val="36"/>
          <w:sz w:val="28"/>
          <w:szCs w:val="28"/>
          <w:lang w:val="kk-KZ" w:eastAsia="ru-RU"/>
        </w:rPr>
        <w:t>-кесте</w:t>
      </w:r>
      <w:r w:rsidR="00BD2814">
        <w:rPr>
          <w:rFonts w:ascii="Times New Roman" w:eastAsia="Times New Roman" w:hAnsi="Times New Roman" w:cs="Times New Roman"/>
          <w:kern w:val="36"/>
          <w:sz w:val="28"/>
          <w:szCs w:val="28"/>
          <w:lang w:val="kk-KZ" w:eastAsia="ru-RU"/>
        </w:rPr>
        <w:t>де келтірілген.</w:t>
      </w:r>
    </w:p>
    <w:p w14:paraId="378BAA96" w14:textId="77777777" w:rsidR="00656EE7" w:rsidRDefault="00656EE7" w:rsidP="00656EE7">
      <w:pPr>
        <w:spacing w:after="0" w:line="240" w:lineRule="auto"/>
        <w:jc w:val="both"/>
        <w:rPr>
          <w:rFonts w:ascii="Times New Roman" w:eastAsia="Times New Roman" w:hAnsi="Times New Roman" w:cs="Times New Roman"/>
          <w:kern w:val="36"/>
          <w:sz w:val="28"/>
          <w:szCs w:val="28"/>
          <w:lang w:val="kk-KZ" w:eastAsia="ru-RU"/>
        </w:rPr>
      </w:pPr>
    </w:p>
    <w:p w14:paraId="041C14D6" w14:textId="0A74C9A4" w:rsidR="00656EE7" w:rsidRDefault="00656EE7" w:rsidP="00656EE7">
      <w:pPr>
        <w:spacing w:after="0" w:line="240" w:lineRule="auto"/>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Кесте 3</w:t>
      </w:r>
      <w:r w:rsidR="007F5D1B">
        <w:rPr>
          <w:rFonts w:ascii="Times New Roman" w:eastAsia="Times New Roman" w:hAnsi="Times New Roman" w:cs="Times New Roman"/>
          <w:kern w:val="36"/>
          <w:sz w:val="28"/>
          <w:szCs w:val="28"/>
          <w:lang w:val="kk-KZ" w:eastAsia="ru-RU"/>
        </w:rPr>
        <w:t>8</w:t>
      </w:r>
      <w:r>
        <w:rPr>
          <w:rFonts w:ascii="Times New Roman" w:eastAsia="Times New Roman" w:hAnsi="Times New Roman" w:cs="Times New Roman"/>
          <w:kern w:val="36"/>
          <w:sz w:val="28"/>
          <w:szCs w:val="28"/>
          <w:lang w:val="kk-KZ" w:eastAsia="ru-RU"/>
        </w:rPr>
        <w:t xml:space="preserve"> – </w:t>
      </w:r>
      <w:r w:rsidR="0020085F">
        <w:rPr>
          <w:rFonts w:ascii="Times New Roman" w:eastAsia="Times New Roman" w:hAnsi="Times New Roman" w:cs="Times New Roman"/>
          <w:kern w:val="36"/>
          <w:sz w:val="28"/>
          <w:szCs w:val="28"/>
          <w:lang w:val="kk-KZ" w:eastAsia="ru-RU"/>
        </w:rPr>
        <w:t>ҚР АӨК дамытудың негізгі көрсеткіштерінің орындалуы бойынша тиімділік жүйелері бойынша әсерін бағалау үшін қажет ақпарат</w:t>
      </w:r>
    </w:p>
    <w:tbl>
      <w:tblPr>
        <w:tblStyle w:val="a3"/>
        <w:tblW w:w="9634" w:type="dxa"/>
        <w:tblLook w:val="04A0" w:firstRow="1" w:lastRow="0" w:firstColumn="1" w:lastColumn="0" w:noHBand="0" w:noVBand="1"/>
      </w:tblPr>
      <w:tblGrid>
        <w:gridCol w:w="446"/>
        <w:gridCol w:w="457"/>
        <w:gridCol w:w="463"/>
        <w:gridCol w:w="636"/>
        <w:gridCol w:w="636"/>
        <w:gridCol w:w="1003"/>
        <w:gridCol w:w="879"/>
        <w:gridCol w:w="438"/>
        <w:gridCol w:w="456"/>
        <w:gridCol w:w="421"/>
        <w:gridCol w:w="539"/>
        <w:gridCol w:w="425"/>
        <w:gridCol w:w="567"/>
        <w:gridCol w:w="567"/>
        <w:gridCol w:w="567"/>
        <w:gridCol w:w="558"/>
        <w:gridCol w:w="576"/>
      </w:tblGrid>
      <w:tr w:rsidR="00D567E5" w14:paraId="15280A3C" w14:textId="77777777" w:rsidTr="00D567E5">
        <w:tc>
          <w:tcPr>
            <w:tcW w:w="446" w:type="dxa"/>
            <w:vMerge w:val="restart"/>
            <w:tcBorders>
              <w:top w:val="single" w:sz="4" w:space="0" w:color="auto"/>
              <w:left w:val="single" w:sz="4" w:space="0" w:color="auto"/>
              <w:bottom w:val="single" w:sz="4" w:space="0" w:color="auto"/>
              <w:right w:val="single" w:sz="4" w:space="0" w:color="auto"/>
            </w:tcBorders>
            <w:hideMark/>
          </w:tcPr>
          <w:p w14:paraId="014990CE"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М</w:t>
            </w:r>
          </w:p>
        </w:tc>
        <w:tc>
          <w:tcPr>
            <w:tcW w:w="1556" w:type="dxa"/>
            <w:gridSpan w:val="3"/>
            <w:tcBorders>
              <w:top w:val="single" w:sz="4" w:space="0" w:color="auto"/>
              <w:left w:val="single" w:sz="4" w:space="0" w:color="auto"/>
              <w:bottom w:val="single" w:sz="4" w:space="0" w:color="auto"/>
              <w:right w:val="single" w:sz="4" w:space="0" w:color="auto"/>
            </w:tcBorders>
            <w:hideMark/>
          </w:tcPr>
          <w:p w14:paraId="7E44CF34"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Нәтижелі көрсеткіш</w:t>
            </w:r>
          </w:p>
        </w:tc>
        <w:tc>
          <w:tcPr>
            <w:tcW w:w="1639" w:type="dxa"/>
            <w:gridSpan w:val="2"/>
            <w:tcBorders>
              <w:top w:val="single" w:sz="4" w:space="0" w:color="auto"/>
              <w:left w:val="single" w:sz="4" w:space="0" w:color="auto"/>
              <w:bottom w:val="single" w:sz="4" w:space="0" w:color="auto"/>
              <w:right w:val="single" w:sz="4" w:space="0" w:color="auto"/>
            </w:tcBorders>
            <w:hideMark/>
          </w:tcPr>
          <w:p w14:paraId="30CDE9B7"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Бюджет қаражаты</w:t>
            </w:r>
          </w:p>
        </w:tc>
        <w:tc>
          <w:tcPr>
            <w:tcW w:w="879" w:type="dxa"/>
            <w:vMerge w:val="restart"/>
            <w:tcBorders>
              <w:top w:val="single" w:sz="4" w:space="0" w:color="auto"/>
              <w:left w:val="single" w:sz="4" w:space="0" w:color="auto"/>
              <w:bottom w:val="single" w:sz="4" w:space="0" w:color="auto"/>
              <w:right w:val="single" w:sz="4" w:space="0" w:color="auto"/>
            </w:tcBorders>
            <w:hideMark/>
          </w:tcPr>
          <w:p w14:paraId="668BDF2E" w14:textId="77777777" w:rsidR="00D567E5" w:rsidRDefault="00D567E5">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val="kk-KZ" w:eastAsia="ru-RU"/>
              </w:rPr>
              <w:t xml:space="preserve">Нақты игеру, </w:t>
            </w:r>
            <w:r>
              <w:rPr>
                <w:rFonts w:ascii="Times New Roman" w:eastAsia="Times New Roman" w:hAnsi="Times New Roman" w:cs="Times New Roman"/>
                <w:kern w:val="36"/>
                <w:sz w:val="24"/>
                <w:szCs w:val="24"/>
                <w:lang w:eastAsia="ru-RU"/>
              </w:rPr>
              <w:t>%</w:t>
            </w:r>
          </w:p>
        </w:tc>
        <w:tc>
          <w:tcPr>
            <w:tcW w:w="894" w:type="dxa"/>
            <w:gridSpan w:val="2"/>
            <w:tcBorders>
              <w:top w:val="single" w:sz="4" w:space="0" w:color="auto"/>
              <w:left w:val="single" w:sz="4" w:space="0" w:color="auto"/>
              <w:bottom w:val="single" w:sz="4" w:space="0" w:color="auto"/>
              <w:right w:val="single" w:sz="4" w:space="0" w:color="auto"/>
            </w:tcBorders>
            <w:hideMark/>
          </w:tcPr>
          <w:p w14:paraId="1EFDCF6A" w14:textId="3331A5B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ЭТ</w:t>
            </w:r>
          </w:p>
        </w:tc>
        <w:tc>
          <w:tcPr>
            <w:tcW w:w="960" w:type="dxa"/>
            <w:gridSpan w:val="2"/>
            <w:tcBorders>
              <w:top w:val="single" w:sz="4" w:space="0" w:color="auto"/>
              <w:left w:val="single" w:sz="4" w:space="0" w:color="auto"/>
              <w:bottom w:val="single" w:sz="4" w:space="0" w:color="auto"/>
              <w:right w:val="single" w:sz="4" w:space="0" w:color="auto"/>
            </w:tcBorders>
            <w:hideMark/>
          </w:tcPr>
          <w:p w14:paraId="0A0AD7F9" w14:textId="5B8FF93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ӘТ</w:t>
            </w:r>
          </w:p>
        </w:tc>
        <w:tc>
          <w:tcPr>
            <w:tcW w:w="992" w:type="dxa"/>
            <w:gridSpan w:val="2"/>
            <w:tcBorders>
              <w:top w:val="single" w:sz="4" w:space="0" w:color="auto"/>
              <w:left w:val="single" w:sz="4" w:space="0" w:color="auto"/>
              <w:bottom w:val="single" w:sz="4" w:space="0" w:color="auto"/>
              <w:right w:val="single" w:sz="4" w:space="0" w:color="auto"/>
            </w:tcBorders>
            <w:hideMark/>
          </w:tcPr>
          <w:p w14:paraId="5D0C235A" w14:textId="0106A336"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БТ</w:t>
            </w:r>
          </w:p>
        </w:tc>
        <w:tc>
          <w:tcPr>
            <w:tcW w:w="1134" w:type="dxa"/>
            <w:gridSpan w:val="2"/>
            <w:tcBorders>
              <w:top w:val="single" w:sz="4" w:space="0" w:color="auto"/>
              <w:left w:val="single" w:sz="4" w:space="0" w:color="auto"/>
              <w:bottom w:val="single" w:sz="4" w:space="0" w:color="auto"/>
              <w:right w:val="single" w:sz="4" w:space="0" w:color="auto"/>
            </w:tcBorders>
            <w:hideMark/>
          </w:tcPr>
          <w:p w14:paraId="35B520DE" w14:textId="56142982"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ТТ</w:t>
            </w:r>
          </w:p>
        </w:tc>
        <w:tc>
          <w:tcPr>
            <w:tcW w:w="1134" w:type="dxa"/>
            <w:gridSpan w:val="2"/>
            <w:tcBorders>
              <w:top w:val="single" w:sz="4" w:space="0" w:color="auto"/>
              <w:left w:val="single" w:sz="4" w:space="0" w:color="auto"/>
              <w:bottom w:val="single" w:sz="4" w:space="0" w:color="auto"/>
              <w:right w:val="single" w:sz="4" w:space="0" w:color="auto"/>
            </w:tcBorders>
            <w:hideMark/>
          </w:tcPr>
          <w:p w14:paraId="00BAB114" w14:textId="024DB67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ЭколТ</w:t>
            </w:r>
          </w:p>
        </w:tc>
      </w:tr>
      <w:tr w:rsidR="00D567E5" w14:paraId="47D7959C" w14:textId="77777777" w:rsidTr="00D567E5">
        <w:tc>
          <w:tcPr>
            <w:tcW w:w="0" w:type="auto"/>
            <w:vMerge/>
            <w:tcBorders>
              <w:top w:val="single" w:sz="4" w:space="0" w:color="auto"/>
              <w:left w:val="single" w:sz="4" w:space="0" w:color="auto"/>
              <w:bottom w:val="single" w:sz="4" w:space="0" w:color="auto"/>
              <w:right w:val="single" w:sz="4" w:space="0" w:color="auto"/>
            </w:tcBorders>
            <w:vAlign w:val="center"/>
            <w:hideMark/>
          </w:tcPr>
          <w:p w14:paraId="4D4F933F" w14:textId="77777777" w:rsidR="00D567E5" w:rsidRDefault="00D567E5">
            <w:pPr>
              <w:rPr>
                <w:rFonts w:ascii="Times New Roman" w:eastAsia="Times New Roman" w:hAnsi="Times New Roman" w:cs="Times New Roman"/>
                <w:kern w:val="36"/>
                <w:sz w:val="24"/>
                <w:szCs w:val="24"/>
                <w:lang w:val="kk-KZ" w:eastAsia="ru-RU"/>
              </w:rPr>
            </w:pPr>
          </w:p>
        </w:tc>
        <w:tc>
          <w:tcPr>
            <w:tcW w:w="457" w:type="dxa"/>
            <w:tcBorders>
              <w:top w:val="single" w:sz="4" w:space="0" w:color="auto"/>
              <w:left w:val="single" w:sz="4" w:space="0" w:color="auto"/>
              <w:bottom w:val="single" w:sz="4" w:space="0" w:color="auto"/>
              <w:right w:val="single" w:sz="4" w:space="0" w:color="auto"/>
            </w:tcBorders>
            <w:hideMark/>
          </w:tcPr>
          <w:p w14:paraId="00D0C2E3"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ж</w:t>
            </w:r>
          </w:p>
        </w:tc>
        <w:tc>
          <w:tcPr>
            <w:tcW w:w="463" w:type="dxa"/>
            <w:tcBorders>
              <w:top w:val="single" w:sz="4" w:space="0" w:color="auto"/>
              <w:left w:val="single" w:sz="4" w:space="0" w:color="auto"/>
              <w:bottom w:val="single" w:sz="4" w:space="0" w:color="auto"/>
              <w:right w:val="single" w:sz="4" w:space="0" w:color="auto"/>
            </w:tcBorders>
            <w:hideMark/>
          </w:tcPr>
          <w:p w14:paraId="63D140A0"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w:t>
            </w:r>
          </w:p>
        </w:tc>
        <w:tc>
          <w:tcPr>
            <w:tcW w:w="636" w:type="dxa"/>
            <w:tcBorders>
              <w:top w:val="single" w:sz="4" w:space="0" w:color="auto"/>
              <w:left w:val="single" w:sz="4" w:space="0" w:color="auto"/>
              <w:bottom w:val="single" w:sz="4" w:space="0" w:color="auto"/>
              <w:right w:val="single" w:sz="4" w:space="0" w:color="auto"/>
            </w:tcBorders>
            <w:hideMark/>
          </w:tcPr>
          <w:p w14:paraId="6DA922E0" w14:textId="77777777" w:rsidR="00D567E5" w:rsidRDefault="00D567E5">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w:t>
            </w:r>
          </w:p>
        </w:tc>
        <w:tc>
          <w:tcPr>
            <w:tcW w:w="636" w:type="dxa"/>
            <w:tcBorders>
              <w:top w:val="single" w:sz="4" w:space="0" w:color="auto"/>
              <w:left w:val="single" w:sz="4" w:space="0" w:color="auto"/>
              <w:bottom w:val="single" w:sz="4" w:space="0" w:color="auto"/>
              <w:right w:val="single" w:sz="4" w:space="0" w:color="auto"/>
            </w:tcBorders>
            <w:hideMark/>
          </w:tcPr>
          <w:p w14:paraId="0CABCE22"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1003" w:type="dxa"/>
            <w:tcBorders>
              <w:top w:val="single" w:sz="4" w:space="0" w:color="auto"/>
              <w:left w:val="single" w:sz="4" w:space="0" w:color="auto"/>
              <w:bottom w:val="single" w:sz="4" w:space="0" w:color="auto"/>
              <w:right w:val="single" w:sz="4" w:space="0" w:color="auto"/>
            </w:tcBorders>
            <w:hideMark/>
          </w:tcPr>
          <w:p w14:paraId="360FB16A"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млрд тг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5F8CA" w14:textId="77777777" w:rsidR="00D567E5" w:rsidRDefault="00D567E5">
            <w:pPr>
              <w:rPr>
                <w:rFonts w:ascii="Times New Roman" w:eastAsia="Times New Roman" w:hAnsi="Times New Roman" w:cs="Times New Roman"/>
                <w:kern w:val="36"/>
                <w:sz w:val="24"/>
                <w:szCs w:val="24"/>
                <w:lang w:eastAsia="ru-RU"/>
              </w:rPr>
            </w:pPr>
          </w:p>
        </w:tc>
        <w:tc>
          <w:tcPr>
            <w:tcW w:w="438" w:type="dxa"/>
            <w:tcBorders>
              <w:top w:val="single" w:sz="4" w:space="0" w:color="auto"/>
              <w:left w:val="single" w:sz="4" w:space="0" w:color="auto"/>
              <w:bottom w:val="single" w:sz="4" w:space="0" w:color="auto"/>
              <w:right w:val="single" w:sz="4" w:space="0" w:color="auto"/>
            </w:tcBorders>
            <w:hideMark/>
          </w:tcPr>
          <w:p w14:paraId="4CF62996"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ж</w:t>
            </w:r>
          </w:p>
        </w:tc>
        <w:tc>
          <w:tcPr>
            <w:tcW w:w="456" w:type="dxa"/>
            <w:tcBorders>
              <w:top w:val="single" w:sz="4" w:space="0" w:color="auto"/>
              <w:left w:val="single" w:sz="4" w:space="0" w:color="auto"/>
              <w:bottom w:val="single" w:sz="4" w:space="0" w:color="auto"/>
              <w:right w:val="single" w:sz="4" w:space="0" w:color="auto"/>
            </w:tcBorders>
            <w:hideMark/>
          </w:tcPr>
          <w:p w14:paraId="1AA62EEB"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w:t>
            </w:r>
          </w:p>
        </w:tc>
        <w:tc>
          <w:tcPr>
            <w:tcW w:w="421" w:type="dxa"/>
            <w:tcBorders>
              <w:top w:val="single" w:sz="4" w:space="0" w:color="auto"/>
              <w:left w:val="single" w:sz="4" w:space="0" w:color="auto"/>
              <w:bottom w:val="single" w:sz="4" w:space="0" w:color="auto"/>
              <w:right w:val="single" w:sz="4" w:space="0" w:color="auto"/>
            </w:tcBorders>
            <w:hideMark/>
          </w:tcPr>
          <w:p w14:paraId="7462B586"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ж</w:t>
            </w:r>
          </w:p>
        </w:tc>
        <w:tc>
          <w:tcPr>
            <w:tcW w:w="539" w:type="dxa"/>
            <w:tcBorders>
              <w:top w:val="single" w:sz="4" w:space="0" w:color="auto"/>
              <w:left w:val="single" w:sz="4" w:space="0" w:color="auto"/>
              <w:bottom w:val="single" w:sz="4" w:space="0" w:color="auto"/>
              <w:right w:val="single" w:sz="4" w:space="0" w:color="auto"/>
            </w:tcBorders>
            <w:hideMark/>
          </w:tcPr>
          <w:p w14:paraId="09DAD2D0"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w:t>
            </w:r>
          </w:p>
        </w:tc>
        <w:tc>
          <w:tcPr>
            <w:tcW w:w="425" w:type="dxa"/>
            <w:tcBorders>
              <w:top w:val="single" w:sz="4" w:space="0" w:color="auto"/>
              <w:left w:val="single" w:sz="4" w:space="0" w:color="auto"/>
              <w:bottom w:val="single" w:sz="4" w:space="0" w:color="auto"/>
              <w:right w:val="single" w:sz="4" w:space="0" w:color="auto"/>
            </w:tcBorders>
            <w:hideMark/>
          </w:tcPr>
          <w:p w14:paraId="2AD6363A"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ж</w:t>
            </w:r>
          </w:p>
        </w:tc>
        <w:tc>
          <w:tcPr>
            <w:tcW w:w="567" w:type="dxa"/>
            <w:tcBorders>
              <w:top w:val="single" w:sz="4" w:space="0" w:color="auto"/>
              <w:left w:val="single" w:sz="4" w:space="0" w:color="auto"/>
              <w:bottom w:val="single" w:sz="4" w:space="0" w:color="auto"/>
              <w:right w:val="single" w:sz="4" w:space="0" w:color="auto"/>
            </w:tcBorders>
            <w:hideMark/>
          </w:tcPr>
          <w:p w14:paraId="76EB1F8A"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w:t>
            </w:r>
          </w:p>
        </w:tc>
        <w:tc>
          <w:tcPr>
            <w:tcW w:w="567" w:type="dxa"/>
            <w:tcBorders>
              <w:top w:val="single" w:sz="4" w:space="0" w:color="auto"/>
              <w:left w:val="single" w:sz="4" w:space="0" w:color="auto"/>
              <w:bottom w:val="single" w:sz="4" w:space="0" w:color="auto"/>
              <w:right w:val="single" w:sz="4" w:space="0" w:color="auto"/>
            </w:tcBorders>
            <w:hideMark/>
          </w:tcPr>
          <w:p w14:paraId="3525F47C"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ж</w:t>
            </w:r>
          </w:p>
        </w:tc>
        <w:tc>
          <w:tcPr>
            <w:tcW w:w="567" w:type="dxa"/>
            <w:tcBorders>
              <w:top w:val="single" w:sz="4" w:space="0" w:color="auto"/>
              <w:left w:val="single" w:sz="4" w:space="0" w:color="auto"/>
              <w:bottom w:val="single" w:sz="4" w:space="0" w:color="auto"/>
              <w:right w:val="single" w:sz="4" w:space="0" w:color="auto"/>
            </w:tcBorders>
            <w:hideMark/>
          </w:tcPr>
          <w:p w14:paraId="0C20FC90"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w:t>
            </w:r>
          </w:p>
        </w:tc>
        <w:tc>
          <w:tcPr>
            <w:tcW w:w="558" w:type="dxa"/>
            <w:tcBorders>
              <w:top w:val="single" w:sz="4" w:space="0" w:color="auto"/>
              <w:left w:val="single" w:sz="4" w:space="0" w:color="auto"/>
              <w:bottom w:val="single" w:sz="4" w:space="0" w:color="auto"/>
              <w:right w:val="single" w:sz="4" w:space="0" w:color="auto"/>
            </w:tcBorders>
            <w:hideMark/>
          </w:tcPr>
          <w:p w14:paraId="6885C6AC"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ж</w:t>
            </w:r>
          </w:p>
        </w:tc>
        <w:tc>
          <w:tcPr>
            <w:tcW w:w="576" w:type="dxa"/>
            <w:tcBorders>
              <w:top w:val="single" w:sz="4" w:space="0" w:color="auto"/>
              <w:left w:val="single" w:sz="4" w:space="0" w:color="auto"/>
              <w:bottom w:val="single" w:sz="4" w:space="0" w:color="auto"/>
              <w:right w:val="single" w:sz="4" w:space="0" w:color="auto"/>
            </w:tcBorders>
            <w:hideMark/>
          </w:tcPr>
          <w:p w14:paraId="6F23B4AF"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н</w:t>
            </w:r>
          </w:p>
        </w:tc>
      </w:tr>
      <w:tr w:rsidR="00D567E5" w14:paraId="66222F3C" w14:textId="77777777" w:rsidTr="00D567E5">
        <w:tc>
          <w:tcPr>
            <w:tcW w:w="446" w:type="dxa"/>
            <w:tcBorders>
              <w:top w:val="single" w:sz="4" w:space="0" w:color="auto"/>
              <w:left w:val="single" w:sz="4" w:space="0" w:color="auto"/>
              <w:bottom w:val="single" w:sz="4" w:space="0" w:color="auto"/>
              <w:right w:val="single" w:sz="4" w:space="0" w:color="auto"/>
            </w:tcBorders>
            <w:hideMark/>
          </w:tcPr>
          <w:p w14:paraId="141F02C8"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457" w:type="dxa"/>
            <w:tcBorders>
              <w:top w:val="single" w:sz="4" w:space="0" w:color="auto"/>
              <w:left w:val="single" w:sz="4" w:space="0" w:color="auto"/>
              <w:bottom w:val="single" w:sz="4" w:space="0" w:color="auto"/>
              <w:right w:val="single" w:sz="4" w:space="0" w:color="auto"/>
            </w:tcBorders>
            <w:hideMark/>
          </w:tcPr>
          <w:p w14:paraId="04BA762C"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463" w:type="dxa"/>
            <w:tcBorders>
              <w:top w:val="single" w:sz="4" w:space="0" w:color="auto"/>
              <w:left w:val="single" w:sz="4" w:space="0" w:color="auto"/>
              <w:bottom w:val="single" w:sz="4" w:space="0" w:color="auto"/>
              <w:right w:val="single" w:sz="4" w:space="0" w:color="auto"/>
            </w:tcBorders>
            <w:hideMark/>
          </w:tcPr>
          <w:p w14:paraId="00541C5A"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636" w:type="dxa"/>
            <w:tcBorders>
              <w:top w:val="single" w:sz="4" w:space="0" w:color="auto"/>
              <w:left w:val="single" w:sz="4" w:space="0" w:color="auto"/>
              <w:bottom w:val="single" w:sz="4" w:space="0" w:color="auto"/>
              <w:right w:val="single" w:sz="4" w:space="0" w:color="auto"/>
            </w:tcBorders>
            <w:vAlign w:val="bottom"/>
            <w:hideMark/>
          </w:tcPr>
          <w:p w14:paraId="35D05C2C" w14:textId="77777777" w:rsidR="00D567E5" w:rsidRDefault="00D567E5">
            <w:pPr>
              <w:jc w:val="center"/>
              <w:rPr>
                <w:rFonts w:ascii="Times New Roman" w:hAnsi="Times New Roman" w:cs="Times New Roman"/>
                <w:color w:val="000000"/>
                <w:sz w:val="24"/>
                <w:szCs w:val="24"/>
              </w:rPr>
            </w:pPr>
            <w:r>
              <w:rPr>
                <w:rFonts w:ascii="Times New Roman" w:hAnsi="Times New Roman" w:cs="Times New Roman"/>
                <w:color w:val="000000"/>
                <w:sz w:val="24"/>
                <w:szCs w:val="24"/>
              </w:rPr>
              <w:t>71,4</w:t>
            </w:r>
          </w:p>
        </w:tc>
        <w:tc>
          <w:tcPr>
            <w:tcW w:w="636" w:type="dxa"/>
            <w:tcBorders>
              <w:top w:val="single" w:sz="4" w:space="0" w:color="auto"/>
              <w:left w:val="single" w:sz="4" w:space="0" w:color="auto"/>
              <w:bottom w:val="single" w:sz="4" w:space="0" w:color="auto"/>
              <w:right w:val="single" w:sz="4" w:space="0" w:color="auto"/>
            </w:tcBorders>
            <w:vAlign w:val="bottom"/>
            <w:hideMark/>
          </w:tcPr>
          <w:p w14:paraId="156CD5A9"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hAnsi="Times New Roman" w:cs="Times New Roman"/>
                <w:color w:val="000000"/>
                <w:sz w:val="24"/>
                <w:szCs w:val="24"/>
              </w:rPr>
              <w:t>13,5</w:t>
            </w:r>
          </w:p>
        </w:tc>
        <w:tc>
          <w:tcPr>
            <w:tcW w:w="1003" w:type="dxa"/>
            <w:tcBorders>
              <w:top w:val="single" w:sz="4" w:space="0" w:color="auto"/>
              <w:left w:val="single" w:sz="4" w:space="0" w:color="auto"/>
              <w:bottom w:val="single" w:sz="4" w:space="0" w:color="auto"/>
              <w:right w:val="single" w:sz="4" w:space="0" w:color="auto"/>
            </w:tcBorders>
            <w:hideMark/>
          </w:tcPr>
          <w:p w14:paraId="0B4D75CF"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232,6</w:t>
            </w:r>
          </w:p>
        </w:tc>
        <w:tc>
          <w:tcPr>
            <w:tcW w:w="879" w:type="dxa"/>
            <w:tcBorders>
              <w:top w:val="single" w:sz="4" w:space="0" w:color="auto"/>
              <w:left w:val="single" w:sz="4" w:space="0" w:color="auto"/>
              <w:bottom w:val="single" w:sz="4" w:space="0" w:color="auto"/>
              <w:right w:val="single" w:sz="4" w:space="0" w:color="auto"/>
            </w:tcBorders>
            <w:hideMark/>
          </w:tcPr>
          <w:p w14:paraId="35AD4FA1"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99,8</w:t>
            </w:r>
          </w:p>
        </w:tc>
        <w:tc>
          <w:tcPr>
            <w:tcW w:w="438" w:type="dxa"/>
            <w:tcBorders>
              <w:top w:val="single" w:sz="4" w:space="0" w:color="auto"/>
              <w:left w:val="single" w:sz="4" w:space="0" w:color="auto"/>
              <w:bottom w:val="single" w:sz="4" w:space="0" w:color="auto"/>
              <w:right w:val="single" w:sz="4" w:space="0" w:color="auto"/>
            </w:tcBorders>
          </w:tcPr>
          <w:p w14:paraId="54D4ADA0" w14:textId="47BD82E9"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456" w:type="dxa"/>
            <w:tcBorders>
              <w:top w:val="single" w:sz="4" w:space="0" w:color="auto"/>
              <w:left w:val="single" w:sz="4" w:space="0" w:color="auto"/>
              <w:bottom w:val="single" w:sz="4" w:space="0" w:color="auto"/>
              <w:right w:val="single" w:sz="4" w:space="0" w:color="auto"/>
            </w:tcBorders>
          </w:tcPr>
          <w:p w14:paraId="7E15C0AB" w14:textId="4C5400BB"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421" w:type="dxa"/>
            <w:tcBorders>
              <w:top w:val="single" w:sz="4" w:space="0" w:color="auto"/>
              <w:left w:val="single" w:sz="4" w:space="0" w:color="auto"/>
              <w:bottom w:val="single" w:sz="4" w:space="0" w:color="auto"/>
              <w:right w:val="single" w:sz="4" w:space="0" w:color="auto"/>
            </w:tcBorders>
          </w:tcPr>
          <w:p w14:paraId="238D4F64" w14:textId="7F1DB35F"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39" w:type="dxa"/>
            <w:tcBorders>
              <w:top w:val="single" w:sz="4" w:space="0" w:color="auto"/>
              <w:left w:val="single" w:sz="4" w:space="0" w:color="auto"/>
              <w:bottom w:val="single" w:sz="4" w:space="0" w:color="auto"/>
              <w:right w:val="single" w:sz="4" w:space="0" w:color="auto"/>
            </w:tcBorders>
          </w:tcPr>
          <w:p w14:paraId="7F2B7F20" w14:textId="31772E10"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425" w:type="dxa"/>
            <w:tcBorders>
              <w:top w:val="single" w:sz="4" w:space="0" w:color="auto"/>
              <w:left w:val="single" w:sz="4" w:space="0" w:color="auto"/>
              <w:bottom w:val="single" w:sz="4" w:space="0" w:color="auto"/>
              <w:right w:val="single" w:sz="4" w:space="0" w:color="auto"/>
            </w:tcBorders>
          </w:tcPr>
          <w:p w14:paraId="42B8D99F" w14:textId="0193039E"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567" w:type="dxa"/>
            <w:tcBorders>
              <w:top w:val="single" w:sz="4" w:space="0" w:color="auto"/>
              <w:left w:val="single" w:sz="4" w:space="0" w:color="auto"/>
              <w:bottom w:val="single" w:sz="4" w:space="0" w:color="auto"/>
              <w:right w:val="single" w:sz="4" w:space="0" w:color="auto"/>
            </w:tcBorders>
          </w:tcPr>
          <w:p w14:paraId="48819149" w14:textId="7FFE79E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567" w:type="dxa"/>
            <w:tcBorders>
              <w:top w:val="single" w:sz="4" w:space="0" w:color="auto"/>
              <w:left w:val="single" w:sz="4" w:space="0" w:color="auto"/>
              <w:bottom w:val="single" w:sz="4" w:space="0" w:color="auto"/>
              <w:right w:val="single" w:sz="4" w:space="0" w:color="auto"/>
            </w:tcBorders>
          </w:tcPr>
          <w:p w14:paraId="2DAF8645" w14:textId="6DD8210A"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567" w:type="dxa"/>
            <w:tcBorders>
              <w:top w:val="single" w:sz="4" w:space="0" w:color="auto"/>
              <w:left w:val="single" w:sz="4" w:space="0" w:color="auto"/>
              <w:bottom w:val="single" w:sz="4" w:space="0" w:color="auto"/>
              <w:right w:val="single" w:sz="4" w:space="0" w:color="auto"/>
            </w:tcBorders>
          </w:tcPr>
          <w:p w14:paraId="41BEDC5C" w14:textId="17787B6A"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558" w:type="dxa"/>
            <w:tcBorders>
              <w:top w:val="single" w:sz="4" w:space="0" w:color="auto"/>
              <w:left w:val="single" w:sz="4" w:space="0" w:color="auto"/>
              <w:bottom w:val="single" w:sz="4" w:space="0" w:color="auto"/>
              <w:right w:val="single" w:sz="4" w:space="0" w:color="auto"/>
            </w:tcBorders>
          </w:tcPr>
          <w:p w14:paraId="52188059" w14:textId="28742C23"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76" w:type="dxa"/>
            <w:tcBorders>
              <w:top w:val="single" w:sz="4" w:space="0" w:color="auto"/>
              <w:left w:val="single" w:sz="4" w:space="0" w:color="auto"/>
              <w:bottom w:val="single" w:sz="4" w:space="0" w:color="auto"/>
              <w:right w:val="single" w:sz="4" w:space="0" w:color="auto"/>
            </w:tcBorders>
          </w:tcPr>
          <w:p w14:paraId="1100C8C0" w14:textId="0BCE057F"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D567E5" w14:paraId="2C84379E" w14:textId="77777777" w:rsidTr="00D567E5">
        <w:tc>
          <w:tcPr>
            <w:tcW w:w="446" w:type="dxa"/>
            <w:tcBorders>
              <w:top w:val="single" w:sz="4" w:space="0" w:color="auto"/>
              <w:left w:val="single" w:sz="4" w:space="0" w:color="auto"/>
              <w:bottom w:val="single" w:sz="4" w:space="0" w:color="auto"/>
              <w:right w:val="single" w:sz="4" w:space="0" w:color="auto"/>
            </w:tcBorders>
            <w:hideMark/>
          </w:tcPr>
          <w:p w14:paraId="32DDCEF8"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457" w:type="dxa"/>
            <w:tcBorders>
              <w:top w:val="single" w:sz="4" w:space="0" w:color="auto"/>
              <w:left w:val="single" w:sz="4" w:space="0" w:color="auto"/>
              <w:bottom w:val="single" w:sz="4" w:space="0" w:color="auto"/>
              <w:right w:val="single" w:sz="4" w:space="0" w:color="auto"/>
            </w:tcBorders>
            <w:hideMark/>
          </w:tcPr>
          <w:p w14:paraId="0259C7A8"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463" w:type="dxa"/>
            <w:tcBorders>
              <w:top w:val="single" w:sz="4" w:space="0" w:color="auto"/>
              <w:left w:val="single" w:sz="4" w:space="0" w:color="auto"/>
              <w:bottom w:val="single" w:sz="4" w:space="0" w:color="auto"/>
              <w:right w:val="single" w:sz="4" w:space="0" w:color="auto"/>
            </w:tcBorders>
            <w:hideMark/>
          </w:tcPr>
          <w:p w14:paraId="494D170D"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636" w:type="dxa"/>
            <w:tcBorders>
              <w:top w:val="single" w:sz="4" w:space="0" w:color="auto"/>
              <w:left w:val="single" w:sz="4" w:space="0" w:color="auto"/>
              <w:bottom w:val="single" w:sz="4" w:space="0" w:color="auto"/>
              <w:right w:val="single" w:sz="4" w:space="0" w:color="auto"/>
            </w:tcBorders>
            <w:vAlign w:val="bottom"/>
            <w:hideMark/>
          </w:tcPr>
          <w:p w14:paraId="2D7A2F35" w14:textId="77777777" w:rsidR="00D567E5" w:rsidRDefault="00D567E5">
            <w:pPr>
              <w:jc w:val="center"/>
              <w:rPr>
                <w:rFonts w:ascii="Times New Roman" w:hAnsi="Times New Roman" w:cs="Times New Roman"/>
                <w:color w:val="000000"/>
                <w:sz w:val="24"/>
                <w:szCs w:val="24"/>
              </w:rPr>
            </w:pPr>
            <w:r>
              <w:rPr>
                <w:rFonts w:ascii="Times New Roman" w:hAnsi="Times New Roman" w:cs="Times New Roman"/>
                <w:color w:val="000000"/>
                <w:sz w:val="24"/>
                <w:szCs w:val="24"/>
              </w:rPr>
              <w:t>66,7</w:t>
            </w:r>
          </w:p>
        </w:tc>
        <w:tc>
          <w:tcPr>
            <w:tcW w:w="636" w:type="dxa"/>
            <w:tcBorders>
              <w:top w:val="single" w:sz="4" w:space="0" w:color="auto"/>
              <w:left w:val="single" w:sz="4" w:space="0" w:color="auto"/>
              <w:bottom w:val="single" w:sz="4" w:space="0" w:color="auto"/>
              <w:right w:val="single" w:sz="4" w:space="0" w:color="auto"/>
            </w:tcBorders>
            <w:vAlign w:val="bottom"/>
            <w:hideMark/>
          </w:tcPr>
          <w:p w14:paraId="4371DACC"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hAnsi="Times New Roman" w:cs="Times New Roman"/>
                <w:color w:val="000000"/>
                <w:sz w:val="24"/>
                <w:szCs w:val="24"/>
              </w:rPr>
              <w:t>15</w:t>
            </w:r>
          </w:p>
        </w:tc>
        <w:tc>
          <w:tcPr>
            <w:tcW w:w="1003" w:type="dxa"/>
            <w:tcBorders>
              <w:top w:val="single" w:sz="4" w:space="0" w:color="auto"/>
              <w:left w:val="single" w:sz="4" w:space="0" w:color="auto"/>
              <w:bottom w:val="single" w:sz="4" w:space="0" w:color="auto"/>
              <w:right w:val="single" w:sz="4" w:space="0" w:color="auto"/>
            </w:tcBorders>
            <w:hideMark/>
          </w:tcPr>
          <w:p w14:paraId="01E39616"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257,4</w:t>
            </w:r>
          </w:p>
        </w:tc>
        <w:tc>
          <w:tcPr>
            <w:tcW w:w="879" w:type="dxa"/>
            <w:tcBorders>
              <w:top w:val="single" w:sz="4" w:space="0" w:color="auto"/>
              <w:left w:val="single" w:sz="4" w:space="0" w:color="auto"/>
              <w:bottom w:val="single" w:sz="4" w:space="0" w:color="auto"/>
              <w:right w:val="single" w:sz="4" w:space="0" w:color="auto"/>
            </w:tcBorders>
            <w:hideMark/>
          </w:tcPr>
          <w:p w14:paraId="13017288"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57,3</w:t>
            </w:r>
          </w:p>
        </w:tc>
        <w:tc>
          <w:tcPr>
            <w:tcW w:w="438" w:type="dxa"/>
            <w:tcBorders>
              <w:top w:val="single" w:sz="4" w:space="0" w:color="auto"/>
              <w:left w:val="single" w:sz="4" w:space="0" w:color="auto"/>
              <w:bottom w:val="single" w:sz="4" w:space="0" w:color="auto"/>
              <w:right w:val="single" w:sz="4" w:space="0" w:color="auto"/>
            </w:tcBorders>
          </w:tcPr>
          <w:p w14:paraId="39938926" w14:textId="4DACE8D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456" w:type="dxa"/>
            <w:tcBorders>
              <w:top w:val="single" w:sz="4" w:space="0" w:color="auto"/>
              <w:left w:val="single" w:sz="4" w:space="0" w:color="auto"/>
              <w:bottom w:val="single" w:sz="4" w:space="0" w:color="auto"/>
              <w:right w:val="single" w:sz="4" w:space="0" w:color="auto"/>
            </w:tcBorders>
          </w:tcPr>
          <w:p w14:paraId="6C015B0E" w14:textId="7D6D50F3"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w:t>
            </w:r>
          </w:p>
        </w:tc>
        <w:tc>
          <w:tcPr>
            <w:tcW w:w="421" w:type="dxa"/>
            <w:tcBorders>
              <w:top w:val="single" w:sz="4" w:space="0" w:color="auto"/>
              <w:left w:val="single" w:sz="4" w:space="0" w:color="auto"/>
              <w:bottom w:val="single" w:sz="4" w:space="0" w:color="auto"/>
              <w:right w:val="single" w:sz="4" w:space="0" w:color="auto"/>
            </w:tcBorders>
          </w:tcPr>
          <w:p w14:paraId="0B0F29A4" w14:textId="37833252" w:rsidR="00D567E5" w:rsidRDefault="0058752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539" w:type="dxa"/>
            <w:tcBorders>
              <w:top w:val="single" w:sz="4" w:space="0" w:color="auto"/>
              <w:left w:val="single" w:sz="4" w:space="0" w:color="auto"/>
              <w:bottom w:val="single" w:sz="4" w:space="0" w:color="auto"/>
              <w:right w:val="single" w:sz="4" w:space="0" w:color="auto"/>
            </w:tcBorders>
          </w:tcPr>
          <w:p w14:paraId="5FBD2E4D" w14:textId="713FD044"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w:t>
            </w:r>
          </w:p>
        </w:tc>
        <w:tc>
          <w:tcPr>
            <w:tcW w:w="425" w:type="dxa"/>
            <w:tcBorders>
              <w:top w:val="single" w:sz="4" w:space="0" w:color="auto"/>
              <w:left w:val="single" w:sz="4" w:space="0" w:color="auto"/>
              <w:bottom w:val="single" w:sz="4" w:space="0" w:color="auto"/>
              <w:right w:val="single" w:sz="4" w:space="0" w:color="auto"/>
            </w:tcBorders>
          </w:tcPr>
          <w:p w14:paraId="77A622E0" w14:textId="60973A8E"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3B94E296" w14:textId="24AE426A"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59C56E08" w14:textId="042351E0"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061B0512" w14:textId="5A08B2F9"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58" w:type="dxa"/>
            <w:tcBorders>
              <w:top w:val="single" w:sz="4" w:space="0" w:color="auto"/>
              <w:left w:val="single" w:sz="4" w:space="0" w:color="auto"/>
              <w:bottom w:val="single" w:sz="4" w:space="0" w:color="auto"/>
              <w:right w:val="single" w:sz="4" w:space="0" w:color="auto"/>
            </w:tcBorders>
          </w:tcPr>
          <w:p w14:paraId="559E470C" w14:textId="79B59740"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76" w:type="dxa"/>
            <w:tcBorders>
              <w:top w:val="single" w:sz="4" w:space="0" w:color="auto"/>
              <w:left w:val="single" w:sz="4" w:space="0" w:color="auto"/>
              <w:bottom w:val="single" w:sz="4" w:space="0" w:color="auto"/>
              <w:right w:val="single" w:sz="4" w:space="0" w:color="auto"/>
            </w:tcBorders>
          </w:tcPr>
          <w:p w14:paraId="34188A73" w14:textId="46786258"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D567E5" w14:paraId="6FB18509" w14:textId="77777777" w:rsidTr="00D567E5">
        <w:tc>
          <w:tcPr>
            <w:tcW w:w="446" w:type="dxa"/>
            <w:tcBorders>
              <w:top w:val="single" w:sz="4" w:space="0" w:color="auto"/>
              <w:left w:val="single" w:sz="4" w:space="0" w:color="auto"/>
              <w:bottom w:val="single" w:sz="4" w:space="0" w:color="auto"/>
              <w:right w:val="single" w:sz="4" w:space="0" w:color="auto"/>
            </w:tcBorders>
            <w:hideMark/>
          </w:tcPr>
          <w:p w14:paraId="7B95DDED"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457" w:type="dxa"/>
            <w:tcBorders>
              <w:top w:val="single" w:sz="4" w:space="0" w:color="auto"/>
              <w:left w:val="single" w:sz="4" w:space="0" w:color="auto"/>
              <w:bottom w:val="single" w:sz="4" w:space="0" w:color="auto"/>
              <w:right w:val="single" w:sz="4" w:space="0" w:color="auto"/>
            </w:tcBorders>
            <w:hideMark/>
          </w:tcPr>
          <w:p w14:paraId="3F6FC1B0"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463" w:type="dxa"/>
            <w:tcBorders>
              <w:top w:val="single" w:sz="4" w:space="0" w:color="auto"/>
              <w:left w:val="single" w:sz="4" w:space="0" w:color="auto"/>
              <w:bottom w:val="single" w:sz="4" w:space="0" w:color="auto"/>
              <w:right w:val="single" w:sz="4" w:space="0" w:color="auto"/>
            </w:tcBorders>
            <w:hideMark/>
          </w:tcPr>
          <w:p w14:paraId="3D6648B1"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636" w:type="dxa"/>
            <w:tcBorders>
              <w:top w:val="single" w:sz="4" w:space="0" w:color="auto"/>
              <w:left w:val="single" w:sz="4" w:space="0" w:color="auto"/>
              <w:bottom w:val="single" w:sz="4" w:space="0" w:color="auto"/>
              <w:right w:val="single" w:sz="4" w:space="0" w:color="auto"/>
            </w:tcBorders>
            <w:vAlign w:val="bottom"/>
            <w:hideMark/>
          </w:tcPr>
          <w:p w14:paraId="17FF7A48" w14:textId="77777777" w:rsidR="00D567E5" w:rsidRDefault="00D567E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636" w:type="dxa"/>
            <w:tcBorders>
              <w:top w:val="single" w:sz="4" w:space="0" w:color="auto"/>
              <w:left w:val="single" w:sz="4" w:space="0" w:color="auto"/>
              <w:bottom w:val="single" w:sz="4" w:space="0" w:color="auto"/>
              <w:right w:val="single" w:sz="4" w:space="0" w:color="auto"/>
            </w:tcBorders>
            <w:vAlign w:val="bottom"/>
            <w:hideMark/>
          </w:tcPr>
          <w:p w14:paraId="3F02D6AD"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hAnsi="Times New Roman" w:cs="Times New Roman"/>
                <w:color w:val="000000"/>
                <w:sz w:val="24"/>
                <w:szCs w:val="24"/>
              </w:rPr>
              <w:t>18,5</w:t>
            </w:r>
          </w:p>
        </w:tc>
        <w:tc>
          <w:tcPr>
            <w:tcW w:w="1003" w:type="dxa"/>
            <w:tcBorders>
              <w:top w:val="single" w:sz="4" w:space="0" w:color="auto"/>
              <w:left w:val="single" w:sz="4" w:space="0" w:color="auto"/>
              <w:bottom w:val="single" w:sz="4" w:space="0" w:color="auto"/>
              <w:right w:val="single" w:sz="4" w:space="0" w:color="auto"/>
            </w:tcBorders>
            <w:hideMark/>
          </w:tcPr>
          <w:p w14:paraId="6AF27F5D"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318,7</w:t>
            </w:r>
          </w:p>
        </w:tc>
        <w:tc>
          <w:tcPr>
            <w:tcW w:w="879" w:type="dxa"/>
            <w:tcBorders>
              <w:top w:val="single" w:sz="4" w:space="0" w:color="auto"/>
              <w:left w:val="single" w:sz="4" w:space="0" w:color="auto"/>
              <w:bottom w:val="single" w:sz="4" w:space="0" w:color="auto"/>
              <w:right w:val="single" w:sz="4" w:space="0" w:color="auto"/>
            </w:tcBorders>
            <w:hideMark/>
          </w:tcPr>
          <w:p w14:paraId="740D0ECA"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27,7</w:t>
            </w:r>
          </w:p>
        </w:tc>
        <w:tc>
          <w:tcPr>
            <w:tcW w:w="438" w:type="dxa"/>
            <w:tcBorders>
              <w:top w:val="single" w:sz="4" w:space="0" w:color="auto"/>
              <w:left w:val="single" w:sz="4" w:space="0" w:color="auto"/>
              <w:bottom w:val="single" w:sz="4" w:space="0" w:color="auto"/>
              <w:right w:val="single" w:sz="4" w:space="0" w:color="auto"/>
            </w:tcBorders>
          </w:tcPr>
          <w:p w14:paraId="33FD4CE6" w14:textId="65C77A1A"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456" w:type="dxa"/>
            <w:tcBorders>
              <w:top w:val="single" w:sz="4" w:space="0" w:color="auto"/>
              <w:left w:val="single" w:sz="4" w:space="0" w:color="auto"/>
              <w:bottom w:val="single" w:sz="4" w:space="0" w:color="auto"/>
              <w:right w:val="single" w:sz="4" w:space="0" w:color="auto"/>
            </w:tcBorders>
          </w:tcPr>
          <w:p w14:paraId="177BF497" w14:textId="30A4332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421" w:type="dxa"/>
            <w:tcBorders>
              <w:top w:val="single" w:sz="4" w:space="0" w:color="auto"/>
              <w:left w:val="single" w:sz="4" w:space="0" w:color="auto"/>
              <w:bottom w:val="single" w:sz="4" w:space="0" w:color="auto"/>
              <w:right w:val="single" w:sz="4" w:space="0" w:color="auto"/>
            </w:tcBorders>
          </w:tcPr>
          <w:p w14:paraId="096300F4" w14:textId="3825BB10"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39" w:type="dxa"/>
            <w:tcBorders>
              <w:top w:val="single" w:sz="4" w:space="0" w:color="auto"/>
              <w:left w:val="single" w:sz="4" w:space="0" w:color="auto"/>
              <w:bottom w:val="single" w:sz="4" w:space="0" w:color="auto"/>
              <w:right w:val="single" w:sz="4" w:space="0" w:color="auto"/>
            </w:tcBorders>
          </w:tcPr>
          <w:p w14:paraId="362837AE" w14:textId="1A862E81"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425" w:type="dxa"/>
            <w:tcBorders>
              <w:top w:val="single" w:sz="4" w:space="0" w:color="auto"/>
              <w:left w:val="single" w:sz="4" w:space="0" w:color="auto"/>
              <w:bottom w:val="single" w:sz="4" w:space="0" w:color="auto"/>
              <w:right w:val="single" w:sz="4" w:space="0" w:color="auto"/>
            </w:tcBorders>
          </w:tcPr>
          <w:p w14:paraId="3FECDA0A" w14:textId="4C36946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7C758493" w14:textId="64E82096"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436BFE87" w14:textId="1AC6E7EE"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tcPr>
          <w:p w14:paraId="21105617" w14:textId="5BBC576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58" w:type="dxa"/>
            <w:tcBorders>
              <w:top w:val="single" w:sz="4" w:space="0" w:color="auto"/>
              <w:left w:val="single" w:sz="4" w:space="0" w:color="auto"/>
              <w:bottom w:val="single" w:sz="4" w:space="0" w:color="auto"/>
              <w:right w:val="single" w:sz="4" w:space="0" w:color="auto"/>
            </w:tcBorders>
          </w:tcPr>
          <w:p w14:paraId="0AC36A0E" w14:textId="1361999F"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76" w:type="dxa"/>
            <w:tcBorders>
              <w:top w:val="single" w:sz="4" w:space="0" w:color="auto"/>
              <w:left w:val="single" w:sz="4" w:space="0" w:color="auto"/>
              <w:bottom w:val="single" w:sz="4" w:space="0" w:color="auto"/>
              <w:right w:val="single" w:sz="4" w:space="0" w:color="auto"/>
            </w:tcBorders>
          </w:tcPr>
          <w:p w14:paraId="05C84952" w14:textId="224F1F76"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r>
      <w:tr w:rsidR="00D567E5" w14:paraId="3FAA74AC" w14:textId="77777777" w:rsidTr="00D567E5">
        <w:tc>
          <w:tcPr>
            <w:tcW w:w="446" w:type="dxa"/>
            <w:tcBorders>
              <w:top w:val="single" w:sz="4" w:space="0" w:color="auto"/>
              <w:left w:val="single" w:sz="4" w:space="0" w:color="auto"/>
              <w:bottom w:val="single" w:sz="4" w:space="0" w:color="auto"/>
              <w:right w:val="single" w:sz="4" w:space="0" w:color="auto"/>
            </w:tcBorders>
            <w:hideMark/>
          </w:tcPr>
          <w:p w14:paraId="0A49564C"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457" w:type="dxa"/>
            <w:tcBorders>
              <w:top w:val="single" w:sz="4" w:space="0" w:color="auto"/>
              <w:left w:val="single" w:sz="4" w:space="0" w:color="auto"/>
              <w:bottom w:val="single" w:sz="4" w:space="0" w:color="auto"/>
              <w:right w:val="single" w:sz="4" w:space="0" w:color="auto"/>
            </w:tcBorders>
            <w:hideMark/>
          </w:tcPr>
          <w:p w14:paraId="3A805E4D"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463" w:type="dxa"/>
            <w:tcBorders>
              <w:top w:val="single" w:sz="4" w:space="0" w:color="auto"/>
              <w:left w:val="single" w:sz="4" w:space="0" w:color="auto"/>
              <w:bottom w:val="single" w:sz="4" w:space="0" w:color="auto"/>
              <w:right w:val="single" w:sz="4" w:space="0" w:color="auto"/>
            </w:tcBorders>
            <w:hideMark/>
          </w:tcPr>
          <w:p w14:paraId="69AE8EC1"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636" w:type="dxa"/>
            <w:tcBorders>
              <w:top w:val="single" w:sz="4" w:space="0" w:color="auto"/>
              <w:left w:val="single" w:sz="4" w:space="0" w:color="auto"/>
              <w:bottom w:val="single" w:sz="4" w:space="0" w:color="auto"/>
              <w:right w:val="single" w:sz="4" w:space="0" w:color="auto"/>
            </w:tcBorders>
            <w:vAlign w:val="bottom"/>
            <w:hideMark/>
          </w:tcPr>
          <w:p w14:paraId="68A779B2" w14:textId="77777777" w:rsidR="00D567E5" w:rsidRDefault="00D567E5">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636" w:type="dxa"/>
            <w:tcBorders>
              <w:top w:val="single" w:sz="4" w:space="0" w:color="auto"/>
              <w:left w:val="single" w:sz="4" w:space="0" w:color="auto"/>
              <w:bottom w:val="single" w:sz="4" w:space="0" w:color="auto"/>
              <w:right w:val="single" w:sz="4" w:space="0" w:color="auto"/>
            </w:tcBorders>
            <w:vAlign w:val="bottom"/>
            <w:hideMark/>
          </w:tcPr>
          <w:p w14:paraId="7BF49DF7"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hAnsi="Times New Roman" w:cs="Times New Roman"/>
                <w:color w:val="000000"/>
                <w:sz w:val="24"/>
                <w:szCs w:val="24"/>
              </w:rPr>
              <w:t>53</w:t>
            </w:r>
          </w:p>
        </w:tc>
        <w:tc>
          <w:tcPr>
            <w:tcW w:w="1003" w:type="dxa"/>
            <w:tcBorders>
              <w:top w:val="single" w:sz="4" w:space="0" w:color="auto"/>
              <w:left w:val="single" w:sz="4" w:space="0" w:color="auto"/>
              <w:bottom w:val="single" w:sz="4" w:space="0" w:color="auto"/>
              <w:right w:val="single" w:sz="4" w:space="0" w:color="auto"/>
            </w:tcBorders>
            <w:hideMark/>
          </w:tcPr>
          <w:p w14:paraId="725D1A0B"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912,7</w:t>
            </w:r>
          </w:p>
        </w:tc>
        <w:tc>
          <w:tcPr>
            <w:tcW w:w="879" w:type="dxa"/>
            <w:tcBorders>
              <w:top w:val="single" w:sz="4" w:space="0" w:color="auto"/>
              <w:left w:val="single" w:sz="4" w:space="0" w:color="auto"/>
              <w:bottom w:val="single" w:sz="4" w:space="0" w:color="auto"/>
              <w:right w:val="single" w:sz="4" w:space="0" w:color="auto"/>
            </w:tcBorders>
            <w:hideMark/>
          </w:tcPr>
          <w:p w14:paraId="78BD0803"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60,1</w:t>
            </w:r>
          </w:p>
        </w:tc>
        <w:tc>
          <w:tcPr>
            <w:tcW w:w="438" w:type="dxa"/>
            <w:tcBorders>
              <w:top w:val="single" w:sz="4" w:space="0" w:color="auto"/>
              <w:left w:val="single" w:sz="4" w:space="0" w:color="auto"/>
              <w:bottom w:val="single" w:sz="4" w:space="0" w:color="auto"/>
              <w:right w:val="single" w:sz="4" w:space="0" w:color="auto"/>
            </w:tcBorders>
          </w:tcPr>
          <w:p w14:paraId="06E94A36" w14:textId="264B34BD"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456" w:type="dxa"/>
            <w:tcBorders>
              <w:top w:val="single" w:sz="4" w:space="0" w:color="auto"/>
              <w:left w:val="single" w:sz="4" w:space="0" w:color="auto"/>
              <w:bottom w:val="single" w:sz="4" w:space="0" w:color="auto"/>
              <w:right w:val="single" w:sz="4" w:space="0" w:color="auto"/>
            </w:tcBorders>
          </w:tcPr>
          <w:p w14:paraId="3ED0BB7B" w14:textId="2E32FAC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421" w:type="dxa"/>
            <w:tcBorders>
              <w:top w:val="single" w:sz="4" w:space="0" w:color="auto"/>
              <w:left w:val="single" w:sz="4" w:space="0" w:color="auto"/>
              <w:bottom w:val="single" w:sz="4" w:space="0" w:color="auto"/>
              <w:right w:val="single" w:sz="4" w:space="0" w:color="auto"/>
            </w:tcBorders>
          </w:tcPr>
          <w:p w14:paraId="68B52A8F" w14:textId="28B2CE9A"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39" w:type="dxa"/>
            <w:tcBorders>
              <w:top w:val="single" w:sz="4" w:space="0" w:color="auto"/>
              <w:left w:val="single" w:sz="4" w:space="0" w:color="auto"/>
              <w:bottom w:val="single" w:sz="4" w:space="0" w:color="auto"/>
              <w:right w:val="single" w:sz="4" w:space="0" w:color="auto"/>
            </w:tcBorders>
          </w:tcPr>
          <w:p w14:paraId="092E97BB" w14:textId="6EACA536"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w:t>
            </w:r>
          </w:p>
        </w:tc>
        <w:tc>
          <w:tcPr>
            <w:tcW w:w="425" w:type="dxa"/>
            <w:tcBorders>
              <w:top w:val="single" w:sz="4" w:space="0" w:color="auto"/>
              <w:left w:val="single" w:sz="4" w:space="0" w:color="auto"/>
              <w:bottom w:val="single" w:sz="4" w:space="0" w:color="auto"/>
              <w:right w:val="single" w:sz="4" w:space="0" w:color="auto"/>
            </w:tcBorders>
          </w:tcPr>
          <w:p w14:paraId="5B7F8400" w14:textId="38370D48"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45F7CE24" w14:textId="3305677D"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67" w:type="dxa"/>
            <w:tcBorders>
              <w:top w:val="single" w:sz="4" w:space="0" w:color="auto"/>
              <w:left w:val="single" w:sz="4" w:space="0" w:color="auto"/>
              <w:bottom w:val="single" w:sz="4" w:space="0" w:color="auto"/>
              <w:right w:val="single" w:sz="4" w:space="0" w:color="auto"/>
            </w:tcBorders>
          </w:tcPr>
          <w:p w14:paraId="4EAC0242" w14:textId="6371B7E6"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tcPr>
          <w:p w14:paraId="37DF8D3F" w14:textId="1CA8D636"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58" w:type="dxa"/>
            <w:tcBorders>
              <w:top w:val="single" w:sz="4" w:space="0" w:color="auto"/>
              <w:left w:val="single" w:sz="4" w:space="0" w:color="auto"/>
              <w:bottom w:val="single" w:sz="4" w:space="0" w:color="auto"/>
              <w:right w:val="single" w:sz="4" w:space="0" w:color="auto"/>
            </w:tcBorders>
          </w:tcPr>
          <w:p w14:paraId="163A799D" w14:textId="5076BC4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c>
          <w:tcPr>
            <w:tcW w:w="576" w:type="dxa"/>
            <w:tcBorders>
              <w:top w:val="single" w:sz="4" w:space="0" w:color="auto"/>
              <w:left w:val="single" w:sz="4" w:space="0" w:color="auto"/>
              <w:bottom w:val="single" w:sz="4" w:space="0" w:color="auto"/>
              <w:right w:val="single" w:sz="4" w:space="0" w:color="auto"/>
            </w:tcBorders>
          </w:tcPr>
          <w:p w14:paraId="5C5839B3" w14:textId="76218B10"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D567E5" w14:paraId="1C052370" w14:textId="77777777" w:rsidTr="00D567E5">
        <w:tc>
          <w:tcPr>
            <w:tcW w:w="446" w:type="dxa"/>
            <w:tcBorders>
              <w:top w:val="single" w:sz="4" w:space="0" w:color="auto"/>
              <w:left w:val="single" w:sz="4" w:space="0" w:color="auto"/>
              <w:bottom w:val="single" w:sz="4" w:space="0" w:color="auto"/>
              <w:right w:val="single" w:sz="4" w:space="0" w:color="auto"/>
            </w:tcBorders>
            <w:hideMark/>
          </w:tcPr>
          <w:p w14:paraId="16881CBD"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457" w:type="dxa"/>
            <w:tcBorders>
              <w:top w:val="single" w:sz="4" w:space="0" w:color="auto"/>
              <w:left w:val="single" w:sz="4" w:space="0" w:color="auto"/>
              <w:bottom w:val="single" w:sz="4" w:space="0" w:color="auto"/>
              <w:right w:val="single" w:sz="4" w:space="0" w:color="auto"/>
            </w:tcBorders>
            <w:hideMark/>
          </w:tcPr>
          <w:p w14:paraId="7EC337D4"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22</w:t>
            </w:r>
          </w:p>
        </w:tc>
        <w:tc>
          <w:tcPr>
            <w:tcW w:w="463" w:type="dxa"/>
            <w:tcBorders>
              <w:top w:val="single" w:sz="4" w:space="0" w:color="auto"/>
              <w:left w:val="single" w:sz="4" w:space="0" w:color="auto"/>
              <w:bottom w:val="single" w:sz="4" w:space="0" w:color="auto"/>
              <w:right w:val="single" w:sz="4" w:space="0" w:color="auto"/>
            </w:tcBorders>
            <w:hideMark/>
          </w:tcPr>
          <w:p w14:paraId="2241B08F"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16</w:t>
            </w:r>
          </w:p>
        </w:tc>
        <w:tc>
          <w:tcPr>
            <w:tcW w:w="636" w:type="dxa"/>
            <w:tcBorders>
              <w:top w:val="single" w:sz="4" w:space="0" w:color="auto"/>
              <w:left w:val="single" w:sz="4" w:space="0" w:color="auto"/>
              <w:bottom w:val="single" w:sz="4" w:space="0" w:color="auto"/>
              <w:right w:val="single" w:sz="4" w:space="0" w:color="auto"/>
            </w:tcBorders>
            <w:vAlign w:val="bottom"/>
            <w:hideMark/>
          </w:tcPr>
          <w:p w14:paraId="4D1F3132" w14:textId="77777777" w:rsidR="00D567E5" w:rsidRDefault="00D567E5">
            <w:pPr>
              <w:jc w:val="center"/>
              <w:rPr>
                <w:rFonts w:ascii="Times New Roman" w:hAnsi="Times New Roman" w:cs="Times New Roman"/>
                <w:color w:val="000000"/>
                <w:sz w:val="24"/>
                <w:szCs w:val="24"/>
              </w:rPr>
            </w:pPr>
            <w:r>
              <w:rPr>
                <w:rFonts w:ascii="Times New Roman" w:hAnsi="Times New Roman" w:cs="Times New Roman"/>
                <w:color w:val="000000"/>
                <w:sz w:val="24"/>
                <w:szCs w:val="24"/>
              </w:rPr>
              <w:t>72,7</w:t>
            </w:r>
          </w:p>
        </w:tc>
        <w:tc>
          <w:tcPr>
            <w:tcW w:w="636" w:type="dxa"/>
            <w:tcBorders>
              <w:top w:val="single" w:sz="4" w:space="0" w:color="auto"/>
              <w:left w:val="single" w:sz="4" w:space="0" w:color="auto"/>
              <w:bottom w:val="single" w:sz="4" w:space="0" w:color="auto"/>
              <w:right w:val="single" w:sz="4" w:space="0" w:color="auto"/>
            </w:tcBorders>
            <w:vAlign w:val="bottom"/>
            <w:hideMark/>
          </w:tcPr>
          <w:p w14:paraId="40AF1D70" w14:textId="77777777" w:rsidR="00D567E5" w:rsidRDefault="00D567E5">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rPr>
              <w:t>100</w:t>
            </w:r>
          </w:p>
        </w:tc>
        <w:tc>
          <w:tcPr>
            <w:tcW w:w="1003" w:type="dxa"/>
            <w:tcBorders>
              <w:top w:val="single" w:sz="4" w:space="0" w:color="auto"/>
              <w:left w:val="single" w:sz="4" w:space="0" w:color="auto"/>
              <w:bottom w:val="single" w:sz="4" w:space="0" w:color="auto"/>
              <w:right w:val="single" w:sz="4" w:space="0" w:color="auto"/>
            </w:tcBorders>
            <w:hideMark/>
          </w:tcPr>
          <w:p w14:paraId="1909161A" w14:textId="77777777"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1721,4</w:t>
            </w:r>
          </w:p>
        </w:tc>
        <w:tc>
          <w:tcPr>
            <w:tcW w:w="879" w:type="dxa"/>
            <w:tcBorders>
              <w:top w:val="single" w:sz="4" w:space="0" w:color="auto"/>
              <w:left w:val="single" w:sz="4" w:space="0" w:color="auto"/>
              <w:bottom w:val="single" w:sz="4" w:space="0" w:color="auto"/>
              <w:right w:val="single" w:sz="4" w:space="0" w:color="auto"/>
            </w:tcBorders>
            <w:hideMark/>
          </w:tcPr>
          <w:p w14:paraId="0CA190B5" w14:textId="1F6BE71B"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59,0</w:t>
            </w:r>
          </w:p>
        </w:tc>
        <w:tc>
          <w:tcPr>
            <w:tcW w:w="438" w:type="dxa"/>
            <w:tcBorders>
              <w:top w:val="single" w:sz="4" w:space="0" w:color="auto"/>
              <w:left w:val="single" w:sz="4" w:space="0" w:color="auto"/>
              <w:bottom w:val="single" w:sz="4" w:space="0" w:color="auto"/>
              <w:right w:val="single" w:sz="4" w:space="0" w:color="auto"/>
            </w:tcBorders>
          </w:tcPr>
          <w:p w14:paraId="2D391824" w14:textId="74CB35AC"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9</w:t>
            </w:r>
          </w:p>
        </w:tc>
        <w:tc>
          <w:tcPr>
            <w:tcW w:w="456" w:type="dxa"/>
            <w:tcBorders>
              <w:top w:val="single" w:sz="4" w:space="0" w:color="auto"/>
              <w:left w:val="single" w:sz="4" w:space="0" w:color="auto"/>
              <w:bottom w:val="single" w:sz="4" w:space="0" w:color="auto"/>
              <w:right w:val="single" w:sz="4" w:space="0" w:color="auto"/>
            </w:tcBorders>
          </w:tcPr>
          <w:p w14:paraId="025FF340" w14:textId="32D70D15"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421" w:type="dxa"/>
            <w:tcBorders>
              <w:top w:val="single" w:sz="4" w:space="0" w:color="auto"/>
              <w:left w:val="single" w:sz="4" w:space="0" w:color="auto"/>
              <w:bottom w:val="single" w:sz="4" w:space="0" w:color="auto"/>
              <w:right w:val="single" w:sz="4" w:space="0" w:color="auto"/>
            </w:tcBorders>
          </w:tcPr>
          <w:p w14:paraId="36038D61" w14:textId="6CE3BC7D" w:rsidR="00D567E5" w:rsidRDefault="0058752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539" w:type="dxa"/>
            <w:tcBorders>
              <w:top w:val="single" w:sz="4" w:space="0" w:color="auto"/>
              <w:left w:val="single" w:sz="4" w:space="0" w:color="auto"/>
              <w:bottom w:val="single" w:sz="4" w:space="0" w:color="auto"/>
              <w:right w:val="single" w:sz="4" w:space="0" w:color="auto"/>
            </w:tcBorders>
          </w:tcPr>
          <w:p w14:paraId="4153A5BF" w14:textId="07C3E774"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w:t>
            </w:r>
          </w:p>
        </w:tc>
        <w:tc>
          <w:tcPr>
            <w:tcW w:w="425" w:type="dxa"/>
            <w:tcBorders>
              <w:top w:val="single" w:sz="4" w:space="0" w:color="auto"/>
              <w:left w:val="single" w:sz="4" w:space="0" w:color="auto"/>
              <w:bottom w:val="single" w:sz="4" w:space="0" w:color="auto"/>
              <w:right w:val="single" w:sz="4" w:space="0" w:color="auto"/>
            </w:tcBorders>
          </w:tcPr>
          <w:p w14:paraId="410A6342" w14:textId="715FE233"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567" w:type="dxa"/>
            <w:tcBorders>
              <w:top w:val="single" w:sz="4" w:space="0" w:color="auto"/>
              <w:left w:val="single" w:sz="4" w:space="0" w:color="auto"/>
              <w:bottom w:val="single" w:sz="4" w:space="0" w:color="auto"/>
              <w:right w:val="single" w:sz="4" w:space="0" w:color="auto"/>
            </w:tcBorders>
          </w:tcPr>
          <w:p w14:paraId="468EB0C5" w14:textId="0675BCC9"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567" w:type="dxa"/>
            <w:tcBorders>
              <w:top w:val="single" w:sz="4" w:space="0" w:color="auto"/>
              <w:left w:val="single" w:sz="4" w:space="0" w:color="auto"/>
              <w:bottom w:val="single" w:sz="4" w:space="0" w:color="auto"/>
              <w:right w:val="single" w:sz="4" w:space="0" w:color="auto"/>
            </w:tcBorders>
          </w:tcPr>
          <w:p w14:paraId="6B204E94" w14:textId="142E9F6D"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567" w:type="dxa"/>
            <w:tcBorders>
              <w:top w:val="single" w:sz="4" w:space="0" w:color="auto"/>
              <w:left w:val="single" w:sz="4" w:space="0" w:color="auto"/>
              <w:bottom w:val="single" w:sz="4" w:space="0" w:color="auto"/>
              <w:right w:val="single" w:sz="4" w:space="0" w:color="auto"/>
            </w:tcBorders>
          </w:tcPr>
          <w:p w14:paraId="51737BE0" w14:textId="5BA6C8DA"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558" w:type="dxa"/>
            <w:tcBorders>
              <w:top w:val="single" w:sz="4" w:space="0" w:color="auto"/>
              <w:left w:val="single" w:sz="4" w:space="0" w:color="auto"/>
              <w:bottom w:val="single" w:sz="4" w:space="0" w:color="auto"/>
              <w:right w:val="single" w:sz="4" w:space="0" w:color="auto"/>
            </w:tcBorders>
          </w:tcPr>
          <w:p w14:paraId="566420CF" w14:textId="7FE0E982"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576" w:type="dxa"/>
            <w:tcBorders>
              <w:top w:val="single" w:sz="4" w:space="0" w:color="auto"/>
              <w:left w:val="single" w:sz="4" w:space="0" w:color="auto"/>
              <w:bottom w:val="single" w:sz="4" w:space="0" w:color="auto"/>
              <w:right w:val="single" w:sz="4" w:space="0" w:color="auto"/>
            </w:tcBorders>
          </w:tcPr>
          <w:p w14:paraId="5A4B7645" w14:textId="726B1470" w:rsidR="00D567E5"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r>
      <w:tr w:rsidR="00D567E5" w:rsidRPr="004D768E" w14:paraId="02FD02FF" w14:textId="77777777" w:rsidTr="00D567E5">
        <w:tc>
          <w:tcPr>
            <w:tcW w:w="446" w:type="dxa"/>
            <w:tcBorders>
              <w:top w:val="single" w:sz="4" w:space="0" w:color="auto"/>
              <w:left w:val="single" w:sz="4" w:space="0" w:color="auto"/>
              <w:bottom w:val="single" w:sz="4" w:space="0" w:color="auto"/>
              <w:right w:val="single" w:sz="4" w:space="0" w:color="auto"/>
            </w:tcBorders>
          </w:tcPr>
          <w:p w14:paraId="74445093" w14:textId="73FF1FAD" w:rsidR="00D567E5" w:rsidRPr="004D768E"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х</w:t>
            </w:r>
          </w:p>
        </w:tc>
        <w:tc>
          <w:tcPr>
            <w:tcW w:w="457" w:type="dxa"/>
            <w:tcBorders>
              <w:top w:val="single" w:sz="4" w:space="0" w:color="auto"/>
              <w:left w:val="single" w:sz="4" w:space="0" w:color="auto"/>
              <w:bottom w:val="single" w:sz="4" w:space="0" w:color="auto"/>
              <w:right w:val="single" w:sz="4" w:space="0" w:color="auto"/>
            </w:tcBorders>
          </w:tcPr>
          <w:p w14:paraId="7BD40AB7" w14:textId="1D6F21BE" w:rsidR="00D567E5" w:rsidRPr="004D768E"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х</w:t>
            </w:r>
          </w:p>
        </w:tc>
        <w:tc>
          <w:tcPr>
            <w:tcW w:w="463" w:type="dxa"/>
            <w:tcBorders>
              <w:top w:val="single" w:sz="4" w:space="0" w:color="auto"/>
              <w:left w:val="single" w:sz="4" w:space="0" w:color="auto"/>
              <w:bottom w:val="single" w:sz="4" w:space="0" w:color="auto"/>
              <w:right w:val="single" w:sz="4" w:space="0" w:color="auto"/>
            </w:tcBorders>
          </w:tcPr>
          <w:p w14:paraId="10ABFD4D" w14:textId="4B6E2D18" w:rsidR="00D567E5" w:rsidRPr="004D768E" w:rsidRDefault="00D567E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х</w:t>
            </w:r>
          </w:p>
        </w:tc>
        <w:tc>
          <w:tcPr>
            <w:tcW w:w="636" w:type="dxa"/>
            <w:tcBorders>
              <w:top w:val="single" w:sz="4" w:space="0" w:color="auto"/>
              <w:left w:val="single" w:sz="4" w:space="0" w:color="auto"/>
              <w:bottom w:val="single" w:sz="4" w:space="0" w:color="auto"/>
              <w:right w:val="single" w:sz="4" w:space="0" w:color="auto"/>
            </w:tcBorders>
            <w:vAlign w:val="bottom"/>
          </w:tcPr>
          <w:p w14:paraId="31213F53" w14:textId="5CC4DEF6" w:rsidR="00D567E5" w:rsidRPr="004D768E" w:rsidRDefault="00D567E5">
            <w:pPr>
              <w:jc w:val="center"/>
              <w:rPr>
                <w:rFonts w:ascii="Times New Roman" w:hAnsi="Times New Roman" w:cs="Times New Roman"/>
                <w:sz w:val="24"/>
                <w:szCs w:val="24"/>
              </w:rPr>
            </w:pPr>
            <w:r>
              <w:rPr>
                <w:rFonts w:ascii="Times New Roman" w:hAnsi="Times New Roman" w:cs="Times New Roman"/>
                <w:sz w:val="24"/>
                <w:szCs w:val="24"/>
              </w:rPr>
              <w:t>х</w:t>
            </w:r>
          </w:p>
        </w:tc>
        <w:tc>
          <w:tcPr>
            <w:tcW w:w="2518" w:type="dxa"/>
            <w:gridSpan w:val="3"/>
            <w:tcBorders>
              <w:top w:val="single" w:sz="4" w:space="0" w:color="auto"/>
              <w:left w:val="single" w:sz="4" w:space="0" w:color="auto"/>
              <w:bottom w:val="single" w:sz="4" w:space="0" w:color="auto"/>
              <w:right w:val="single" w:sz="4" w:space="0" w:color="auto"/>
            </w:tcBorders>
            <w:vAlign w:val="bottom"/>
          </w:tcPr>
          <w:p w14:paraId="0D9DD72B" w14:textId="7B3775CD" w:rsidR="00D567E5" w:rsidRPr="00E45E9C" w:rsidRDefault="00D567E5">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val="kk-KZ" w:eastAsia="ru-RU"/>
              </w:rPr>
              <w:t xml:space="preserve">Орындалу пайызы, </w:t>
            </w:r>
            <w:r>
              <w:rPr>
                <w:rFonts w:ascii="Times New Roman" w:eastAsia="Times New Roman" w:hAnsi="Times New Roman" w:cs="Times New Roman"/>
                <w:kern w:val="36"/>
                <w:sz w:val="24"/>
                <w:szCs w:val="24"/>
                <w:lang w:eastAsia="ru-RU"/>
              </w:rPr>
              <w:t>%</w:t>
            </w:r>
          </w:p>
        </w:tc>
        <w:tc>
          <w:tcPr>
            <w:tcW w:w="438" w:type="dxa"/>
            <w:tcBorders>
              <w:top w:val="single" w:sz="4" w:space="0" w:color="auto"/>
              <w:left w:val="single" w:sz="4" w:space="0" w:color="auto"/>
              <w:bottom w:val="single" w:sz="4" w:space="0" w:color="auto"/>
              <w:right w:val="single" w:sz="4" w:space="0" w:color="auto"/>
            </w:tcBorders>
          </w:tcPr>
          <w:p w14:paraId="7B544616" w14:textId="77777777" w:rsidR="00D567E5" w:rsidRPr="004D768E" w:rsidRDefault="00D567E5">
            <w:pPr>
              <w:jc w:val="center"/>
              <w:rPr>
                <w:rFonts w:ascii="Times New Roman" w:eastAsia="Times New Roman" w:hAnsi="Times New Roman" w:cs="Times New Roman"/>
                <w:kern w:val="36"/>
                <w:sz w:val="24"/>
                <w:szCs w:val="24"/>
                <w:lang w:val="kk-KZ" w:eastAsia="ru-RU"/>
              </w:rPr>
            </w:pPr>
          </w:p>
        </w:tc>
        <w:tc>
          <w:tcPr>
            <w:tcW w:w="456" w:type="dxa"/>
            <w:tcBorders>
              <w:top w:val="single" w:sz="4" w:space="0" w:color="auto"/>
              <w:left w:val="single" w:sz="4" w:space="0" w:color="auto"/>
              <w:bottom w:val="single" w:sz="4" w:space="0" w:color="auto"/>
              <w:right w:val="single" w:sz="4" w:space="0" w:color="auto"/>
            </w:tcBorders>
          </w:tcPr>
          <w:p w14:paraId="6B11C668" w14:textId="46BB85E7" w:rsidR="00D567E5" w:rsidRPr="004D768E" w:rsidRDefault="00D567E5">
            <w:pPr>
              <w:jc w:val="center"/>
              <w:rPr>
                <w:rFonts w:ascii="Times New Roman" w:eastAsia="Times New Roman" w:hAnsi="Times New Roman" w:cs="Times New Roman"/>
                <w:kern w:val="36"/>
                <w:sz w:val="24"/>
                <w:szCs w:val="24"/>
                <w:lang w:eastAsia="ru-RU"/>
              </w:rPr>
            </w:pPr>
            <w:r w:rsidRPr="004D768E">
              <w:rPr>
                <w:rFonts w:ascii="Times New Roman" w:eastAsia="Times New Roman" w:hAnsi="Times New Roman" w:cs="Times New Roman"/>
                <w:kern w:val="36"/>
                <w:sz w:val="24"/>
                <w:szCs w:val="24"/>
                <w:lang w:val="kk-KZ" w:eastAsia="ru-RU"/>
              </w:rPr>
              <w:t>33</w:t>
            </w:r>
          </w:p>
        </w:tc>
        <w:tc>
          <w:tcPr>
            <w:tcW w:w="421" w:type="dxa"/>
            <w:tcBorders>
              <w:top w:val="single" w:sz="4" w:space="0" w:color="auto"/>
              <w:left w:val="single" w:sz="4" w:space="0" w:color="auto"/>
              <w:bottom w:val="single" w:sz="4" w:space="0" w:color="auto"/>
              <w:right w:val="single" w:sz="4" w:space="0" w:color="auto"/>
            </w:tcBorders>
          </w:tcPr>
          <w:p w14:paraId="23F56CE8" w14:textId="77777777" w:rsidR="00D567E5" w:rsidRPr="004D768E" w:rsidRDefault="00D567E5">
            <w:pPr>
              <w:jc w:val="center"/>
              <w:rPr>
                <w:rFonts w:ascii="Times New Roman" w:eastAsia="Times New Roman" w:hAnsi="Times New Roman" w:cs="Times New Roman"/>
                <w:kern w:val="36"/>
                <w:sz w:val="24"/>
                <w:szCs w:val="24"/>
                <w:lang w:val="kk-KZ" w:eastAsia="ru-RU"/>
              </w:rPr>
            </w:pPr>
          </w:p>
        </w:tc>
        <w:tc>
          <w:tcPr>
            <w:tcW w:w="539" w:type="dxa"/>
            <w:tcBorders>
              <w:top w:val="single" w:sz="4" w:space="0" w:color="auto"/>
              <w:left w:val="single" w:sz="4" w:space="0" w:color="auto"/>
              <w:bottom w:val="single" w:sz="4" w:space="0" w:color="auto"/>
              <w:right w:val="single" w:sz="4" w:space="0" w:color="auto"/>
            </w:tcBorders>
          </w:tcPr>
          <w:p w14:paraId="195FD421" w14:textId="230CBC79" w:rsidR="00D567E5" w:rsidRPr="004D768E" w:rsidRDefault="00D567E5">
            <w:pPr>
              <w:jc w:val="center"/>
              <w:rPr>
                <w:rFonts w:ascii="Times New Roman" w:eastAsia="Times New Roman" w:hAnsi="Times New Roman" w:cs="Times New Roman"/>
                <w:kern w:val="36"/>
                <w:sz w:val="24"/>
                <w:szCs w:val="24"/>
                <w:lang w:val="kk-KZ" w:eastAsia="ru-RU"/>
              </w:rPr>
            </w:pPr>
            <w:r w:rsidRPr="004D768E">
              <w:rPr>
                <w:rFonts w:ascii="Times New Roman" w:eastAsia="Times New Roman" w:hAnsi="Times New Roman" w:cs="Times New Roman"/>
                <w:kern w:val="36"/>
                <w:sz w:val="24"/>
                <w:szCs w:val="24"/>
                <w:lang w:val="kk-KZ" w:eastAsia="ru-RU"/>
              </w:rPr>
              <w:t>0</w:t>
            </w:r>
          </w:p>
        </w:tc>
        <w:tc>
          <w:tcPr>
            <w:tcW w:w="425" w:type="dxa"/>
            <w:tcBorders>
              <w:top w:val="single" w:sz="4" w:space="0" w:color="auto"/>
              <w:left w:val="single" w:sz="4" w:space="0" w:color="auto"/>
              <w:bottom w:val="single" w:sz="4" w:space="0" w:color="auto"/>
              <w:right w:val="single" w:sz="4" w:space="0" w:color="auto"/>
            </w:tcBorders>
          </w:tcPr>
          <w:p w14:paraId="0C59B348" w14:textId="77777777" w:rsidR="00D567E5" w:rsidRPr="004D768E" w:rsidRDefault="00D567E5">
            <w:pPr>
              <w:jc w:val="center"/>
              <w:rPr>
                <w:rFonts w:ascii="Times New Roman" w:eastAsia="Times New Roman" w:hAnsi="Times New Roman" w:cs="Times New Roman"/>
                <w:kern w:val="36"/>
                <w:sz w:val="24"/>
                <w:szCs w:val="24"/>
                <w:lang w:val="kk-KZ" w:eastAsia="ru-RU"/>
              </w:rPr>
            </w:pPr>
          </w:p>
        </w:tc>
        <w:tc>
          <w:tcPr>
            <w:tcW w:w="567" w:type="dxa"/>
            <w:tcBorders>
              <w:top w:val="single" w:sz="4" w:space="0" w:color="auto"/>
              <w:left w:val="single" w:sz="4" w:space="0" w:color="auto"/>
              <w:bottom w:val="single" w:sz="4" w:space="0" w:color="auto"/>
              <w:right w:val="single" w:sz="4" w:space="0" w:color="auto"/>
            </w:tcBorders>
          </w:tcPr>
          <w:p w14:paraId="683F9AF5" w14:textId="38B79120" w:rsidR="00D567E5" w:rsidRPr="004D768E" w:rsidRDefault="00D567E5">
            <w:pPr>
              <w:jc w:val="center"/>
              <w:rPr>
                <w:rFonts w:ascii="Times New Roman" w:eastAsia="Times New Roman" w:hAnsi="Times New Roman" w:cs="Times New Roman"/>
                <w:kern w:val="36"/>
                <w:sz w:val="24"/>
                <w:szCs w:val="24"/>
                <w:lang w:val="kk-KZ" w:eastAsia="ru-RU"/>
              </w:rPr>
            </w:pPr>
            <w:r w:rsidRPr="004D768E">
              <w:rPr>
                <w:rFonts w:ascii="Times New Roman" w:eastAsia="Times New Roman" w:hAnsi="Times New Roman" w:cs="Times New Roman"/>
                <w:kern w:val="36"/>
                <w:sz w:val="24"/>
                <w:szCs w:val="24"/>
                <w:lang w:val="kk-KZ" w:eastAsia="ru-RU"/>
              </w:rPr>
              <w:t>75</w:t>
            </w:r>
          </w:p>
        </w:tc>
        <w:tc>
          <w:tcPr>
            <w:tcW w:w="567" w:type="dxa"/>
            <w:tcBorders>
              <w:top w:val="single" w:sz="4" w:space="0" w:color="auto"/>
              <w:left w:val="single" w:sz="4" w:space="0" w:color="auto"/>
              <w:bottom w:val="single" w:sz="4" w:space="0" w:color="auto"/>
              <w:right w:val="single" w:sz="4" w:space="0" w:color="auto"/>
            </w:tcBorders>
          </w:tcPr>
          <w:p w14:paraId="6B28A5FB" w14:textId="77777777" w:rsidR="00D567E5" w:rsidRPr="004D768E" w:rsidRDefault="00D567E5">
            <w:pPr>
              <w:jc w:val="center"/>
              <w:rPr>
                <w:rFonts w:ascii="Times New Roman" w:eastAsia="Times New Roman" w:hAnsi="Times New Roman" w:cs="Times New Roman"/>
                <w:kern w:val="36"/>
                <w:sz w:val="24"/>
                <w:szCs w:val="24"/>
                <w:lang w:val="kk-KZ" w:eastAsia="ru-RU"/>
              </w:rPr>
            </w:pPr>
          </w:p>
        </w:tc>
        <w:tc>
          <w:tcPr>
            <w:tcW w:w="567" w:type="dxa"/>
            <w:tcBorders>
              <w:top w:val="single" w:sz="4" w:space="0" w:color="auto"/>
              <w:left w:val="single" w:sz="4" w:space="0" w:color="auto"/>
              <w:bottom w:val="single" w:sz="4" w:space="0" w:color="auto"/>
              <w:right w:val="single" w:sz="4" w:space="0" w:color="auto"/>
            </w:tcBorders>
          </w:tcPr>
          <w:p w14:paraId="11748D7D" w14:textId="4CC04A91" w:rsidR="00D567E5" w:rsidRPr="004D768E" w:rsidRDefault="00D567E5">
            <w:pPr>
              <w:jc w:val="center"/>
              <w:rPr>
                <w:rFonts w:ascii="Times New Roman" w:eastAsia="Times New Roman" w:hAnsi="Times New Roman" w:cs="Times New Roman"/>
                <w:kern w:val="36"/>
                <w:sz w:val="24"/>
                <w:szCs w:val="24"/>
                <w:lang w:val="kk-KZ" w:eastAsia="ru-RU"/>
              </w:rPr>
            </w:pPr>
            <w:r w:rsidRPr="004D768E">
              <w:rPr>
                <w:rFonts w:ascii="Times New Roman" w:eastAsia="Times New Roman" w:hAnsi="Times New Roman" w:cs="Times New Roman"/>
                <w:kern w:val="36"/>
                <w:sz w:val="24"/>
                <w:szCs w:val="24"/>
                <w:lang w:val="kk-KZ" w:eastAsia="ru-RU"/>
              </w:rPr>
              <w:t>67</w:t>
            </w:r>
          </w:p>
        </w:tc>
        <w:tc>
          <w:tcPr>
            <w:tcW w:w="558" w:type="dxa"/>
            <w:tcBorders>
              <w:top w:val="single" w:sz="4" w:space="0" w:color="auto"/>
              <w:left w:val="single" w:sz="4" w:space="0" w:color="auto"/>
              <w:bottom w:val="single" w:sz="4" w:space="0" w:color="auto"/>
              <w:right w:val="single" w:sz="4" w:space="0" w:color="auto"/>
            </w:tcBorders>
          </w:tcPr>
          <w:p w14:paraId="3F64BF44" w14:textId="77777777" w:rsidR="00D567E5" w:rsidRPr="004D768E" w:rsidRDefault="00D567E5">
            <w:pPr>
              <w:jc w:val="center"/>
              <w:rPr>
                <w:rFonts w:ascii="Times New Roman" w:eastAsia="Times New Roman" w:hAnsi="Times New Roman" w:cs="Times New Roman"/>
                <w:kern w:val="36"/>
                <w:sz w:val="24"/>
                <w:szCs w:val="24"/>
                <w:lang w:val="kk-KZ" w:eastAsia="ru-RU"/>
              </w:rPr>
            </w:pPr>
          </w:p>
        </w:tc>
        <w:tc>
          <w:tcPr>
            <w:tcW w:w="576" w:type="dxa"/>
            <w:tcBorders>
              <w:top w:val="single" w:sz="4" w:space="0" w:color="auto"/>
              <w:left w:val="single" w:sz="4" w:space="0" w:color="auto"/>
              <w:bottom w:val="single" w:sz="4" w:space="0" w:color="auto"/>
              <w:right w:val="single" w:sz="4" w:space="0" w:color="auto"/>
            </w:tcBorders>
          </w:tcPr>
          <w:p w14:paraId="170A58CA" w14:textId="772C25D2" w:rsidR="00D567E5" w:rsidRPr="004D768E" w:rsidRDefault="00D567E5">
            <w:pPr>
              <w:jc w:val="center"/>
              <w:rPr>
                <w:rFonts w:ascii="Times New Roman" w:eastAsia="Times New Roman" w:hAnsi="Times New Roman" w:cs="Times New Roman"/>
                <w:kern w:val="36"/>
                <w:sz w:val="24"/>
                <w:szCs w:val="24"/>
                <w:lang w:val="kk-KZ" w:eastAsia="ru-RU"/>
              </w:rPr>
            </w:pPr>
            <w:r w:rsidRPr="004D768E">
              <w:rPr>
                <w:rFonts w:ascii="Times New Roman" w:eastAsia="Times New Roman" w:hAnsi="Times New Roman" w:cs="Times New Roman"/>
                <w:kern w:val="36"/>
                <w:sz w:val="24"/>
                <w:szCs w:val="24"/>
                <w:lang w:val="kk-KZ" w:eastAsia="ru-RU"/>
              </w:rPr>
              <w:t>100</w:t>
            </w:r>
          </w:p>
        </w:tc>
      </w:tr>
    </w:tbl>
    <w:p w14:paraId="0C2D4885" w14:textId="77777777" w:rsidR="00656EE7" w:rsidRDefault="00656EE7" w:rsidP="00656EE7">
      <w:pPr>
        <w:spacing w:after="0" w:line="240" w:lineRule="auto"/>
        <w:ind w:firstLine="709"/>
        <w:jc w:val="both"/>
        <w:rPr>
          <w:rFonts w:ascii="Times New Roman" w:eastAsia="Times New Roman" w:hAnsi="Times New Roman" w:cs="Times New Roman"/>
          <w:kern w:val="36"/>
          <w:sz w:val="28"/>
          <w:szCs w:val="28"/>
          <w:lang w:val="kk-KZ" w:eastAsia="ru-RU"/>
        </w:rPr>
      </w:pPr>
    </w:p>
    <w:p w14:paraId="2532924B" w14:textId="77777777" w:rsidR="000E6F97" w:rsidRPr="000E6F97" w:rsidRDefault="00656EE7" w:rsidP="000E6F97">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2022 жылы ұлттық жобаны қаржыландыру 694,7 млрд теңге бюджеттен тыс көздерден қаражат тартылмағандықтан игерілмеген.</w:t>
      </w:r>
      <w:r w:rsidR="001C0907">
        <w:rPr>
          <w:rFonts w:ascii="Times New Roman" w:eastAsia="Times New Roman" w:hAnsi="Times New Roman" w:cs="Times New Roman"/>
          <w:kern w:val="36"/>
          <w:sz w:val="28"/>
          <w:szCs w:val="28"/>
          <w:lang w:val="kk-KZ" w:eastAsia="ru-RU"/>
        </w:rPr>
        <w:t xml:space="preserve"> 2021-2022 жж</w:t>
      </w:r>
      <w:r w:rsidR="001C0907">
        <w:rPr>
          <w:rFonts w:ascii="Times New Roman" w:eastAsia="Times New Roman" w:hAnsi="Times New Roman" w:cs="Times New Roman"/>
          <w:kern w:val="36"/>
          <w:sz w:val="28"/>
          <w:szCs w:val="28"/>
          <w:lang w:val="ru-KZ" w:eastAsia="ru-RU"/>
        </w:rPr>
        <w:t xml:space="preserve">. </w:t>
      </w:r>
      <w:r w:rsidR="001C0907">
        <w:rPr>
          <w:rFonts w:ascii="Times New Roman" w:eastAsia="Times New Roman" w:hAnsi="Times New Roman" w:cs="Times New Roman"/>
          <w:kern w:val="36"/>
          <w:sz w:val="28"/>
          <w:szCs w:val="28"/>
          <w:lang w:val="kk-KZ" w:eastAsia="ru-RU"/>
        </w:rPr>
        <w:t>Ұлттық жобаның төрт міндеті бойынша 22 нәтижелі көрсеткіш жоспарланған, соның ішінде нақты қол жеткізілгені 11 көрсеткіш, яғни, 50 пайызы орындалған. Ал, жұмсалған бюджет қаражаты 2022 жылы түзетілген бюджеттің 59 пайызын құрап отыр.</w:t>
      </w:r>
      <w:r>
        <w:rPr>
          <w:rFonts w:ascii="Times New Roman" w:eastAsia="Times New Roman" w:hAnsi="Times New Roman" w:cs="Times New Roman"/>
          <w:kern w:val="36"/>
          <w:sz w:val="28"/>
          <w:szCs w:val="28"/>
          <w:lang w:val="kk-KZ" w:eastAsia="ru-RU"/>
        </w:rPr>
        <w:t xml:space="preserve"> </w:t>
      </w:r>
      <w:r w:rsidR="00450E4C">
        <w:rPr>
          <w:rFonts w:ascii="Times New Roman" w:eastAsia="Times New Roman" w:hAnsi="Times New Roman" w:cs="Times New Roman"/>
          <w:kern w:val="36"/>
          <w:sz w:val="28"/>
          <w:szCs w:val="28"/>
          <w:lang w:val="kk-KZ" w:eastAsia="ru-RU"/>
        </w:rPr>
        <w:t xml:space="preserve">Ұлттық жобаны іске асырудан әлеуметтік және экономикалық әсерін сипаттайтын көрсеткіштер жоспарланған, жалпы әлеуметтік әсері бойынша бір көрсеткіш орындалмаған, ал экономикалық әсері бойынша 5 көрсеткіш анықталған. </w:t>
      </w:r>
      <w:r w:rsidR="00450E4C" w:rsidRPr="00D567E5">
        <w:rPr>
          <w:rFonts w:ascii="Times New Roman" w:eastAsia="Times New Roman" w:hAnsi="Times New Roman" w:cs="Times New Roman"/>
          <w:kern w:val="36"/>
          <w:sz w:val="28"/>
          <w:szCs w:val="28"/>
          <w:lang w:val="kk-KZ" w:eastAsia="ru-RU"/>
        </w:rPr>
        <w:t>Соның ішінде біздің ойымызша тұрақты және маусымдық жұмыс орындарын құру деген көрсеткіш әлеуметтік әсерге жатқызуға болады деп есептейміз,</w:t>
      </w:r>
      <w:r w:rsidR="00450E4C" w:rsidRPr="000E6F97">
        <w:rPr>
          <w:rFonts w:ascii="Times New Roman" w:eastAsia="Times New Roman" w:hAnsi="Times New Roman" w:cs="Times New Roman"/>
          <w:kern w:val="36"/>
          <w:sz w:val="28"/>
          <w:szCs w:val="28"/>
          <w:lang w:val="kk-KZ" w:eastAsia="ru-RU"/>
        </w:rPr>
        <w:t xml:space="preserve"> дегенмен осы 5 көрсеткіштің 2 көрсеткіші ғана орындалған. </w:t>
      </w:r>
    </w:p>
    <w:p w14:paraId="6777B4C4" w14:textId="182696CC" w:rsidR="000E6F97" w:rsidRPr="000E6F97" w:rsidRDefault="000E6F97" w:rsidP="000E6F97">
      <w:pPr>
        <w:tabs>
          <w:tab w:val="left" w:pos="993"/>
        </w:tabs>
        <w:spacing w:after="0" w:line="240" w:lineRule="auto"/>
        <w:ind w:firstLine="709"/>
        <w:jc w:val="both"/>
        <w:rPr>
          <w:rFonts w:ascii="Times New Roman" w:hAnsi="Times New Roman" w:cs="Times New Roman"/>
          <w:color w:val="000000"/>
          <w:sz w:val="28"/>
          <w:szCs w:val="28"/>
          <w:lang w:val="kk-KZ"/>
        </w:rPr>
      </w:pPr>
      <w:r w:rsidRPr="000E6F97">
        <w:rPr>
          <w:rFonts w:ascii="Times New Roman" w:hAnsi="Times New Roman" w:cs="Times New Roman"/>
          <w:color w:val="000000"/>
          <w:sz w:val="28"/>
          <w:szCs w:val="28"/>
          <w:lang w:val="kk-KZ"/>
        </w:rPr>
        <w:t>Агроөнеркәсіптік кешенді дамытуға бағытталған бюджет қаражатының тиімділігін бағалау тиімділіктің әртүрлі жүйелерін пайдалана отырып жүргізілуі мүмкін. Біздің ойымызша оларға: экономикалық, әлеуметтік, технологиялық, бюджеттік, экологиялық</w:t>
      </w:r>
      <w:r w:rsidR="005B751E">
        <w:rPr>
          <w:rFonts w:ascii="Times New Roman" w:hAnsi="Times New Roman" w:cs="Times New Roman"/>
          <w:color w:val="000000"/>
          <w:sz w:val="28"/>
          <w:szCs w:val="28"/>
          <w:lang w:val="kk-KZ"/>
        </w:rPr>
        <w:t xml:space="preserve"> деген жүйелерін белгілеуге болады:</w:t>
      </w:r>
      <w:r w:rsidRPr="000E6F97">
        <w:rPr>
          <w:rFonts w:ascii="Times New Roman" w:hAnsi="Times New Roman" w:cs="Times New Roman"/>
          <w:color w:val="000000"/>
          <w:sz w:val="28"/>
          <w:szCs w:val="28"/>
          <w:lang w:val="kk-KZ"/>
        </w:rPr>
        <w:t xml:space="preserve"> </w:t>
      </w:r>
    </w:p>
    <w:p w14:paraId="7A6F1791" w14:textId="0DDBEE45" w:rsidR="000E6F97" w:rsidRPr="00C82881" w:rsidRDefault="000E6F97" w:rsidP="0097172E">
      <w:pPr>
        <w:pStyle w:val="a5"/>
        <w:numPr>
          <w:ilvl w:val="0"/>
          <w:numId w:val="57"/>
        </w:numPr>
        <w:tabs>
          <w:tab w:val="left" w:pos="993"/>
        </w:tabs>
        <w:spacing w:after="0" w:line="240" w:lineRule="auto"/>
        <w:ind w:left="0" w:firstLine="709"/>
        <w:jc w:val="both"/>
        <w:rPr>
          <w:rFonts w:ascii="Times New Roman" w:hAnsi="Times New Roman"/>
          <w:color w:val="000000"/>
          <w:sz w:val="28"/>
          <w:szCs w:val="28"/>
          <w:lang w:val="kk-KZ"/>
        </w:rPr>
      </w:pPr>
      <w:r w:rsidRPr="000E6F97">
        <w:rPr>
          <w:rFonts w:ascii="Times New Roman" w:hAnsi="Times New Roman"/>
          <w:color w:val="000000"/>
          <w:sz w:val="28"/>
          <w:szCs w:val="28"/>
          <w:lang w:val="kk-KZ"/>
        </w:rPr>
        <w:t xml:space="preserve">экономикалық тиімділікті </w:t>
      </w:r>
      <w:r>
        <w:rPr>
          <w:rFonts w:ascii="Times New Roman" w:hAnsi="Times New Roman"/>
          <w:color w:val="000000"/>
          <w:sz w:val="28"/>
          <w:szCs w:val="28"/>
          <w:lang w:val="kk-KZ"/>
        </w:rPr>
        <w:t>(Э</w:t>
      </w:r>
      <w:r w:rsidR="009E749D">
        <w:rPr>
          <w:rFonts w:ascii="Times New Roman" w:hAnsi="Times New Roman"/>
          <w:color w:val="000000"/>
          <w:sz w:val="28"/>
          <w:szCs w:val="28"/>
          <w:lang w:val="kk-KZ"/>
        </w:rPr>
        <w:t>Т</w:t>
      </w:r>
      <w:r>
        <w:rPr>
          <w:rFonts w:ascii="Times New Roman" w:hAnsi="Times New Roman"/>
          <w:color w:val="000000"/>
          <w:sz w:val="28"/>
          <w:szCs w:val="28"/>
          <w:lang w:val="kk-KZ"/>
        </w:rPr>
        <w:t xml:space="preserve">) </w:t>
      </w:r>
      <w:r w:rsidRPr="000E6F97">
        <w:rPr>
          <w:rFonts w:ascii="Times New Roman" w:hAnsi="Times New Roman"/>
          <w:color w:val="000000"/>
          <w:sz w:val="28"/>
          <w:szCs w:val="28"/>
          <w:lang w:val="kk-KZ"/>
        </w:rPr>
        <w:t>бағалау қаржылық көрсеткіштерге негізделген, мысалы, макродеңгейдегі АӨК тартылған инвестициялар көлемі, АӨК-</w:t>
      </w:r>
      <w:r w:rsidRPr="00C82881">
        <w:rPr>
          <w:rFonts w:ascii="Times New Roman" w:hAnsi="Times New Roman"/>
          <w:color w:val="000000"/>
          <w:sz w:val="28"/>
          <w:szCs w:val="28"/>
          <w:lang w:val="kk-KZ"/>
        </w:rPr>
        <w:t>нің ЖІӨ-і, экспорт көлемі, микродеңгейде  өнімді өткізу көлемі, өзіндік құны, өндіріс құны және т.б. Агроөнеркәсіптік кешенде бюджет қаражатын пайдалану тиімділігін анықтау үшін экономикалық көрсеткіштер талданады.</w:t>
      </w:r>
    </w:p>
    <w:p w14:paraId="0AE2F13C" w14:textId="6C681643" w:rsidR="000E6F97" w:rsidRPr="00C82881" w:rsidRDefault="000E6F97" w:rsidP="0097172E">
      <w:pPr>
        <w:pStyle w:val="a5"/>
        <w:numPr>
          <w:ilvl w:val="0"/>
          <w:numId w:val="57"/>
        </w:numPr>
        <w:tabs>
          <w:tab w:val="left" w:pos="993"/>
        </w:tabs>
        <w:spacing w:after="0" w:line="240" w:lineRule="auto"/>
        <w:ind w:left="0" w:firstLine="709"/>
        <w:jc w:val="both"/>
        <w:rPr>
          <w:rFonts w:ascii="Times New Roman" w:eastAsia="Times New Roman" w:hAnsi="Times New Roman"/>
          <w:kern w:val="36"/>
          <w:sz w:val="28"/>
          <w:szCs w:val="28"/>
          <w:lang w:val="kk-KZ" w:eastAsia="ru-RU"/>
        </w:rPr>
      </w:pPr>
      <w:r w:rsidRPr="00C82881">
        <w:rPr>
          <w:rFonts w:ascii="Times New Roman" w:hAnsi="Times New Roman"/>
          <w:color w:val="000000"/>
          <w:sz w:val="28"/>
          <w:szCs w:val="28"/>
          <w:lang w:val="kk-KZ"/>
        </w:rPr>
        <w:t xml:space="preserve">экологиялық тиімділікті </w:t>
      </w:r>
      <w:r w:rsidR="00C86E98">
        <w:rPr>
          <w:rFonts w:ascii="Times New Roman" w:hAnsi="Times New Roman"/>
          <w:color w:val="000000"/>
          <w:sz w:val="28"/>
          <w:szCs w:val="28"/>
          <w:lang w:val="kk-KZ"/>
        </w:rPr>
        <w:t xml:space="preserve">(ЭколТ) </w:t>
      </w:r>
      <w:r w:rsidRPr="00C82881">
        <w:rPr>
          <w:rFonts w:ascii="Times New Roman" w:hAnsi="Times New Roman"/>
          <w:color w:val="000000"/>
          <w:sz w:val="28"/>
          <w:szCs w:val="28"/>
          <w:lang w:val="kk-KZ"/>
        </w:rPr>
        <w:t xml:space="preserve">бағалау АӨК қызметтің қоршаған ортаға әсеріне негізделген. Ресурстарды тұрақты пайдалануға, ластануды азайтуға және биоәртүрлілікті сақтауға байланысты көрсеткіштер талданады. </w:t>
      </w:r>
    </w:p>
    <w:p w14:paraId="425F52FA" w14:textId="42D2A6C9" w:rsidR="000E6F97" w:rsidRPr="00C82881" w:rsidRDefault="000E6F97" w:rsidP="0097172E">
      <w:pPr>
        <w:pStyle w:val="a5"/>
        <w:numPr>
          <w:ilvl w:val="0"/>
          <w:numId w:val="57"/>
        </w:numPr>
        <w:tabs>
          <w:tab w:val="left" w:pos="993"/>
        </w:tabs>
        <w:spacing w:after="0" w:line="240" w:lineRule="auto"/>
        <w:ind w:left="0" w:firstLine="709"/>
        <w:jc w:val="both"/>
        <w:rPr>
          <w:rFonts w:ascii="Times New Roman" w:eastAsia="Times New Roman" w:hAnsi="Times New Roman"/>
          <w:kern w:val="36"/>
          <w:sz w:val="28"/>
          <w:szCs w:val="28"/>
          <w:lang w:val="kk-KZ" w:eastAsia="ru-RU"/>
        </w:rPr>
      </w:pPr>
      <w:r w:rsidRPr="00C82881">
        <w:rPr>
          <w:rFonts w:ascii="Times New Roman" w:hAnsi="Times New Roman"/>
          <w:color w:val="000000"/>
          <w:sz w:val="28"/>
          <w:szCs w:val="28"/>
          <w:lang w:val="kk-KZ"/>
        </w:rPr>
        <w:t>бюджеттік тиімділік</w:t>
      </w:r>
      <w:r w:rsidR="005B751E">
        <w:rPr>
          <w:rFonts w:ascii="Times New Roman" w:hAnsi="Times New Roman"/>
          <w:color w:val="000000"/>
          <w:sz w:val="28"/>
          <w:szCs w:val="28"/>
          <w:lang w:val="kk-KZ"/>
        </w:rPr>
        <w:t>ті</w:t>
      </w:r>
      <w:r w:rsidR="00C86E98">
        <w:rPr>
          <w:rFonts w:ascii="Times New Roman" w:hAnsi="Times New Roman"/>
          <w:color w:val="000000"/>
          <w:sz w:val="28"/>
          <w:szCs w:val="28"/>
          <w:lang w:val="kk-KZ"/>
        </w:rPr>
        <w:t xml:space="preserve"> (БТ)</w:t>
      </w:r>
      <w:r w:rsidRPr="00C82881">
        <w:rPr>
          <w:rFonts w:ascii="Times New Roman" w:hAnsi="Times New Roman"/>
          <w:color w:val="000000"/>
          <w:sz w:val="28"/>
          <w:szCs w:val="28"/>
          <w:lang w:val="kk-KZ"/>
        </w:rPr>
        <w:t xml:space="preserve"> бағалау бюджет қаражатын тиімді пайдалануға және жоспарланған нәтижелерге қол жеткізуге негізделген. Қаражатты жұмсауға, мақсаттарға қол жеткізуге және жоспарланған тиімділік көрсеткіштеріне байланысты көрсеткіштер талданады</w:t>
      </w:r>
      <w:r w:rsidR="00C82881" w:rsidRPr="00C82881">
        <w:rPr>
          <w:rFonts w:ascii="Times New Roman" w:hAnsi="Times New Roman"/>
          <w:color w:val="000000"/>
          <w:sz w:val="28"/>
          <w:szCs w:val="28"/>
          <w:lang w:val="kk-KZ"/>
        </w:rPr>
        <w:t>, яғни, салықтар түсімі, субсидиялар қайтарымы т.с.с. көрсеткіштер.</w:t>
      </w:r>
    </w:p>
    <w:p w14:paraId="4ECDE707" w14:textId="793ECE26" w:rsidR="00C82881" w:rsidRPr="00C82881" w:rsidRDefault="00C82881" w:rsidP="0097172E">
      <w:pPr>
        <w:pStyle w:val="a5"/>
        <w:numPr>
          <w:ilvl w:val="0"/>
          <w:numId w:val="57"/>
        </w:numPr>
        <w:tabs>
          <w:tab w:val="left" w:pos="993"/>
        </w:tabs>
        <w:spacing w:after="0" w:line="240" w:lineRule="auto"/>
        <w:ind w:left="0" w:firstLine="709"/>
        <w:jc w:val="both"/>
        <w:rPr>
          <w:rFonts w:ascii="Times New Roman" w:eastAsia="Times New Roman" w:hAnsi="Times New Roman"/>
          <w:kern w:val="36"/>
          <w:sz w:val="28"/>
          <w:szCs w:val="28"/>
          <w:lang w:val="kk-KZ" w:eastAsia="ru-RU"/>
        </w:rPr>
      </w:pPr>
      <w:r w:rsidRPr="00C82881">
        <w:rPr>
          <w:rFonts w:ascii="Times New Roman" w:hAnsi="Times New Roman"/>
          <w:color w:val="000000"/>
          <w:sz w:val="28"/>
          <w:szCs w:val="28"/>
          <w:lang w:val="kk-KZ"/>
        </w:rPr>
        <w:t xml:space="preserve">технологиялық тиімділікті </w:t>
      </w:r>
      <w:r w:rsidR="00C86E98">
        <w:rPr>
          <w:rFonts w:ascii="Times New Roman" w:hAnsi="Times New Roman"/>
          <w:color w:val="000000"/>
          <w:sz w:val="28"/>
          <w:szCs w:val="28"/>
          <w:lang w:val="kk-KZ"/>
        </w:rPr>
        <w:t xml:space="preserve">(ТТ) </w:t>
      </w:r>
      <w:r w:rsidRPr="00C82881">
        <w:rPr>
          <w:rFonts w:ascii="Times New Roman" w:hAnsi="Times New Roman"/>
          <w:color w:val="000000"/>
          <w:sz w:val="28"/>
          <w:szCs w:val="28"/>
          <w:lang w:val="kk-KZ"/>
        </w:rPr>
        <w:t xml:space="preserve">бағалау АӨК-де озық технологиялар мен инновацияларды пайдалануға негізделген. Техниканы пайдалану тиімділігіне, процестерді автоматтандыруға, өнім сапасын жақсартуға және т. б. байланысты көрсеткіштер талданады. </w:t>
      </w:r>
    </w:p>
    <w:p w14:paraId="604F6BEA" w14:textId="4FDBE524" w:rsidR="00C82881" w:rsidRPr="00C82881" w:rsidRDefault="00C82881" w:rsidP="0097172E">
      <w:pPr>
        <w:pStyle w:val="a5"/>
        <w:numPr>
          <w:ilvl w:val="0"/>
          <w:numId w:val="57"/>
        </w:numPr>
        <w:tabs>
          <w:tab w:val="left" w:pos="993"/>
        </w:tabs>
        <w:spacing w:after="0" w:line="240" w:lineRule="auto"/>
        <w:ind w:left="0" w:firstLine="709"/>
        <w:jc w:val="both"/>
        <w:rPr>
          <w:rFonts w:ascii="Times New Roman" w:eastAsia="Times New Roman" w:hAnsi="Times New Roman"/>
          <w:kern w:val="36"/>
          <w:sz w:val="28"/>
          <w:szCs w:val="28"/>
          <w:lang w:val="kk-KZ" w:eastAsia="ru-RU"/>
        </w:rPr>
      </w:pPr>
      <w:r w:rsidRPr="00C82881">
        <w:rPr>
          <w:rFonts w:ascii="Times New Roman" w:hAnsi="Times New Roman"/>
          <w:color w:val="000000"/>
          <w:sz w:val="28"/>
          <w:szCs w:val="28"/>
          <w:lang w:val="kk-KZ"/>
        </w:rPr>
        <w:t xml:space="preserve">әлеуметтік тиімділікті </w:t>
      </w:r>
      <w:r w:rsidR="00C86E98">
        <w:rPr>
          <w:rFonts w:ascii="Times New Roman" w:hAnsi="Times New Roman"/>
          <w:color w:val="000000"/>
          <w:sz w:val="28"/>
          <w:szCs w:val="28"/>
          <w:lang w:val="kk-KZ"/>
        </w:rPr>
        <w:t xml:space="preserve">(ӘТ) </w:t>
      </w:r>
      <w:r w:rsidRPr="00C82881">
        <w:rPr>
          <w:rFonts w:ascii="Times New Roman" w:hAnsi="Times New Roman"/>
          <w:color w:val="000000"/>
          <w:sz w:val="28"/>
          <w:szCs w:val="28"/>
          <w:lang w:val="kk-KZ"/>
        </w:rPr>
        <w:t xml:space="preserve">бағалау АӨК-де жұмыспен қамту деңгейі, ауыл тұрғындарының өмір сүру деңгейі, азық-түліктің қолжетімділігі және т.б. сияқты әлеуметтік көрсеткіштерге негізделген. </w:t>
      </w:r>
    </w:p>
    <w:p w14:paraId="145C26DC" w14:textId="3B3E4E52" w:rsidR="00C82881" w:rsidRPr="00C82881" w:rsidRDefault="00C82881" w:rsidP="00C82881">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C82881">
        <w:rPr>
          <w:rFonts w:ascii="Times New Roman" w:hAnsi="Times New Roman" w:cs="Times New Roman"/>
          <w:color w:val="000000"/>
          <w:sz w:val="28"/>
          <w:szCs w:val="28"/>
          <w:lang w:val="kk-KZ"/>
        </w:rPr>
        <w:t>Тиімділікті бағалау үшін жоғарыда аталған барлық тиімділік жүйелерін ескере отырып, кешенді тәсілді қолдануға болады. Сондай-ақ, бағалау кезінде агроөнеркәсіптік кешеннің ерекшелігін және оның даму мақсаттарын ескеру қажет.</w:t>
      </w:r>
    </w:p>
    <w:p w14:paraId="0DDBD253" w14:textId="77777777" w:rsidR="00C82881" w:rsidRDefault="00C82881" w:rsidP="000E6F97">
      <w:pPr>
        <w:tabs>
          <w:tab w:val="left" w:pos="993"/>
        </w:tabs>
        <w:spacing w:after="0" w:line="240" w:lineRule="auto"/>
        <w:ind w:firstLine="709"/>
        <w:jc w:val="both"/>
        <w:rPr>
          <w:rFonts w:ascii="Times New Roman" w:hAnsi="Times New Roman" w:cs="Times New Roman"/>
          <w:color w:val="000000"/>
          <w:sz w:val="28"/>
          <w:szCs w:val="28"/>
          <w:lang w:val="kk-KZ"/>
        </w:rPr>
      </w:pPr>
      <w:r w:rsidRPr="00C82881">
        <w:rPr>
          <w:rFonts w:ascii="Times New Roman" w:hAnsi="Times New Roman" w:cs="Times New Roman"/>
          <w:color w:val="000000"/>
          <w:sz w:val="28"/>
          <w:szCs w:val="28"/>
          <w:lang w:val="kk-KZ"/>
        </w:rPr>
        <w:t xml:space="preserve">Барлық тиімділік жүйелерін ескере отырып, агроөнеркәсіптік кешенді дамытуға бағытталған бюджет қаражатының тиімділігін бағалау үшін бағалаудың интегралды моделін пайдалануға болады. Бұл модель экономикалық, экологиялық, бюджеттік, технологиялық және әлеуметтік сияқты тиімділіктің әртүрлі аспектілерін қарастыруға мүмкіндік береді. Интегралды бағалау моделінің бөлігі ретінде келесі қадамдарды қолдануға болады: </w:t>
      </w:r>
    </w:p>
    <w:p w14:paraId="0A427255" w14:textId="246D0C41" w:rsidR="00C82881" w:rsidRPr="00C82881" w:rsidRDefault="00C82881" w:rsidP="0097172E">
      <w:pPr>
        <w:pStyle w:val="a5"/>
        <w:numPr>
          <w:ilvl w:val="3"/>
          <w:numId w:val="58"/>
        </w:numPr>
        <w:tabs>
          <w:tab w:val="left" w:pos="993"/>
        </w:tabs>
        <w:spacing w:after="0" w:line="240" w:lineRule="auto"/>
        <w:ind w:left="0" w:firstLine="709"/>
        <w:jc w:val="both"/>
        <w:rPr>
          <w:rFonts w:ascii="Times New Roman" w:hAnsi="Times New Roman"/>
          <w:color w:val="000000"/>
          <w:sz w:val="28"/>
          <w:szCs w:val="28"/>
          <w:lang w:val="kk-KZ"/>
        </w:rPr>
      </w:pPr>
      <w:r w:rsidRPr="00C82881">
        <w:rPr>
          <w:rFonts w:ascii="Times New Roman" w:hAnsi="Times New Roman"/>
          <w:color w:val="000000"/>
          <w:sz w:val="28"/>
          <w:szCs w:val="28"/>
          <w:lang w:val="kk-KZ"/>
        </w:rPr>
        <w:t xml:space="preserve">АӨК дамытудың мақсаттары мен міндеттерін анықтау. Бұл тиімділікті бағалау үшін қолданылатын негізгі көрсеткіштерді анықтайды. </w:t>
      </w:r>
    </w:p>
    <w:p w14:paraId="38A2B410" w14:textId="308677DB" w:rsidR="00C82881" w:rsidRPr="00C82881" w:rsidRDefault="00C82881" w:rsidP="0097172E">
      <w:pPr>
        <w:pStyle w:val="a5"/>
        <w:numPr>
          <w:ilvl w:val="3"/>
          <w:numId w:val="58"/>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ә</w:t>
      </w:r>
      <w:r w:rsidRPr="00C82881">
        <w:rPr>
          <w:rFonts w:ascii="Times New Roman" w:hAnsi="Times New Roman"/>
          <w:color w:val="000000"/>
          <w:sz w:val="28"/>
          <w:szCs w:val="28"/>
          <w:lang w:val="kk-KZ"/>
        </w:rPr>
        <w:t xml:space="preserve">рбір тиімділік жүйесі бойынша деректерді жинау. Кірістер мен шығындар сияқты экономикалық көрсеткіштерге талдау жасау, қоршаған ортаға әсерді бағалау, бюджеттік шығындар мен нәтижелерді бағалау, технологиялық инновацияларды және олардың өндіріс процестеріне әсерін зерттеу, </w:t>
      </w:r>
      <w:r w:rsidR="005B751E">
        <w:rPr>
          <w:rFonts w:ascii="Times New Roman" w:hAnsi="Times New Roman"/>
          <w:color w:val="000000"/>
          <w:sz w:val="28"/>
          <w:szCs w:val="28"/>
          <w:lang w:val="kk-KZ"/>
        </w:rPr>
        <w:t>ж</w:t>
      </w:r>
      <w:r w:rsidRPr="00C82881">
        <w:rPr>
          <w:rFonts w:ascii="Times New Roman" w:hAnsi="Times New Roman"/>
          <w:color w:val="000000"/>
          <w:sz w:val="28"/>
          <w:szCs w:val="28"/>
          <w:lang w:val="kk-KZ"/>
        </w:rPr>
        <w:t>ұмыспен қамту деңгейі мен өмір сапасы сияқты әлеуметтік аспектілерді талдау қажет.</w:t>
      </w:r>
    </w:p>
    <w:p w14:paraId="33B04B02" w14:textId="30072DDE" w:rsidR="00C82881" w:rsidRPr="00C82881" w:rsidRDefault="00C82881" w:rsidP="0097172E">
      <w:pPr>
        <w:pStyle w:val="a5"/>
        <w:numPr>
          <w:ilvl w:val="3"/>
          <w:numId w:val="58"/>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к</w:t>
      </w:r>
      <w:r w:rsidRPr="00C82881">
        <w:rPr>
          <w:rFonts w:ascii="Times New Roman" w:hAnsi="Times New Roman"/>
          <w:color w:val="000000"/>
          <w:sz w:val="28"/>
          <w:szCs w:val="28"/>
          <w:lang w:val="kk-KZ"/>
        </w:rPr>
        <w:t xml:space="preserve">өрсеткіштерді өлшеу. Әрбір тиімділік жүйесі үшін тиімділікті жалпы бағалауда олардың маңыздылығы мен салмағын анықтау қажет. Мысалы, экономикалық көрсеткіштер экологиялық немесе әлеуметтік көрсеткіштерге қарағанда үлкен салмаққа ие болуы мүмкін. </w:t>
      </w:r>
    </w:p>
    <w:p w14:paraId="101B8E1B" w14:textId="6649FDF0" w:rsidR="00C82881" w:rsidRPr="00C82881" w:rsidRDefault="00C82881" w:rsidP="0097172E">
      <w:pPr>
        <w:pStyle w:val="a5"/>
        <w:numPr>
          <w:ilvl w:val="3"/>
          <w:numId w:val="58"/>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т</w:t>
      </w:r>
      <w:r w:rsidRPr="00C82881">
        <w:rPr>
          <w:rFonts w:ascii="Times New Roman" w:hAnsi="Times New Roman"/>
          <w:color w:val="000000"/>
          <w:sz w:val="28"/>
          <w:szCs w:val="28"/>
          <w:lang w:val="kk-KZ"/>
        </w:rPr>
        <w:t xml:space="preserve">иімділіктің интегралдық көрсеткішін есептеу. Әрбір тиімділік жүйесінің өлшенген көрсеткіштері негізінде бюджет қаражаты тиімділігінің жалпы интегралды көрсеткішін есептеуге болады. </w:t>
      </w:r>
    </w:p>
    <w:p w14:paraId="6CAF8BD9" w14:textId="6E8246C6" w:rsidR="00C82881" w:rsidRPr="00C82881" w:rsidRDefault="00C82881" w:rsidP="0097172E">
      <w:pPr>
        <w:pStyle w:val="a5"/>
        <w:numPr>
          <w:ilvl w:val="3"/>
          <w:numId w:val="58"/>
        </w:numPr>
        <w:tabs>
          <w:tab w:val="left" w:pos="993"/>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н</w:t>
      </w:r>
      <w:r w:rsidRPr="00C82881">
        <w:rPr>
          <w:rFonts w:ascii="Times New Roman" w:hAnsi="Times New Roman"/>
          <w:color w:val="000000"/>
          <w:sz w:val="28"/>
          <w:szCs w:val="28"/>
          <w:lang w:val="kk-KZ"/>
        </w:rPr>
        <w:t>әтижелерді талдау және шешім қабылдау. Тиімділіктің интегралды көрсеткішін есептегеннен кейін алынған нәтижелерді талдап, агроөнеркәсіптік кешенді одан әрі дамыту туралы шешім қабылдау қажет.</w:t>
      </w:r>
    </w:p>
    <w:p w14:paraId="41A1C5AE" w14:textId="77777777" w:rsidR="00C82881" w:rsidRDefault="00C82881" w:rsidP="000E6F97">
      <w:pPr>
        <w:tabs>
          <w:tab w:val="left" w:pos="993"/>
        </w:tabs>
        <w:spacing w:after="0" w:line="240" w:lineRule="auto"/>
        <w:ind w:firstLine="709"/>
        <w:jc w:val="both"/>
        <w:rPr>
          <w:rFonts w:ascii="Times New Roman" w:hAnsi="Times New Roman" w:cs="Times New Roman"/>
          <w:color w:val="000000"/>
          <w:sz w:val="28"/>
          <w:szCs w:val="28"/>
          <w:lang w:val="kk-KZ"/>
        </w:rPr>
      </w:pPr>
      <w:r w:rsidRPr="00C82881">
        <w:rPr>
          <w:rFonts w:ascii="Times New Roman" w:hAnsi="Times New Roman" w:cs="Times New Roman"/>
          <w:color w:val="000000"/>
          <w:sz w:val="28"/>
          <w:szCs w:val="28"/>
          <w:lang w:val="kk-KZ"/>
        </w:rPr>
        <w:t xml:space="preserve">Тиімділіктің интегралды көрсеткішін есептеу үшін келесі формуланы қолдануға болады: </w:t>
      </w:r>
    </w:p>
    <w:p w14:paraId="6F54138B" w14:textId="77777777" w:rsidR="00C82881" w:rsidRPr="00E45E9C" w:rsidRDefault="00C82881" w:rsidP="000E6F97">
      <w:pPr>
        <w:tabs>
          <w:tab w:val="left" w:pos="993"/>
        </w:tabs>
        <w:spacing w:after="0" w:line="240" w:lineRule="auto"/>
        <w:ind w:firstLine="709"/>
        <w:jc w:val="both"/>
        <w:rPr>
          <w:rFonts w:ascii="Times New Roman" w:hAnsi="Times New Roman" w:cs="Times New Roman"/>
          <w:color w:val="000000"/>
          <w:sz w:val="16"/>
          <w:szCs w:val="16"/>
          <w:lang w:val="kk-KZ"/>
        </w:rPr>
      </w:pPr>
    </w:p>
    <w:p w14:paraId="29C18EDA" w14:textId="1E08BEA1" w:rsidR="004D768E" w:rsidRPr="00863D07" w:rsidRDefault="0097172E" w:rsidP="000E6F97">
      <w:pPr>
        <w:tabs>
          <w:tab w:val="left" w:pos="993"/>
        </w:tabs>
        <w:spacing w:after="0" w:line="240" w:lineRule="auto"/>
        <w:ind w:firstLine="709"/>
        <w:jc w:val="both"/>
        <w:rPr>
          <w:rFonts w:ascii="Times New Roman" w:hAnsi="Times New Roman" w:cs="Times New Roman"/>
          <w:color w:val="000000"/>
          <w:sz w:val="28"/>
          <w:szCs w:val="28"/>
          <w:lang w:val="en-US"/>
        </w:rPr>
      </w:pPr>
      <m:oMathPara>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Т</m:t>
              </m:r>
            </m:e>
            <m:sub>
              <m:r>
                <w:rPr>
                  <w:rFonts w:ascii="Cambria Math" w:hAnsi="Cambria Math" w:cs="Times New Roman"/>
                  <w:color w:val="000000"/>
                  <w:sz w:val="28"/>
                  <w:szCs w:val="28"/>
                  <w:lang w:val="kk-KZ"/>
                </w:rPr>
                <m:t>инт</m:t>
              </m:r>
            </m:sub>
          </m:sSub>
          <m:r>
            <w:rPr>
              <w:rFonts w:ascii="Cambria Math" w:hAnsi="Cambria Math" w:cs="Times New Roman"/>
              <w:color w:val="000000"/>
              <w:sz w:val="28"/>
              <w:szCs w:val="28"/>
              <w:lang w:val="kk-KZ"/>
            </w:rPr>
            <m:t xml:space="preserve">= </m:t>
          </m:r>
          <m:f>
            <m:fPr>
              <m:ctrlPr>
                <w:rPr>
                  <w:rFonts w:ascii="Cambria Math" w:hAnsi="Cambria Math" w:cs="Times New Roman"/>
                  <w:i/>
                  <w:color w:val="000000"/>
                  <w:sz w:val="28"/>
                  <w:szCs w:val="28"/>
                  <w:lang w:val="kk-KZ"/>
                </w:rPr>
              </m:ctrlPr>
            </m:fPr>
            <m:num>
              <m:f>
                <m:fPr>
                  <m:ctrlPr>
                    <w:rPr>
                      <w:rFonts w:ascii="Cambria Math" w:hAnsi="Cambria Math" w:cs="Times New Roman"/>
                      <w:i/>
                      <w:color w:val="000000"/>
                      <w:sz w:val="28"/>
                      <w:szCs w:val="28"/>
                      <w:lang w:val="kk-KZ"/>
                    </w:rPr>
                  </m:ctrlPr>
                </m:fPr>
                <m:num>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К1</m:t>
                      </m:r>
                    </m:e>
                    <m:sub>
                      <m:r>
                        <w:rPr>
                          <w:rFonts w:ascii="Cambria Math" w:hAnsi="Cambria Math" w:cs="Times New Roman"/>
                          <w:color w:val="000000"/>
                          <w:sz w:val="28"/>
                          <w:szCs w:val="28"/>
                          <w:lang w:val="kk-KZ"/>
                        </w:rPr>
                        <m:t>н</m:t>
                      </m:r>
                    </m:sub>
                  </m:sSub>
                </m:num>
                <m:den>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m:t>
                      </m:r>
                    </m:e>
                    <m:sub>
                      <m:r>
                        <w:rPr>
                          <w:rFonts w:ascii="Cambria Math" w:hAnsi="Cambria Math" w:cs="Times New Roman"/>
                          <w:color w:val="000000"/>
                          <w:sz w:val="28"/>
                          <w:szCs w:val="28"/>
                          <w:lang w:val="kk-KZ"/>
                        </w:rPr>
                        <m:t>ж</m:t>
                      </m:r>
                    </m:sub>
                  </m:sSub>
                </m:den>
              </m:f>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К2</m:t>
                      </m:r>
                    </m:e>
                    <m:sub>
                      <m:r>
                        <w:rPr>
                          <w:rFonts w:ascii="Cambria Math" w:hAnsi="Cambria Math" w:cs="Times New Roman"/>
                          <w:color w:val="000000"/>
                          <w:sz w:val="28"/>
                          <w:szCs w:val="28"/>
                          <w:lang w:val="kk-KZ"/>
                        </w:rPr>
                        <m:t>н</m:t>
                      </m:r>
                    </m:sub>
                  </m:sSub>
                </m:num>
                <m:den>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m:t>
                      </m:r>
                    </m:e>
                    <m:sub>
                      <m:r>
                        <w:rPr>
                          <w:rFonts w:ascii="Cambria Math" w:hAnsi="Cambria Math" w:cs="Times New Roman"/>
                          <w:color w:val="000000"/>
                          <w:sz w:val="28"/>
                          <w:szCs w:val="28"/>
                          <w:lang w:val="kk-KZ"/>
                        </w:rPr>
                        <m:t>ж</m:t>
                      </m:r>
                    </m:sub>
                  </m:sSub>
                </m:den>
              </m:f>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m:t>
                      </m:r>
                      <m:r>
                        <w:rPr>
                          <w:rFonts w:ascii="Cambria Math" w:hAnsi="Cambria Math" w:cs="Times New Roman"/>
                          <w:color w:val="000000"/>
                          <w:sz w:val="28"/>
                          <w:szCs w:val="28"/>
                          <w:lang w:val="en-US"/>
                        </w:rPr>
                        <m:t>N</m:t>
                      </m:r>
                    </m:e>
                    <m:sub>
                      <m:r>
                        <w:rPr>
                          <w:rFonts w:ascii="Cambria Math" w:hAnsi="Cambria Math" w:cs="Times New Roman"/>
                          <w:color w:val="000000"/>
                          <w:sz w:val="28"/>
                          <w:szCs w:val="28"/>
                          <w:lang w:val="kk-KZ"/>
                        </w:rPr>
                        <m:t>н</m:t>
                      </m:r>
                    </m:sub>
                  </m:sSub>
                </m:num>
                <m:den>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m:t>
                      </m:r>
                    </m:e>
                    <m:sub>
                      <m:r>
                        <w:rPr>
                          <w:rFonts w:ascii="Cambria Math" w:hAnsi="Cambria Math" w:cs="Times New Roman"/>
                          <w:color w:val="000000"/>
                          <w:sz w:val="28"/>
                          <w:szCs w:val="28"/>
                          <w:lang w:val="kk-KZ"/>
                        </w:rPr>
                        <m:t>ж</m:t>
                      </m:r>
                    </m:sub>
                  </m:sSub>
                </m:den>
              </m:f>
            </m:num>
            <m:den>
              <m:nary>
                <m:naryPr>
                  <m:chr m:val="∑"/>
                  <m:limLoc m:val="undOvr"/>
                  <m:subHide m:val="1"/>
                  <m:supHide m:val="1"/>
                  <m:ctrlPr>
                    <w:rPr>
                      <w:rFonts w:ascii="Cambria Math" w:hAnsi="Cambria Math" w:cs="Times New Roman"/>
                      <w:i/>
                      <w:color w:val="000000"/>
                      <w:sz w:val="28"/>
                      <w:szCs w:val="28"/>
                      <w:lang w:val="kk-KZ"/>
                    </w:rPr>
                  </m:ctrlPr>
                </m:naryPr>
                <m:sub/>
                <m:sup/>
                <m:e>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К</m:t>
                      </m:r>
                    </m:e>
                    <m:sub>
                      <m:r>
                        <w:rPr>
                          <w:rFonts w:ascii="Cambria Math" w:hAnsi="Cambria Math" w:cs="Times New Roman"/>
                          <w:color w:val="000000"/>
                          <w:sz w:val="28"/>
                          <w:szCs w:val="28"/>
                          <w:lang w:val="en-US"/>
                        </w:rPr>
                        <m:t>n</m:t>
                      </m:r>
                    </m:sub>
                  </m:sSub>
                </m:e>
              </m:nary>
            </m:den>
          </m:f>
        </m:oMath>
      </m:oMathPara>
    </w:p>
    <w:p w14:paraId="5D75157E" w14:textId="77777777" w:rsidR="004D768E" w:rsidRPr="00E45E9C" w:rsidRDefault="004D768E" w:rsidP="000E6F97">
      <w:pPr>
        <w:tabs>
          <w:tab w:val="left" w:pos="993"/>
        </w:tabs>
        <w:spacing w:after="0" w:line="240" w:lineRule="auto"/>
        <w:ind w:firstLine="709"/>
        <w:jc w:val="both"/>
        <w:rPr>
          <w:rFonts w:ascii="Times New Roman" w:hAnsi="Times New Roman" w:cs="Times New Roman"/>
          <w:color w:val="000000"/>
          <w:sz w:val="16"/>
          <w:szCs w:val="16"/>
          <w:lang w:val="kk-KZ"/>
        </w:rPr>
      </w:pPr>
    </w:p>
    <w:p w14:paraId="11565854" w14:textId="77777777" w:rsidR="00D567E5" w:rsidRDefault="00A8788D" w:rsidP="00D567E5">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38-кестедегі келтірілген көрсеткіштердің нақты және жоспарлы мәндері негізінде есептеу арқылы, өлшенген мәнін алу арқылы тиімділігіне баға беруге болады. </w:t>
      </w:r>
      <w:r w:rsidR="00D567E5" w:rsidRPr="00C82881">
        <w:rPr>
          <w:rFonts w:ascii="Times New Roman" w:hAnsi="Times New Roman" w:cs="Times New Roman"/>
          <w:color w:val="000000"/>
          <w:sz w:val="28"/>
          <w:szCs w:val="28"/>
          <w:lang w:val="kk-KZ"/>
        </w:rPr>
        <w:t xml:space="preserve">Бұл жағдайда формула келесідей болады: </w:t>
      </w:r>
    </w:p>
    <w:p w14:paraId="0548A964" w14:textId="77777777" w:rsidR="00C82881" w:rsidRPr="00E45E9C" w:rsidRDefault="00C82881" w:rsidP="000E6F97">
      <w:pPr>
        <w:tabs>
          <w:tab w:val="left" w:pos="993"/>
        </w:tabs>
        <w:spacing w:after="0" w:line="240" w:lineRule="auto"/>
        <w:ind w:firstLine="709"/>
        <w:jc w:val="both"/>
        <w:rPr>
          <w:rFonts w:ascii="Times New Roman" w:hAnsi="Times New Roman" w:cs="Times New Roman"/>
          <w:color w:val="000000"/>
          <w:sz w:val="16"/>
          <w:szCs w:val="16"/>
          <w:lang w:val="kk-KZ"/>
        </w:rPr>
      </w:pPr>
    </w:p>
    <w:p w14:paraId="4295D0E5" w14:textId="6CB89CF8" w:rsidR="00863D07" w:rsidRPr="00863D07" w:rsidRDefault="0097172E" w:rsidP="000E6F97">
      <w:pPr>
        <w:tabs>
          <w:tab w:val="left" w:pos="993"/>
        </w:tabs>
        <w:spacing w:after="0" w:line="240" w:lineRule="auto"/>
        <w:ind w:firstLine="709"/>
        <w:jc w:val="both"/>
        <w:rPr>
          <w:rFonts w:ascii="Times New Roman" w:hAnsi="Times New Roman" w:cs="Times New Roman"/>
          <w:color w:val="000000"/>
          <w:sz w:val="28"/>
          <w:szCs w:val="28"/>
          <w:lang w:val="kk-KZ"/>
        </w:rPr>
      </w:pPr>
      <m:oMathPara>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Т</m:t>
              </m:r>
            </m:e>
            <m:sub>
              <m:r>
                <w:rPr>
                  <w:rFonts w:ascii="Cambria Math" w:hAnsi="Cambria Math" w:cs="Times New Roman"/>
                  <w:color w:val="000000"/>
                  <w:sz w:val="28"/>
                  <w:szCs w:val="28"/>
                  <w:lang w:val="kk-KZ"/>
                </w:rPr>
                <m:t>инт</m:t>
              </m:r>
            </m:sub>
          </m:sSub>
          <m:r>
            <w:rPr>
              <w:rFonts w:ascii="Cambria Math" w:hAnsi="Cambria Math" w:cs="Times New Roman"/>
              <w:color w:val="000000"/>
              <w:sz w:val="28"/>
              <w:szCs w:val="28"/>
              <w:lang w:val="kk-KZ"/>
            </w:rPr>
            <m:t>=</m:t>
          </m:r>
          <m:nary>
            <m:naryPr>
              <m:chr m:val="∑"/>
              <m:limLoc m:val="undOvr"/>
              <m:subHide m:val="1"/>
              <m:supHide m:val="1"/>
              <m:ctrlPr>
                <w:rPr>
                  <w:rFonts w:ascii="Cambria Math" w:hAnsi="Cambria Math" w:cs="Times New Roman"/>
                  <w:i/>
                  <w:color w:val="000000"/>
                  <w:sz w:val="28"/>
                  <w:szCs w:val="28"/>
                  <w:lang w:val="kk-KZ"/>
                </w:rPr>
              </m:ctrlPr>
            </m:naryPr>
            <m:sub/>
            <m:sup/>
            <m:e>
              <m:r>
                <w:rPr>
                  <w:rFonts w:ascii="Cambria Math" w:hAnsi="Cambria Math" w:cs="Times New Roman"/>
                  <w:color w:val="000000"/>
                  <w:sz w:val="28"/>
                  <w:szCs w:val="28"/>
                  <w:lang w:val="kk-KZ"/>
                </w:rPr>
                <m:t>0,4</m:t>
              </m:r>
            </m:e>
          </m:nary>
          <m:r>
            <w:rPr>
              <w:rFonts w:ascii="Cambria Math" w:hAnsi="Cambria Math" w:cs="Times New Roman"/>
              <w:color w:val="000000"/>
              <w:sz w:val="28"/>
              <w:szCs w:val="28"/>
              <w:lang w:val="kk-KZ"/>
            </w:rPr>
            <m:t>*</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Э</m:t>
              </m:r>
            </m:e>
            <m:sub>
              <m:r>
                <w:rPr>
                  <w:rFonts w:ascii="Cambria Math" w:hAnsi="Cambria Math" w:cs="Times New Roman"/>
                  <w:color w:val="000000"/>
                  <w:sz w:val="28"/>
                  <w:szCs w:val="28"/>
                  <w:lang w:val="kk-KZ"/>
                </w:rPr>
                <m:t>т</m:t>
              </m:r>
            </m:sub>
          </m:sSub>
          <m:r>
            <w:rPr>
              <w:rFonts w:ascii="Cambria Math" w:hAnsi="Cambria Math" w:cs="Times New Roman"/>
              <w:color w:val="000000"/>
              <w:sz w:val="28"/>
              <w:szCs w:val="28"/>
              <w:lang w:val="kk-KZ"/>
            </w:rPr>
            <m:t>+0,2*</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Б</m:t>
              </m:r>
            </m:e>
            <m:sub>
              <m:r>
                <w:rPr>
                  <w:rFonts w:ascii="Cambria Math" w:hAnsi="Cambria Math" w:cs="Times New Roman"/>
                  <w:color w:val="000000"/>
                  <w:sz w:val="28"/>
                  <w:szCs w:val="28"/>
                  <w:lang w:val="kk-KZ"/>
                </w:rPr>
                <m:t>т</m:t>
              </m:r>
            </m:sub>
          </m:sSub>
          <m:r>
            <w:rPr>
              <w:rFonts w:ascii="Cambria Math" w:hAnsi="Cambria Math" w:cs="Times New Roman"/>
              <w:color w:val="000000"/>
              <w:sz w:val="28"/>
              <w:szCs w:val="28"/>
              <w:lang w:val="kk-KZ"/>
            </w:rPr>
            <m:t>+0,1*</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Экол</m:t>
              </m:r>
            </m:e>
            <m:sub>
              <m:r>
                <w:rPr>
                  <w:rFonts w:ascii="Cambria Math" w:hAnsi="Cambria Math" w:cs="Times New Roman"/>
                  <w:color w:val="000000"/>
                  <w:sz w:val="28"/>
                  <w:szCs w:val="28"/>
                  <w:lang w:val="kk-KZ"/>
                </w:rPr>
                <m:t>т</m:t>
              </m:r>
            </m:sub>
          </m:sSub>
          <m:r>
            <w:rPr>
              <w:rFonts w:ascii="Cambria Math" w:hAnsi="Cambria Math" w:cs="Times New Roman"/>
              <w:color w:val="000000"/>
              <w:sz w:val="28"/>
              <w:szCs w:val="28"/>
              <w:lang w:val="kk-KZ"/>
            </w:rPr>
            <m:t>+0,2*</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Ә</m:t>
              </m:r>
            </m:e>
            <m:sub>
              <m:r>
                <w:rPr>
                  <w:rFonts w:ascii="Cambria Math" w:hAnsi="Cambria Math" w:cs="Times New Roman"/>
                  <w:color w:val="000000"/>
                  <w:sz w:val="28"/>
                  <w:szCs w:val="28"/>
                  <w:lang w:val="kk-KZ"/>
                </w:rPr>
                <m:t>т</m:t>
              </m:r>
            </m:sub>
          </m:sSub>
          <m:r>
            <w:rPr>
              <w:rFonts w:ascii="Cambria Math" w:hAnsi="Cambria Math" w:cs="Times New Roman"/>
              <w:color w:val="000000"/>
              <w:sz w:val="28"/>
              <w:szCs w:val="28"/>
              <w:lang w:val="kk-KZ"/>
            </w:rPr>
            <m:t>+0,1*</m:t>
          </m:r>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Т</m:t>
              </m:r>
            </m:e>
            <m:sub>
              <m:r>
                <w:rPr>
                  <w:rFonts w:ascii="Cambria Math" w:hAnsi="Cambria Math" w:cs="Times New Roman"/>
                  <w:color w:val="000000"/>
                  <w:sz w:val="28"/>
                  <w:szCs w:val="28"/>
                  <w:lang w:val="kk-KZ"/>
                </w:rPr>
                <m:t>т</m:t>
              </m:r>
            </m:sub>
          </m:sSub>
        </m:oMath>
      </m:oMathPara>
    </w:p>
    <w:p w14:paraId="633294EC" w14:textId="77777777" w:rsidR="00863D07" w:rsidRPr="00E45E9C" w:rsidRDefault="00863D07" w:rsidP="000E6F97">
      <w:pPr>
        <w:tabs>
          <w:tab w:val="left" w:pos="993"/>
        </w:tabs>
        <w:spacing w:after="0" w:line="240" w:lineRule="auto"/>
        <w:ind w:firstLine="709"/>
        <w:jc w:val="both"/>
        <w:rPr>
          <w:rFonts w:ascii="Times New Roman" w:hAnsi="Times New Roman" w:cs="Times New Roman"/>
          <w:color w:val="000000"/>
          <w:sz w:val="16"/>
          <w:szCs w:val="16"/>
          <w:lang w:val="kk-KZ"/>
        </w:rPr>
      </w:pPr>
    </w:p>
    <w:p w14:paraId="7FED300F" w14:textId="20A278FA" w:rsidR="00C82881" w:rsidRPr="00EC7EBC" w:rsidRDefault="005B751E" w:rsidP="000E6F97">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w:t>
      </w:r>
      <w:r w:rsidR="00C82881" w:rsidRPr="00EC7EBC">
        <w:rPr>
          <w:rFonts w:ascii="Times New Roman" w:hAnsi="Times New Roman" w:cs="Times New Roman"/>
          <w:color w:val="000000"/>
          <w:sz w:val="28"/>
          <w:szCs w:val="28"/>
          <w:lang w:val="kk-KZ"/>
        </w:rPr>
        <w:t>р тиімділік үшін нақты мәндерді алмастыр</w:t>
      </w:r>
      <w:r>
        <w:rPr>
          <w:rFonts w:ascii="Times New Roman" w:hAnsi="Times New Roman" w:cs="Times New Roman"/>
          <w:color w:val="000000"/>
          <w:sz w:val="28"/>
          <w:szCs w:val="28"/>
          <w:lang w:val="kk-KZ"/>
        </w:rPr>
        <w:t>уға</w:t>
      </w:r>
      <w:r w:rsidR="00C82881" w:rsidRPr="00EC7EBC">
        <w:rPr>
          <w:rFonts w:ascii="Times New Roman" w:hAnsi="Times New Roman" w:cs="Times New Roman"/>
          <w:color w:val="000000"/>
          <w:sz w:val="28"/>
          <w:szCs w:val="28"/>
          <w:lang w:val="kk-KZ"/>
        </w:rPr>
        <w:t xml:space="preserve"> және интегралды тиімділік көрсеткішін алу үшін есептеуді орында</w:t>
      </w:r>
      <w:r>
        <w:rPr>
          <w:rFonts w:ascii="Times New Roman" w:hAnsi="Times New Roman" w:cs="Times New Roman"/>
          <w:color w:val="000000"/>
          <w:sz w:val="28"/>
          <w:szCs w:val="28"/>
          <w:lang w:val="kk-KZ"/>
        </w:rPr>
        <w:t>уға мүмкіндік бар</w:t>
      </w:r>
      <w:r w:rsidR="005045DE">
        <w:rPr>
          <w:rFonts w:ascii="Times New Roman" w:hAnsi="Times New Roman" w:cs="Times New Roman"/>
          <w:color w:val="000000"/>
          <w:sz w:val="28"/>
          <w:szCs w:val="28"/>
          <w:lang w:val="kk-KZ"/>
        </w:rPr>
        <w:t xml:space="preserve">, нәтижесінде интегралдық тиімділік мәні 0,45-ті құрады. </w:t>
      </w:r>
    </w:p>
    <w:p w14:paraId="4A875560" w14:textId="77777777" w:rsidR="00C82881" w:rsidRDefault="00C82881" w:rsidP="000E6F97">
      <w:pPr>
        <w:tabs>
          <w:tab w:val="left" w:pos="993"/>
        </w:tabs>
        <w:spacing w:after="0" w:line="240" w:lineRule="auto"/>
        <w:ind w:firstLine="709"/>
        <w:jc w:val="both"/>
        <w:rPr>
          <w:rFonts w:ascii="Times New Roman" w:hAnsi="Times New Roman" w:cs="Times New Roman"/>
          <w:color w:val="000000"/>
          <w:sz w:val="28"/>
          <w:szCs w:val="28"/>
          <w:lang w:val="kk-KZ"/>
        </w:rPr>
      </w:pPr>
      <w:r w:rsidRPr="00EC7EBC">
        <w:rPr>
          <w:rFonts w:ascii="Times New Roman" w:hAnsi="Times New Roman" w:cs="Times New Roman"/>
          <w:color w:val="000000"/>
          <w:sz w:val="28"/>
          <w:szCs w:val="28"/>
          <w:lang w:val="kk-KZ"/>
        </w:rPr>
        <w:t xml:space="preserve">Тиімділік көрсеткіштері бағалаудың нақты мақсаттары мен міндеттеріне байланысты ақша бірлігінде де, пайызбен де көрсетілуі мүмкін. Ақша бірлігінде көрсетілген бюджет қаражатының тиімділігін бағалау жағдайында тиімділіктің интегралды көрсеткішін есептеу үшін формуланы қолдануға болады: </w:t>
      </w:r>
    </w:p>
    <w:p w14:paraId="0DDD9BFA" w14:textId="77777777" w:rsidR="008070AD" w:rsidRPr="00E45E9C" w:rsidRDefault="008070AD" w:rsidP="000E6F97">
      <w:pPr>
        <w:tabs>
          <w:tab w:val="left" w:pos="993"/>
        </w:tabs>
        <w:spacing w:after="0" w:line="240" w:lineRule="auto"/>
        <w:ind w:firstLine="709"/>
        <w:jc w:val="both"/>
        <w:rPr>
          <w:rFonts w:ascii="Times New Roman" w:hAnsi="Times New Roman" w:cs="Times New Roman"/>
          <w:color w:val="000000"/>
          <w:sz w:val="16"/>
          <w:szCs w:val="16"/>
          <w:lang w:val="kk-KZ"/>
        </w:rPr>
      </w:pPr>
    </w:p>
    <w:p w14:paraId="58484388" w14:textId="126BB05E" w:rsidR="00C82881" w:rsidRPr="00EC7EBC" w:rsidRDefault="00C82881" w:rsidP="000E6F97">
      <w:pPr>
        <w:tabs>
          <w:tab w:val="left" w:pos="993"/>
        </w:tabs>
        <w:spacing w:after="0" w:line="240" w:lineRule="auto"/>
        <w:ind w:firstLine="709"/>
        <w:jc w:val="both"/>
        <w:rPr>
          <w:rFonts w:ascii="Times New Roman" w:hAnsi="Times New Roman" w:cs="Times New Roman"/>
          <w:color w:val="000000"/>
          <w:sz w:val="28"/>
          <w:szCs w:val="28"/>
          <w:lang w:val="kk-KZ"/>
        </w:rPr>
      </w:pPr>
      <w:r w:rsidRPr="00EC7EBC">
        <w:rPr>
          <w:rFonts w:ascii="Times New Roman" w:hAnsi="Times New Roman" w:cs="Times New Roman"/>
          <w:color w:val="000000"/>
          <w:sz w:val="28"/>
          <w:szCs w:val="28"/>
          <w:lang w:val="kk-KZ"/>
        </w:rPr>
        <w:t>Тиімділіктің интегралды көрсеткіші = (Салмақ1 * Индикатор1 + Салмақ2 * Индикатор2 + ... + Салмақ n * индикатор</w:t>
      </w:r>
      <w:r w:rsidR="00EC7EBC" w:rsidRPr="00EC7EBC">
        <w:rPr>
          <w:rFonts w:ascii="Times New Roman" w:hAnsi="Times New Roman" w:cs="Times New Roman"/>
          <w:color w:val="000000"/>
          <w:sz w:val="28"/>
          <w:szCs w:val="28"/>
          <w:lang w:val="kk-KZ"/>
        </w:rPr>
        <w:t xml:space="preserve"> n</w:t>
      </w:r>
      <w:r w:rsidRPr="00EC7EBC">
        <w:rPr>
          <w:rFonts w:ascii="Times New Roman" w:hAnsi="Times New Roman" w:cs="Times New Roman"/>
          <w:color w:val="000000"/>
          <w:sz w:val="28"/>
          <w:szCs w:val="28"/>
          <w:lang w:val="kk-KZ"/>
        </w:rPr>
        <w:t xml:space="preserve">) / салмақ сомасы </w:t>
      </w:r>
    </w:p>
    <w:p w14:paraId="14960C48" w14:textId="77777777" w:rsidR="008070AD" w:rsidRPr="00E45E9C" w:rsidRDefault="008070AD" w:rsidP="000E6F97">
      <w:pPr>
        <w:tabs>
          <w:tab w:val="left" w:pos="993"/>
        </w:tabs>
        <w:spacing w:after="0" w:line="240" w:lineRule="auto"/>
        <w:ind w:firstLine="709"/>
        <w:jc w:val="both"/>
        <w:rPr>
          <w:rFonts w:ascii="Times New Roman" w:hAnsi="Times New Roman" w:cs="Times New Roman"/>
          <w:color w:val="000000"/>
          <w:sz w:val="16"/>
          <w:szCs w:val="16"/>
          <w:lang w:val="kk-KZ"/>
        </w:rPr>
      </w:pPr>
    </w:p>
    <w:p w14:paraId="7E7661CD" w14:textId="1E340B02" w:rsidR="008070AD" w:rsidRPr="00EC7EBC" w:rsidRDefault="00C82881" w:rsidP="000E6F97">
      <w:pPr>
        <w:tabs>
          <w:tab w:val="left" w:pos="993"/>
        </w:tabs>
        <w:spacing w:after="0" w:line="240" w:lineRule="auto"/>
        <w:ind w:firstLine="709"/>
        <w:jc w:val="both"/>
        <w:rPr>
          <w:rFonts w:ascii="Times New Roman" w:hAnsi="Times New Roman" w:cs="Times New Roman"/>
          <w:color w:val="000000"/>
          <w:sz w:val="28"/>
          <w:szCs w:val="28"/>
          <w:lang w:val="kk-KZ"/>
        </w:rPr>
      </w:pPr>
      <w:r w:rsidRPr="00EC7EBC">
        <w:rPr>
          <w:rFonts w:ascii="Times New Roman" w:hAnsi="Times New Roman" w:cs="Times New Roman"/>
          <w:color w:val="000000"/>
          <w:sz w:val="28"/>
          <w:szCs w:val="28"/>
          <w:lang w:val="kk-KZ"/>
        </w:rPr>
        <w:t>мұндағы Салмақ1, Салмақ2,...,</w:t>
      </w:r>
      <w:r w:rsidR="00EC7EBC" w:rsidRPr="00EC7EBC">
        <w:rPr>
          <w:rFonts w:ascii="Times New Roman" w:hAnsi="Times New Roman" w:cs="Times New Roman"/>
          <w:color w:val="000000"/>
          <w:sz w:val="28"/>
          <w:szCs w:val="28"/>
          <w:lang w:val="kk-KZ"/>
        </w:rPr>
        <w:t xml:space="preserve"> Салмақ n</w:t>
      </w:r>
      <w:r w:rsidRPr="00EC7EBC">
        <w:rPr>
          <w:rFonts w:ascii="Times New Roman" w:hAnsi="Times New Roman" w:cs="Times New Roman"/>
          <w:color w:val="000000"/>
          <w:sz w:val="28"/>
          <w:szCs w:val="28"/>
          <w:lang w:val="kk-KZ"/>
        </w:rPr>
        <w:t xml:space="preserve"> </w:t>
      </w:r>
      <w:r w:rsidR="00EC7EBC" w:rsidRPr="00EC7EBC">
        <w:rPr>
          <w:rFonts w:ascii="Times New Roman" w:hAnsi="Times New Roman" w:cs="Times New Roman"/>
          <w:color w:val="000000"/>
          <w:sz w:val="28"/>
          <w:szCs w:val="28"/>
          <w:lang w:val="kk-KZ"/>
        </w:rPr>
        <w:t>- т</w:t>
      </w:r>
      <w:r w:rsidRPr="00EC7EBC">
        <w:rPr>
          <w:rFonts w:ascii="Times New Roman" w:hAnsi="Times New Roman" w:cs="Times New Roman"/>
          <w:color w:val="000000"/>
          <w:sz w:val="28"/>
          <w:szCs w:val="28"/>
          <w:lang w:val="kk-KZ"/>
        </w:rPr>
        <w:t>иімділіктің тиісті көрсеткіштерінің салмағы</w:t>
      </w:r>
      <w:r w:rsidR="008070AD">
        <w:rPr>
          <w:rFonts w:ascii="Times New Roman" w:hAnsi="Times New Roman" w:cs="Times New Roman"/>
          <w:color w:val="000000"/>
          <w:sz w:val="28"/>
          <w:szCs w:val="28"/>
          <w:lang w:val="kk-KZ"/>
        </w:rPr>
        <w:t>.</w:t>
      </w:r>
    </w:p>
    <w:p w14:paraId="35647894" w14:textId="010E95E9" w:rsidR="008070AD" w:rsidRDefault="00D02E29" w:rsidP="000E6F97">
      <w:pPr>
        <w:tabs>
          <w:tab w:val="left" w:pos="993"/>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Индикатор</w:t>
      </w:r>
      <w:r w:rsidR="00C82881" w:rsidRPr="00EC7EBC">
        <w:rPr>
          <w:rFonts w:ascii="Times New Roman" w:hAnsi="Times New Roman" w:cs="Times New Roman"/>
          <w:color w:val="000000"/>
          <w:sz w:val="28"/>
          <w:szCs w:val="28"/>
          <w:lang w:val="kk-KZ"/>
        </w:rPr>
        <w:t xml:space="preserve">1, </w:t>
      </w:r>
      <w:r>
        <w:rPr>
          <w:rFonts w:ascii="Times New Roman" w:hAnsi="Times New Roman" w:cs="Times New Roman"/>
          <w:color w:val="000000"/>
          <w:sz w:val="28"/>
          <w:szCs w:val="28"/>
          <w:lang w:val="kk-KZ"/>
        </w:rPr>
        <w:t>Индикатор</w:t>
      </w:r>
      <w:r w:rsidR="00C82881" w:rsidRPr="00EC7EBC">
        <w:rPr>
          <w:rFonts w:ascii="Times New Roman" w:hAnsi="Times New Roman" w:cs="Times New Roman"/>
          <w:color w:val="000000"/>
          <w:sz w:val="28"/>
          <w:szCs w:val="28"/>
          <w:lang w:val="kk-KZ"/>
        </w:rPr>
        <w:t>2,..., Индикатор</w:t>
      </w:r>
      <w:r w:rsidR="00EC7EBC" w:rsidRPr="00EC7EBC">
        <w:rPr>
          <w:rFonts w:ascii="Times New Roman" w:hAnsi="Times New Roman" w:cs="Times New Roman"/>
          <w:color w:val="000000"/>
          <w:sz w:val="28"/>
          <w:szCs w:val="28"/>
          <w:lang w:val="kk-KZ"/>
        </w:rPr>
        <w:t xml:space="preserve"> n</w:t>
      </w:r>
      <w:r w:rsidR="00C82881" w:rsidRPr="00EC7EBC">
        <w:rPr>
          <w:rFonts w:ascii="Times New Roman" w:hAnsi="Times New Roman" w:cs="Times New Roman"/>
          <w:color w:val="000000"/>
          <w:sz w:val="28"/>
          <w:szCs w:val="28"/>
          <w:lang w:val="kk-KZ"/>
        </w:rPr>
        <w:t>-тиімділік көрсеткіштерінің мәні, салмақ қосындысы-1-ге тең барлық салмақтардың қосындысы.</w:t>
      </w:r>
    </w:p>
    <w:p w14:paraId="5F6CD01B" w14:textId="77777777" w:rsidR="00D02E29" w:rsidRDefault="00D02E29" w:rsidP="000E6F97">
      <w:pPr>
        <w:tabs>
          <w:tab w:val="left" w:pos="993"/>
        </w:tabs>
        <w:spacing w:after="0" w:line="240" w:lineRule="auto"/>
        <w:ind w:firstLine="709"/>
        <w:jc w:val="both"/>
        <w:rPr>
          <w:rFonts w:ascii="Times New Roman" w:hAnsi="Times New Roman" w:cs="Times New Roman"/>
          <w:color w:val="000000"/>
          <w:sz w:val="28"/>
          <w:szCs w:val="28"/>
          <w:lang w:val="kk-KZ"/>
        </w:rPr>
      </w:pPr>
    </w:p>
    <w:p w14:paraId="6E200A66" w14:textId="695AE76B" w:rsidR="00C82881" w:rsidRPr="00EC7EBC" w:rsidRDefault="00C82881" w:rsidP="000E6F97">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EC7EBC">
        <w:rPr>
          <w:rFonts w:ascii="Times New Roman" w:hAnsi="Times New Roman" w:cs="Times New Roman"/>
          <w:color w:val="000000"/>
          <w:sz w:val="28"/>
          <w:szCs w:val="28"/>
          <w:lang w:val="kk-KZ"/>
        </w:rPr>
        <w:t>Егер тиімділік көрсеткіштері пайызбен көрсетілсе, формула ұқсас болады, бірақ көрсеткіштердің мәндері 0-ден 1-ге дейінгі үлестермен көрсетіледі.</w:t>
      </w:r>
    </w:p>
    <w:p w14:paraId="4043DF12" w14:textId="16E1F964" w:rsidR="00656EE7" w:rsidRPr="00C82881" w:rsidRDefault="007F5D1B" w:rsidP="000E6F97">
      <w:pPr>
        <w:tabs>
          <w:tab w:val="left" w:pos="993"/>
        </w:tabs>
        <w:spacing w:after="0" w:line="240" w:lineRule="auto"/>
        <w:ind w:firstLine="709"/>
        <w:jc w:val="both"/>
        <w:rPr>
          <w:rFonts w:ascii="Times New Roman" w:eastAsia="Times New Roman" w:hAnsi="Times New Roman" w:cs="Times New Roman"/>
          <w:kern w:val="36"/>
          <w:sz w:val="28"/>
          <w:szCs w:val="28"/>
          <w:lang w:val="kk-KZ" w:eastAsia="ru-RU"/>
        </w:rPr>
      </w:pPr>
      <w:r w:rsidRPr="00EC7EBC">
        <w:rPr>
          <w:rFonts w:ascii="Times New Roman" w:eastAsia="Times New Roman" w:hAnsi="Times New Roman" w:cs="Times New Roman"/>
          <w:kern w:val="36"/>
          <w:sz w:val="28"/>
          <w:szCs w:val="28"/>
          <w:lang w:val="kk-KZ" w:eastAsia="ru-RU"/>
        </w:rPr>
        <w:t xml:space="preserve">ҚР АӨК дамытуға бағытталған бюджет қаражатын пайдалану тиімділігі аудитінде бағалау шкаласы </w:t>
      </w:r>
      <w:r w:rsidR="00656EE7" w:rsidRPr="00EC7EBC">
        <w:rPr>
          <w:rFonts w:ascii="Times New Roman" w:eastAsia="Times New Roman" w:hAnsi="Times New Roman" w:cs="Times New Roman"/>
          <w:kern w:val="36"/>
          <w:sz w:val="28"/>
          <w:szCs w:val="28"/>
          <w:lang w:val="kk-KZ" w:eastAsia="ru-RU"/>
        </w:rPr>
        <w:t>3</w:t>
      </w:r>
      <w:r w:rsidRPr="00EC7EBC">
        <w:rPr>
          <w:rFonts w:ascii="Times New Roman" w:eastAsia="Times New Roman" w:hAnsi="Times New Roman" w:cs="Times New Roman"/>
          <w:kern w:val="36"/>
          <w:sz w:val="28"/>
          <w:szCs w:val="28"/>
          <w:lang w:val="kk-KZ" w:eastAsia="ru-RU"/>
        </w:rPr>
        <w:t>9</w:t>
      </w:r>
      <w:r w:rsidR="00656EE7" w:rsidRPr="00EC7EBC">
        <w:rPr>
          <w:rFonts w:ascii="Times New Roman" w:eastAsia="Times New Roman" w:hAnsi="Times New Roman" w:cs="Times New Roman"/>
          <w:kern w:val="36"/>
          <w:sz w:val="28"/>
          <w:szCs w:val="28"/>
          <w:lang w:val="kk-KZ" w:eastAsia="ru-RU"/>
        </w:rPr>
        <w:t>-кесте</w:t>
      </w:r>
      <w:r w:rsidRPr="00EC7EBC">
        <w:rPr>
          <w:rFonts w:ascii="Times New Roman" w:eastAsia="Times New Roman" w:hAnsi="Times New Roman" w:cs="Times New Roman"/>
          <w:kern w:val="36"/>
          <w:sz w:val="28"/>
          <w:szCs w:val="28"/>
          <w:lang w:val="kk-KZ" w:eastAsia="ru-RU"/>
        </w:rPr>
        <w:t>де келтірілген</w:t>
      </w:r>
      <w:r w:rsidRPr="00C82881">
        <w:rPr>
          <w:rFonts w:ascii="Times New Roman" w:eastAsia="Times New Roman" w:hAnsi="Times New Roman" w:cs="Times New Roman"/>
          <w:kern w:val="36"/>
          <w:sz w:val="28"/>
          <w:szCs w:val="28"/>
          <w:lang w:val="kk-KZ" w:eastAsia="ru-RU"/>
        </w:rPr>
        <w:t>.</w:t>
      </w:r>
    </w:p>
    <w:p w14:paraId="58632A36" w14:textId="77777777" w:rsidR="00EC7EBC" w:rsidRDefault="00EC7EBC" w:rsidP="00EC7EBC">
      <w:pPr>
        <w:spacing w:after="0" w:line="240" w:lineRule="auto"/>
        <w:ind w:firstLine="709"/>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Тиімділік көрсеткіштері тиімділік аудитін ұйымдастыруда базалық критерийлері ретінде тағайындалады. Жұмсалған бюджет қаражатын осы көрсеткіштер арқылы тиімділігін бағалау жүзеге асыру қажет. </w:t>
      </w:r>
    </w:p>
    <w:p w14:paraId="52086DAA" w14:textId="77777777" w:rsidR="00D02E29" w:rsidRDefault="00D02E29" w:rsidP="00EC7EBC">
      <w:pPr>
        <w:spacing w:after="0" w:line="240" w:lineRule="auto"/>
        <w:ind w:firstLine="709"/>
        <w:jc w:val="both"/>
        <w:rPr>
          <w:rFonts w:ascii="Times New Roman" w:eastAsia="Times New Roman" w:hAnsi="Times New Roman" w:cs="Times New Roman"/>
          <w:kern w:val="36"/>
          <w:sz w:val="28"/>
          <w:szCs w:val="28"/>
          <w:lang w:val="kk-KZ" w:eastAsia="ru-RU"/>
        </w:rPr>
      </w:pPr>
    </w:p>
    <w:p w14:paraId="329B5536" w14:textId="38846D8D" w:rsidR="00656EE7" w:rsidRDefault="00656EE7" w:rsidP="00656EE7">
      <w:pPr>
        <w:spacing w:after="0" w:line="240" w:lineRule="auto"/>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Кесте 3</w:t>
      </w:r>
      <w:r w:rsidR="007F5D1B">
        <w:rPr>
          <w:rFonts w:ascii="Times New Roman" w:eastAsia="Times New Roman" w:hAnsi="Times New Roman" w:cs="Times New Roman"/>
          <w:kern w:val="36"/>
          <w:sz w:val="28"/>
          <w:szCs w:val="28"/>
          <w:lang w:val="kk-KZ" w:eastAsia="ru-RU"/>
        </w:rPr>
        <w:t>9</w:t>
      </w:r>
      <w:r>
        <w:rPr>
          <w:rFonts w:ascii="Times New Roman" w:eastAsia="Times New Roman" w:hAnsi="Times New Roman" w:cs="Times New Roman"/>
          <w:kern w:val="36"/>
          <w:sz w:val="28"/>
          <w:szCs w:val="28"/>
          <w:lang w:val="kk-KZ" w:eastAsia="ru-RU"/>
        </w:rPr>
        <w:t xml:space="preserve"> – ҚР АӨК дамытуға бағытталған бюджет қаражатын пайдалану тиімділігі аудитінде бағалау шкаласы</w:t>
      </w:r>
    </w:p>
    <w:tbl>
      <w:tblPr>
        <w:tblStyle w:val="a3"/>
        <w:tblW w:w="9634" w:type="dxa"/>
        <w:tblLayout w:type="fixed"/>
        <w:tblLook w:val="04A0" w:firstRow="1" w:lastRow="0" w:firstColumn="1" w:lastColumn="0" w:noHBand="0" w:noVBand="1"/>
      </w:tblPr>
      <w:tblGrid>
        <w:gridCol w:w="1556"/>
        <w:gridCol w:w="851"/>
        <w:gridCol w:w="992"/>
        <w:gridCol w:w="1327"/>
        <w:gridCol w:w="941"/>
        <w:gridCol w:w="1276"/>
        <w:gridCol w:w="1276"/>
        <w:gridCol w:w="1415"/>
      </w:tblGrid>
      <w:tr w:rsidR="00656EE7" w14:paraId="4B9794CB" w14:textId="77777777" w:rsidTr="00AE326F">
        <w:tc>
          <w:tcPr>
            <w:tcW w:w="1556" w:type="dxa"/>
            <w:tcBorders>
              <w:top w:val="single" w:sz="4" w:space="0" w:color="auto"/>
              <w:left w:val="single" w:sz="4" w:space="0" w:color="auto"/>
              <w:bottom w:val="single" w:sz="4" w:space="0" w:color="auto"/>
              <w:right w:val="single" w:sz="4" w:space="0" w:color="auto"/>
            </w:tcBorders>
            <w:hideMark/>
          </w:tcPr>
          <w:p w14:paraId="0C20BE27"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Тиімділік көрсеткіші</w:t>
            </w:r>
          </w:p>
        </w:tc>
        <w:tc>
          <w:tcPr>
            <w:tcW w:w="851" w:type="dxa"/>
            <w:tcBorders>
              <w:top w:val="single" w:sz="4" w:space="0" w:color="auto"/>
              <w:left w:val="single" w:sz="4" w:space="0" w:color="auto"/>
              <w:bottom w:val="single" w:sz="4" w:space="0" w:color="auto"/>
              <w:right w:val="single" w:sz="4" w:space="0" w:color="auto"/>
            </w:tcBorders>
            <w:hideMark/>
          </w:tcPr>
          <w:p w14:paraId="5F2BA739"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Маңызды орны</w:t>
            </w:r>
          </w:p>
        </w:tc>
        <w:tc>
          <w:tcPr>
            <w:tcW w:w="992" w:type="dxa"/>
            <w:tcBorders>
              <w:top w:val="single" w:sz="4" w:space="0" w:color="auto"/>
              <w:left w:val="single" w:sz="4" w:space="0" w:color="auto"/>
              <w:bottom w:val="single" w:sz="4" w:space="0" w:color="auto"/>
              <w:right w:val="single" w:sz="4" w:space="0" w:color="auto"/>
            </w:tcBorders>
            <w:hideMark/>
          </w:tcPr>
          <w:p w14:paraId="28BB135F"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Коэфф үлесі</w:t>
            </w:r>
          </w:p>
        </w:tc>
        <w:tc>
          <w:tcPr>
            <w:tcW w:w="1327" w:type="dxa"/>
            <w:tcBorders>
              <w:top w:val="single" w:sz="4" w:space="0" w:color="auto"/>
              <w:left w:val="single" w:sz="4" w:space="0" w:color="auto"/>
              <w:bottom w:val="single" w:sz="4" w:space="0" w:color="auto"/>
              <w:right w:val="single" w:sz="4" w:space="0" w:color="auto"/>
            </w:tcBorders>
            <w:hideMark/>
          </w:tcPr>
          <w:p w14:paraId="2BE2D8F0"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Тиімділігі жоғары</w:t>
            </w:r>
          </w:p>
        </w:tc>
        <w:tc>
          <w:tcPr>
            <w:tcW w:w="941" w:type="dxa"/>
            <w:tcBorders>
              <w:top w:val="single" w:sz="4" w:space="0" w:color="auto"/>
              <w:left w:val="single" w:sz="4" w:space="0" w:color="auto"/>
              <w:bottom w:val="single" w:sz="4" w:space="0" w:color="auto"/>
              <w:right w:val="single" w:sz="4" w:space="0" w:color="auto"/>
            </w:tcBorders>
            <w:hideMark/>
          </w:tcPr>
          <w:p w14:paraId="38A93638"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Тиімді </w:t>
            </w:r>
          </w:p>
        </w:tc>
        <w:tc>
          <w:tcPr>
            <w:tcW w:w="1276" w:type="dxa"/>
            <w:tcBorders>
              <w:top w:val="single" w:sz="4" w:space="0" w:color="auto"/>
              <w:left w:val="single" w:sz="4" w:space="0" w:color="auto"/>
              <w:bottom w:val="single" w:sz="4" w:space="0" w:color="auto"/>
              <w:right w:val="single" w:sz="4" w:space="0" w:color="auto"/>
            </w:tcBorders>
            <w:hideMark/>
          </w:tcPr>
          <w:p w14:paraId="4E91E3AD"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Тиімділігі орташа</w:t>
            </w:r>
          </w:p>
        </w:tc>
        <w:tc>
          <w:tcPr>
            <w:tcW w:w="1276" w:type="dxa"/>
            <w:tcBorders>
              <w:top w:val="single" w:sz="4" w:space="0" w:color="auto"/>
              <w:left w:val="single" w:sz="4" w:space="0" w:color="auto"/>
              <w:bottom w:val="single" w:sz="4" w:space="0" w:color="auto"/>
              <w:right w:val="single" w:sz="4" w:space="0" w:color="auto"/>
            </w:tcBorders>
            <w:hideMark/>
          </w:tcPr>
          <w:p w14:paraId="4DD83BD0"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Тиімділігі төмен</w:t>
            </w:r>
          </w:p>
        </w:tc>
        <w:tc>
          <w:tcPr>
            <w:tcW w:w="1415" w:type="dxa"/>
            <w:tcBorders>
              <w:top w:val="single" w:sz="4" w:space="0" w:color="auto"/>
              <w:left w:val="single" w:sz="4" w:space="0" w:color="auto"/>
              <w:bottom w:val="single" w:sz="4" w:space="0" w:color="auto"/>
              <w:right w:val="single" w:sz="4" w:space="0" w:color="auto"/>
            </w:tcBorders>
            <w:hideMark/>
          </w:tcPr>
          <w:p w14:paraId="7B7B7DD7"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Тиімсіз </w:t>
            </w:r>
          </w:p>
        </w:tc>
      </w:tr>
      <w:tr w:rsidR="00656EE7" w14:paraId="3B319CDB" w14:textId="77777777" w:rsidTr="00AE326F">
        <w:tc>
          <w:tcPr>
            <w:tcW w:w="1556" w:type="dxa"/>
            <w:tcBorders>
              <w:top w:val="single" w:sz="4" w:space="0" w:color="auto"/>
              <w:left w:val="single" w:sz="4" w:space="0" w:color="auto"/>
              <w:bottom w:val="single" w:sz="4" w:space="0" w:color="auto"/>
              <w:right w:val="single" w:sz="4" w:space="0" w:color="auto"/>
            </w:tcBorders>
            <w:hideMark/>
          </w:tcPr>
          <w:p w14:paraId="11341AF9"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Өнімділік</w:t>
            </w:r>
          </w:p>
        </w:tc>
        <w:tc>
          <w:tcPr>
            <w:tcW w:w="851" w:type="dxa"/>
            <w:tcBorders>
              <w:top w:val="single" w:sz="4" w:space="0" w:color="auto"/>
              <w:left w:val="single" w:sz="4" w:space="0" w:color="auto"/>
              <w:bottom w:val="single" w:sz="4" w:space="0" w:color="auto"/>
              <w:right w:val="single" w:sz="4" w:space="0" w:color="auto"/>
            </w:tcBorders>
            <w:hideMark/>
          </w:tcPr>
          <w:p w14:paraId="16FB732A"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992" w:type="dxa"/>
            <w:tcBorders>
              <w:top w:val="single" w:sz="4" w:space="0" w:color="auto"/>
              <w:left w:val="single" w:sz="4" w:space="0" w:color="auto"/>
              <w:bottom w:val="single" w:sz="4" w:space="0" w:color="auto"/>
              <w:right w:val="single" w:sz="4" w:space="0" w:color="auto"/>
            </w:tcBorders>
            <w:hideMark/>
          </w:tcPr>
          <w:p w14:paraId="477DC848"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0,4</w:t>
            </w:r>
          </w:p>
        </w:tc>
        <w:tc>
          <w:tcPr>
            <w:tcW w:w="1327" w:type="dxa"/>
            <w:tcBorders>
              <w:top w:val="single" w:sz="4" w:space="0" w:color="auto"/>
              <w:left w:val="single" w:sz="4" w:space="0" w:color="auto"/>
              <w:bottom w:val="single" w:sz="4" w:space="0" w:color="auto"/>
              <w:right w:val="single" w:sz="4" w:space="0" w:color="auto"/>
            </w:tcBorders>
            <w:hideMark/>
          </w:tcPr>
          <w:p w14:paraId="3F794A92"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100-ден жоғары</w:t>
            </w:r>
          </w:p>
        </w:tc>
        <w:tc>
          <w:tcPr>
            <w:tcW w:w="941" w:type="dxa"/>
            <w:tcBorders>
              <w:top w:val="single" w:sz="4" w:space="0" w:color="auto"/>
              <w:left w:val="single" w:sz="4" w:space="0" w:color="auto"/>
              <w:bottom w:val="single" w:sz="4" w:space="0" w:color="auto"/>
              <w:right w:val="single" w:sz="4" w:space="0" w:color="auto"/>
            </w:tcBorders>
            <w:hideMark/>
          </w:tcPr>
          <w:p w14:paraId="2B2EA9C4"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100-ге тең</w:t>
            </w:r>
          </w:p>
        </w:tc>
        <w:tc>
          <w:tcPr>
            <w:tcW w:w="1276" w:type="dxa"/>
            <w:tcBorders>
              <w:top w:val="single" w:sz="4" w:space="0" w:color="auto"/>
              <w:left w:val="single" w:sz="4" w:space="0" w:color="auto"/>
              <w:bottom w:val="single" w:sz="4" w:space="0" w:color="auto"/>
              <w:right w:val="single" w:sz="4" w:space="0" w:color="auto"/>
            </w:tcBorders>
            <w:hideMark/>
          </w:tcPr>
          <w:p w14:paraId="38339F2B"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70-тен жоғары</w:t>
            </w:r>
          </w:p>
        </w:tc>
        <w:tc>
          <w:tcPr>
            <w:tcW w:w="1276" w:type="dxa"/>
            <w:tcBorders>
              <w:top w:val="single" w:sz="4" w:space="0" w:color="auto"/>
              <w:left w:val="single" w:sz="4" w:space="0" w:color="auto"/>
              <w:bottom w:val="single" w:sz="4" w:space="0" w:color="auto"/>
              <w:right w:val="single" w:sz="4" w:space="0" w:color="auto"/>
            </w:tcBorders>
            <w:hideMark/>
          </w:tcPr>
          <w:p w14:paraId="2F6DFBBB"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50-69 аралығы</w:t>
            </w:r>
          </w:p>
        </w:tc>
        <w:tc>
          <w:tcPr>
            <w:tcW w:w="1415" w:type="dxa"/>
            <w:tcBorders>
              <w:top w:val="single" w:sz="4" w:space="0" w:color="auto"/>
              <w:left w:val="single" w:sz="4" w:space="0" w:color="auto"/>
              <w:bottom w:val="single" w:sz="4" w:space="0" w:color="auto"/>
              <w:right w:val="single" w:sz="4" w:space="0" w:color="auto"/>
            </w:tcBorders>
            <w:hideMark/>
          </w:tcPr>
          <w:p w14:paraId="295EF6DF"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50-ден төмен</w:t>
            </w:r>
          </w:p>
        </w:tc>
      </w:tr>
      <w:tr w:rsidR="00656EE7" w14:paraId="5DDBF72C" w14:textId="77777777" w:rsidTr="00AE326F">
        <w:tc>
          <w:tcPr>
            <w:tcW w:w="1556" w:type="dxa"/>
            <w:tcBorders>
              <w:top w:val="single" w:sz="4" w:space="0" w:color="auto"/>
              <w:left w:val="single" w:sz="4" w:space="0" w:color="auto"/>
              <w:bottom w:val="single" w:sz="4" w:space="0" w:color="auto"/>
              <w:right w:val="single" w:sz="4" w:space="0" w:color="auto"/>
            </w:tcBorders>
            <w:hideMark/>
          </w:tcPr>
          <w:p w14:paraId="795B6136"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Нәтижелілік </w:t>
            </w:r>
          </w:p>
        </w:tc>
        <w:tc>
          <w:tcPr>
            <w:tcW w:w="851" w:type="dxa"/>
            <w:tcBorders>
              <w:top w:val="single" w:sz="4" w:space="0" w:color="auto"/>
              <w:left w:val="single" w:sz="4" w:space="0" w:color="auto"/>
              <w:bottom w:val="single" w:sz="4" w:space="0" w:color="auto"/>
              <w:right w:val="single" w:sz="4" w:space="0" w:color="auto"/>
            </w:tcBorders>
            <w:hideMark/>
          </w:tcPr>
          <w:p w14:paraId="41AD44C9"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2F34A9B7"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0,5</w:t>
            </w:r>
          </w:p>
        </w:tc>
        <w:tc>
          <w:tcPr>
            <w:tcW w:w="1327" w:type="dxa"/>
            <w:tcBorders>
              <w:top w:val="single" w:sz="4" w:space="0" w:color="auto"/>
              <w:left w:val="single" w:sz="4" w:space="0" w:color="auto"/>
              <w:bottom w:val="single" w:sz="4" w:space="0" w:color="auto"/>
              <w:right w:val="single" w:sz="4" w:space="0" w:color="auto"/>
            </w:tcBorders>
            <w:hideMark/>
          </w:tcPr>
          <w:p w14:paraId="125F8B07"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100-ден жоғары</w:t>
            </w:r>
          </w:p>
        </w:tc>
        <w:tc>
          <w:tcPr>
            <w:tcW w:w="941" w:type="dxa"/>
            <w:tcBorders>
              <w:top w:val="single" w:sz="4" w:space="0" w:color="auto"/>
              <w:left w:val="single" w:sz="4" w:space="0" w:color="auto"/>
              <w:bottom w:val="single" w:sz="4" w:space="0" w:color="auto"/>
              <w:right w:val="single" w:sz="4" w:space="0" w:color="auto"/>
            </w:tcBorders>
            <w:hideMark/>
          </w:tcPr>
          <w:p w14:paraId="76655233"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100-ге тең</w:t>
            </w:r>
          </w:p>
        </w:tc>
        <w:tc>
          <w:tcPr>
            <w:tcW w:w="1276" w:type="dxa"/>
            <w:tcBorders>
              <w:top w:val="single" w:sz="4" w:space="0" w:color="auto"/>
              <w:left w:val="single" w:sz="4" w:space="0" w:color="auto"/>
              <w:bottom w:val="single" w:sz="4" w:space="0" w:color="auto"/>
              <w:right w:val="single" w:sz="4" w:space="0" w:color="auto"/>
            </w:tcBorders>
            <w:hideMark/>
          </w:tcPr>
          <w:p w14:paraId="280F5362"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70-тен жоғары</w:t>
            </w:r>
          </w:p>
        </w:tc>
        <w:tc>
          <w:tcPr>
            <w:tcW w:w="1276" w:type="dxa"/>
            <w:tcBorders>
              <w:top w:val="single" w:sz="4" w:space="0" w:color="auto"/>
              <w:left w:val="single" w:sz="4" w:space="0" w:color="auto"/>
              <w:bottom w:val="single" w:sz="4" w:space="0" w:color="auto"/>
              <w:right w:val="single" w:sz="4" w:space="0" w:color="auto"/>
            </w:tcBorders>
            <w:hideMark/>
          </w:tcPr>
          <w:p w14:paraId="6EFE9CF5"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50-69 аралығы</w:t>
            </w:r>
          </w:p>
        </w:tc>
        <w:tc>
          <w:tcPr>
            <w:tcW w:w="1415" w:type="dxa"/>
            <w:tcBorders>
              <w:top w:val="single" w:sz="4" w:space="0" w:color="auto"/>
              <w:left w:val="single" w:sz="4" w:space="0" w:color="auto"/>
              <w:bottom w:val="single" w:sz="4" w:space="0" w:color="auto"/>
              <w:right w:val="single" w:sz="4" w:space="0" w:color="auto"/>
            </w:tcBorders>
            <w:hideMark/>
          </w:tcPr>
          <w:p w14:paraId="38D85259"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50-ден төмен</w:t>
            </w:r>
          </w:p>
        </w:tc>
      </w:tr>
      <w:tr w:rsidR="00656EE7" w14:paraId="319DA925" w14:textId="77777777" w:rsidTr="00AE326F">
        <w:tc>
          <w:tcPr>
            <w:tcW w:w="1556" w:type="dxa"/>
            <w:tcBorders>
              <w:top w:val="single" w:sz="4" w:space="0" w:color="auto"/>
              <w:left w:val="single" w:sz="4" w:space="0" w:color="auto"/>
              <w:bottom w:val="single" w:sz="4" w:space="0" w:color="auto"/>
              <w:right w:val="single" w:sz="4" w:space="0" w:color="auto"/>
            </w:tcBorders>
            <w:hideMark/>
          </w:tcPr>
          <w:p w14:paraId="5AA640D4" w14:textId="77777777" w:rsidR="00656EE7" w:rsidRDefault="00656EE7">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Үнемділік </w:t>
            </w:r>
          </w:p>
        </w:tc>
        <w:tc>
          <w:tcPr>
            <w:tcW w:w="851" w:type="dxa"/>
            <w:tcBorders>
              <w:top w:val="single" w:sz="4" w:space="0" w:color="auto"/>
              <w:left w:val="single" w:sz="4" w:space="0" w:color="auto"/>
              <w:bottom w:val="single" w:sz="4" w:space="0" w:color="auto"/>
              <w:right w:val="single" w:sz="4" w:space="0" w:color="auto"/>
            </w:tcBorders>
            <w:hideMark/>
          </w:tcPr>
          <w:p w14:paraId="3711E9CC"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992" w:type="dxa"/>
            <w:tcBorders>
              <w:top w:val="single" w:sz="4" w:space="0" w:color="auto"/>
              <w:left w:val="single" w:sz="4" w:space="0" w:color="auto"/>
              <w:bottom w:val="single" w:sz="4" w:space="0" w:color="auto"/>
              <w:right w:val="single" w:sz="4" w:space="0" w:color="auto"/>
            </w:tcBorders>
            <w:hideMark/>
          </w:tcPr>
          <w:p w14:paraId="4542F659"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0,1</w:t>
            </w:r>
          </w:p>
        </w:tc>
        <w:tc>
          <w:tcPr>
            <w:tcW w:w="1327" w:type="dxa"/>
            <w:tcBorders>
              <w:top w:val="single" w:sz="4" w:space="0" w:color="auto"/>
              <w:left w:val="single" w:sz="4" w:space="0" w:color="auto"/>
              <w:bottom w:val="single" w:sz="4" w:space="0" w:color="auto"/>
              <w:right w:val="single" w:sz="4" w:space="0" w:color="auto"/>
            </w:tcBorders>
            <w:hideMark/>
          </w:tcPr>
          <w:p w14:paraId="34F199DC"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100-ден төмен</w:t>
            </w:r>
          </w:p>
        </w:tc>
        <w:tc>
          <w:tcPr>
            <w:tcW w:w="941" w:type="dxa"/>
            <w:tcBorders>
              <w:top w:val="single" w:sz="4" w:space="0" w:color="auto"/>
              <w:left w:val="single" w:sz="4" w:space="0" w:color="auto"/>
              <w:bottom w:val="single" w:sz="4" w:space="0" w:color="auto"/>
              <w:right w:val="single" w:sz="4" w:space="0" w:color="auto"/>
            </w:tcBorders>
            <w:hideMark/>
          </w:tcPr>
          <w:p w14:paraId="33A86B7C"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100-ге тең</w:t>
            </w:r>
          </w:p>
        </w:tc>
        <w:tc>
          <w:tcPr>
            <w:tcW w:w="1276" w:type="dxa"/>
            <w:tcBorders>
              <w:top w:val="single" w:sz="4" w:space="0" w:color="auto"/>
              <w:left w:val="single" w:sz="4" w:space="0" w:color="auto"/>
              <w:bottom w:val="single" w:sz="4" w:space="0" w:color="auto"/>
              <w:right w:val="single" w:sz="4" w:space="0" w:color="auto"/>
            </w:tcBorders>
            <w:hideMark/>
          </w:tcPr>
          <w:p w14:paraId="5F30305D"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100-ге тең </w:t>
            </w:r>
          </w:p>
        </w:tc>
        <w:tc>
          <w:tcPr>
            <w:tcW w:w="1276" w:type="dxa"/>
            <w:tcBorders>
              <w:top w:val="single" w:sz="4" w:space="0" w:color="auto"/>
              <w:left w:val="single" w:sz="4" w:space="0" w:color="auto"/>
              <w:bottom w:val="single" w:sz="4" w:space="0" w:color="auto"/>
              <w:right w:val="single" w:sz="4" w:space="0" w:color="auto"/>
            </w:tcBorders>
            <w:hideMark/>
          </w:tcPr>
          <w:p w14:paraId="56BC4217"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100-ден жоғары</w:t>
            </w:r>
          </w:p>
        </w:tc>
        <w:tc>
          <w:tcPr>
            <w:tcW w:w="1415" w:type="dxa"/>
            <w:tcBorders>
              <w:top w:val="single" w:sz="4" w:space="0" w:color="auto"/>
              <w:left w:val="single" w:sz="4" w:space="0" w:color="auto"/>
              <w:bottom w:val="single" w:sz="4" w:space="0" w:color="auto"/>
              <w:right w:val="single" w:sz="4" w:space="0" w:color="auto"/>
            </w:tcBorders>
            <w:hideMark/>
          </w:tcPr>
          <w:p w14:paraId="0F405230"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100-ге тең / жоғары</w:t>
            </w:r>
          </w:p>
        </w:tc>
      </w:tr>
      <w:tr w:rsidR="00656EE7" w14:paraId="0C6C0C47" w14:textId="77777777" w:rsidTr="00AE326F">
        <w:tc>
          <w:tcPr>
            <w:tcW w:w="1556" w:type="dxa"/>
            <w:tcBorders>
              <w:top w:val="single" w:sz="4" w:space="0" w:color="auto"/>
              <w:left w:val="single" w:sz="4" w:space="0" w:color="auto"/>
              <w:bottom w:val="single" w:sz="4" w:space="0" w:color="auto"/>
              <w:right w:val="single" w:sz="4" w:space="0" w:color="auto"/>
            </w:tcBorders>
          </w:tcPr>
          <w:p w14:paraId="086EC2A4" w14:textId="77777777" w:rsidR="00656EE7" w:rsidRDefault="00656EE7">
            <w:pPr>
              <w:rPr>
                <w:rFonts w:ascii="Times New Roman" w:eastAsia="Times New Roman" w:hAnsi="Times New Roman" w:cs="Times New Roman"/>
                <w:kern w:val="36"/>
                <w:sz w:val="24"/>
                <w:szCs w:val="24"/>
                <w:lang w:val="kk-KZ" w:eastAsia="ru-RU"/>
              </w:rPr>
            </w:pPr>
          </w:p>
        </w:tc>
        <w:tc>
          <w:tcPr>
            <w:tcW w:w="851" w:type="dxa"/>
            <w:tcBorders>
              <w:top w:val="single" w:sz="4" w:space="0" w:color="auto"/>
              <w:left w:val="single" w:sz="4" w:space="0" w:color="auto"/>
              <w:bottom w:val="single" w:sz="4" w:space="0" w:color="auto"/>
              <w:right w:val="single" w:sz="4" w:space="0" w:color="auto"/>
            </w:tcBorders>
            <w:hideMark/>
          </w:tcPr>
          <w:p w14:paraId="1C2DCB06"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992" w:type="dxa"/>
            <w:tcBorders>
              <w:top w:val="single" w:sz="4" w:space="0" w:color="auto"/>
              <w:left w:val="single" w:sz="4" w:space="0" w:color="auto"/>
              <w:bottom w:val="single" w:sz="4" w:space="0" w:color="auto"/>
              <w:right w:val="single" w:sz="4" w:space="0" w:color="auto"/>
            </w:tcBorders>
            <w:hideMark/>
          </w:tcPr>
          <w:p w14:paraId="23D2568F" w14:textId="77777777" w:rsidR="00656EE7" w:rsidRDefault="00656EE7">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w:t>
            </w:r>
          </w:p>
        </w:tc>
        <w:tc>
          <w:tcPr>
            <w:tcW w:w="1327" w:type="dxa"/>
            <w:tcBorders>
              <w:top w:val="single" w:sz="4" w:space="0" w:color="auto"/>
              <w:left w:val="single" w:sz="4" w:space="0" w:color="auto"/>
              <w:bottom w:val="single" w:sz="4" w:space="0" w:color="auto"/>
              <w:right w:val="single" w:sz="4" w:space="0" w:color="auto"/>
            </w:tcBorders>
          </w:tcPr>
          <w:p w14:paraId="574F7A53" w14:textId="77777777" w:rsidR="00656EE7" w:rsidRDefault="00656EE7">
            <w:pPr>
              <w:jc w:val="center"/>
              <w:rPr>
                <w:rFonts w:ascii="Times New Roman" w:eastAsia="Times New Roman" w:hAnsi="Times New Roman" w:cs="Times New Roman"/>
                <w:kern w:val="36"/>
                <w:sz w:val="24"/>
                <w:szCs w:val="24"/>
                <w:lang w:val="kk-KZ" w:eastAsia="ru-RU"/>
              </w:rPr>
            </w:pPr>
          </w:p>
        </w:tc>
        <w:tc>
          <w:tcPr>
            <w:tcW w:w="941" w:type="dxa"/>
            <w:tcBorders>
              <w:top w:val="single" w:sz="4" w:space="0" w:color="auto"/>
              <w:left w:val="single" w:sz="4" w:space="0" w:color="auto"/>
              <w:bottom w:val="single" w:sz="4" w:space="0" w:color="auto"/>
              <w:right w:val="single" w:sz="4" w:space="0" w:color="auto"/>
            </w:tcBorders>
          </w:tcPr>
          <w:p w14:paraId="1F149BD8" w14:textId="77777777" w:rsidR="00656EE7" w:rsidRDefault="00656EE7">
            <w:pPr>
              <w:jc w:val="center"/>
              <w:rPr>
                <w:rFonts w:ascii="Times New Roman" w:eastAsia="Times New Roman" w:hAnsi="Times New Roman" w:cs="Times New Roman"/>
                <w:kern w:val="36"/>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tcPr>
          <w:p w14:paraId="74AB7133" w14:textId="77777777" w:rsidR="00656EE7" w:rsidRDefault="00656EE7">
            <w:pPr>
              <w:jc w:val="center"/>
              <w:rPr>
                <w:rFonts w:ascii="Times New Roman" w:eastAsia="Times New Roman" w:hAnsi="Times New Roman" w:cs="Times New Roman"/>
                <w:kern w:val="36"/>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tcPr>
          <w:p w14:paraId="7022B985" w14:textId="77777777" w:rsidR="00656EE7" w:rsidRDefault="00656EE7">
            <w:pPr>
              <w:jc w:val="center"/>
              <w:rPr>
                <w:rFonts w:ascii="Times New Roman" w:eastAsia="Times New Roman" w:hAnsi="Times New Roman" w:cs="Times New Roman"/>
                <w:kern w:val="36"/>
                <w:sz w:val="24"/>
                <w:szCs w:val="24"/>
                <w:lang w:val="kk-KZ" w:eastAsia="ru-RU"/>
              </w:rPr>
            </w:pPr>
          </w:p>
        </w:tc>
        <w:tc>
          <w:tcPr>
            <w:tcW w:w="1415" w:type="dxa"/>
            <w:tcBorders>
              <w:top w:val="single" w:sz="4" w:space="0" w:color="auto"/>
              <w:left w:val="single" w:sz="4" w:space="0" w:color="auto"/>
              <w:bottom w:val="single" w:sz="4" w:space="0" w:color="auto"/>
              <w:right w:val="single" w:sz="4" w:space="0" w:color="auto"/>
            </w:tcBorders>
          </w:tcPr>
          <w:p w14:paraId="7F34173A" w14:textId="77777777" w:rsidR="00656EE7" w:rsidRDefault="00656EE7">
            <w:pPr>
              <w:jc w:val="center"/>
              <w:rPr>
                <w:rFonts w:ascii="Times New Roman" w:eastAsia="Times New Roman" w:hAnsi="Times New Roman" w:cs="Times New Roman"/>
                <w:kern w:val="36"/>
                <w:sz w:val="24"/>
                <w:szCs w:val="24"/>
                <w:lang w:val="kk-KZ" w:eastAsia="ru-RU"/>
              </w:rPr>
            </w:pPr>
          </w:p>
        </w:tc>
      </w:tr>
      <w:tr w:rsidR="00656EE7" w14:paraId="61F6BDB4" w14:textId="77777777" w:rsidTr="00AE326F">
        <w:tc>
          <w:tcPr>
            <w:tcW w:w="9634" w:type="dxa"/>
            <w:gridSpan w:val="8"/>
            <w:tcBorders>
              <w:top w:val="single" w:sz="4" w:space="0" w:color="auto"/>
              <w:left w:val="single" w:sz="4" w:space="0" w:color="auto"/>
              <w:bottom w:val="single" w:sz="4" w:space="0" w:color="auto"/>
              <w:right w:val="single" w:sz="4" w:space="0" w:color="auto"/>
            </w:tcBorders>
            <w:hideMark/>
          </w:tcPr>
          <w:p w14:paraId="281FAB2E" w14:textId="77777777" w:rsidR="00656EE7" w:rsidRDefault="00656EE7">
            <w:pPr>
              <w:ind w:firstLine="740"/>
              <w:rPr>
                <w:rFonts w:ascii="Times New Roman" w:eastAsia="Times New Roman" w:hAnsi="Times New Roman" w:cs="Times New Roman"/>
                <w:kern w:val="36"/>
                <w:sz w:val="24"/>
                <w:szCs w:val="24"/>
                <w:lang w:val="kk-KZ" w:eastAsia="ru-RU"/>
              </w:rPr>
            </w:pPr>
            <w:r>
              <w:rPr>
                <w:rFonts w:ascii="Times New Roman" w:hAnsi="Times New Roman" w:cs="Times New Roman"/>
                <w:color w:val="000000"/>
                <w:spacing w:val="2"/>
                <w:sz w:val="24"/>
                <w:szCs w:val="24"/>
                <w:shd w:val="clear" w:color="auto" w:fill="FFFFFF"/>
                <w:lang w:val="kk-KZ"/>
              </w:rPr>
              <w:t>Ескерту – автормен құрастырылған</w:t>
            </w:r>
          </w:p>
        </w:tc>
      </w:tr>
    </w:tbl>
    <w:p w14:paraId="4C217A06" w14:textId="77777777" w:rsidR="00EC7EBC" w:rsidRDefault="00EC7EBC" w:rsidP="00457CE9">
      <w:pPr>
        <w:spacing w:after="0" w:line="240" w:lineRule="auto"/>
        <w:ind w:firstLine="709"/>
        <w:jc w:val="both"/>
        <w:rPr>
          <w:rFonts w:ascii="Times New Roman" w:eastAsia="Times New Roman" w:hAnsi="Times New Roman" w:cs="Times New Roman"/>
          <w:kern w:val="36"/>
          <w:sz w:val="28"/>
          <w:szCs w:val="28"/>
          <w:lang w:val="kk-KZ" w:eastAsia="ru-RU"/>
        </w:rPr>
      </w:pPr>
    </w:p>
    <w:p w14:paraId="4B75C291" w14:textId="602FE980" w:rsidR="008070AD" w:rsidRPr="0022222D" w:rsidRDefault="008070AD" w:rsidP="00457CE9">
      <w:pPr>
        <w:spacing w:after="0" w:line="240" w:lineRule="auto"/>
        <w:ind w:firstLine="709"/>
        <w:jc w:val="both"/>
        <w:rPr>
          <w:rFonts w:ascii="Times New Roman" w:eastAsia="Times New Roman" w:hAnsi="Times New Roman" w:cs="Times New Roman"/>
          <w:kern w:val="36"/>
          <w:sz w:val="28"/>
          <w:szCs w:val="28"/>
          <w:lang w:val="kk-KZ" w:eastAsia="ru-RU"/>
        </w:rPr>
      </w:pPr>
      <w:r w:rsidRPr="0022222D">
        <w:rPr>
          <w:rFonts w:ascii="Times New Roman" w:eastAsia="Times New Roman" w:hAnsi="Times New Roman" w:cs="Times New Roman"/>
          <w:kern w:val="36"/>
          <w:sz w:val="28"/>
          <w:szCs w:val="28"/>
          <w:lang w:val="kk-KZ" w:eastAsia="ru-RU"/>
        </w:rPr>
        <w:t>Біздің ойымызша АӨК дамытуға бағытталған бюджет қаражатын пайдалану тиімділігі аудиті кезінде іске асырылған нәтижелі көрсеткіштер мен іс-шараларды тиімділік</w:t>
      </w:r>
      <w:r w:rsidR="0022222D" w:rsidRPr="0022222D">
        <w:rPr>
          <w:rFonts w:ascii="Times New Roman" w:eastAsia="Times New Roman" w:hAnsi="Times New Roman" w:cs="Times New Roman"/>
          <w:kern w:val="36"/>
          <w:sz w:val="28"/>
          <w:szCs w:val="28"/>
          <w:lang w:val="kk-KZ" w:eastAsia="ru-RU"/>
        </w:rPr>
        <w:t xml:space="preserve"> көрсеткіштеріне негізделе отырып бағалауын жүргізу қажет, бұл бюджет қаражатын пайдалану тиімділігіне объективті баға беруге мүмкіндік береді.</w:t>
      </w:r>
      <w:r w:rsidRPr="0022222D">
        <w:rPr>
          <w:rFonts w:ascii="Times New Roman" w:eastAsia="Times New Roman" w:hAnsi="Times New Roman" w:cs="Times New Roman"/>
          <w:kern w:val="36"/>
          <w:sz w:val="28"/>
          <w:szCs w:val="28"/>
          <w:lang w:val="kk-KZ" w:eastAsia="ru-RU"/>
        </w:rPr>
        <w:t xml:space="preserve"> </w:t>
      </w:r>
    </w:p>
    <w:p w14:paraId="17E425DE" w14:textId="5DE31A30" w:rsidR="00BD2814" w:rsidRDefault="00661619" w:rsidP="00457CE9">
      <w:pPr>
        <w:spacing w:after="0" w:line="240" w:lineRule="auto"/>
        <w:ind w:firstLine="709"/>
        <w:jc w:val="both"/>
        <w:rPr>
          <w:rFonts w:ascii="Times New Roman" w:hAnsi="Times New Roman" w:cs="Times New Roman"/>
          <w:sz w:val="28"/>
          <w:szCs w:val="28"/>
          <w:lang w:val="kk-KZ"/>
        </w:rPr>
      </w:pPr>
      <w:r w:rsidRPr="0022222D">
        <w:rPr>
          <w:rFonts w:ascii="Times New Roman" w:eastAsia="Times New Roman" w:hAnsi="Times New Roman" w:cs="Times New Roman"/>
          <w:kern w:val="36"/>
          <w:sz w:val="28"/>
          <w:szCs w:val="28"/>
          <w:lang w:val="kk-KZ" w:eastAsia="ru-RU"/>
        </w:rPr>
        <w:t xml:space="preserve">ҚР АӨК дамытудың </w:t>
      </w:r>
      <w:r w:rsidRPr="00511C43">
        <w:rPr>
          <w:rFonts w:ascii="Times New Roman" w:eastAsia="Times New Roman" w:hAnsi="Times New Roman" w:cs="Times New Roman"/>
          <w:kern w:val="36"/>
          <w:sz w:val="28"/>
          <w:szCs w:val="28"/>
          <w:lang w:val="kk-KZ" w:eastAsia="ru-RU"/>
        </w:rPr>
        <w:t xml:space="preserve">2021-2025 </w:t>
      </w:r>
      <w:r w:rsidRPr="00BD2814">
        <w:rPr>
          <w:rFonts w:ascii="Times New Roman" w:eastAsia="Times New Roman" w:hAnsi="Times New Roman" w:cs="Times New Roman"/>
          <w:kern w:val="36"/>
          <w:sz w:val="28"/>
          <w:szCs w:val="28"/>
          <w:lang w:val="kk-KZ" w:eastAsia="ru-RU"/>
        </w:rPr>
        <w:t xml:space="preserve">жж. ұлттық жобасындағы талданған басты көрсеткіштерді және ЖАП жанындағы  </w:t>
      </w:r>
      <w:r w:rsidRPr="00BD2814">
        <w:rPr>
          <w:rFonts w:ascii="Times New Roman" w:hAnsi="Times New Roman" w:cs="Times New Roman"/>
          <w:sz w:val="28"/>
          <w:szCs w:val="28"/>
          <w:lang w:val="kk-KZ"/>
        </w:rPr>
        <w:t xml:space="preserve">«Тиімділікті зерттеу талдау және бағалау орталығы» ЖШС-нің басшылығымен жүргізілген «АӨК дамытуға </w:t>
      </w:r>
      <w:r w:rsidRPr="00457CE9">
        <w:rPr>
          <w:rFonts w:ascii="Times New Roman" w:hAnsi="Times New Roman" w:cs="Times New Roman"/>
          <w:sz w:val="28"/>
          <w:szCs w:val="28"/>
          <w:lang w:val="kk-KZ"/>
        </w:rPr>
        <w:t xml:space="preserve">бағытталған бюджет қаражатын пайдалану тиімділігіне ұсынымдар әзірлей отырып аудит жүргізудің әдіснамалық тәсілдерін зерттеу» </w:t>
      </w:r>
      <w:r w:rsidR="0096088F" w:rsidRPr="00457CE9">
        <w:rPr>
          <w:rFonts w:ascii="Times New Roman" w:hAnsi="Times New Roman" w:cs="Times New Roman"/>
          <w:sz w:val="28"/>
          <w:szCs w:val="28"/>
          <w:lang w:val="kk-KZ"/>
        </w:rPr>
        <w:t>[</w:t>
      </w:r>
      <w:r w:rsidR="003C220A">
        <w:rPr>
          <w:rFonts w:ascii="Times New Roman" w:hAnsi="Times New Roman" w:cs="Times New Roman"/>
          <w:sz w:val="28"/>
          <w:szCs w:val="28"/>
          <w:lang w:val="kk-KZ"/>
        </w:rPr>
        <w:t>6</w:t>
      </w:r>
      <w:r w:rsidR="003F004D" w:rsidRPr="003F004D">
        <w:rPr>
          <w:rFonts w:ascii="Times New Roman" w:hAnsi="Times New Roman" w:cs="Times New Roman"/>
          <w:sz w:val="28"/>
          <w:szCs w:val="28"/>
          <w:lang w:val="kk-KZ"/>
        </w:rPr>
        <w:t>9</w:t>
      </w:r>
      <w:r w:rsidR="0096088F"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xml:space="preserve">деп аталатын зерттеу жұмысында анықталған ҚР </w:t>
      </w:r>
      <w:r w:rsidRPr="00457CE9">
        <w:rPr>
          <w:rStyle w:val="a4"/>
          <w:color w:val="auto"/>
          <w:sz w:val="28"/>
          <w:szCs w:val="28"/>
          <w:u w:val="none"/>
          <w:lang w:val="kk-KZ"/>
        </w:rPr>
        <w:t xml:space="preserve">АӨК дамытуға арналған бюджет қаражатын пайдалану тиімділігі аудитінің </w:t>
      </w:r>
      <w:r w:rsidRPr="00457CE9">
        <w:rPr>
          <w:rFonts w:ascii="Times New Roman" w:hAnsi="Times New Roman" w:cs="Times New Roman"/>
          <w:sz w:val="28"/>
          <w:szCs w:val="28"/>
          <w:lang w:val="kk-KZ"/>
        </w:rPr>
        <w:t xml:space="preserve">бағыттарын негізге ала отырып жүйелі қорытынды жасалды. Жоғарыда аталған ғылыми зерттеуде ҚР </w:t>
      </w:r>
      <w:r w:rsidRPr="00457CE9">
        <w:rPr>
          <w:rStyle w:val="a4"/>
          <w:color w:val="auto"/>
          <w:sz w:val="28"/>
          <w:szCs w:val="28"/>
          <w:u w:val="none"/>
          <w:lang w:val="kk-KZ"/>
        </w:rPr>
        <w:t xml:space="preserve">АӨК дамытуға арналған бюджет қаражатын пайдалану тиімділігі аудитінің он </w:t>
      </w:r>
      <w:r w:rsidRPr="00457CE9">
        <w:rPr>
          <w:rFonts w:ascii="Times New Roman" w:hAnsi="Times New Roman" w:cs="Times New Roman"/>
          <w:sz w:val="28"/>
          <w:szCs w:val="28"/>
          <w:lang w:val="kk-KZ"/>
        </w:rPr>
        <w:t>бағытты көрсетілген, бірақ өткізілетін аудиттің критери</w:t>
      </w:r>
      <w:r w:rsidR="00E07FCE">
        <w:rPr>
          <w:rFonts w:ascii="Times New Roman" w:hAnsi="Times New Roman" w:cs="Times New Roman"/>
          <w:sz w:val="28"/>
          <w:szCs w:val="28"/>
          <w:lang w:val="kk-KZ"/>
        </w:rPr>
        <w:t>й</w:t>
      </w:r>
      <w:r w:rsidRPr="00457CE9">
        <w:rPr>
          <w:rFonts w:ascii="Times New Roman" w:hAnsi="Times New Roman" w:cs="Times New Roman"/>
          <w:sz w:val="28"/>
          <w:szCs w:val="28"/>
          <w:lang w:val="kk-KZ"/>
        </w:rPr>
        <w:t>леріне нақты сипаттама берілмеген, ал тиімділік аудитінің нәтижелілігі оның дұрыс анықталған критери</w:t>
      </w:r>
      <w:r w:rsidR="00462C4A">
        <w:rPr>
          <w:rFonts w:ascii="Times New Roman" w:hAnsi="Times New Roman" w:cs="Times New Roman"/>
          <w:sz w:val="28"/>
          <w:szCs w:val="28"/>
          <w:lang w:val="kk-KZ"/>
        </w:rPr>
        <w:t>й</w:t>
      </w:r>
      <w:r w:rsidRPr="00457CE9">
        <w:rPr>
          <w:rFonts w:ascii="Times New Roman" w:hAnsi="Times New Roman" w:cs="Times New Roman"/>
          <w:sz w:val="28"/>
          <w:szCs w:val="28"/>
          <w:lang w:val="kk-KZ"/>
        </w:rPr>
        <w:t xml:space="preserve">лерімен бағаланатыны бізге белгілі. </w:t>
      </w:r>
    </w:p>
    <w:p w14:paraId="0DF232E1" w14:textId="77777777" w:rsidR="00BD2814" w:rsidRDefault="00BD2814" w:rsidP="00BD2814">
      <w:pPr>
        <w:spacing w:after="0" w:line="240" w:lineRule="auto"/>
        <w:ind w:firstLine="709"/>
        <w:jc w:val="both"/>
        <w:rPr>
          <w:lang w:val="kk-KZ"/>
        </w:rPr>
      </w:pPr>
      <w:r>
        <w:rPr>
          <w:rFonts w:ascii="Times New Roman" w:hAnsi="Times New Roman" w:cs="Times New Roman"/>
          <w:color w:val="000000"/>
          <w:sz w:val="28"/>
          <w:szCs w:val="28"/>
          <w:shd w:val="clear" w:color="auto" w:fill="FFFFFF"/>
          <w:lang w:val="kk-KZ"/>
        </w:rPr>
        <w:t xml:space="preserve">ҚР АӨК дамытуға бағытталған бюджет қаражатының қаншалықты тиімді пайдаланылып жатқанын анықтау мақсатында оны іске асыруға анықталған міндеттер, нәтижелі көрсеткіштер мен іс-шаралардан негізгі критерийлер анықтап, көпкритериалды талдау жасау арқылы анықтау әдістемесі қажет. </w:t>
      </w:r>
    </w:p>
    <w:p w14:paraId="528A5498" w14:textId="2B17C7A3" w:rsidR="009C58C8" w:rsidRDefault="009C58C8" w:rsidP="009C58C8">
      <w:pPr>
        <w:widowControl w:val="0"/>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«Қазақстан-2050» стратегиясында үшінші сын-тегеурін жаһандық азық-түлік қауіпсіздігіне қауіп төндірді және Қазақстан ауыл шаруашылығы өндірісінде сапалы серпіліс жасау мүмкіндігі анықталды. Ауыл шаруашылығын жаңғырту жөніндегі міндет шеңберінде ауыл шаруашылығы өнімдеріне өсіп келе жатқан жаһандық сұраныс жағдайында егіс алқаптарын ұлғайту, ең алдымен жаңа технологияларды енгізу есебінен өнімділікті айтарлықтай өсуін қамтамасыз ету, әлемдік деңгейдегі мал шаруашылығының жемшөп базасын құру, экологиялыққа баса назар аудара отырып, ұлттық бәсекеге қаблетті брендтер құру қажет [52]. </w:t>
      </w:r>
      <w:r w:rsidR="00A23F7A">
        <w:rPr>
          <w:rFonts w:ascii="Times New Roman" w:hAnsi="Times New Roman" w:cs="Times New Roman"/>
          <w:sz w:val="28"/>
          <w:szCs w:val="28"/>
          <w:lang w:val="kk-KZ"/>
        </w:rPr>
        <w:t>20</w:t>
      </w:r>
      <w:r>
        <w:rPr>
          <w:rFonts w:ascii="Times New Roman" w:hAnsi="Times New Roman" w:cs="Times New Roman"/>
          <w:sz w:val="28"/>
          <w:szCs w:val="28"/>
          <w:lang w:val="kk-KZ"/>
        </w:rPr>
        <w:t>-суретте АӨК дамытуға бағытталған бюджет қаражатын пайдалану тиімділігі аудитінде критерий орны, маңызы және аудит сапасына әсері келтірілген.</w:t>
      </w:r>
    </w:p>
    <w:p w14:paraId="1ABDCF2C" w14:textId="77777777" w:rsidR="00D02E29" w:rsidRDefault="00D02E29" w:rsidP="009C58C8">
      <w:pPr>
        <w:spacing w:after="0" w:line="240" w:lineRule="auto"/>
        <w:ind w:firstLine="709"/>
        <w:jc w:val="both"/>
        <w:rPr>
          <w:rFonts w:ascii="Times New Roman" w:hAnsi="Times New Roman" w:cs="Times New Roman"/>
          <w:sz w:val="16"/>
          <w:szCs w:val="16"/>
          <w:lang w:val="kk-KZ"/>
        </w:rPr>
      </w:pPr>
    </w:p>
    <w:p w14:paraId="5B965172" w14:textId="002BB9FD" w:rsidR="009C58C8" w:rsidRDefault="009C58C8" w:rsidP="009C58C8">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602368" behindDoc="0" locked="0" layoutInCell="1" allowOverlap="1" wp14:anchorId="6BFF4510" wp14:editId="4E35C0BF">
                <wp:simplePos x="0" y="0"/>
                <wp:positionH relativeFrom="column">
                  <wp:posOffset>34925</wp:posOffset>
                </wp:positionH>
                <wp:positionV relativeFrom="paragraph">
                  <wp:posOffset>15875</wp:posOffset>
                </wp:positionV>
                <wp:extent cx="894080" cy="803910"/>
                <wp:effectExtent l="0" t="0" r="20320" b="15240"/>
                <wp:wrapNone/>
                <wp:docPr id="1438389959" name="Прямоугольник 70"/>
                <wp:cNvGraphicFramePr/>
                <a:graphic xmlns:a="http://schemas.openxmlformats.org/drawingml/2006/main">
                  <a:graphicData uri="http://schemas.microsoft.com/office/word/2010/wordprocessingShape">
                    <wps:wsp>
                      <wps:cNvSpPr/>
                      <wps:spPr>
                        <a:xfrm>
                          <a:off x="0" y="0"/>
                          <a:ext cx="894080" cy="8032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2C16473"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Тиімділік аудитінің мақсаты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FF4510" id="Прямоугольник 70" o:spid="_x0000_s1172" style="position:absolute;left:0;text-align:left;margin-left:2.75pt;margin-top:1.25pt;width:70.4pt;height:63.3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" fillcolor="white [3201]" strokecolor="black [3200]" strokeweight=".25pt">
                <v:textbox>
                  <w:txbxContent>
                    <w:p w14:paraId="72C16473"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Тиімділік аудитінің мақсаты</w:t>
                      </w:r>
                    </w:p>
                  </w:txbxContent>
                </v:textbox>
              </v:rect>
            </w:pict>
          </mc:Fallback>
        </mc:AlternateContent>
      </w:r>
      <w:r>
        <w:rPr>
          <w:noProof/>
          <w:lang w:eastAsia="ru-RU"/>
        </w:rPr>
        <mc:AlternateContent>
          <mc:Choice Requires="wps">
            <w:drawing>
              <wp:anchor distT="0" distB="0" distL="114300" distR="114300" simplePos="0" relativeHeight="252603392" behindDoc="0" locked="0" layoutInCell="1" allowOverlap="1" wp14:anchorId="3B09761E" wp14:editId="08C17F32">
                <wp:simplePos x="0" y="0"/>
                <wp:positionH relativeFrom="column">
                  <wp:posOffset>949325</wp:posOffset>
                </wp:positionH>
                <wp:positionV relativeFrom="paragraph">
                  <wp:posOffset>259080</wp:posOffset>
                </wp:positionV>
                <wp:extent cx="241300" cy="260985"/>
                <wp:effectExtent l="57150" t="38100" r="0" b="81915"/>
                <wp:wrapNone/>
                <wp:docPr id="1076144344" name="Стрелка: вправо 69"/>
                <wp:cNvGraphicFramePr/>
                <a:graphic xmlns:a="http://schemas.openxmlformats.org/drawingml/2006/main">
                  <a:graphicData uri="http://schemas.microsoft.com/office/word/2010/wordprocessingShape">
                    <wps:wsp>
                      <wps:cNvSpPr/>
                      <wps:spPr>
                        <a:xfrm>
                          <a:off x="0" y="0"/>
                          <a:ext cx="240665" cy="260985"/>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6E970" id="Стрелка: вправо 69" o:spid="_x0000_s1026" type="#_x0000_t13" style="position:absolute;margin-left:74.75pt;margin-top:20.4pt;width:19pt;height:20.5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" adj="10800"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04416" behindDoc="0" locked="0" layoutInCell="1" allowOverlap="1" wp14:anchorId="750527C0" wp14:editId="1EC7DA3E">
                <wp:simplePos x="0" y="0"/>
                <wp:positionH relativeFrom="column">
                  <wp:posOffset>1200785</wp:posOffset>
                </wp:positionH>
                <wp:positionV relativeFrom="paragraph">
                  <wp:posOffset>25400</wp:posOffset>
                </wp:positionV>
                <wp:extent cx="4260215" cy="823595"/>
                <wp:effectExtent l="0" t="0" r="26035" b="14605"/>
                <wp:wrapNone/>
                <wp:docPr id="105843572" name="Прямоугольник 68"/>
                <wp:cNvGraphicFramePr/>
                <a:graphic xmlns:a="http://schemas.openxmlformats.org/drawingml/2006/main">
                  <a:graphicData uri="http://schemas.microsoft.com/office/word/2010/wordprocessingShape">
                    <wps:wsp>
                      <wps:cNvSpPr/>
                      <wps:spPr>
                        <a:xfrm>
                          <a:off x="0" y="0"/>
                          <a:ext cx="4260215" cy="8235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377B4E"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Ауыл шаруашылығы өнімдерін қайта өңдеу өнімдерін мемлекетік қолдауға мемлекеттік орган пайдаланған бюджет қаражатын пайдалану заңдылығын, үнемділігін, нәтижелілігін, өнімділігін тәуелсіз, объективті бағалау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0527C0" id="Прямоугольник 68" o:spid="_x0000_s1173" style="position:absolute;left:0;text-align:left;margin-left:94.55pt;margin-top:2pt;width:335.45pt;height:64.8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" fillcolor="white [3201]" strokecolor="black [3200]" strokeweight=".25pt">
                <v:textbox>
                  <w:txbxContent>
                    <w:p w14:paraId="00377B4E"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Ауыл шаруашылығы өнімдерін қайта өңдеу өнімдерін мемлекетік қолдауға мемлекеттік орган пайдаланған бюджет қаражатын пайдалану заңдылығын, үнемділігін, нәтижелілігін, өнімділігін тәуелсіз, объективті бағалау</w:t>
                      </w:r>
                    </w:p>
                  </w:txbxContent>
                </v:textbox>
              </v:rect>
            </w:pict>
          </mc:Fallback>
        </mc:AlternateContent>
      </w:r>
      <w:r>
        <w:rPr>
          <w:noProof/>
          <w:lang w:eastAsia="ru-RU"/>
        </w:rPr>
        <mc:AlternateContent>
          <mc:Choice Requires="wps">
            <w:drawing>
              <wp:anchor distT="0" distB="0" distL="114300" distR="114300" simplePos="0" relativeHeight="252605440" behindDoc="0" locked="0" layoutInCell="1" allowOverlap="1" wp14:anchorId="61D2DC32" wp14:editId="63B55EBA">
                <wp:simplePos x="0" y="0"/>
                <wp:positionH relativeFrom="page">
                  <wp:posOffset>3209290</wp:posOffset>
                </wp:positionH>
                <wp:positionV relativeFrom="paragraph">
                  <wp:posOffset>880110</wp:posOffset>
                </wp:positionV>
                <wp:extent cx="274320" cy="243205"/>
                <wp:effectExtent l="57150" t="38100" r="0" b="80645"/>
                <wp:wrapNone/>
                <wp:docPr id="1334809973" name="Стрелка: вниз 67"/>
                <wp:cNvGraphicFramePr/>
                <a:graphic xmlns:a="http://schemas.openxmlformats.org/drawingml/2006/main">
                  <a:graphicData uri="http://schemas.microsoft.com/office/word/2010/wordprocessingShape">
                    <wps:wsp>
                      <wps:cNvSpPr/>
                      <wps:spPr>
                        <a:xfrm>
                          <a:off x="0" y="0"/>
                          <a:ext cx="274320" cy="243205"/>
                        </a:xfrm>
                        <a:prstGeom prst="down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F8E62" id="Стрелка: вниз 67" o:spid="_x0000_s1026" type="#_x0000_t67" style="position:absolute;margin-left:252.7pt;margin-top:69.3pt;width:21.6pt;height:19.15pt;z-index:2526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" adj="10800" fillcolor="#9bbb59 [3206]" stroked="f" strokeweight="3pt">
                <v:shadow on="t" color="black" opacity="24903f" origin=",.5" offset="0,.55556mm"/>
                <w10:wrap anchorx="page"/>
              </v:shape>
            </w:pict>
          </mc:Fallback>
        </mc:AlternateContent>
      </w:r>
      <w:r>
        <w:rPr>
          <w:noProof/>
          <w:lang w:eastAsia="ru-RU"/>
        </w:rPr>
        <mc:AlternateContent>
          <mc:Choice Requires="wps">
            <w:drawing>
              <wp:anchor distT="0" distB="0" distL="114300" distR="114300" simplePos="0" relativeHeight="252606464" behindDoc="0" locked="0" layoutInCell="1" allowOverlap="1" wp14:anchorId="71565648" wp14:editId="1D336EEA">
                <wp:simplePos x="0" y="0"/>
                <wp:positionH relativeFrom="column">
                  <wp:posOffset>1190625</wp:posOffset>
                </wp:positionH>
                <wp:positionV relativeFrom="paragraph">
                  <wp:posOffset>1146810</wp:posOffset>
                </wp:positionV>
                <wp:extent cx="1456690" cy="1266190"/>
                <wp:effectExtent l="0" t="0" r="10160" b="10160"/>
                <wp:wrapNone/>
                <wp:docPr id="448335706" name="Прямоугольник 66"/>
                <wp:cNvGraphicFramePr/>
                <a:graphic xmlns:a="http://schemas.openxmlformats.org/drawingml/2006/main">
                  <a:graphicData uri="http://schemas.microsoft.com/office/word/2010/wordprocessingShape">
                    <wps:wsp>
                      <wps:cNvSpPr/>
                      <wps:spPr>
                        <a:xfrm>
                          <a:off x="0" y="0"/>
                          <a:ext cx="1456690" cy="12655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B82059F"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Тексерілетін объект қызмет нәтижелерінің көрсеткіштері – критерий ретінде таңдалады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565648" id="Прямоугольник 66" o:spid="_x0000_s1174" style="position:absolute;left:0;text-align:left;margin-left:93.75pt;margin-top:90.3pt;width:114.7pt;height:99.7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" fillcolor="white [3201]" strokecolor="black [3200]" strokeweight=".25pt">
                <v:textbox>
                  <w:txbxContent>
                    <w:p w14:paraId="6B82059F"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Тексерілетін объект қызмет нәтижелерінің көрсеткіштері – критерий ретінде таңдалады</w:t>
                      </w:r>
                    </w:p>
                  </w:txbxContent>
                </v:textbox>
              </v:rect>
            </w:pict>
          </mc:Fallback>
        </mc:AlternateContent>
      </w:r>
      <w:r>
        <w:rPr>
          <w:noProof/>
          <w:lang w:eastAsia="ru-RU"/>
        </w:rPr>
        <mc:AlternateContent>
          <mc:Choice Requires="wps">
            <w:drawing>
              <wp:anchor distT="0" distB="0" distL="114300" distR="114300" simplePos="0" relativeHeight="252607488" behindDoc="0" locked="0" layoutInCell="1" allowOverlap="1" wp14:anchorId="18390C7B" wp14:editId="3B3F42DC">
                <wp:simplePos x="0" y="0"/>
                <wp:positionH relativeFrom="column">
                  <wp:posOffset>2919095</wp:posOffset>
                </wp:positionH>
                <wp:positionV relativeFrom="paragraph">
                  <wp:posOffset>1156970</wp:posOffset>
                </wp:positionV>
                <wp:extent cx="1738630" cy="1256030"/>
                <wp:effectExtent l="0" t="0" r="13970" b="20320"/>
                <wp:wrapNone/>
                <wp:docPr id="641788031" name="Прямоугольник 65"/>
                <wp:cNvGraphicFramePr/>
                <a:graphic xmlns:a="http://schemas.openxmlformats.org/drawingml/2006/main">
                  <a:graphicData uri="http://schemas.microsoft.com/office/word/2010/wordprocessingShape">
                    <wps:wsp>
                      <wps:cNvSpPr/>
                      <wps:spPr>
                        <a:xfrm>
                          <a:off x="0" y="0"/>
                          <a:ext cx="1737995" cy="12560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61E9DFF"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Тиімділік критерийлері –бұл объектінің, үрдістің сапасын бағалау қалыптасатын белгі, осындай бағалау өлшемі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90C7B" id="Прямоугольник 65" o:spid="_x0000_s1175" style="position:absolute;left:0;text-align:left;margin-left:229.85pt;margin-top:91.1pt;width:136.9pt;height:98.9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" fillcolor="white [3201]" strokecolor="black [3200]" strokeweight=".25pt">
                <v:textbox>
                  <w:txbxContent>
                    <w:p w14:paraId="761E9DFF"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Тиімділік критерийлері –бұл объектінің, үрдістің сапасын бағалау қалыптасатын белгі, осындай бағалау өлшемі  </w:t>
                      </w:r>
                    </w:p>
                  </w:txbxContent>
                </v:textbox>
              </v:rect>
            </w:pict>
          </mc:Fallback>
        </mc:AlternateContent>
      </w:r>
      <w:r>
        <w:rPr>
          <w:noProof/>
          <w:lang w:eastAsia="ru-RU"/>
        </w:rPr>
        <mc:AlternateContent>
          <mc:Choice Requires="wps">
            <w:drawing>
              <wp:anchor distT="0" distB="0" distL="114300" distR="114300" simplePos="0" relativeHeight="252609536" behindDoc="0" locked="0" layoutInCell="1" allowOverlap="1" wp14:anchorId="2F9288D6" wp14:editId="296A0B09">
                <wp:simplePos x="0" y="0"/>
                <wp:positionH relativeFrom="column">
                  <wp:posOffset>4949190</wp:posOffset>
                </wp:positionH>
                <wp:positionV relativeFrom="paragraph">
                  <wp:posOffset>1280795</wp:posOffset>
                </wp:positionV>
                <wp:extent cx="894080" cy="1085215"/>
                <wp:effectExtent l="0" t="0" r="20320" b="19685"/>
                <wp:wrapNone/>
                <wp:docPr id="996316753" name="Прямоугольник 63"/>
                <wp:cNvGraphicFramePr/>
                <a:graphic xmlns:a="http://schemas.openxmlformats.org/drawingml/2006/main">
                  <a:graphicData uri="http://schemas.microsoft.com/office/word/2010/wordprocessingShape">
                    <wps:wsp>
                      <wps:cNvSpPr/>
                      <wps:spPr>
                        <a:xfrm>
                          <a:off x="0" y="0"/>
                          <a:ext cx="894080" cy="10845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A023D2"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Іс-шараның орындалу деңгейін көрсетеді</w:t>
                            </w:r>
                          </w:p>
                          <w:p w14:paraId="0D8ADD39" w14:textId="77777777" w:rsidR="009C58C8" w:rsidRDefault="009C58C8" w:rsidP="009C58C8">
                            <w:pPr>
                              <w:spacing w:after="0" w:line="240" w:lineRule="auto"/>
                              <w:jc w:val="center"/>
                              <w:rPr>
                                <w:rFonts w:ascii="Times New Roman" w:hAnsi="Times New Roman" w:cs="Times New Roman"/>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288D6" id="Прямоугольник 63" o:spid="_x0000_s1176" style="position:absolute;left:0;text-align:left;margin-left:389.7pt;margin-top:100.85pt;width:70.4pt;height:85.4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" fillcolor="white [3201]" strokecolor="black [3200]" strokeweight=".25pt">
                <v:textbox>
                  <w:txbxContent>
                    <w:p w14:paraId="0FA023D2"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Іс-шараның орындалу деңгейін көрсетеді</w:t>
                      </w:r>
                    </w:p>
                    <w:p w14:paraId="0D8ADD39" w14:textId="77777777" w:rsidR="009C58C8" w:rsidRDefault="009C58C8" w:rsidP="009C58C8">
                      <w:pPr>
                        <w:spacing w:after="0" w:line="240" w:lineRule="auto"/>
                        <w:jc w:val="center"/>
                        <w:rPr>
                          <w:rFonts w:ascii="Times New Roman" w:hAnsi="Times New Roman" w:cs="Times New Roman"/>
                          <w:sz w:val="24"/>
                          <w:szCs w:val="24"/>
                          <w:lang w:val="kk-KZ"/>
                        </w:rPr>
                      </w:pPr>
                    </w:p>
                  </w:txbxContent>
                </v:textbox>
              </v:rect>
            </w:pict>
          </mc:Fallback>
        </mc:AlternateContent>
      </w:r>
      <w:r>
        <w:rPr>
          <w:noProof/>
          <w:lang w:eastAsia="ru-RU"/>
        </w:rPr>
        <mc:AlternateContent>
          <mc:Choice Requires="wps">
            <w:drawing>
              <wp:anchor distT="0" distB="0" distL="114300" distR="114300" simplePos="0" relativeHeight="252610560" behindDoc="0" locked="0" layoutInCell="1" allowOverlap="1" wp14:anchorId="23985455" wp14:editId="03CCAE96">
                <wp:simplePos x="0" y="0"/>
                <wp:positionH relativeFrom="column">
                  <wp:posOffset>5709920</wp:posOffset>
                </wp:positionH>
                <wp:positionV relativeFrom="paragraph">
                  <wp:posOffset>443865</wp:posOffset>
                </wp:positionV>
                <wp:extent cx="0" cy="843915"/>
                <wp:effectExtent l="19050" t="19050" r="19050" b="13335"/>
                <wp:wrapNone/>
                <wp:docPr id="1571399602" name="Прямая соединительная линия 62"/>
                <wp:cNvGraphicFramePr/>
                <a:graphic xmlns:a="http://schemas.openxmlformats.org/drawingml/2006/main">
                  <a:graphicData uri="http://schemas.microsoft.com/office/word/2010/wordprocessingShape">
                    <wps:wsp>
                      <wps:cNvCnPr/>
                      <wps:spPr>
                        <a:xfrm flipV="1">
                          <a:off x="0" y="0"/>
                          <a:ext cx="0" cy="843915"/>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8944FF" id="Прямая соединительная линия 62" o:spid="_x0000_s1026" style="position:absolute;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6pt,34.95pt" to="449.6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" strokecolor="#94b64e [3046]" strokeweight="3pt"/>
            </w:pict>
          </mc:Fallback>
        </mc:AlternateContent>
      </w:r>
      <w:r>
        <w:rPr>
          <w:noProof/>
          <w:lang w:eastAsia="ru-RU"/>
        </w:rPr>
        <mc:AlternateContent>
          <mc:Choice Requires="wps">
            <w:drawing>
              <wp:anchor distT="0" distB="0" distL="114300" distR="114300" simplePos="0" relativeHeight="252611584" behindDoc="0" locked="0" layoutInCell="1" allowOverlap="1" wp14:anchorId="25E80B82" wp14:editId="1257CEFA">
                <wp:simplePos x="0" y="0"/>
                <wp:positionH relativeFrom="column">
                  <wp:posOffset>5438140</wp:posOffset>
                </wp:positionH>
                <wp:positionV relativeFrom="paragraph">
                  <wp:posOffset>347980</wp:posOffset>
                </wp:positionV>
                <wp:extent cx="284480" cy="222885"/>
                <wp:effectExtent l="57150" t="38100" r="0" b="81915"/>
                <wp:wrapNone/>
                <wp:docPr id="1457535380" name="Стрелка: влево 61"/>
                <wp:cNvGraphicFramePr/>
                <a:graphic xmlns:a="http://schemas.openxmlformats.org/drawingml/2006/main">
                  <a:graphicData uri="http://schemas.microsoft.com/office/word/2010/wordprocessingShape">
                    <wps:wsp>
                      <wps:cNvSpPr/>
                      <wps:spPr>
                        <a:xfrm>
                          <a:off x="0" y="0"/>
                          <a:ext cx="284480" cy="222885"/>
                        </a:xfrm>
                        <a:prstGeom prst="lef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65BC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1" o:spid="_x0000_s1026" type="#_x0000_t66" style="position:absolute;margin-left:428.2pt;margin-top:27.4pt;width:22.4pt;height:17.5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" adj="8462"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12608" behindDoc="0" locked="0" layoutInCell="1" allowOverlap="1" wp14:anchorId="520E50C5" wp14:editId="3D021A82">
                <wp:simplePos x="0" y="0"/>
                <wp:positionH relativeFrom="margin">
                  <wp:align>left</wp:align>
                </wp:positionH>
                <wp:positionV relativeFrom="paragraph">
                  <wp:posOffset>2710180</wp:posOffset>
                </wp:positionV>
                <wp:extent cx="5847715" cy="984885"/>
                <wp:effectExtent l="0" t="0" r="19685" b="24765"/>
                <wp:wrapNone/>
                <wp:docPr id="1080509276" name="Прямоугольник 60"/>
                <wp:cNvGraphicFramePr/>
                <a:graphic xmlns:a="http://schemas.openxmlformats.org/drawingml/2006/main">
                  <a:graphicData uri="http://schemas.microsoft.com/office/word/2010/wordprocessingShape">
                    <wps:wsp>
                      <wps:cNvSpPr/>
                      <wps:spPr>
                        <a:xfrm>
                          <a:off x="0" y="0"/>
                          <a:ext cx="5847715" cy="9842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3559472"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АӨК өнімдері экспортының жалпы көлеміндегі өңделген өнімдердің үлесі;</w:t>
                            </w:r>
                          </w:p>
                          <w:p w14:paraId="252CB0DB" w14:textId="207F3DE3"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АӨК өнімдерінің экспортын 2019 ж</w:t>
                            </w:r>
                            <w:r w:rsidR="005045DE">
                              <w:rPr>
                                <w:rFonts w:ascii="Times New Roman" w:hAnsi="Times New Roman" w:cs="Times New Roman"/>
                                <w:sz w:val="24"/>
                                <w:szCs w:val="24"/>
                                <w:lang w:val="kk-KZ"/>
                              </w:rPr>
                              <w:t>.</w:t>
                            </w:r>
                            <w:r>
                              <w:rPr>
                                <w:rFonts w:ascii="Times New Roman" w:hAnsi="Times New Roman" w:cs="Times New Roman"/>
                                <w:sz w:val="24"/>
                                <w:szCs w:val="24"/>
                                <w:lang w:val="kk-KZ"/>
                              </w:rPr>
                              <w:t xml:space="preserve"> деңгеймен салыстырғанда 2 есе ұлғайту;</w:t>
                            </w:r>
                          </w:p>
                          <w:p w14:paraId="3E899A6D"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ұн, макарондар, жарма, ет, сүт, май-тоңмай, жеміс-көкөніс өнімі, кондитерлік өнім, алкогольсіз сусындар, сондай-ақ астықты терең өңдеу өнімдерін экспортқа бағыттау үшін 194 инвестициялық жобалардың іске асырылған саны</w:t>
                            </w:r>
                          </w:p>
                          <w:p w14:paraId="3FF60B68" w14:textId="77777777" w:rsidR="009C58C8" w:rsidRDefault="009C58C8" w:rsidP="009C58C8">
                            <w:pPr>
                              <w:spacing w:after="0" w:line="240" w:lineRule="auto"/>
                              <w:jc w:val="center"/>
                              <w:rPr>
                                <w:rFonts w:ascii="Times New Roman" w:hAnsi="Times New Roman" w:cs="Times New Roman"/>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E50C5" id="Прямоугольник 60" o:spid="_x0000_s1177" style="position:absolute;left:0;text-align:left;margin-left:0;margin-top:213.4pt;width:460.45pt;height:77.55pt;z-index:25261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" fillcolor="white [3201]" strokecolor="black [3200]" strokeweight=".25pt">
                <v:textbox>
                  <w:txbxContent>
                    <w:p w14:paraId="23559472"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АӨК өнімдері экспортының жалпы көлеміндегі өңделген өнімдердің үлесі;</w:t>
                      </w:r>
                    </w:p>
                    <w:p w14:paraId="252CB0DB" w14:textId="207F3DE3"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АӨК өнімдерінің экспортын 2019 ж</w:t>
                      </w:r>
                      <w:r w:rsidR="005045DE">
                        <w:rPr>
                          <w:rFonts w:ascii="Times New Roman" w:hAnsi="Times New Roman" w:cs="Times New Roman"/>
                          <w:sz w:val="24"/>
                          <w:szCs w:val="24"/>
                          <w:lang w:val="kk-KZ"/>
                        </w:rPr>
                        <w:t>.</w:t>
                      </w:r>
                      <w:r>
                        <w:rPr>
                          <w:rFonts w:ascii="Times New Roman" w:hAnsi="Times New Roman" w:cs="Times New Roman"/>
                          <w:sz w:val="24"/>
                          <w:szCs w:val="24"/>
                          <w:lang w:val="kk-KZ"/>
                        </w:rPr>
                        <w:t xml:space="preserve"> деңгеймен салыстырғанда 2 есе ұлғайту;</w:t>
                      </w:r>
                    </w:p>
                    <w:p w14:paraId="3E899A6D"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ұн, макарондар, жарма, ет, сүт, май-тоңмай, жеміс-көкөніс өнімі, кондитерлік өнім, алкогольсіз сусындар, сондай-ақ астықты терең өңдеу өнімдерін экспортқа бағыттау үшін 194 инвестициялық жобалардың іске асырылған саны</w:t>
                      </w:r>
                    </w:p>
                    <w:p w14:paraId="3FF60B68" w14:textId="77777777" w:rsidR="009C58C8" w:rsidRDefault="009C58C8" w:rsidP="009C58C8">
                      <w:pPr>
                        <w:spacing w:after="0" w:line="240" w:lineRule="auto"/>
                        <w:jc w:val="center"/>
                        <w:rPr>
                          <w:rFonts w:ascii="Times New Roman" w:hAnsi="Times New Roman" w:cs="Times New Roman"/>
                          <w:sz w:val="24"/>
                          <w:szCs w:val="24"/>
                        </w:rPr>
                      </w:pPr>
                    </w:p>
                  </w:txbxContent>
                </v:textbox>
                <w10:wrap anchorx="margin"/>
              </v:rect>
            </w:pict>
          </mc:Fallback>
        </mc:AlternateContent>
      </w:r>
      <w:r>
        <w:rPr>
          <w:noProof/>
          <w:lang w:eastAsia="ru-RU"/>
        </w:rPr>
        <mc:AlternateContent>
          <mc:Choice Requires="wps">
            <w:drawing>
              <wp:anchor distT="0" distB="0" distL="114300" distR="114300" simplePos="0" relativeHeight="252613632" behindDoc="0" locked="0" layoutInCell="1" allowOverlap="1" wp14:anchorId="0A3D678B" wp14:editId="57EEF6FE">
                <wp:simplePos x="0" y="0"/>
                <wp:positionH relativeFrom="margin">
                  <wp:posOffset>34925</wp:posOffset>
                </wp:positionH>
                <wp:positionV relativeFrom="paragraph">
                  <wp:posOffset>1247140</wp:posOffset>
                </wp:positionV>
                <wp:extent cx="894080" cy="803910"/>
                <wp:effectExtent l="0" t="0" r="20320" b="15240"/>
                <wp:wrapNone/>
                <wp:docPr id="1974973959" name="Прямоугольник 59"/>
                <wp:cNvGraphicFramePr/>
                <a:graphic xmlns:a="http://schemas.openxmlformats.org/drawingml/2006/main">
                  <a:graphicData uri="http://schemas.microsoft.com/office/word/2010/wordprocessingShape">
                    <wps:wsp>
                      <wps:cNvSpPr/>
                      <wps:spPr>
                        <a:xfrm>
                          <a:off x="0" y="0"/>
                          <a:ext cx="894080" cy="8039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D207D61"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Нақты критерий</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D678B" id="Прямоугольник 59" o:spid="_x0000_s1178" style="position:absolute;left:0;text-align:left;margin-left:2.75pt;margin-top:98.2pt;width:70.4pt;height:63.3pt;z-index:2526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" fillcolor="white [3201]" strokecolor="black [3200]" strokeweight=".25pt">
                <v:textbox>
                  <w:txbxContent>
                    <w:p w14:paraId="5D207D61"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Нақты критерий</w:t>
                      </w:r>
                    </w:p>
                  </w:txbxContent>
                </v:textbox>
                <w10:wrap anchorx="margin"/>
              </v:rect>
            </w:pict>
          </mc:Fallback>
        </mc:AlternateContent>
      </w:r>
      <w:r>
        <w:rPr>
          <w:noProof/>
          <w:lang w:eastAsia="ru-RU"/>
        </w:rPr>
        <mc:AlternateContent>
          <mc:Choice Requires="wps">
            <w:drawing>
              <wp:anchor distT="0" distB="0" distL="114300" distR="114300" simplePos="0" relativeHeight="252614656" behindDoc="0" locked="0" layoutInCell="1" allowOverlap="1" wp14:anchorId="70B9E808" wp14:editId="1DB5FFAC">
                <wp:simplePos x="0" y="0"/>
                <wp:positionH relativeFrom="column">
                  <wp:posOffset>367030</wp:posOffset>
                </wp:positionH>
                <wp:positionV relativeFrom="paragraph">
                  <wp:posOffset>842010</wp:posOffset>
                </wp:positionV>
                <wp:extent cx="241300" cy="391795"/>
                <wp:effectExtent l="57150" t="38100" r="63500" b="84455"/>
                <wp:wrapNone/>
                <wp:docPr id="1063541883" name="Стрелка: вниз 58"/>
                <wp:cNvGraphicFramePr/>
                <a:graphic xmlns:a="http://schemas.openxmlformats.org/drawingml/2006/main">
                  <a:graphicData uri="http://schemas.microsoft.com/office/word/2010/wordprocessingShape">
                    <wps:wsp>
                      <wps:cNvSpPr/>
                      <wps:spPr>
                        <a:xfrm>
                          <a:off x="0" y="0"/>
                          <a:ext cx="240665" cy="391795"/>
                        </a:xfrm>
                        <a:prstGeom prst="down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D9FC4" id="Стрелка: вниз 58" o:spid="_x0000_s1026" type="#_x0000_t67" style="position:absolute;margin-left:28.9pt;margin-top:66.3pt;width:19pt;height:30.8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" adj="14966"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15680" behindDoc="0" locked="0" layoutInCell="1" allowOverlap="1" wp14:anchorId="27075F03" wp14:editId="48BFEB9C">
                <wp:simplePos x="0" y="0"/>
                <wp:positionH relativeFrom="column">
                  <wp:posOffset>386715</wp:posOffset>
                </wp:positionH>
                <wp:positionV relativeFrom="paragraph">
                  <wp:posOffset>2063750</wp:posOffset>
                </wp:positionV>
                <wp:extent cx="251460" cy="612775"/>
                <wp:effectExtent l="57150" t="38100" r="0" b="73025"/>
                <wp:wrapNone/>
                <wp:docPr id="1411172231" name="Стрелка: вниз 57"/>
                <wp:cNvGraphicFramePr/>
                <a:graphic xmlns:a="http://schemas.openxmlformats.org/drawingml/2006/main">
                  <a:graphicData uri="http://schemas.microsoft.com/office/word/2010/wordprocessingShape">
                    <wps:wsp>
                      <wps:cNvSpPr/>
                      <wps:spPr>
                        <a:xfrm>
                          <a:off x="0" y="0"/>
                          <a:ext cx="250825" cy="612775"/>
                        </a:xfrm>
                        <a:prstGeom prst="down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30081" id="Стрелка: вниз 57" o:spid="_x0000_s1026" type="#_x0000_t67" style="position:absolute;margin-left:30.45pt;margin-top:162.5pt;width:19.8pt;height:48.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" adj="17179"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16704" behindDoc="0" locked="0" layoutInCell="1" allowOverlap="1" wp14:anchorId="60D4C357" wp14:editId="2A55E882">
                <wp:simplePos x="0" y="0"/>
                <wp:positionH relativeFrom="column">
                  <wp:posOffset>5410835</wp:posOffset>
                </wp:positionH>
                <wp:positionV relativeFrom="paragraph">
                  <wp:posOffset>2372360</wp:posOffset>
                </wp:positionV>
                <wp:extent cx="260985" cy="311785"/>
                <wp:effectExtent l="57150" t="38100" r="24765" b="69215"/>
                <wp:wrapNone/>
                <wp:docPr id="1696819668" name="Стрелка: вверх 56"/>
                <wp:cNvGraphicFramePr/>
                <a:graphic xmlns:a="http://schemas.openxmlformats.org/drawingml/2006/main">
                  <a:graphicData uri="http://schemas.microsoft.com/office/word/2010/wordprocessingShape">
                    <wps:wsp>
                      <wps:cNvSpPr/>
                      <wps:spPr>
                        <a:xfrm>
                          <a:off x="0" y="0"/>
                          <a:ext cx="260985" cy="311150"/>
                        </a:xfrm>
                        <a:prstGeom prst="up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00496" id="Стрелка: вверх 56" o:spid="_x0000_s1026" type="#_x0000_t68" style="position:absolute;margin-left:426.05pt;margin-top:186.8pt;width:20.55pt;height:24.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" adj="9059"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17728" behindDoc="0" locked="0" layoutInCell="1" allowOverlap="1" wp14:anchorId="5D56C4DC" wp14:editId="606AB6AD">
                <wp:simplePos x="0" y="0"/>
                <wp:positionH relativeFrom="margin">
                  <wp:align>left</wp:align>
                </wp:positionH>
                <wp:positionV relativeFrom="paragraph">
                  <wp:posOffset>3955415</wp:posOffset>
                </wp:positionV>
                <wp:extent cx="5807710" cy="864235"/>
                <wp:effectExtent l="0" t="0" r="21590" b="12065"/>
                <wp:wrapNone/>
                <wp:docPr id="2122469901" name="Овал 55"/>
                <wp:cNvGraphicFramePr/>
                <a:graphic xmlns:a="http://schemas.openxmlformats.org/drawingml/2006/main">
                  <a:graphicData uri="http://schemas.microsoft.com/office/word/2010/wordprocessingShape">
                    <wps:wsp>
                      <wps:cNvSpPr/>
                      <wps:spPr>
                        <a:xfrm>
                          <a:off x="0" y="0"/>
                          <a:ext cx="5807075" cy="86360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276E1F5" w14:textId="77777777" w:rsidR="009C58C8" w:rsidRPr="005813BE" w:rsidRDefault="009C58C8" w:rsidP="009C58C8">
                            <w:pPr>
                              <w:spacing w:after="0" w:line="240" w:lineRule="auto"/>
                              <w:jc w:val="center"/>
                              <w:rPr>
                                <w:rFonts w:ascii="Times New Roman" w:hAnsi="Times New Roman" w:cs="Times New Roman"/>
                                <w:color w:val="FF0000"/>
                                <w:sz w:val="24"/>
                                <w:szCs w:val="24"/>
                              </w:rPr>
                            </w:pPr>
                            <w:r w:rsidRPr="005813BE">
                              <w:rPr>
                                <w:rFonts w:ascii="Times New Roman" w:hAnsi="Times New Roman" w:cs="Times New Roman"/>
                                <w:color w:val="FF0000"/>
                                <w:sz w:val="24"/>
                                <w:szCs w:val="24"/>
                                <w:lang w:val="kk-KZ"/>
                              </w:rPr>
                              <w:t>Тиімділік көрсеткіштері – бюджет қаражатын пайдаланудың әр түрлі нәтижелерін сипаттаушы  аудиторлық дәлелдемелер</w:t>
                            </w:r>
                          </w:p>
                          <w:p w14:paraId="65C7472C" w14:textId="77777777" w:rsidR="009C58C8" w:rsidRPr="005813BE" w:rsidRDefault="009C58C8" w:rsidP="009C58C8">
                            <w:pPr>
                              <w:spacing w:after="0" w:line="240" w:lineRule="auto"/>
                              <w:jc w:val="center"/>
                              <w:rPr>
                                <w:color w:val="FF000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56C4DC" id="Овал 55" o:spid="_x0000_s1179" style="position:absolute;left:0;text-align:left;margin-left:0;margin-top:311.45pt;width:457.3pt;height:68.05pt;z-index:25261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" fillcolor="white [3201]" strokecolor="black [3200]" strokeweight=".25pt">
                <v:textbox>
                  <w:txbxContent>
                    <w:p w14:paraId="4276E1F5" w14:textId="77777777" w:rsidR="009C58C8" w:rsidRPr="005813BE" w:rsidRDefault="009C58C8" w:rsidP="009C58C8">
                      <w:pPr>
                        <w:spacing w:after="0" w:line="240" w:lineRule="auto"/>
                        <w:jc w:val="center"/>
                        <w:rPr>
                          <w:rFonts w:ascii="Times New Roman" w:hAnsi="Times New Roman" w:cs="Times New Roman"/>
                          <w:color w:val="FF0000"/>
                          <w:sz w:val="24"/>
                          <w:szCs w:val="24"/>
                        </w:rPr>
                      </w:pPr>
                      <w:r w:rsidRPr="005813BE">
                        <w:rPr>
                          <w:rFonts w:ascii="Times New Roman" w:hAnsi="Times New Roman" w:cs="Times New Roman"/>
                          <w:color w:val="FF0000"/>
                          <w:sz w:val="24"/>
                          <w:szCs w:val="24"/>
                          <w:lang w:val="kk-KZ"/>
                        </w:rPr>
                        <w:t>Тиімділік көрсеткіштері – бюджет қаражатын пайдаланудың әр түрлі нәтижелерін сипаттаушы  аудиторлық дәлелдемелер</w:t>
                      </w:r>
                    </w:p>
                    <w:p w14:paraId="65C7472C" w14:textId="77777777" w:rsidR="009C58C8" w:rsidRPr="005813BE" w:rsidRDefault="009C58C8" w:rsidP="009C58C8">
                      <w:pPr>
                        <w:spacing w:after="0" w:line="240" w:lineRule="auto"/>
                        <w:jc w:val="center"/>
                        <w:rPr>
                          <w:color w:val="FF0000"/>
                        </w:rPr>
                      </w:pPr>
                    </w:p>
                  </w:txbxContent>
                </v:textbox>
                <w10:wrap anchorx="margin"/>
              </v:oval>
            </w:pict>
          </mc:Fallback>
        </mc:AlternateContent>
      </w:r>
      <w:r>
        <w:rPr>
          <w:noProof/>
          <w:lang w:eastAsia="ru-RU"/>
        </w:rPr>
        <mc:AlternateContent>
          <mc:Choice Requires="wps">
            <w:drawing>
              <wp:anchor distT="0" distB="0" distL="114300" distR="114300" simplePos="0" relativeHeight="252618752" behindDoc="0" locked="0" layoutInCell="1" allowOverlap="1" wp14:anchorId="64CB071C" wp14:editId="36EBE1E4">
                <wp:simplePos x="0" y="0"/>
                <wp:positionH relativeFrom="page">
                  <wp:posOffset>3664585</wp:posOffset>
                </wp:positionH>
                <wp:positionV relativeFrom="paragraph">
                  <wp:posOffset>3695700</wp:posOffset>
                </wp:positionV>
                <wp:extent cx="465455" cy="233045"/>
                <wp:effectExtent l="57150" t="38100" r="0" b="71755"/>
                <wp:wrapNone/>
                <wp:docPr id="309601078" name="Стрелка: вверх 54"/>
                <wp:cNvGraphicFramePr/>
                <a:graphic xmlns:a="http://schemas.openxmlformats.org/drawingml/2006/main">
                  <a:graphicData uri="http://schemas.microsoft.com/office/word/2010/wordprocessingShape">
                    <wps:wsp>
                      <wps:cNvSpPr/>
                      <wps:spPr>
                        <a:xfrm>
                          <a:off x="0" y="0"/>
                          <a:ext cx="464820" cy="233045"/>
                        </a:xfrm>
                        <a:prstGeom prst="up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6A324" id="Стрелка: вверх 54" o:spid="_x0000_s1026" type="#_x0000_t68" style="position:absolute;margin-left:288.55pt;margin-top:291pt;width:36.65pt;height:18.35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" adj="10800" fillcolor="#9bbb59 [3206]" stroked="f" strokeweight="3pt">
                <v:shadow on="t" color="black" opacity="24903f" origin=",.5" offset="0,.55556mm"/>
                <w10:wrap anchorx="page"/>
              </v:shape>
            </w:pict>
          </mc:Fallback>
        </mc:AlternateContent>
      </w:r>
      <w:r>
        <w:rPr>
          <w:noProof/>
          <w:lang w:eastAsia="ru-RU"/>
        </w:rPr>
        <mc:AlternateContent>
          <mc:Choice Requires="wps">
            <w:drawing>
              <wp:anchor distT="0" distB="0" distL="114300" distR="114300" simplePos="0" relativeHeight="252619776" behindDoc="0" locked="0" layoutInCell="1" allowOverlap="1" wp14:anchorId="5BDC992F" wp14:editId="76839012">
                <wp:simplePos x="0" y="0"/>
                <wp:positionH relativeFrom="margin">
                  <wp:align>left</wp:align>
                </wp:positionH>
                <wp:positionV relativeFrom="paragraph">
                  <wp:posOffset>5086350</wp:posOffset>
                </wp:positionV>
                <wp:extent cx="1245870" cy="994410"/>
                <wp:effectExtent l="0" t="0" r="11430" b="15240"/>
                <wp:wrapNone/>
                <wp:docPr id="1289185163" name="Прямоугольник 53"/>
                <wp:cNvGraphicFramePr/>
                <a:graphic xmlns:a="http://schemas.openxmlformats.org/drawingml/2006/main">
                  <a:graphicData uri="http://schemas.microsoft.com/office/word/2010/wordprocessingShape">
                    <wps:wsp>
                      <wps:cNvSpPr/>
                      <wps:spPr>
                        <a:xfrm>
                          <a:off x="0" y="0"/>
                          <a:ext cx="1245870" cy="993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0254A7"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Жеткілікті және сапалы аудиторлық дәлелдемелер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C992F" id="Прямоугольник 53" o:spid="_x0000_s1180" style="position:absolute;left:0;text-align:left;margin-left:0;margin-top:400.5pt;width:98.1pt;height:78.3pt;z-index:25261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" fillcolor="white [3201]" strokecolor="black [3200]" strokeweight=".25pt">
                <v:textbox>
                  <w:txbxContent>
                    <w:p w14:paraId="290254A7"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Жеткілікті және сапалы аудиторлық дәлелдемелер</w:t>
                      </w:r>
                    </w:p>
                  </w:txbxContent>
                </v:textbox>
                <w10:wrap anchorx="margin"/>
              </v:rect>
            </w:pict>
          </mc:Fallback>
        </mc:AlternateContent>
      </w:r>
      <w:r>
        <w:rPr>
          <w:noProof/>
          <w:lang w:eastAsia="ru-RU"/>
        </w:rPr>
        <mc:AlternateContent>
          <mc:Choice Requires="wps">
            <w:drawing>
              <wp:anchor distT="0" distB="0" distL="114300" distR="114300" simplePos="0" relativeHeight="252620800" behindDoc="0" locked="0" layoutInCell="1" allowOverlap="1" wp14:anchorId="38ED7C03" wp14:editId="227430AC">
                <wp:simplePos x="0" y="0"/>
                <wp:positionH relativeFrom="column">
                  <wp:posOffset>1482090</wp:posOffset>
                </wp:positionH>
                <wp:positionV relativeFrom="paragraph">
                  <wp:posOffset>5086350</wp:posOffset>
                </wp:positionV>
                <wp:extent cx="1195705" cy="994410"/>
                <wp:effectExtent l="0" t="0" r="23495" b="15240"/>
                <wp:wrapNone/>
                <wp:docPr id="559162489" name="Прямоугольник 52"/>
                <wp:cNvGraphicFramePr/>
                <a:graphic xmlns:a="http://schemas.openxmlformats.org/drawingml/2006/main">
                  <a:graphicData uri="http://schemas.microsoft.com/office/word/2010/wordprocessingShape">
                    <wps:wsp>
                      <wps:cNvSpPr/>
                      <wps:spPr>
                        <a:xfrm>
                          <a:off x="0" y="0"/>
                          <a:ext cx="1195705" cy="993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765333"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Пайдаланушыларға арналған аудиторлық қорытынды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D7C03" id="Прямоугольник 52" o:spid="_x0000_s1181" style="position:absolute;left:0;text-align:left;margin-left:116.7pt;margin-top:400.5pt;width:94.15pt;height:78.3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" fillcolor="white [3201]" strokecolor="black [3200]" strokeweight=".25pt">
                <v:textbox>
                  <w:txbxContent>
                    <w:p w14:paraId="59765333"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Пайдаланушыларға арналған аудиторлық қорытынды</w:t>
                      </w:r>
                    </w:p>
                  </w:txbxContent>
                </v:textbox>
              </v:rect>
            </w:pict>
          </mc:Fallback>
        </mc:AlternateContent>
      </w:r>
      <w:r>
        <w:rPr>
          <w:noProof/>
          <w:lang w:eastAsia="ru-RU"/>
        </w:rPr>
        <mc:AlternateContent>
          <mc:Choice Requires="wps">
            <w:drawing>
              <wp:anchor distT="0" distB="0" distL="114300" distR="114300" simplePos="0" relativeHeight="252621824" behindDoc="0" locked="0" layoutInCell="1" allowOverlap="1" wp14:anchorId="09BB5410" wp14:editId="33135B1D">
                <wp:simplePos x="0" y="0"/>
                <wp:positionH relativeFrom="column">
                  <wp:posOffset>2969260</wp:posOffset>
                </wp:positionH>
                <wp:positionV relativeFrom="paragraph">
                  <wp:posOffset>5076190</wp:posOffset>
                </wp:positionV>
                <wp:extent cx="1487170" cy="1003935"/>
                <wp:effectExtent l="0" t="0" r="17780" b="24765"/>
                <wp:wrapNone/>
                <wp:docPr id="1284846799" name="Прямоугольник 51"/>
                <wp:cNvGraphicFramePr/>
                <a:graphic xmlns:a="http://schemas.openxmlformats.org/drawingml/2006/main">
                  <a:graphicData uri="http://schemas.microsoft.com/office/word/2010/wordprocessingShape">
                    <wps:wsp>
                      <wps:cNvSpPr/>
                      <wps:spPr>
                        <a:xfrm flipH="1">
                          <a:off x="0" y="0"/>
                          <a:ext cx="1486535" cy="10039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629EC6"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Нақты ұсыныстар арқылы бюджет қаражатын пайдалану тиімділігін арттыру</w:t>
                            </w:r>
                          </w:p>
                          <w:p w14:paraId="0171E435" w14:textId="77777777" w:rsidR="009C58C8" w:rsidRDefault="009C58C8" w:rsidP="009C58C8">
                            <w:pPr>
                              <w:spacing w:after="0" w:line="240" w:lineRule="auto"/>
                              <w:jc w:val="center"/>
                              <w:rPr>
                                <w:rFonts w:ascii="Times New Roman" w:hAnsi="Times New Roman" w:cs="Times New Roman"/>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B5410" id="Прямоугольник 51" o:spid="_x0000_s1182" style="position:absolute;left:0;text-align:left;margin-left:233.8pt;margin-top:399.7pt;width:117.1pt;height:79.05pt;flip:x;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" fillcolor="white [3201]" strokecolor="black [3200]" strokeweight=".25pt">
                <v:textbox>
                  <w:txbxContent>
                    <w:p w14:paraId="2B629EC6"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Нақты ұсыныстар арқылы бюджет қаражатын пайдалану тиімділігін арттыру</w:t>
                      </w:r>
                    </w:p>
                    <w:p w14:paraId="0171E435" w14:textId="77777777" w:rsidR="009C58C8" w:rsidRDefault="009C58C8" w:rsidP="009C58C8">
                      <w:pPr>
                        <w:spacing w:after="0" w:line="240" w:lineRule="auto"/>
                        <w:jc w:val="center"/>
                        <w:rPr>
                          <w:rFonts w:ascii="Times New Roman" w:hAnsi="Times New Roman" w:cs="Times New Roman"/>
                          <w:sz w:val="24"/>
                          <w:szCs w:val="24"/>
                          <w:lang w:val="kk-KZ"/>
                        </w:rPr>
                      </w:pPr>
                    </w:p>
                  </w:txbxContent>
                </v:textbox>
              </v:rect>
            </w:pict>
          </mc:Fallback>
        </mc:AlternateContent>
      </w:r>
      <w:r>
        <w:rPr>
          <w:noProof/>
          <w:lang w:eastAsia="ru-RU"/>
        </w:rPr>
        <mc:AlternateContent>
          <mc:Choice Requires="wps">
            <w:drawing>
              <wp:anchor distT="0" distB="0" distL="114300" distR="114300" simplePos="0" relativeHeight="252622848" behindDoc="0" locked="0" layoutInCell="1" allowOverlap="1" wp14:anchorId="72949C89" wp14:editId="45640EF4">
                <wp:simplePos x="0" y="0"/>
                <wp:positionH relativeFrom="margin">
                  <wp:posOffset>4727575</wp:posOffset>
                </wp:positionH>
                <wp:positionV relativeFrom="paragraph">
                  <wp:posOffset>5076190</wp:posOffset>
                </wp:positionV>
                <wp:extent cx="1205230" cy="1003935"/>
                <wp:effectExtent l="0" t="0" r="13970" b="24765"/>
                <wp:wrapNone/>
                <wp:docPr id="254943315" name="Прямоугольник 50"/>
                <wp:cNvGraphicFramePr/>
                <a:graphic xmlns:a="http://schemas.openxmlformats.org/drawingml/2006/main">
                  <a:graphicData uri="http://schemas.microsoft.com/office/word/2010/wordprocessingShape">
                    <wps:wsp>
                      <wps:cNvSpPr/>
                      <wps:spPr>
                        <a:xfrm>
                          <a:off x="0" y="0"/>
                          <a:ext cx="1205230" cy="10039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4C634E"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Бюджет үрдісі мен рәсімдерін жақсарту резервтерін анықтау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49C89" id="Прямоугольник 50" o:spid="_x0000_s1183" style="position:absolute;left:0;text-align:left;margin-left:372.25pt;margin-top:399.7pt;width:94.9pt;height:79.0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" fillcolor="white [3201]" strokecolor="black [3200]" strokeweight=".25pt">
                <v:textbox>
                  <w:txbxContent>
                    <w:p w14:paraId="094C634E" w14:textId="77777777" w:rsidR="009C58C8" w:rsidRDefault="009C58C8" w:rsidP="009C58C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Бюджет үрдісі мен рәсімдерін жақсарту резервтерін анықтау</w:t>
                      </w:r>
                    </w:p>
                  </w:txbxContent>
                </v:textbox>
                <w10:wrap anchorx="margin"/>
              </v:rect>
            </w:pict>
          </mc:Fallback>
        </mc:AlternateContent>
      </w:r>
      <w:r>
        <w:rPr>
          <w:noProof/>
          <w:lang w:eastAsia="ru-RU"/>
        </w:rPr>
        <mc:AlternateContent>
          <mc:Choice Requires="wps">
            <w:drawing>
              <wp:anchor distT="0" distB="0" distL="114300" distR="114300" simplePos="0" relativeHeight="252623872" behindDoc="0" locked="0" layoutInCell="1" allowOverlap="1" wp14:anchorId="4A4632D9" wp14:editId="6D34AB7C">
                <wp:simplePos x="0" y="0"/>
                <wp:positionH relativeFrom="column">
                  <wp:posOffset>634365</wp:posOffset>
                </wp:positionH>
                <wp:positionV relativeFrom="paragraph">
                  <wp:posOffset>4738370</wp:posOffset>
                </wp:positionV>
                <wp:extent cx="465455" cy="331470"/>
                <wp:effectExtent l="38100" t="19050" r="29845" b="49530"/>
                <wp:wrapNone/>
                <wp:docPr id="50760736" name="Прямая со стрелкой 49"/>
                <wp:cNvGraphicFramePr/>
                <a:graphic xmlns:a="http://schemas.openxmlformats.org/drawingml/2006/main">
                  <a:graphicData uri="http://schemas.microsoft.com/office/word/2010/wordprocessingShape">
                    <wps:wsp>
                      <wps:cNvCnPr/>
                      <wps:spPr>
                        <a:xfrm flipH="1">
                          <a:off x="0" y="0"/>
                          <a:ext cx="465455" cy="331470"/>
                        </a:xfrm>
                        <a:prstGeom prst="straightConnector1">
                          <a:avLst/>
                        </a:prstGeom>
                        <a:ln w="5715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63A93" id="Прямая со стрелкой 49" o:spid="_x0000_s1026" type="#_x0000_t32" style="position:absolute;margin-left:49.95pt;margin-top:373.1pt;width:36.65pt;height:26.1pt;flip:x;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" strokecolor="#94b64e [3046]" strokeweight="4.5pt">
                <v:stroke endarrow="block"/>
              </v:shape>
            </w:pict>
          </mc:Fallback>
        </mc:AlternateContent>
      </w:r>
      <w:r>
        <w:rPr>
          <w:noProof/>
          <w:lang w:eastAsia="ru-RU"/>
        </w:rPr>
        <mc:AlternateContent>
          <mc:Choice Requires="wps">
            <w:drawing>
              <wp:anchor distT="0" distB="0" distL="114300" distR="114300" simplePos="0" relativeHeight="252624896" behindDoc="0" locked="0" layoutInCell="1" allowOverlap="1" wp14:anchorId="02198B13" wp14:editId="0EB9FF5E">
                <wp:simplePos x="0" y="0"/>
                <wp:positionH relativeFrom="column">
                  <wp:posOffset>1238885</wp:posOffset>
                </wp:positionH>
                <wp:positionV relativeFrom="paragraph">
                  <wp:posOffset>5440680</wp:posOffset>
                </wp:positionV>
                <wp:extent cx="260985" cy="230505"/>
                <wp:effectExtent l="57150" t="38100" r="0" b="74295"/>
                <wp:wrapNone/>
                <wp:docPr id="1202067628" name="Стрелка: вправо 48"/>
                <wp:cNvGraphicFramePr/>
                <a:graphic xmlns:a="http://schemas.openxmlformats.org/drawingml/2006/main">
                  <a:graphicData uri="http://schemas.microsoft.com/office/word/2010/wordprocessingShape">
                    <wps:wsp>
                      <wps:cNvSpPr/>
                      <wps:spPr>
                        <a:xfrm>
                          <a:off x="0" y="0"/>
                          <a:ext cx="260985" cy="230505"/>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C5DA7" id="Стрелка: вправо 48" o:spid="_x0000_s1026" type="#_x0000_t13" style="position:absolute;margin-left:97.55pt;margin-top:428.4pt;width:20.55pt;height:18.1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" adj="12061"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25920" behindDoc="0" locked="0" layoutInCell="1" allowOverlap="1" wp14:anchorId="28F8FC05" wp14:editId="061DDC7F">
                <wp:simplePos x="0" y="0"/>
                <wp:positionH relativeFrom="column">
                  <wp:posOffset>2693035</wp:posOffset>
                </wp:positionH>
                <wp:positionV relativeFrom="paragraph">
                  <wp:posOffset>5476875</wp:posOffset>
                </wp:positionV>
                <wp:extent cx="260985" cy="230505"/>
                <wp:effectExtent l="57150" t="38100" r="0" b="74295"/>
                <wp:wrapNone/>
                <wp:docPr id="795593179" name="Стрелка: вправо 47"/>
                <wp:cNvGraphicFramePr/>
                <a:graphic xmlns:a="http://schemas.openxmlformats.org/drawingml/2006/main">
                  <a:graphicData uri="http://schemas.microsoft.com/office/word/2010/wordprocessingShape">
                    <wps:wsp>
                      <wps:cNvSpPr/>
                      <wps:spPr>
                        <a:xfrm>
                          <a:off x="0" y="0"/>
                          <a:ext cx="260985" cy="230505"/>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04D45" id="Стрелка: вправо 47" o:spid="_x0000_s1026" type="#_x0000_t13" style="position:absolute;margin-left:212.05pt;margin-top:431.25pt;width:20.55pt;height:18.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" adj="12061"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26944" behindDoc="0" locked="0" layoutInCell="1" allowOverlap="1" wp14:anchorId="72E9146C" wp14:editId="614C53BA">
                <wp:simplePos x="0" y="0"/>
                <wp:positionH relativeFrom="column">
                  <wp:posOffset>4464685</wp:posOffset>
                </wp:positionH>
                <wp:positionV relativeFrom="paragraph">
                  <wp:posOffset>5460365</wp:posOffset>
                </wp:positionV>
                <wp:extent cx="260985" cy="230505"/>
                <wp:effectExtent l="57150" t="38100" r="0" b="74295"/>
                <wp:wrapNone/>
                <wp:docPr id="64497675" name="Стрелка: вправо 46"/>
                <wp:cNvGraphicFramePr/>
                <a:graphic xmlns:a="http://schemas.openxmlformats.org/drawingml/2006/main">
                  <a:graphicData uri="http://schemas.microsoft.com/office/word/2010/wordprocessingShape">
                    <wps:wsp>
                      <wps:cNvSpPr/>
                      <wps:spPr>
                        <a:xfrm>
                          <a:off x="0" y="0"/>
                          <a:ext cx="260985" cy="230505"/>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5A0EA" id="Стрелка: вправо 46" o:spid="_x0000_s1026" type="#_x0000_t13" style="position:absolute;margin-left:351.55pt;margin-top:429.95pt;width:20.55pt;height:18.1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" adj="12061" fillcolor="#9bbb59 [3206]" stroked="f" strokeweight="3pt">
                <v:shadow on="t" color="black" opacity="24903f" origin=",.5" offset="0,.55556mm"/>
              </v:shape>
            </w:pict>
          </mc:Fallback>
        </mc:AlternateContent>
      </w:r>
    </w:p>
    <w:p w14:paraId="30BF6EFD"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3B119AF4"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2D726194"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18162390"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245F1904"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6F4F6FCA"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55808135" w14:textId="288ADC0E" w:rsidR="009C58C8" w:rsidRDefault="005045DE" w:rsidP="009C58C8">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608512" behindDoc="0" locked="0" layoutInCell="1" allowOverlap="1" wp14:anchorId="5FA09C21" wp14:editId="0AD449B8">
                <wp:simplePos x="0" y="0"/>
                <wp:positionH relativeFrom="column">
                  <wp:posOffset>2674620</wp:posOffset>
                </wp:positionH>
                <wp:positionV relativeFrom="paragraph">
                  <wp:posOffset>199390</wp:posOffset>
                </wp:positionV>
                <wp:extent cx="260985" cy="231140"/>
                <wp:effectExtent l="57150" t="38100" r="0" b="73660"/>
                <wp:wrapNone/>
                <wp:docPr id="1657962438" name="Стрелка: вправо 64"/>
                <wp:cNvGraphicFramePr/>
                <a:graphic xmlns:a="http://schemas.openxmlformats.org/drawingml/2006/main">
                  <a:graphicData uri="http://schemas.microsoft.com/office/word/2010/wordprocessingShape">
                    <wps:wsp>
                      <wps:cNvSpPr/>
                      <wps:spPr>
                        <a:xfrm>
                          <a:off x="0" y="0"/>
                          <a:ext cx="260985" cy="231140"/>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3BF2E" id="Стрелка: вправо 64" o:spid="_x0000_s1026" type="#_x0000_t13" style="position:absolute;margin-left:210.6pt;margin-top:15.7pt;width:20.55pt;height:18.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" adj="12035" fillcolor="#9bbb59 [3206]" stroked="f" strokeweight="3pt">
                <v:shadow on="t" color="black" opacity="24903f" origin=",.5" offset="0,.55556mm"/>
              </v:shape>
            </w:pict>
          </mc:Fallback>
        </mc:AlternateContent>
      </w:r>
    </w:p>
    <w:p w14:paraId="3DE9AC97" w14:textId="7228C0F4" w:rsidR="009C58C8" w:rsidRDefault="009C58C8" w:rsidP="009C58C8">
      <w:pPr>
        <w:spacing w:after="0" w:line="240" w:lineRule="auto"/>
        <w:ind w:firstLine="709"/>
        <w:jc w:val="both"/>
        <w:rPr>
          <w:rFonts w:ascii="Times New Roman" w:hAnsi="Times New Roman" w:cs="Times New Roman"/>
          <w:sz w:val="28"/>
          <w:szCs w:val="28"/>
          <w:lang w:val="kk-KZ"/>
        </w:rPr>
      </w:pPr>
    </w:p>
    <w:p w14:paraId="488EEAA1"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2DCC1129"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08BB103D"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0B6AAC6F"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1665E19D"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5D8CFBDB"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04A6E6C4"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11EF9764"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2F8F94EC"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3250E10D"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63D675DB"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35742CFF"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44EF15B1"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23200616"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1E964B38"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06D052ED"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010A0EB1"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79E23F70"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77A8B328"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1DEDFA7F"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4DAFA271" w14:textId="77777777" w:rsidR="009C58C8" w:rsidRDefault="009C58C8" w:rsidP="009C58C8">
      <w:pPr>
        <w:spacing w:after="0" w:line="240" w:lineRule="auto"/>
        <w:ind w:firstLine="709"/>
        <w:jc w:val="both"/>
        <w:rPr>
          <w:rFonts w:ascii="Times New Roman" w:hAnsi="Times New Roman" w:cs="Times New Roman"/>
          <w:sz w:val="28"/>
          <w:szCs w:val="28"/>
          <w:lang w:val="kk-KZ"/>
        </w:rPr>
      </w:pPr>
    </w:p>
    <w:p w14:paraId="65F7ADC1" w14:textId="2F496972" w:rsidR="009C58C8" w:rsidRDefault="009C58C8" w:rsidP="009C58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3F7A">
        <w:rPr>
          <w:rFonts w:ascii="Times New Roman" w:hAnsi="Times New Roman" w:cs="Times New Roman"/>
          <w:sz w:val="28"/>
          <w:szCs w:val="28"/>
          <w:lang w:val="kk-KZ"/>
        </w:rPr>
        <w:t>20</w:t>
      </w:r>
      <w:r>
        <w:rPr>
          <w:rFonts w:ascii="Times New Roman" w:hAnsi="Times New Roman" w:cs="Times New Roman"/>
          <w:sz w:val="28"/>
          <w:szCs w:val="28"/>
          <w:lang w:val="kk-KZ"/>
        </w:rPr>
        <w:t>. АӨК дамытуға бағытталған бюджет қаражатын пайдалану тиімділігі аудитінде критерий орны, маңызы және аудит сапасына әсері</w:t>
      </w:r>
    </w:p>
    <w:p w14:paraId="28641927" w14:textId="77777777" w:rsidR="009C58C8" w:rsidRPr="0022222D" w:rsidRDefault="009C58C8" w:rsidP="009C58C8">
      <w:pPr>
        <w:spacing w:after="0" w:line="240" w:lineRule="auto"/>
        <w:ind w:firstLine="709"/>
        <w:jc w:val="both"/>
        <w:rPr>
          <w:rFonts w:ascii="Times New Roman" w:hAnsi="Times New Roman" w:cs="Times New Roman"/>
          <w:sz w:val="16"/>
          <w:szCs w:val="16"/>
          <w:lang w:val="kk-KZ"/>
        </w:rPr>
      </w:pPr>
    </w:p>
    <w:p w14:paraId="69D1A3BF" w14:textId="439AE586" w:rsidR="009C58C8" w:rsidRDefault="009C58C8" w:rsidP="009C58C8">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зерттеу негізінде автормен құрастырылған</w:t>
      </w:r>
    </w:p>
    <w:p w14:paraId="2A83C00A" w14:textId="77777777" w:rsidR="009C58C8" w:rsidRDefault="009C58C8" w:rsidP="009C58C8">
      <w:pPr>
        <w:spacing w:after="0" w:line="240" w:lineRule="auto"/>
        <w:ind w:firstLine="709"/>
        <w:jc w:val="both"/>
        <w:rPr>
          <w:rFonts w:ascii="Times New Roman" w:hAnsi="Times New Roman" w:cs="Times New Roman"/>
          <w:sz w:val="24"/>
          <w:szCs w:val="24"/>
          <w:lang w:val="kk-KZ"/>
        </w:rPr>
      </w:pPr>
    </w:p>
    <w:p w14:paraId="6F4BEFEE" w14:textId="3BC9BA30" w:rsidR="00661619" w:rsidRPr="00457CE9" w:rsidRDefault="00661619"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Сондықтан, ҚР </w:t>
      </w:r>
      <w:r w:rsidRPr="00457CE9">
        <w:rPr>
          <w:rStyle w:val="a4"/>
          <w:color w:val="auto"/>
          <w:sz w:val="28"/>
          <w:szCs w:val="28"/>
          <w:u w:val="none"/>
          <w:lang w:val="kk-KZ"/>
        </w:rPr>
        <w:t xml:space="preserve">АӨК дамытуға арналған бюджет қаражатын пайдалану тиімділігі аудитінің әдістемесін жетілдіру мақсатымен </w:t>
      </w:r>
      <w:r w:rsidRPr="00457CE9">
        <w:rPr>
          <w:rFonts w:ascii="Times New Roman" w:eastAsia="Times New Roman" w:hAnsi="Times New Roman" w:cs="Times New Roman"/>
          <w:kern w:val="36"/>
          <w:sz w:val="28"/>
          <w:szCs w:val="28"/>
          <w:lang w:val="kk-KZ" w:eastAsia="ru-RU"/>
        </w:rPr>
        <w:t xml:space="preserve">ҚР АӨК дамытудың 2021-2025 жж. ұлттық жобасындағы талданған басты көрсеткіштер бойынша тиімділік аудиттің тағы 10 бағыттары </w:t>
      </w:r>
      <w:r w:rsidR="00162CA6" w:rsidRPr="00457CE9">
        <w:rPr>
          <w:rFonts w:ascii="Times New Roman" w:eastAsia="Times New Roman" w:hAnsi="Times New Roman" w:cs="Times New Roman"/>
          <w:kern w:val="36"/>
          <w:sz w:val="28"/>
          <w:szCs w:val="28"/>
          <w:lang w:val="kk-KZ" w:eastAsia="ru-RU"/>
        </w:rPr>
        <w:t xml:space="preserve">автормен </w:t>
      </w:r>
      <w:r w:rsidRPr="00457CE9">
        <w:rPr>
          <w:rFonts w:ascii="Times New Roman" w:eastAsia="Times New Roman" w:hAnsi="Times New Roman" w:cs="Times New Roman"/>
          <w:kern w:val="36"/>
          <w:sz w:val="28"/>
          <w:szCs w:val="28"/>
          <w:lang w:val="kk-KZ" w:eastAsia="ru-RU"/>
        </w:rPr>
        <w:t>анықталып, критери</w:t>
      </w:r>
      <w:r w:rsidR="003C220A">
        <w:rPr>
          <w:rFonts w:ascii="Times New Roman" w:eastAsia="Times New Roman" w:hAnsi="Times New Roman" w:cs="Times New Roman"/>
          <w:kern w:val="36"/>
          <w:sz w:val="28"/>
          <w:szCs w:val="28"/>
          <w:lang w:val="kk-KZ" w:eastAsia="ru-RU"/>
        </w:rPr>
        <w:t>й</w:t>
      </w:r>
      <w:r w:rsidRPr="00457CE9">
        <w:rPr>
          <w:rFonts w:ascii="Times New Roman" w:eastAsia="Times New Roman" w:hAnsi="Times New Roman" w:cs="Times New Roman"/>
          <w:kern w:val="36"/>
          <w:sz w:val="28"/>
          <w:szCs w:val="28"/>
          <w:lang w:val="kk-KZ" w:eastAsia="ru-RU"/>
        </w:rPr>
        <w:t>лері</w:t>
      </w:r>
      <w:r w:rsidR="00162CA6" w:rsidRPr="00457CE9">
        <w:rPr>
          <w:rFonts w:ascii="Times New Roman" w:eastAsia="Times New Roman" w:hAnsi="Times New Roman" w:cs="Times New Roman"/>
          <w:kern w:val="36"/>
          <w:sz w:val="28"/>
          <w:szCs w:val="28"/>
          <w:lang w:val="kk-KZ" w:eastAsia="ru-RU"/>
        </w:rPr>
        <w:t xml:space="preserve"> жүйеленді (</w:t>
      </w:r>
      <w:r w:rsidR="007F5D1B">
        <w:rPr>
          <w:rFonts w:ascii="Times New Roman" w:eastAsia="Times New Roman" w:hAnsi="Times New Roman" w:cs="Times New Roman"/>
          <w:kern w:val="36"/>
          <w:sz w:val="28"/>
          <w:szCs w:val="28"/>
          <w:lang w:val="kk-KZ" w:eastAsia="ru-RU"/>
        </w:rPr>
        <w:t>40</w:t>
      </w:r>
      <w:r w:rsidR="001B19E4">
        <w:rPr>
          <w:rFonts w:ascii="Times New Roman" w:eastAsia="Times New Roman" w:hAnsi="Times New Roman" w:cs="Times New Roman"/>
          <w:kern w:val="36"/>
          <w:sz w:val="28"/>
          <w:szCs w:val="28"/>
          <w:lang w:val="kk-KZ" w:eastAsia="ru-RU"/>
        </w:rPr>
        <w:t xml:space="preserve">-кесте). </w:t>
      </w:r>
    </w:p>
    <w:p w14:paraId="28E6905F" w14:textId="121E246E" w:rsidR="00BD2814" w:rsidRDefault="002E0957" w:rsidP="00457CE9">
      <w:pPr>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Қабылданған шаралардың нәтижесі 2050 жылға қарау елдің ЖІӨ-дегі ауыл шаруашылығы өнімінің үлесін 5 есеге ұлғайту болуға тиіс [52].</w:t>
      </w:r>
    </w:p>
    <w:p w14:paraId="5CD54171" w14:textId="77777777" w:rsidR="002E0957" w:rsidRDefault="002E0957" w:rsidP="00457CE9">
      <w:pPr>
        <w:tabs>
          <w:tab w:val="left" w:pos="1605"/>
        </w:tabs>
        <w:spacing w:after="0" w:line="240" w:lineRule="auto"/>
        <w:ind w:firstLine="709"/>
        <w:jc w:val="both"/>
        <w:rPr>
          <w:rFonts w:ascii="Times New Roman" w:hAnsi="Times New Roman" w:cs="Times New Roman"/>
          <w:sz w:val="28"/>
          <w:szCs w:val="28"/>
          <w:lang w:val="kk-KZ"/>
        </w:rPr>
      </w:pPr>
    </w:p>
    <w:p w14:paraId="352BE158" w14:textId="77777777" w:rsidR="002E0957" w:rsidRDefault="002E0957" w:rsidP="00457CE9">
      <w:pPr>
        <w:tabs>
          <w:tab w:val="left" w:pos="1605"/>
        </w:tabs>
        <w:spacing w:after="0" w:line="240" w:lineRule="auto"/>
        <w:ind w:firstLine="709"/>
        <w:jc w:val="both"/>
        <w:rPr>
          <w:rFonts w:ascii="Times New Roman" w:eastAsia="Times New Roman" w:hAnsi="Times New Roman" w:cs="Times New Roman"/>
          <w:kern w:val="36"/>
          <w:sz w:val="28"/>
          <w:szCs w:val="28"/>
          <w:lang w:val="kk-KZ" w:eastAsia="ru-RU"/>
        </w:rPr>
      </w:pPr>
    </w:p>
    <w:p w14:paraId="7B1724D8" w14:textId="3C066FF0" w:rsidR="00661619" w:rsidRDefault="00661619"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7F5D1B">
        <w:rPr>
          <w:rFonts w:ascii="Times New Roman" w:hAnsi="Times New Roman" w:cs="Times New Roman"/>
          <w:sz w:val="28"/>
          <w:szCs w:val="28"/>
          <w:lang w:val="kk-KZ"/>
        </w:rPr>
        <w:t>40</w:t>
      </w:r>
      <w:r w:rsidRPr="00457CE9">
        <w:rPr>
          <w:rFonts w:ascii="Times New Roman" w:hAnsi="Times New Roman" w:cs="Times New Roman"/>
          <w:sz w:val="28"/>
          <w:szCs w:val="28"/>
          <w:lang w:val="kk-KZ"/>
        </w:rPr>
        <w:t xml:space="preserve"> – ҚР </w:t>
      </w:r>
      <w:r w:rsidRPr="00457CE9">
        <w:rPr>
          <w:rStyle w:val="a4"/>
          <w:color w:val="auto"/>
          <w:sz w:val="28"/>
          <w:szCs w:val="28"/>
          <w:u w:val="none"/>
          <w:lang w:val="kk-KZ"/>
        </w:rPr>
        <w:t xml:space="preserve">АӨК дамытуға бағытталған бюджет қаражатын пайдалану тиімділігі аудитінің </w:t>
      </w:r>
      <w:r w:rsidRPr="00457CE9">
        <w:rPr>
          <w:rFonts w:ascii="Times New Roman" w:hAnsi="Times New Roman" w:cs="Times New Roman"/>
          <w:sz w:val="28"/>
          <w:szCs w:val="28"/>
          <w:lang w:val="kk-KZ"/>
        </w:rPr>
        <w:t>негізгі бағыттары мен критерийлері</w:t>
      </w:r>
    </w:p>
    <w:p w14:paraId="485904AB" w14:textId="77777777" w:rsidR="001B19E4" w:rsidRPr="001B19E4" w:rsidRDefault="001B19E4" w:rsidP="00457CE9">
      <w:pPr>
        <w:spacing w:after="0" w:line="240" w:lineRule="auto"/>
        <w:jc w:val="both"/>
        <w:rPr>
          <w:rFonts w:ascii="Times New Roman" w:hAnsi="Times New Roman" w:cs="Times New Roman"/>
          <w:sz w:val="16"/>
          <w:szCs w:val="16"/>
          <w:lang w:val="kk-KZ"/>
        </w:rPr>
      </w:pPr>
    </w:p>
    <w:tbl>
      <w:tblPr>
        <w:tblStyle w:val="a3"/>
        <w:tblW w:w="9561" w:type="dxa"/>
        <w:jc w:val="center"/>
        <w:tblLook w:val="04A0" w:firstRow="1" w:lastRow="0" w:firstColumn="1" w:lastColumn="0" w:noHBand="0" w:noVBand="1"/>
      </w:tblPr>
      <w:tblGrid>
        <w:gridCol w:w="3964"/>
        <w:gridCol w:w="5597"/>
      </w:tblGrid>
      <w:tr w:rsidR="001B19E4" w:rsidRPr="001B19E4" w14:paraId="090EC13B" w14:textId="77777777" w:rsidTr="00BD2814">
        <w:trPr>
          <w:trHeight w:val="697"/>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D3E0344" w14:textId="77777777" w:rsidR="00441955" w:rsidRPr="001B19E4" w:rsidRDefault="00441955" w:rsidP="001B19E4">
            <w:pPr>
              <w:tabs>
                <w:tab w:val="left" w:pos="1605"/>
              </w:tabs>
              <w:jc w:val="center"/>
              <w:rPr>
                <w:rFonts w:ascii="Times New Roman" w:hAnsi="Times New Roman" w:cs="Times New Roman"/>
                <w:sz w:val="24"/>
                <w:szCs w:val="24"/>
                <w:lang w:val="kk-KZ"/>
              </w:rPr>
            </w:pPr>
            <w:r w:rsidRPr="001B19E4">
              <w:rPr>
                <w:rFonts w:ascii="Times New Roman" w:hAnsi="Times New Roman" w:cs="Times New Roman"/>
                <w:sz w:val="24"/>
                <w:szCs w:val="24"/>
                <w:lang w:val="kk-KZ"/>
              </w:rPr>
              <w:t>Тиімділік аудитінің бағыттары</w:t>
            </w:r>
          </w:p>
        </w:tc>
        <w:tc>
          <w:tcPr>
            <w:tcW w:w="5597" w:type="dxa"/>
            <w:tcBorders>
              <w:top w:val="single" w:sz="4" w:space="0" w:color="auto"/>
              <w:left w:val="single" w:sz="4" w:space="0" w:color="auto"/>
              <w:bottom w:val="single" w:sz="4" w:space="0" w:color="auto"/>
              <w:right w:val="single" w:sz="4" w:space="0" w:color="auto"/>
            </w:tcBorders>
            <w:vAlign w:val="center"/>
            <w:hideMark/>
          </w:tcPr>
          <w:p w14:paraId="5F1022AA" w14:textId="77777777" w:rsidR="00441955" w:rsidRPr="001B19E4" w:rsidRDefault="00441955" w:rsidP="001B19E4">
            <w:pPr>
              <w:tabs>
                <w:tab w:val="left" w:pos="1605"/>
              </w:tabs>
              <w:jc w:val="center"/>
              <w:rPr>
                <w:rFonts w:ascii="Times New Roman" w:hAnsi="Times New Roman" w:cs="Times New Roman"/>
                <w:sz w:val="24"/>
                <w:szCs w:val="24"/>
                <w:lang w:val="kk-KZ"/>
              </w:rPr>
            </w:pPr>
            <w:r w:rsidRPr="001B19E4">
              <w:rPr>
                <w:rFonts w:ascii="Times New Roman" w:hAnsi="Times New Roman" w:cs="Times New Roman"/>
                <w:sz w:val="24"/>
                <w:szCs w:val="24"/>
                <w:lang w:val="kk-KZ"/>
              </w:rPr>
              <w:t>Аудиттің арнайы критерийлері</w:t>
            </w:r>
          </w:p>
        </w:tc>
      </w:tr>
      <w:tr w:rsidR="001B19E4" w:rsidRPr="001B19E4" w14:paraId="0D65024A"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tcPr>
          <w:p w14:paraId="26BC2E5C" w14:textId="1E1353C1" w:rsidR="00441955" w:rsidRPr="001B19E4" w:rsidRDefault="001B19E4" w:rsidP="00457CE9">
            <w:pPr>
              <w:tabs>
                <w:tab w:val="left" w:pos="1605"/>
              </w:tabs>
              <w:jc w:val="center"/>
              <w:rPr>
                <w:rFonts w:ascii="Times New Roman" w:hAnsi="Times New Roman" w:cs="Times New Roman"/>
                <w:sz w:val="24"/>
                <w:szCs w:val="24"/>
                <w:lang w:val="kk-KZ"/>
              </w:rPr>
            </w:pPr>
            <w:r w:rsidRPr="001B19E4">
              <w:rPr>
                <w:rFonts w:ascii="Times New Roman" w:hAnsi="Times New Roman" w:cs="Times New Roman"/>
                <w:sz w:val="24"/>
                <w:szCs w:val="24"/>
                <w:lang w:val="kk-KZ"/>
              </w:rPr>
              <w:t>1</w:t>
            </w:r>
          </w:p>
        </w:tc>
        <w:tc>
          <w:tcPr>
            <w:tcW w:w="5597" w:type="dxa"/>
            <w:tcBorders>
              <w:top w:val="single" w:sz="4" w:space="0" w:color="auto"/>
              <w:left w:val="single" w:sz="4" w:space="0" w:color="auto"/>
              <w:bottom w:val="single" w:sz="4" w:space="0" w:color="auto"/>
              <w:right w:val="single" w:sz="4" w:space="0" w:color="auto"/>
            </w:tcBorders>
          </w:tcPr>
          <w:p w14:paraId="1C4B3CB7" w14:textId="6680E814" w:rsidR="00441955" w:rsidRPr="001B19E4" w:rsidRDefault="001B19E4" w:rsidP="00457CE9">
            <w:pPr>
              <w:tabs>
                <w:tab w:val="left" w:pos="1605"/>
              </w:tabs>
              <w:jc w:val="center"/>
              <w:rPr>
                <w:rFonts w:ascii="Times New Roman" w:hAnsi="Times New Roman" w:cs="Times New Roman"/>
                <w:sz w:val="24"/>
                <w:szCs w:val="24"/>
                <w:lang w:val="kk-KZ"/>
              </w:rPr>
            </w:pPr>
            <w:r w:rsidRPr="001B19E4">
              <w:rPr>
                <w:rFonts w:ascii="Times New Roman" w:hAnsi="Times New Roman" w:cs="Times New Roman"/>
                <w:sz w:val="24"/>
                <w:szCs w:val="24"/>
                <w:lang w:val="kk-KZ"/>
              </w:rPr>
              <w:t>2</w:t>
            </w:r>
          </w:p>
        </w:tc>
      </w:tr>
      <w:tr w:rsidR="001B19E4" w:rsidRPr="001B19E4" w14:paraId="16222168"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0F07F4A8"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Азық-түліктік қауіпсіздікті қамтамасыз ету аудиті</w:t>
            </w:r>
          </w:p>
        </w:tc>
        <w:tc>
          <w:tcPr>
            <w:tcW w:w="5597" w:type="dxa"/>
            <w:tcBorders>
              <w:top w:val="single" w:sz="4" w:space="0" w:color="auto"/>
              <w:left w:val="single" w:sz="4" w:space="0" w:color="auto"/>
              <w:bottom w:val="single" w:sz="4" w:space="0" w:color="auto"/>
              <w:right w:val="single" w:sz="4" w:space="0" w:color="auto"/>
            </w:tcBorders>
            <w:hideMark/>
          </w:tcPr>
          <w:p w14:paraId="3F419BE3" w14:textId="6EABC5A5"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 xml:space="preserve">- </w:t>
            </w:r>
            <w:r w:rsidR="001E2869">
              <w:rPr>
                <w:rFonts w:ascii="Times New Roman" w:hAnsi="Times New Roman" w:cs="Times New Roman"/>
                <w:sz w:val="24"/>
                <w:szCs w:val="24"/>
                <w:lang w:val="kk-KZ"/>
              </w:rPr>
              <w:t>азық-түлік</w:t>
            </w:r>
            <w:r w:rsidRPr="001B19E4">
              <w:rPr>
                <w:rFonts w:ascii="Times New Roman" w:hAnsi="Times New Roman" w:cs="Times New Roman"/>
                <w:sz w:val="24"/>
                <w:szCs w:val="24"/>
                <w:lang w:val="kk-KZ"/>
              </w:rPr>
              <w:t>тің экономикалық қолжетімділігі;</w:t>
            </w:r>
          </w:p>
          <w:p w14:paraId="5306188C" w14:textId="4158801F"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 xml:space="preserve">- </w:t>
            </w:r>
            <w:r w:rsidR="001E2869">
              <w:rPr>
                <w:rFonts w:ascii="Times New Roman" w:hAnsi="Times New Roman" w:cs="Times New Roman"/>
                <w:sz w:val="24"/>
                <w:szCs w:val="24"/>
                <w:lang w:val="kk-KZ"/>
              </w:rPr>
              <w:t>азық-түлік</w:t>
            </w:r>
            <w:r w:rsidRPr="001B19E4">
              <w:rPr>
                <w:rFonts w:ascii="Times New Roman" w:hAnsi="Times New Roman" w:cs="Times New Roman"/>
                <w:sz w:val="24"/>
                <w:szCs w:val="24"/>
                <w:lang w:val="kk-KZ"/>
              </w:rPr>
              <w:t>тің физикалық қол жетімділігі;</w:t>
            </w:r>
          </w:p>
          <w:p w14:paraId="2BE89ED5" w14:textId="77777777"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 тамақ өнімдеріне қауіпсіздігінің кепілі.</w:t>
            </w:r>
          </w:p>
        </w:tc>
      </w:tr>
      <w:tr w:rsidR="001B19E4" w:rsidRPr="001B19E4" w14:paraId="7E76DB1A"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5950A42A"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Мал шаруашылығы саласындағы мемлекеттік басқару аудиті</w:t>
            </w:r>
          </w:p>
        </w:tc>
        <w:tc>
          <w:tcPr>
            <w:tcW w:w="5597" w:type="dxa"/>
            <w:tcBorders>
              <w:top w:val="single" w:sz="4" w:space="0" w:color="auto"/>
              <w:left w:val="single" w:sz="4" w:space="0" w:color="auto"/>
              <w:bottom w:val="single" w:sz="4" w:space="0" w:color="auto"/>
              <w:right w:val="single" w:sz="4" w:space="0" w:color="auto"/>
            </w:tcBorders>
            <w:hideMark/>
          </w:tcPr>
          <w:p w14:paraId="05B6C923" w14:textId="3461214A"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асыл тұқымды мал шаруашылығы дамыту мақ</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сатында анықталған нәтижелі көрсеткіштер мен іс-шараларды жоспарлау және оны іске асыру;</w:t>
            </w:r>
          </w:p>
          <w:p w14:paraId="504EEA14" w14:textId="0D46E914"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технологиялар трансфері;</w:t>
            </w:r>
          </w:p>
        </w:tc>
      </w:tr>
      <w:tr w:rsidR="001B19E4" w:rsidRPr="00805B3E" w14:paraId="083F4169"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610E8439"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Мал шаруашылығы саласындағы мемлекеттік қолдау аудиті</w:t>
            </w:r>
          </w:p>
        </w:tc>
        <w:tc>
          <w:tcPr>
            <w:tcW w:w="5597" w:type="dxa"/>
            <w:tcBorders>
              <w:top w:val="single" w:sz="4" w:space="0" w:color="auto"/>
              <w:left w:val="single" w:sz="4" w:space="0" w:color="auto"/>
              <w:bottom w:val="single" w:sz="4" w:space="0" w:color="auto"/>
              <w:right w:val="single" w:sz="4" w:space="0" w:color="auto"/>
            </w:tcBorders>
            <w:hideMark/>
          </w:tcPr>
          <w:p w14:paraId="04F35ADF" w14:textId="74686BE5"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мемлекеттік қолдау түрлері және оның әсері;</w:t>
            </w:r>
          </w:p>
          <w:p w14:paraId="06F1E087" w14:textId="08D68265"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мемлекеттік қолдау алушылардың міндетте</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мелерінің сандық және сапалық көрсеткіштерінің жоспарлануы және орындалуы</w:t>
            </w:r>
          </w:p>
        </w:tc>
      </w:tr>
      <w:tr w:rsidR="001B19E4" w:rsidRPr="001B19E4" w14:paraId="7FAC6949"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589A016F"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Аграрлық саясаттың басымдықтарына сәйкес қаржылық және сервистік қолдау аудиті</w:t>
            </w:r>
          </w:p>
        </w:tc>
        <w:tc>
          <w:tcPr>
            <w:tcW w:w="5597" w:type="dxa"/>
            <w:tcBorders>
              <w:top w:val="single" w:sz="4" w:space="0" w:color="auto"/>
              <w:left w:val="single" w:sz="4" w:space="0" w:color="auto"/>
              <w:bottom w:val="single" w:sz="4" w:space="0" w:color="auto"/>
              <w:right w:val="single" w:sz="4" w:space="0" w:color="auto"/>
            </w:tcBorders>
            <w:hideMark/>
          </w:tcPr>
          <w:p w14:paraId="2735D8DE" w14:textId="77777777"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 мемлекеттік қаржылық және сервистік қолдау көлемі, қойылған нәтижелі көрсеткіштердің, индикаторлардың жоспары мен орындалуы;</w:t>
            </w:r>
          </w:p>
          <w:p w14:paraId="57CD7272" w14:textId="28095389"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қызметтердің цифрландырылуы деңгейі.</w:t>
            </w:r>
          </w:p>
        </w:tc>
      </w:tr>
      <w:tr w:rsidR="001B19E4" w:rsidRPr="00805B3E" w14:paraId="52204028"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5D672282"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Аграрлық саясаттың мақсаттары мен міндеттерін дамыту мен қол жеткізуді қолдау аудиті</w:t>
            </w:r>
          </w:p>
        </w:tc>
        <w:tc>
          <w:tcPr>
            <w:tcW w:w="5597" w:type="dxa"/>
            <w:tcBorders>
              <w:top w:val="single" w:sz="4" w:space="0" w:color="auto"/>
              <w:left w:val="single" w:sz="4" w:space="0" w:color="auto"/>
              <w:bottom w:val="single" w:sz="4" w:space="0" w:color="auto"/>
              <w:right w:val="single" w:sz="4" w:space="0" w:color="auto"/>
            </w:tcBorders>
            <w:hideMark/>
          </w:tcPr>
          <w:p w14:paraId="58A3CD43" w14:textId="6A3F7B21"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 ауыл шаруашылығы саласына тікелей инвес</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тициялар тарту үшін жоспарланған іс-шаралар;</w:t>
            </w:r>
          </w:p>
          <w:p w14:paraId="1F065CBB" w14:textId="77E754E2"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 жоспарланған мақсаттар, индикаторлар, нәти</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желі көрсеткіштер мен іс-шаралар орындалуы</w:t>
            </w:r>
          </w:p>
        </w:tc>
      </w:tr>
      <w:tr w:rsidR="001B19E4" w:rsidRPr="00805B3E" w14:paraId="0D9100D0" w14:textId="77777777" w:rsidTr="00BD2814">
        <w:trPr>
          <w:jc w:val="center"/>
        </w:trPr>
        <w:tc>
          <w:tcPr>
            <w:tcW w:w="3964" w:type="dxa"/>
            <w:tcBorders>
              <w:top w:val="single" w:sz="4" w:space="0" w:color="auto"/>
              <w:left w:val="single" w:sz="4" w:space="0" w:color="auto"/>
              <w:bottom w:val="nil"/>
              <w:right w:val="single" w:sz="4" w:space="0" w:color="auto"/>
            </w:tcBorders>
            <w:hideMark/>
          </w:tcPr>
          <w:p w14:paraId="4B391C48" w14:textId="00B04BE8"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Ауыл шаруашылығы өнімдерін өнді</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руді дамыту үшін қолайлы жағдайлар жасайтын іс-шаралар аудиті</w:t>
            </w:r>
          </w:p>
        </w:tc>
        <w:tc>
          <w:tcPr>
            <w:tcW w:w="5597" w:type="dxa"/>
            <w:tcBorders>
              <w:top w:val="single" w:sz="4" w:space="0" w:color="auto"/>
              <w:left w:val="single" w:sz="4" w:space="0" w:color="auto"/>
              <w:bottom w:val="nil"/>
              <w:right w:val="single" w:sz="4" w:space="0" w:color="auto"/>
            </w:tcBorders>
            <w:hideMark/>
          </w:tcPr>
          <w:p w14:paraId="68FED709" w14:textId="2DECA33F"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инновациялық технологиялар қолдану, тіркел</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ген патенттер, жоспар бойынша іске асырылған жобалар;</w:t>
            </w:r>
          </w:p>
          <w:p w14:paraId="138C6F28" w14:textId="206399A0" w:rsidR="00441955" w:rsidRPr="001B19E4" w:rsidRDefault="00441955" w:rsidP="001B19E4">
            <w:pPr>
              <w:tabs>
                <w:tab w:val="left" w:pos="1605"/>
              </w:tabs>
              <w:spacing w:line="228" w:lineRule="auto"/>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1B19E4">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ауыл шаруашылық өнімдердің өнімділігінің жоспарлы және нақты көрсеткіштері</w:t>
            </w:r>
          </w:p>
        </w:tc>
      </w:tr>
      <w:tr w:rsidR="001B19E4" w:rsidRPr="00805B3E" w14:paraId="566809A8" w14:textId="77777777" w:rsidTr="00BD2814">
        <w:trPr>
          <w:jc w:val="center"/>
        </w:trPr>
        <w:tc>
          <w:tcPr>
            <w:tcW w:w="3964" w:type="dxa"/>
            <w:tcBorders>
              <w:top w:val="single" w:sz="4" w:space="0" w:color="auto"/>
              <w:left w:val="single" w:sz="4" w:space="0" w:color="auto"/>
              <w:bottom w:val="nil"/>
              <w:right w:val="single" w:sz="4" w:space="0" w:color="auto"/>
            </w:tcBorders>
            <w:hideMark/>
          </w:tcPr>
          <w:p w14:paraId="347ACB91"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ҚР АӨК дамытуға бюджет қаражаты мен табиғи ресурстарды пайдаланудың әлеуметтік әсерінің аудиті</w:t>
            </w:r>
          </w:p>
        </w:tc>
        <w:tc>
          <w:tcPr>
            <w:tcW w:w="5597" w:type="dxa"/>
            <w:tcBorders>
              <w:top w:val="single" w:sz="4" w:space="0" w:color="auto"/>
              <w:left w:val="single" w:sz="4" w:space="0" w:color="auto"/>
              <w:bottom w:val="nil"/>
              <w:right w:val="single" w:sz="4" w:space="0" w:color="auto"/>
            </w:tcBorders>
            <w:hideMark/>
          </w:tcPr>
          <w:p w14:paraId="65E05948" w14:textId="6263611C"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қоршаған ортаға келтірілген залалдар мөлшерінің қысқаруы;</w:t>
            </w:r>
          </w:p>
          <w:p w14:paraId="6ACE16AA" w14:textId="19915141"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су ресурстарын пайдалану көрсеткіштері;</w:t>
            </w:r>
          </w:p>
          <w:p w14:paraId="7F486D18" w14:textId="76E6FB88"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жер ресурстарын пайдалану көрсеткіштері;</w:t>
            </w:r>
          </w:p>
          <w:p w14:paraId="188E1CF2" w14:textId="164C9735"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орман ресурстарын пайдалану көрсеткіштері;</w:t>
            </w:r>
          </w:p>
          <w:p w14:paraId="1EF920B2" w14:textId="1351770B"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ауыл аймақтарындағы тұрғындар өмір сапасының жақсаруы</w:t>
            </w:r>
          </w:p>
        </w:tc>
      </w:tr>
      <w:tr w:rsidR="001B19E4" w:rsidRPr="001B19E4" w14:paraId="0ACC12C3"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7961C540"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Өсімдік шаруашылығы саласындағы реттеу аудиті</w:t>
            </w:r>
          </w:p>
        </w:tc>
        <w:tc>
          <w:tcPr>
            <w:tcW w:w="5597" w:type="dxa"/>
            <w:tcBorders>
              <w:top w:val="single" w:sz="4" w:space="0" w:color="auto"/>
              <w:left w:val="single" w:sz="4" w:space="0" w:color="auto"/>
              <w:bottom w:val="single" w:sz="4" w:space="0" w:color="auto"/>
              <w:right w:val="single" w:sz="4" w:space="0" w:color="auto"/>
            </w:tcBorders>
            <w:hideMark/>
          </w:tcPr>
          <w:p w14:paraId="36D9260E" w14:textId="3750899C"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сапалы тұқым қорын сақтау және жетілдіру көрсеткіштері;</w:t>
            </w:r>
          </w:p>
          <w:p w14:paraId="4395C007" w14:textId="27BBEA62"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экспортталатын өнім көлемінің өсуі;</w:t>
            </w:r>
          </w:p>
          <w:p w14:paraId="62F49752" w14:textId="6F1B7ABB"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әлеуметтік маңызды тағам өнімдеріне бағаны тұрақтандыру;</w:t>
            </w:r>
          </w:p>
          <w:p w14:paraId="5C5E0944" w14:textId="0C403C91"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экологиялық таза өніммен қамтамасыз етілуі;</w:t>
            </w:r>
          </w:p>
          <w:p w14:paraId="1E9665CC" w14:textId="1760380E"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фитосанитарлық қауіпсіздік көрсеткіштері.</w:t>
            </w:r>
          </w:p>
        </w:tc>
      </w:tr>
      <w:tr w:rsidR="001B19E4" w:rsidRPr="001B19E4" w14:paraId="29AE5312"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445B6D89" w14:textId="77777777"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Мал шаруашылығы саласындағы тиімділік аудиті</w:t>
            </w:r>
          </w:p>
        </w:tc>
        <w:tc>
          <w:tcPr>
            <w:tcW w:w="5597" w:type="dxa"/>
            <w:tcBorders>
              <w:top w:val="single" w:sz="4" w:space="0" w:color="auto"/>
              <w:left w:val="single" w:sz="4" w:space="0" w:color="auto"/>
              <w:bottom w:val="single" w:sz="4" w:space="0" w:color="auto"/>
              <w:right w:val="single" w:sz="4" w:space="0" w:color="auto"/>
            </w:tcBorders>
            <w:hideMark/>
          </w:tcPr>
          <w:p w14:paraId="028608C6" w14:textId="61533F76"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сапалы тұқым қорын сақтау және жетілдіру көрсеткіштері;</w:t>
            </w:r>
          </w:p>
          <w:p w14:paraId="6B0B4BE6" w14:textId="51B66B8E"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экспортталатын өнім көлемінің өсуі;</w:t>
            </w:r>
          </w:p>
          <w:p w14:paraId="2B6BAAB3" w14:textId="5E4910AF"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әлеуметтік маңызды тағам өнімдеріне бағаны тұрақтандыру;</w:t>
            </w:r>
          </w:p>
          <w:p w14:paraId="5C804E0C" w14:textId="3411EB35"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экологиялық таза өніммен қамтамасыз етілуі;</w:t>
            </w:r>
          </w:p>
          <w:p w14:paraId="413F04F7" w14:textId="2E791DBB" w:rsidR="00441955" w:rsidRPr="001B19E4" w:rsidRDefault="00441955" w:rsidP="00457CE9">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sidR="00064AAF">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ветеринарлық қауіпсіздік көрсеткіштері.</w:t>
            </w:r>
          </w:p>
        </w:tc>
      </w:tr>
      <w:tr w:rsidR="00BD2814" w:rsidRPr="00BD2814" w14:paraId="32640596"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tcPr>
          <w:p w14:paraId="444D3D1F" w14:textId="7E2AAC52"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АӨК облысындағы тиімділік аудиті</w:t>
            </w:r>
          </w:p>
        </w:tc>
        <w:tc>
          <w:tcPr>
            <w:tcW w:w="5597" w:type="dxa"/>
            <w:tcBorders>
              <w:top w:val="single" w:sz="4" w:space="0" w:color="auto"/>
              <w:left w:val="single" w:sz="4" w:space="0" w:color="auto"/>
              <w:bottom w:val="single" w:sz="4" w:space="0" w:color="auto"/>
              <w:right w:val="single" w:sz="4" w:space="0" w:color="auto"/>
            </w:tcBorders>
          </w:tcPr>
          <w:p w14:paraId="622EA45A" w14:textId="3BE99CFF"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Нысаналы трансферттерді бағыттау мақсат</w:t>
            </w:r>
            <w:r>
              <w:rPr>
                <w:rFonts w:ascii="Times New Roman" w:hAnsi="Times New Roman" w:cs="Times New Roman"/>
                <w:sz w:val="24"/>
                <w:szCs w:val="24"/>
                <w:lang w:val="kk-KZ"/>
              </w:rPr>
              <w:t xml:space="preserve"> </w:t>
            </w:r>
          </w:p>
        </w:tc>
      </w:tr>
      <w:tr w:rsidR="00BD2814" w14:paraId="25E8E78A" w14:textId="77777777" w:rsidTr="00BD2814">
        <w:trPr>
          <w:jc w:val="center"/>
        </w:trPr>
        <w:tc>
          <w:tcPr>
            <w:tcW w:w="9561" w:type="dxa"/>
            <w:gridSpan w:val="2"/>
            <w:tcBorders>
              <w:top w:val="nil"/>
              <w:left w:val="nil"/>
              <w:bottom w:val="single" w:sz="4" w:space="0" w:color="auto"/>
              <w:right w:val="nil"/>
            </w:tcBorders>
          </w:tcPr>
          <w:p w14:paraId="47DB1220" w14:textId="772E263E" w:rsidR="00BD2814" w:rsidRDefault="007F5D1B" w:rsidP="00BD2814">
            <w:pPr>
              <w:tabs>
                <w:tab w:val="left" w:pos="1605"/>
              </w:tabs>
              <w:ind w:hanging="107"/>
              <w:rPr>
                <w:rFonts w:ascii="Times New Roman" w:hAnsi="Times New Roman" w:cs="Times New Roman"/>
                <w:sz w:val="28"/>
                <w:szCs w:val="28"/>
                <w:lang w:val="kk-KZ"/>
              </w:rPr>
            </w:pPr>
            <w:r>
              <w:rPr>
                <w:rFonts w:ascii="Times New Roman" w:hAnsi="Times New Roman" w:cs="Times New Roman"/>
                <w:sz w:val="28"/>
                <w:szCs w:val="28"/>
                <w:lang w:val="kk-KZ"/>
              </w:rPr>
              <w:t>40</w:t>
            </w:r>
            <w:r w:rsidR="00BD2814">
              <w:rPr>
                <w:rFonts w:ascii="Times New Roman" w:hAnsi="Times New Roman" w:cs="Times New Roman"/>
                <w:sz w:val="28"/>
                <w:szCs w:val="28"/>
                <w:lang w:val="kk-KZ"/>
              </w:rPr>
              <w:t>-кестенің жалғасы</w:t>
            </w:r>
          </w:p>
          <w:p w14:paraId="3A533A1B" w14:textId="77777777" w:rsidR="00BD2814" w:rsidRDefault="00BD2814" w:rsidP="00BD2814">
            <w:pPr>
              <w:tabs>
                <w:tab w:val="left" w:pos="1605"/>
              </w:tabs>
              <w:rPr>
                <w:rFonts w:ascii="Times New Roman" w:hAnsi="Times New Roman" w:cs="Times New Roman"/>
                <w:sz w:val="16"/>
                <w:szCs w:val="16"/>
                <w:lang w:val="kk-KZ"/>
              </w:rPr>
            </w:pPr>
          </w:p>
        </w:tc>
      </w:tr>
      <w:tr w:rsidR="00BD2814" w14:paraId="35EE6666"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730768C7" w14:textId="77777777" w:rsidR="00BD2814" w:rsidRDefault="00BD2814" w:rsidP="00BD2814">
            <w:pPr>
              <w:tabs>
                <w:tab w:val="left" w:pos="1605"/>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597" w:type="dxa"/>
            <w:tcBorders>
              <w:top w:val="single" w:sz="4" w:space="0" w:color="auto"/>
              <w:left w:val="single" w:sz="4" w:space="0" w:color="auto"/>
              <w:bottom w:val="single" w:sz="4" w:space="0" w:color="auto"/>
              <w:right w:val="single" w:sz="4" w:space="0" w:color="auto"/>
            </w:tcBorders>
            <w:hideMark/>
          </w:tcPr>
          <w:p w14:paraId="7E4B9DB7" w14:textId="77777777" w:rsidR="00BD2814" w:rsidRDefault="00BD2814" w:rsidP="00BD2814">
            <w:pPr>
              <w:tabs>
                <w:tab w:val="left" w:pos="1605"/>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BD2814" w:rsidRPr="00805B3E" w14:paraId="7A477845"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tcPr>
          <w:p w14:paraId="1559A853" w14:textId="62CDC6B6" w:rsidR="00BD2814" w:rsidRPr="001B19E4" w:rsidRDefault="00BD2814" w:rsidP="00BD2814">
            <w:pPr>
              <w:tabs>
                <w:tab w:val="left" w:pos="1605"/>
              </w:tabs>
              <w:rPr>
                <w:rFonts w:ascii="Times New Roman" w:hAnsi="Times New Roman" w:cs="Times New Roman"/>
                <w:sz w:val="24"/>
                <w:szCs w:val="24"/>
                <w:lang w:val="kk-KZ"/>
              </w:rPr>
            </w:pPr>
          </w:p>
        </w:tc>
        <w:tc>
          <w:tcPr>
            <w:tcW w:w="5597" w:type="dxa"/>
            <w:tcBorders>
              <w:top w:val="single" w:sz="4" w:space="0" w:color="auto"/>
              <w:left w:val="single" w:sz="4" w:space="0" w:color="auto"/>
              <w:bottom w:val="single" w:sz="4" w:space="0" w:color="auto"/>
              <w:right w:val="single" w:sz="4" w:space="0" w:color="auto"/>
            </w:tcBorders>
            <w:hideMark/>
          </w:tcPr>
          <w:p w14:paraId="2B9B2782" w14:textId="0C38AE18"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тарының орындалуы, жұмсалуын талдау, мони</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торинг жүйесін бағалау</w:t>
            </w:r>
          </w:p>
        </w:tc>
      </w:tr>
      <w:tr w:rsidR="00BD2814" w:rsidRPr="00805B3E" w14:paraId="5684F894"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3698A2BE"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Тамақ өнімдерін қайта өңдеу саласындағы тиімділік аудиті</w:t>
            </w:r>
          </w:p>
        </w:tc>
        <w:tc>
          <w:tcPr>
            <w:tcW w:w="5597" w:type="dxa"/>
            <w:tcBorders>
              <w:top w:val="single" w:sz="4" w:space="0" w:color="auto"/>
              <w:left w:val="single" w:sz="4" w:space="0" w:color="auto"/>
              <w:bottom w:val="single" w:sz="4" w:space="0" w:color="auto"/>
              <w:right w:val="single" w:sz="4" w:space="0" w:color="auto"/>
            </w:tcBorders>
            <w:hideMark/>
          </w:tcPr>
          <w:p w14:paraId="18A82E97" w14:textId="19061C9D"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ауыл шаруашылық өнімдерін қайта өңдеу өнеркәсібіне тартылған тікелей инвестициялар көлемі;</w:t>
            </w:r>
          </w:p>
          <w:p w14:paraId="071008FC" w14:textId="1A848469"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жоспарлы және іске асырылған жобалар саны;</w:t>
            </w:r>
          </w:p>
          <w:p w14:paraId="0D3572E2" w14:textId="68D86DA9"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қайта өңделген өнім импортының көлемі.</w:t>
            </w:r>
          </w:p>
        </w:tc>
      </w:tr>
      <w:tr w:rsidR="00BD2814" w:rsidRPr="001B19E4" w14:paraId="13DDD386" w14:textId="77777777" w:rsidTr="00BD2814">
        <w:trPr>
          <w:trHeight w:val="1390"/>
          <w:jc w:val="center"/>
        </w:trPr>
        <w:tc>
          <w:tcPr>
            <w:tcW w:w="3964" w:type="dxa"/>
            <w:tcBorders>
              <w:top w:val="single" w:sz="4" w:space="0" w:color="auto"/>
              <w:left w:val="single" w:sz="4" w:space="0" w:color="auto"/>
              <w:right w:val="single" w:sz="4" w:space="0" w:color="auto"/>
            </w:tcBorders>
            <w:hideMark/>
          </w:tcPr>
          <w:p w14:paraId="4E65CC73"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Су шаруашылығы саласындағы тиімділік аудиті</w:t>
            </w:r>
          </w:p>
        </w:tc>
        <w:tc>
          <w:tcPr>
            <w:tcW w:w="5597" w:type="dxa"/>
            <w:tcBorders>
              <w:top w:val="single" w:sz="4" w:space="0" w:color="auto"/>
              <w:left w:val="single" w:sz="4" w:space="0" w:color="auto"/>
              <w:right w:val="single" w:sz="4" w:space="0" w:color="auto"/>
            </w:tcBorders>
            <w:hideMark/>
          </w:tcPr>
          <w:p w14:paraId="32613D62" w14:textId="51F3CB1A"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қайталама суды пайдалану көрсеткіштері;</w:t>
            </w:r>
          </w:p>
          <w:p w14:paraId="1147D8A6" w14:textId="3A3A60E1"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минералды тыңайтқыштарды пайдалану норма</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ларының сақталу көрсеткіштері;</w:t>
            </w:r>
          </w:p>
          <w:p w14:paraId="61D718C3" w14:textId="0C4F0FC1"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тамшылап суару технологиясын пайдалану көрсеткіштері.</w:t>
            </w:r>
          </w:p>
        </w:tc>
      </w:tr>
      <w:tr w:rsidR="00BD2814" w:rsidRPr="00805B3E" w14:paraId="71EF370C"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1FE1F497"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Балық шаруашылығы саласындағы тиімділік аудиті</w:t>
            </w:r>
          </w:p>
        </w:tc>
        <w:tc>
          <w:tcPr>
            <w:tcW w:w="5597" w:type="dxa"/>
            <w:tcBorders>
              <w:top w:val="single" w:sz="4" w:space="0" w:color="auto"/>
              <w:left w:val="single" w:sz="4" w:space="0" w:color="auto"/>
              <w:bottom w:val="single" w:sz="4" w:space="0" w:color="auto"/>
              <w:right w:val="single" w:sz="4" w:space="0" w:color="auto"/>
            </w:tcBorders>
          </w:tcPr>
          <w:p w14:paraId="1FD60E4C" w14:textId="38C00286"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2025 жылға балық шаруашылығы өндірісін 84,5 мың тоннаға жеткізу;</w:t>
            </w:r>
          </w:p>
        </w:tc>
      </w:tr>
      <w:tr w:rsidR="00BD2814" w:rsidRPr="001B19E4" w14:paraId="59FDB958"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3AE734AE"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Жер ресурстарын пайдаланудың тиімділік аудиті</w:t>
            </w:r>
          </w:p>
        </w:tc>
        <w:tc>
          <w:tcPr>
            <w:tcW w:w="5597" w:type="dxa"/>
            <w:tcBorders>
              <w:top w:val="single" w:sz="4" w:space="0" w:color="auto"/>
              <w:left w:val="single" w:sz="4" w:space="0" w:color="auto"/>
              <w:bottom w:val="single" w:sz="4" w:space="0" w:color="auto"/>
              <w:right w:val="single" w:sz="4" w:space="0" w:color="auto"/>
            </w:tcBorders>
            <w:hideMark/>
          </w:tcPr>
          <w:p w14:paraId="52DCD7DE" w14:textId="34944FA3"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нақты егіншілік элементтерін енгізу деңгейін жоғарылату;</w:t>
            </w:r>
          </w:p>
          <w:p w14:paraId="7D525116" w14:textId="09FFC77A"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жерді ұтымды пайдалану мониторингі болуы.</w:t>
            </w:r>
          </w:p>
        </w:tc>
      </w:tr>
      <w:tr w:rsidR="00BD2814" w:rsidRPr="00805B3E" w14:paraId="21B1F0D7"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52A292C8"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Мал шаруашылығы саласындағы субсидия алушылардың бюджет қаражатын пайдаланудың тиімділік аудиті</w:t>
            </w:r>
          </w:p>
        </w:tc>
        <w:tc>
          <w:tcPr>
            <w:tcW w:w="5597" w:type="dxa"/>
            <w:vMerge w:val="restart"/>
            <w:tcBorders>
              <w:top w:val="single" w:sz="4" w:space="0" w:color="auto"/>
              <w:left w:val="single" w:sz="4" w:space="0" w:color="auto"/>
              <w:bottom w:val="nil"/>
              <w:right w:val="single" w:sz="4" w:space="0" w:color="auto"/>
            </w:tcBorders>
          </w:tcPr>
          <w:p w14:paraId="41E5F3E0" w14:textId="7534E9F1"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 xml:space="preserve">субсидия беру ережелеріне жалпы баға беру (жүйелі және жеке тәуекелдерді ескеру деңгейі); </w:t>
            </w:r>
          </w:p>
          <w:p w14:paraId="2DC99D76" w14:textId="6F70C29C"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субсидия алушылардың субсидия алу ережелеріне сәйкес міндеттерді толық орындау көрсет</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кіштері;</w:t>
            </w:r>
          </w:p>
          <w:p w14:paraId="2AAA7D7A" w14:textId="60F30C31"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субсидия алушылардың АӨК дамытуға қосқан үлесін бағалау көрсеткіштері;</w:t>
            </w:r>
          </w:p>
          <w:p w14:paraId="0709E564" w14:textId="5EA06F8C"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субсидия алушылардың салықтар мен мінде</w:t>
            </w:r>
            <w:r>
              <w:rPr>
                <w:rFonts w:ascii="Times New Roman" w:hAnsi="Times New Roman" w:cs="Times New Roman"/>
                <w:sz w:val="24"/>
                <w:szCs w:val="24"/>
                <w:lang w:val="kk-KZ"/>
              </w:rPr>
              <w:t>тті төлемдерді төлеу динамикасы</w:t>
            </w:r>
          </w:p>
        </w:tc>
      </w:tr>
      <w:tr w:rsidR="00BD2814" w:rsidRPr="00805B3E" w14:paraId="0F33C1D9" w14:textId="77777777" w:rsidTr="00BD2814">
        <w:trPr>
          <w:jc w:val="center"/>
        </w:trPr>
        <w:tc>
          <w:tcPr>
            <w:tcW w:w="3964" w:type="dxa"/>
            <w:tcBorders>
              <w:top w:val="single" w:sz="4" w:space="0" w:color="auto"/>
              <w:left w:val="single" w:sz="4" w:space="0" w:color="auto"/>
              <w:bottom w:val="nil"/>
              <w:right w:val="single" w:sz="4" w:space="0" w:color="auto"/>
            </w:tcBorders>
            <w:hideMark/>
          </w:tcPr>
          <w:p w14:paraId="0C04A939"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Өсімдік шаруашылығы саласындағы субсидия алушылардың бюджет қаражатын пайдаланудың тиімділік аудиті</w:t>
            </w:r>
          </w:p>
        </w:tc>
        <w:tc>
          <w:tcPr>
            <w:tcW w:w="5597" w:type="dxa"/>
            <w:vMerge/>
            <w:tcBorders>
              <w:top w:val="single" w:sz="4" w:space="0" w:color="auto"/>
              <w:left w:val="single" w:sz="4" w:space="0" w:color="auto"/>
              <w:bottom w:val="nil"/>
              <w:right w:val="single" w:sz="4" w:space="0" w:color="auto"/>
            </w:tcBorders>
            <w:vAlign w:val="center"/>
            <w:hideMark/>
          </w:tcPr>
          <w:p w14:paraId="29DC9B04" w14:textId="77777777" w:rsidR="00BD2814" w:rsidRPr="001B19E4" w:rsidRDefault="00BD2814" w:rsidP="00BD2814">
            <w:pPr>
              <w:rPr>
                <w:rFonts w:ascii="Times New Roman" w:hAnsi="Times New Roman" w:cs="Times New Roman"/>
                <w:sz w:val="24"/>
                <w:szCs w:val="24"/>
                <w:lang w:val="kk-KZ"/>
              </w:rPr>
            </w:pPr>
          </w:p>
        </w:tc>
      </w:tr>
      <w:tr w:rsidR="00BD2814" w:rsidRPr="00805B3E" w14:paraId="5A8A5700"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5337FD6A" w14:textId="7974351C"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Ауыл шаруашылығын өндіріс құрал</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дарымен және материалдық ресурстар</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мен қамтамасыз ететін салалар мен қызметтерді мемлекеттік қолдаудың тиімділік аудиті</w:t>
            </w:r>
          </w:p>
        </w:tc>
        <w:tc>
          <w:tcPr>
            <w:tcW w:w="5597" w:type="dxa"/>
            <w:tcBorders>
              <w:top w:val="single" w:sz="4" w:space="0" w:color="auto"/>
              <w:left w:val="single" w:sz="4" w:space="0" w:color="auto"/>
              <w:bottom w:val="single" w:sz="4" w:space="0" w:color="auto"/>
              <w:right w:val="single" w:sz="4" w:space="0" w:color="auto"/>
            </w:tcBorders>
            <w:hideMark/>
          </w:tcPr>
          <w:p w14:paraId="2601BDDA" w14:textId="1616DC55"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ауыл шаруашылық өндіріс құралдарын және материалдық ресурстарға АШТӨ қолжетімділігін бағалау көрсеткіштері;</w:t>
            </w:r>
          </w:p>
          <w:p w14:paraId="2BDD0EB7" w14:textId="1FCEB91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 ауыл шаруашылық өндіріс құралдарын және ма</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териалдық ресурстарға мемлекеттік қолдау түрле</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рі мен жағдайларына баға беру көрсеткіштері</w:t>
            </w:r>
          </w:p>
        </w:tc>
      </w:tr>
      <w:tr w:rsidR="00BD2814" w:rsidRPr="00805B3E" w14:paraId="48A1F66F"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78463504" w14:textId="77777777" w:rsidR="00BD2814" w:rsidRPr="001B19E4" w:rsidRDefault="00BD2814" w:rsidP="00BD2814">
            <w:pPr>
              <w:tabs>
                <w:tab w:val="left" w:pos="851"/>
              </w:tabs>
              <w:rPr>
                <w:rFonts w:ascii="Times New Roman" w:hAnsi="Times New Roman" w:cs="Times New Roman"/>
                <w:sz w:val="24"/>
                <w:szCs w:val="24"/>
                <w:lang w:val="kk-KZ"/>
              </w:rPr>
            </w:pPr>
            <w:r w:rsidRPr="001B19E4">
              <w:rPr>
                <w:rFonts w:ascii="Times New Roman" w:hAnsi="Times New Roman" w:cs="Times New Roman"/>
                <w:sz w:val="24"/>
                <w:szCs w:val="24"/>
                <w:lang w:val="kk-KZ"/>
              </w:rPr>
              <w:t>Ауыл шаруашылығы шикізатын өңдеумен айналысатын салалар: тамақ өнеркәсібі, жеңіл өнеркәсіп үшін шикізатты бастапқы өңдеу жөніндегі салаларды мемлекеттік қолдаудың тиімділік аудиті</w:t>
            </w:r>
          </w:p>
        </w:tc>
        <w:tc>
          <w:tcPr>
            <w:tcW w:w="5597" w:type="dxa"/>
            <w:tcBorders>
              <w:top w:val="single" w:sz="4" w:space="0" w:color="auto"/>
              <w:left w:val="single" w:sz="4" w:space="0" w:color="auto"/>
              <w:bottom w:val="single" w:sz="4" w:space="0" w:color="auto"/>
              <w:right w:val="single" w:sz="4" w:space="0" w:color="auto"/>
            </w:tcBorders>
            <w:hideMark/>
          </w:tcPr>
          <w:p w14:paraId="386CDACE"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 тамақ өнеркәсібі, жеңіл өнеркәсіп үшін шикізатты бастапқы өңдеу жөніндегі салаларды мемлекеттік қолдау түрлері және олардың ережелеріне жалпы баға беру көрсеткіштері;</w:t>
            </w:r>
          </w:p>
          <w:p w14:paraId="4312F085" w14:textId="77777777"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 тамақ өнеркәсібі, жеңіл өнеркәсіп үшін шикізатты бастапқы өңдеу жөніндегі салаларды мемлекеттік қолдау нәтижесінде АӨК дамытуға қосқан әсерін бағалау көрсеткіштері</w:t>
            </w:r>
          </w:p>
        </w:tc>
      </w:tr>
      <w:tr w:rsidR="00BD2814" w:rsidRPr="00805B3E" w14:paraId="5F8EEF0F"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76BA68CB" w14:textId="58314EAC" w:rsidR="00BD2814" w:rsidRPr="001B19E4" w:rsidRDefault="00BD2814" w:rsidP="00BD2814">
            <w:pPr>
              <w:tabs>
                <w:tab w:val="left" w:pos="851"/>
              </w:tabs>
              <w:rPr>
                <w:rFonts w:ascii="Times New Roman" w:hAnsi="Times New Roman" w:cs="Times New Roman"/>
                <w:sz w:val="24"/>
                <w:szCs w:val="24"/>
                <w:lang w:val="kk-KZ"/>
              </w:rPr>
            </w:pPr>
            <w:r w:rsidRPr="001B19E4">
              <w:rPr>
                <w:rFonts w:ascii="Times New Roman" w:hAnsi="Times New Roman" w:cs="Times New Roman"/>
                <w:sz w:val="24"/>
                <w:szCs w:val="24"/>
                <w:lang w:val="kk-KZ"/>
              </w:rPr>
              <w:t>Ауыл шаруашылығы шикізатын дайын</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даумен, тасымалдаумен, сақтаумен, тұтыну тауарларын сатуды мемлекеттік қолдаудың тиімділік аудиті</w:t>
            </w:r>
          </w:p>
        </w:tc>
        <w:tc>
          <w:tcPr>
            <w:tcW w:w="5597" w:type="dxa"/>
            <w:tcBorders>
              <w:top w:val="single" w:sz="4" w:space="0" w:color="auto"/>
              <w:left w:val="single" w:sz="4" w:space="0" w:color="auto"/>
              <w:bottom w:val="single" w:sz="4" w:space="0" w:color="auto"/>
              <w:right w:val="single" w:sz="4" w:space="0" w:color="auto"/>
            </w:tcBorders>
            <w:hideMark/>
          </w:tcPr>
          <w:p w14:paraId="68531FB7" w14:textId="53E6CC1D"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ауыл шаруашылығы өнімдерін тасымалдау, сақтау бойынша құрылған тасымалдау-логистикалық орталықтар құрылысы;</w:t>
            </w:r>
          </w:p>
          <w:p w14:paraId="57F4A5F1" w14:textId="62157F59"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ауыл шаруашылығы өнімдері өндірілетін аймақ</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тардағы инфрақұрылымын бағалау көрсеткіштері</w:t>
            </w:r>
          </w:p>
        </w:tc>
      </w:tr>
      <w:tr w:rsidR="00BD2814" w:rsidRPr="00805B3E" w14:paraId="4AD7CC41" w14:textId="77777777" w:rsidTr="00BD2814">
        <w:trPr>
          <w:jc w:val="center"/>
        </w:trPr>
        <w:tc>
          <w:tcPr>
            <w:tcW w:w="3964" w:type="dxa"/>
            <w:tcBorders>
              <w:top w:val="single" w:sz="4" w:space="0" w:color="auto"/>
              <w:left w:val="single" w:sz="4" w:space="0" w:color="auto"/>
              <w:bottom w:val="single" w:sz="4" w:space="0" w:color="auto"/>
              <w:right w:val="single" w:sz="4" w:space="0" w:color="auto"/>
            </w:tcBorders>
            <w:hideMark/>
          </w:tcPr>
          <w:p w14:paraId="0BB1A7A9" w14:textId="76A40A07" w:rsidR="00BD2814" w:rsidRPr="001B19E4" w:rsidRDefault="00BD2814" w:rsidP="00BD2814">
            <w:pPr>
              <w:tabs>
                <w:tab w:val="left" w:pos="851"/>
              </w:tabs>
              <w:rPr>
                <w:rFonts w:ascii="Times New Roman" w:hAnsi="Times New Roman" w:cs="Times New Roman"/>
                <w:sz w:val="24"/>
                <w:szCs w:val="24"/>
                <w:lang w:val="kk-KZ"/>
              </w:rPr>
            </w:pPr>
            <w:r w:rsidRPr="001B19E4">
              <w:rPr>
                <w:rFonts w:ascii="Times New Roman" w:hAnsi="Times New Roman" w:cs="Times New Roman"/>
                <w:sz w:val="24"/>
                <w:szCs w:val="24"/>
                <w:lang w:val="kk-KZ"/>
              </w:rPr>
              <w:t>АӨК үшін кадрлар даярлауды, техно</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 xml:space="preserve">логиялар трансферін мемлекеттік қолдаудың тиімділік аудиті </w:t>
            </w:r>
          </w:p>
        </w:tc>
        <w:tc>
          <w:tcPr>
            <w:tcW w:w="5597" w:type="dxa"/>
            <w:tcBorders>
              <w:top w:val="single" w:sz="4" w:space="0" w:color="auto"/>
              <w:left w:val="single" w:sz="4" w:space="0" w:color="auto"/>
              <w:bottom w:val="single" w:sz="4" w:space="0" w:color="auto"/>
              <w:right w:val="single" w:sz="4" w:space="0" w:color="auto"/>
            </w:tcBorders>
            <w:hideMark/>
          </w:tcPr>
          <w:p w14:paraId="3979C79A" w14:textId="060F6905"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АӨК саласындағы  кадрлармен қамтамасыз етілу деңгейі;</w:t>
            </w:r>
          </w:p>
          <w:p w14:paraId="0FEB242F" w14:textId="183CAAE1" w:rsidR="00BD2814" w:rsidRPr="001B19E4" w:rsidRDefault="00BD2814" w:rsidP="00BD2814">
            <w:pPr>
              <w:tabs>
                <w:tab w:val="left" w:pos="1605"/>
              </w:tabs>
              <w:rPr>
                <w:rFonts w:ascii="Times New Roman" w:hAnsi="Times New Roman" w:cs="Times New Roman"/>
                <w:sz w:val="24"/>
                <w:szCs w:val="24"/>
                <w:lang w:val="kk-KZ"/>
              </w:rPr>
            </w:pPr>
            <w:r w:rsidRPr="001B19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B19E4">
              <w:rPr>
                <w:rFonts w:ascii="Times New Roman" w:hAnsi="Times New Roman" w:cs="Times New Roman"/>
                <w:sz w:val="24"/>
                <w:szCs w:val="24"/>
                <w:lang w:val="kk-KZ"/>
              </w:rPr>
              <w:t>АӨК саласына ғылыми-зерттеу жұмыстары нәтижелерін бағалау көрсеткіштері</w:t>
            </w:r>
          </w:p>
        </w:tc>
      </w:tr>
      <w:tr w:rsidR="00BD2814" w:rsidRPr="001B19E4" w14:paraId="18D337C5" w14:textId="13E3C8D0" w:rsidTr="00BD2814">
        <w:trPr>
          <w:jc w:val="center"/>
        </w:trPr>
        <w:tc>
          <w:tcPr>
            <w:tcW w:w="9561" w:type="dxa"/>
            <w:gridSpan w:val="2"/>
            <w:tcBorders>
              <w:top w:val="single" w:sz="4" w:space="0" w:color="auto"/>
              <w:left w:val="single" w:sz="4" w:space="0" w:color="auto"/>
              <w:bottom w:val="single" w:sz="4" w:space="0" w:color="auto"/>
              <w:right w:val="single" w:sz="4" w:space="0" w:color="auto"/>
            </w:tcBorders>
          </w:tcPr>
          <w:p w14:paraId="249B8E29" w14:textId="48FCA1EF" w:rsidR="00BD2814" w:rsidRPr="001B19E4" w:rsidRDefault="00BD2814" w:rsidP="00BD2814">
            <w:pPr>
              <w:tabs>
                <w:tab w:val="left" w:pos="1605"/>
              </w:tabs>
              <w:ind w:left="151" w:firstLine="414"/>
              <w:rPr>
                <w:rFonts w:ascii="Times New Roman" w:hAnsi="Times New Roman" w:cs="Times New Roman"/>
                <w:sz w:val="24"/>
                <w:szCs w:val="24"/>
                <w:lang w:val="kk-KZ"/>
              </w:rPr>
            </w:pPr>
            <w:r w:rsidRPr="001B19E4">
              <w:rPr>
                <w:rFonts w:ascii="Times New Roman" w:eastAsia="Calibri" w:hAnsi="Times New Roman" w:cs="Times New Roman"/>
                <w:sz w:val="24"/>
                <w:szCs w:val="24"/>
                <w:lang w:val="kk-KZ"/>
              </w:rPr>
              <w:t>Ескерту –</w:t>
            </w:r>
            <w:r w:rsidRPr="001B19E4">
              <w:rPr>
                <w:rFonts w:ascii="Times New Roman" w:eastAsia="Calibri" w:hAnsi="Times New Roman" w:cs="Times New Roman"/>
                <w:bCs/>
                <w:sz w:val="24"/>
                <w:szCs w:val="24"/>
                <w:lang w:val="kk-KZ"/>
              </w:rPr>
              <w:t xml:space="preserve"> Әдебиет негізінде құралған</w:t>
            </w:r>
            <w:r w:rsidRPr="001B19E4">
              <w:rPr>
                <w:rFonts w:ascii="Times New Roman" w:hAnsi="Times New Roman" w:cs="Times New Roman"/>
                <w:sz w:val="24"/>
                <w:szCs w:val="24"/>
                <w:lang w:val="kk-KZ"/>
              </w:rPr>
              <w:t xml:space="preserve"> </w:t>
            </w:r>
            <w:r w:rsidRPr="001B19E4">
              <w:rPr>
                <w:rFonts w:ascii="Times New Roman" w:eastAsiaTheme="minorEastAsia" w:hAnsi="Times New Roman" w:cs="Times New Roman"/>
                <w:kern w:val="36"/>
                <w:sz w:val="24"/>
                <w:szCs w:val="24"/>
                <w:lang w:val="kk-KZ" w:eastAsia="zh-CN"/>
              </w:rPr>
              <w:t>[</w:t>
            </w:r>
            <w:r>
              <w:rPr>
                <w:rFonts w:ascii="Times New Roman" w:eastAsiaTheme="minorEastAsia" w:hAnsi="Times New Roman" w:cs="Times New Roman"/>
                <w:kern w:val="36"/>
                <w:sz w:val="24"/>
                <w:szCs w:val="24"/>
                <w:lang w:val="kk-KZ" w:eastAsia="zh-CN"/>
              </w:rPr>
              <w:t>10, 1</w:t>
            </w:r>
            <w:r w:rsidR="008070AD">
              <w:rPr>
                <w:rFonts w:ascii="Times New Roman" w:eastAsiaTheme="minorEastAsia" w:hAnsi="Times New Roman" w:cs="Times New Roman"/>
                <w:kern w:val="36"/>
                <w:sz w:val="24"/>
                <w:szCs w:val="24"/>
                <w:lang w:val="kk-KZ" w:eastAsia="zh-CN"/>
              </w:rPr>
              <w:t>3</w:t>
            </w:r>
            <w:r>
              <w:rPr>
                <w:rFonts w:ascii="Times New Roman" w:eastAsiaTheme="minorEastAsia" w:hAnsi="Times New Roman" w:cs="Times New Roman"/>
                <w:kern w:val="36"/>
                <w:sz w:val="24"/>
                <w:szCs w:val="24"/>
                <w:lang w:val="kk-KZ" w:eastAsia="zh-CN"/>
              </w:rPr>
              <w:t>, 66</w:t>
            </w:r>
            <w:r w:rsidRPr="001B19E4">
              <w:rPr>
                <w:rFonts w:ascii="Times New Roman" w:eastAsiaTheme="minorEastAsia" w:hAnsi="Times New Roman" w:cs="Times New Roman"/>
                <w:kern w:val="36"/>
                <w:sz w:val="24"/>
                <w:szCs w:val="24"/>
                <w:lang w:val="kk-KZ" w:eastAsia="zh-CN"/>
              </w:rPr>
              <w:t xml:space="preserve">] </w:t>
            </w:r>
          </w:p>
        </w:tc>
      </w:tr>
    </w:tbl>
    <w:p w14:paraId="5D375492" w14:textId="7FD10070" w:rsidR="00F35C7A" w:rsidRPr="00457CE9" w:rsidRDefault="00F35C7A"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w:t>
      </w:r>
      <w:r w:rsidR="002E0957">
        <w:rPr>
          <w:rFonts w:ascii="Times New Roman" w:hAnsi="Times New Roman" w:cs="Times New Roman"/>
          <w:sz w:val="28"/>
          <w:szCs w:val="28"/>
          <w:lang w:val="kk-KZ"/>
        </w:rPr>
        <w:t>2021-</w:t>
      </w:r>
      <w:r w:rsidRPr="00457CE9">
        <w:rPr>
          <w:rFonts w:ascii="Times New Roman" w:hAnsi="Times New Roman" w:cs="Times New Roman"/>
          <w:sz w:val="28"/>
          <w:szCs w:val="28"/>
          <w:lang w:val="kk-KZ"/>
        </w:rPr>
        <w:t>2025 ж. Ұлттық жоспарында АӨК-гі саясат мемлекеттік ресурстарды неғұрлым ұтымды бөлуге, саясатты қайта бағдарлауға және қысқа мерзімді саясатқа қол жеткізуге ілеспе шығыстарға бағдарланған саланың бәсекеге қаблеттілігі, өнімділік драйверлері ретінде білім мен цифрландыруға назар аудару, жеке өндірістерден құн</w:t>
      </w:r>
      <w:r w:rsidR="004777CA">
        <w:rPr>
          <w:rFonts w:ascii="Times New Roman" w:hAnsi="Times New Roman" w:cs="Times New Roman"/>
          <w:sz w:val="28"/>
          <w:szCs w:val="28"/>
          <w:lang w:val="kk-KZ"/>
        </w:rPr>
        <w:t xml:space="preserve"> тізбегіне баса назар аудару. </w:t>
      </w:r>
    </w:p>
    <w:p w14:paraId="19F0EA97" w14:textId="115B18A4" w:rsidR="00F93C4C" w:rsidRPr="00457CE9" w:rsidRDefault="006F59EA"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аудиті кезінде АӨК дамуды басқару модельдері мен тиімділікті немесе әсерлерді бағалау әдістері көбінесе елдің қолданыстағы саяси, құқықтық және әкімшілік жүйелеріне байланысты. Бұл жүйелер орталықтандырылған және орталықтандырылмаған болуы мүмкін. Экономикалық, әлеуметтік және экологиялық көрсеткіштер мемлекеттің әлеуметтік-экономикалық дамуының ағымдағы мониторингінде немесе стратегиялық шешімдерді қабылдау үрдісінің бөлігі ретінде пайдалануы және үкіметтің қызметіне қатысты болуы мүмкін. </w:t>
      </w:r>
    </w:p>
    <w:p w14:paraId="4ABD5E1C" w14:textId="0A7A0CA8" w:rsidR="006F59EA" w:rsidRPr="00457CE9" w:rsidRDefault="00301868"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Көрсеткіштер мыналарды қамтитын иерархиялық өзара байланысты топтарға ұйымдастырылуы мүмкін:</w:t>
      </w:r>
    </w:p>
    <w:p w14:paraId="5F989B7C" w14:textId="14157E6B" w:rsidR="00301868" w:rsidRPr="00457CE9" w:rsidRDefault="00301868" w:rsidP="0097172E">
      <w:pPr>
        <w:pStyle w:val="a5"/>
        <w:numPr>
          <w:ilvl w:val="0"/>
          <w:numId w:val="27"/>
        </w:numPr>
        <w:tabs>
          <w:tab w:val="left" w:pos="993"/>
          <w:tab w:val="left" w:pos="1605"/>
        </w:tabs>
        <w:spacing w:after="0" w:line="240" w:lineRule="auto"/>
        <w:ind w:left="0" w:firstLine="720"/>
        <w:jc w:val="both"/>
        <w:rPr>
          <w:rFonts w:ascii="Times New Roman" w:hAnsi="Times New Roman"/>
          <w:sz w:val="28"/>
          <w:szCs w:val="28"/>
          <w:lang w:val="kk-KZ"/>
        </w:rPr>
      </w:pPr>
      <w:r w:rsidRPr="00457CE9">
        <w:rPr>
          <w:rFonts w:ascii="Times New Roman" w:hAnsi="Times New Roman"/>
          <w:sz w:val="28"/>
          <w:szCs w:val="28"/>
          <w:lang w:val="kk-KZ"/>
        </w:rPr>
        <w:t>жаһандық көрсеткіштер (БҰҰ-ның Тұрақты даму мақсаттары);</w:t>
      </w:r>
    </w:p>
    <w:p w14:paraId="5F32ACAA" w14:textId="312D7670" w:rsidR="00301868" w:rsidRPr="00457CE9" w:rsidRDefault="00301868" w:rsidP="0097172E">
      <w:pPr>
        <w:pStyle w:val="a5"/>
        <w:numPr>
          <w:ilvl w:val="0"/>
          <w:numId w:val="27"/>
        </w:numPr>
        <w:tabs>
          <w:tab w:val="left" w:pos="993"/>
          <w:tab w:val="left" w:pos="1605"/>
        </w:tabs>
        <w:spacing w:after="0" w:line="240" w:lineRule="auto"/>
        <w:ind w:left="0" w:firstLine="720"/>
        <w:jc w:val="both"/>
        <w:rPr>
          <w:rFonts w:ascii="Times New Roman" w:hAnsi="Times New Roman"/>
          <w:sz w:val="28"/>
          <w:szCs w:val="28"/>
          <w:lang w:val="kk-KZ"/>
        </w:rPr>
      </w:pPr>
      <w:r w:rsidRPr="00457CE9">
        <w:rPr>
          <w:rFonts w:ascii="Times New Roman" w:hAnsi="Times New Roman"/>
          <w:sz w:val="28"/>
          <w:szCs w:val="28"/>
          <w:lang w:val="kk-KZ"/>
        </w:rPr>
        <w:t>ұлттық көрсеткіштер (қоршаған орта, өмір сүрі сапасы, таза су т.б.);</w:t>
      </w:r>
    </w:p>
    <w:p w14:paraId="1275A492" w14:textId="2DE3D4B4" w:rsidR="00301868" w:rsidRPr="00457CE9" w:rsidRDefault="00301868" w:rsidP="0097172E">
      <w:pPr>
        <w:pStyle w:val="a5"/>
        <w:numPr>
          <w:ilvl w:val="0"/>
          <w:numId w:val="27"/>
        </w:numPr>
        <w:tabs>
          <w:tab w:val="left" w:pos="993"/>
          <w:tab w:val="left" w:pos="1605"/>
        </w:tabs>
        <w:spacing w:after="0" w:line="240" w:lineRule="auto"/>
        <w:ind w:left="0" w:firstLine="720"/>
        <w:jc w:val="both"/>
        <w:rPr>
          <w:rFonts w:ascii="Times New Roman" w:hAnsi="Times New Roman"/>
          <w:sz w:val="28"/>
          <w:szCs w:val="28"/>
          <w:lang w:val="kk-KZ"/>
        </w:rPr>
      </w:pPr>
      <w:r w:rsidRPr="00457CE9">
        <w:rPr>
          <w:rFonts w:ascii="Times New Roman" w:hAnsi="Times New Roman"/>
          <w:sz w:val="28"/>
          <w:szCs w:val="28"/>
          <w:lang w:val="kk-KZ"/>
        </w:rPr>
        <w:t>мемлекеттік-қоғамдық сектор көрсеткіштері;</w:t>
      </w:r>
    </w:p>
    <w:p w14:paraId="4664E536" w14:textId="5A266B74" w:rsidR="00301868" w:rsidRPr="00457CE9" w:rsidRDefault="00301868" w:rsidP="0097172E">
      <w:pPr>
        <w:pStyle w:val="a5"/>
        <w:numPr>
          <w:ilvl w:val="0"/>
          <w:numId w:val="27"/>
        </w:numPr>
        <w:tabs>
          <w:tab w:val="left" w:pos="993"/>
          <w:tab w:val="left" w:pos="1605"/>
        </w:tabs>
        <w:spacing w:after="0" w:line="240" w:lineRule="auto"/>
        <w:ind w:left="0" w:firstLine="720"/>
        <w:jc w:val="both"/>
        <w:rPr>
          <w:rFonts w:ascii="Times New Roman" w:hAnsi="Times New Roman"/>
          <w:sz w:val="28"/>
          <w:szCs w:val="28"/>
          <w:lang w:val="kk-KZ"/>
        </w:rPr>
      </w:pPr>
      <w:r w:rsidRPr="00457CE9">
        <w:rPr>
          <w:rFonts w:ascii="Times New Roman" w:hAnsi="Times New Roman"/>
          <w:sz w:val="28"/>
          <w:szCs w:val="28"/>
          <w:lang w:val="kk-KZ"/>
        </w:rPr>
        <w:t>кәсіпорынның-мемлекеттік мекеменің көрсеткшітері;</w:t>
      </w:r>
    </w:p>
    <w:p w14:paraId="6C9D1AE7" w14:textId="020A38BA" w:rsidR="00301868" w:rsidRPr="00457CE9" w:rsidRDefault="00301868" w:rsidP="0097172E">
      <w:pPr>
        <w:pStyle w:val="a5"/>
        <w:numPr>
          <w:ilvl w:val="0"/>
          <w:numId w:val="27"/>
        </w:numPr>
        <w:tabs>
          <w:tab w:val="left" w:pos="993"/>
          <w:tab w:val="left" w:pos="1605"/>
        </w:tabs>
        <w:spacing w:after="0" w:line="240" w:lineRule="auto"/>
        <w:ind w:left="0" w:firstLine="720"/>
        <w:jc w:val="both"/>
        <w:rPr>
          <w:rFonts w:ascii="Times New Roman" w:hAnsi="Times New Roman"/>
          <w:sz w:val="28"/>
          <w:szCs w:val="28"/>
          <w:lang w:val="kk-KZ"/>
        </w:rPr>
      </w:pPr>
      <w:r w:rsidRPr="00457CE9">
        <w:rPr>
          <w:rFonts w:ascii="Times New Roman" w:hAnsi="Times New Roman"/>
          <w:sz w:val="28"/>
          <w:szCs w:val="28"/>
          <w:lang w:val="kk-KZ"/>
        </w:rPr>
        <w:t>қызметті, жобаны немесе саясатты бағалау көрсеткіштері.</w:t>
      </w:r>
    </w:p>
    <w:p w14:paraId="1ED7FB81" w14:textId="59D5450C" w:rsidR="006E1713" w:rsidRPr="00457CE9" w:rsidRDefault="00B367F3"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Тиімділік аудиті кезінде тиімділікті бағалау жүйесінің сипаты мен құрылымына және тиісті көрсеткіштерге, сондай-ақ ішкі саясатқа және аудиторлық есептердің болжамды</w:t>
      </w:r>
      <w:r w:rsidR="006E1713" w:rsidRPr="00457CE9">
        <w:rPr>
          <w:rFonts w:ascii="Times New Roman" w:hAnsi="Times New Roman" w:cs="Times New Roman"/>
          <w:sz w:val="28"/>
          <w:szCs w:val="28"/>
          <w:lang w:val="kk-KZ"/>
        </w:rPr>
        <w:t xml:space="preserve"> пайдаланушылары күтетін нәтижелерге байланысты ЖАО үш қағидаттың кез-келгенінде немесе осы қағидалардың кез-келген үйлесімінде (үкіметтік іс-шаралардың, жүйелердің, операциялардың, әрекеттердің үнемділігі, өнімділігі және нәтижелілігі) критерийлерін әзірлеу және пайдалану жөніндегі аудиторлық іс-шаралар шеңберінде баса назар аударуға шешім қабылдауы мүмкін. ЖАО-ры АӨК-і саласындағы мемлекеттік саясаттың салдары мен пайдалылығын бағалау үшін тиімділік аудиті кезінде критерийлерді пайдалану арқылы баға бере алады. Мұндай аудиттің жиілігі әрбір ЖАО жеке анықталады. </w:t>
      </w:r>
    </w:p>
    <w:p w14:paraId="2C2B241A" w14:textId="77777777" w:rsidR="006E1713" w:rsidRDefault="006E1713" w:rsidP="00457CE9">
      <w:pPr>
        <w:tabs>
          <w:tab w:val="left" w:pos="1605"/>
        </w:tabs>
        <w:spacing w:after="0" w:line="240" w:lineRule="auto"/>
        <w:ind w:firstLine="709"/>
        <w:jc w:val="both"/>
        <w:rPr>
          <w:rFonts w:ascii="Times New Roman" w:hAnsi="Times New Roman" w:cs="Times New Roman"/>
          <w:sz w:val="28"/>
          <w:szCs w:val="28"/>
          <w:lang w:val="kk-KZ"/>
        </w:rPr>
      </w:pPr>
    </w:p>
    <w:p w14:paraId="77905497" w14:textId="77777777" w:rsidR="009C58C8" w:rsidRDefault="009C58C8" w:rsidP="00457CE9">
      <w:pPr>
        <w:tabs>
          <w:tab w:val="left" w:pos="1605"/>
        </w:tabs>
        <w:spacing w:after="0" w:line="240" w:lineRule="auto"/>
        <w:ind w:firstLine="709"/>
        <w:jc w:val="both"/>
        <w:rPr>
          <w:rFonts w:ascii="Times New Roman" w:hAnsi="Times New Roman" w:cs="Times New Roman"/>
          <w:sz w:val="28"/>
          <w:szCs w:val="28"/>
          <w:lang w:val="kk-KZ"/>
        </w:rPr>
      </w:pPr>
    </w:p>
    <w:p w14:paraId="5A790AFD" w14:textId="77777777" w:rsidR="009C58C8" w:rsidRDefault="009C58C8" w:rsidP="00457CE9">
      <w:pPr>
        <w:tabs>
          <w:tab w:val="left" w:pos="1605"/>
        </w:tabs>
        <w:spacing w:after="0" w:line="240" w:lineRule="auto"/>
        <w:ind w:firstLine="709"/>
        <w:jc w:val="both"/>
        <w:rPr>
          <w:rFonts w:ascii="Times New Roman" w:hAnsi="Times New Roman" w:cs="Times New Roman"/>
          <w:sz w:val="28"/>
          <w:szCs w:val="28"/>
          <w:lang w:val="kk-KZ"/>
        </w:rPr>
      </w:pPr>
    </w:p>
    <w:p w14:paraId="63B4A8DD" w14:textId="77777777" w:rsidR="009C58C8" w:rsidRDefault="009C58C8" w:rsidP="00457CE9">
      <w:pPr>
        <w:tabs>
          <w:tab w:val="left" w:pos="1605"/>
        </w:tabs>
        <w:spacing w:after="0" w:line="240" w:lineRule="auto"/>
        <w:ind w:firstLine="709"/>
        <w:jc w:val="both"/>
        <w:rPr>
          <w:rFonts w:ascii="Times New Roman" w:hAnsi="Times New Roman" w:cs="Times New Roman"/>
          <w:sz w:val="28"/>
          <w:szCs w:val="28"/>
          <w:lang w:val="kk-KZ"/>
        </w:rPr>
      </w:pPr>
    </w:p>
    <w:p w14:paraId="52F26991" w14:textId="77777777" w:rsidR="009C58C8" w:rsidRDefault="009C58C8" w:rsidP="00457CE9">
      <w:pPr>
        <w:tabs>
          <w:tab w:val="left" w:pos="1605"/>
        </w:tabs>
        <w:spacing w:after="0" w:line="240" w:lineRule="auto"/>
        <w:ind w:firstLine="709"/>
        <w:jc w:val="both"/>
        <w:rPr>
          <w:rFonts w:ascii="Times New Roman" w:hAnsi="Times New Roman" w:cs="Times New Roman"/>
          <w:sz w:val="28"/>
          <w:szCs w:val="28"/>
          <w:lang w:val="kk-KZ"/>
        </w:rPr>
      </w:pPr>
    </w:p>
    <w:p w14:paraId="079E8D56" w14:textId="77777777" w:rsidR="009C58C8" w:rsidRDefault="009C58C8" w:rsidP="00457CE9">
      <w:pPr>
        <w:tabs>
          <w:tab w:val="left" w:pos="1605"/>
        </w:tabs>
        <w:spacing w:after="0" w:line="240" w:lineRule="auto"/>
        <w:ind w:firstLine="709"/>
        <w:jc w:val="both"/>
        <w:rPr>
          <w:rFonts w:ascii="Times New Roman" w:hAnsi="Times New Roman" w:cs="Times New Roman"/>
          <w:sz w:val="28"/>
          <w:szCs w:val="28"/>
          <w:lang w:val="kk-KZ"/>
        </w:rPr>
      </w:pPr>
    </w:p>
    <w:p w14:paraId="7D9F1335" w14:textId="77777777" w:rsidR="00EC7EBC" w:rsidRDefault="00EC7EBC" w:rsidP="00457CE9">
      <w:pPr>
        <w:tabs>
          <w:tab w:val="left" w:pos="1605"/>
        </w:tabs>
        <w:spacing w:after="0" w:line="240" w:lineRule="auto"/>
        <w:ind w:firstLine="709"/>
        <w:jc w:val="both"/>
        <w:rPr>
          <w:rFonts w:ascii="Times New Roman" w:hAnsi="Times New Roman" w:cs="Times New Roman"/>
          <w:sz w:val="28"/>
          <w:szCs w:val="28"/>
          <w:lang w:val="kk-KZ"/>
        </w:rPr>
      </w:pPr>
    </w:p>
    <w:p w14:paraId="4E138AC0" w14:textId="77777777" w:rsidR="00EC7EBC" w:rsidRDefault="00EC7EBC" w:rsidP="00457CE9">
      <w:pPr>
        <w:tabs>
          <w:tab w:val="left" w:pos="1605"/>
        </w:tabs>
        <w:spacing w:after="0" w:line="240" w:lineRule="auto"/>
        <w:ind w:firstLine="709"/>
        <w:jc w:val="both"/>
        <w:rPr>
          <w:rFonts w:ascii="Times New Roman" w:hAnsi="Times New Roman" w:cs="Times New Roman"/>
          <w:sz w:val="28"/>
          <w:szCs w:val="28"/>
          <w:lang w:val="kk-KZ"/>
        </w:rPr>
      </w:pPr>
    </w:p>
    <w:p w14:paraId="086DA8B8" w14:textId="77777777" w:rsidR="002E0957" w:rsidRDefault="002E0957" w:rsidP="00457CE9">
      <w:pPr>
        <w:tabs>
          <w:tab w:val="left" w:pos="1605"/>
        </w:tabs>
        <w:spacing w:after="0" w:line="240" w:lineRule="auto"/>
        <w:ind w:firstLine="709"/>
        <w:jc w:val="both"/>
        <w:rPr>
          <w:rFonts w:ascii="Times New Roman" w:hAnsi="Times New Roman" w:cs="Times New Roman"/>
          <w:sz w:val="28"/>
          <w:szCs w:val="28"/>
          <w:lang w:val="kk-KZ"/>
        </w:rPr>
      </w:pPr>
    </w:p>
    <w:p w14:paraId="5BFDAB74" w14:textId="77777777" w:rsidR="002E0957" w:rsidRDefault="002E0957" w:rsidP="00457CE9">
      <w:pPr>
        <w:tabs>
          <w:tab w:val="left" w:pos="1605"/>
        </w:tabs>
        <w:spacing w:after="0" w:line="240" w:lineRule="auto"/>
        <w:ind w:firstLine="709"/>
        <w:jc w:val="both"/>
        <w:rPr>
          <w:rFonts w:ascii="Times New Roman" w:hAnsi="Times New Roman" w:cs="Times New Roman"/>
          <w:sz w:val="28"/>
          <w:szCs w:val="28"/>
          <w:lang w:val="kk-KZ"/>
        </w:rPr>
      </w:pPr>
    </w:p>
    <w:p w14:paraId="56BC7389" w14:textId="77777777" w:rsidR="00EC7EBC" w:rsidRDefault="00EC7EBC" w:rsidP="00457CE9">
      <w:pPr>
        <w:tabs>
          <w:tab w:val="left" w:pos="1605"/>
        </w:tabs>
        <w:spacing w:after="0" w:line="240" w:lineRule="auto"/>
        <w:ind w:firstLine="709"/>
        <w:jc w:val="both"/>
        <w:rPr>
          <w:rFonts w:ascii="Times New Roman" w:hAnsi="Times New Roman" w:cs="Times New Roman"/>
          <w:sz w:val="28"/>
          <w:szCs w:val="28"/>
          <w:lang w:val="kk-KZ"/>
        </w:rPr>
      </w:pPr>
    </w:p>
    <w:p w14:paraId="745C4543" w14:textId="77777777" w:rsidR="00EC7EBC" w:rsidRDefault="00EC7EBC" w:rsidP="00457CE9">
      <w:pPr>
        <w:tabs>
          <w:tab w:val="left" w:pos="1605"/>
        </w:tabs>
        <w:spacing w:after="0" w:line="240" w:lineRule="auto"/>
        <w:ind w:firstLine="709"/>
        <w:jc w:val="both"/>
        <w:rPr>
          <w:rFonts w:ascii="Times New Roman" w:hAnsi="Times New Roman" w:cs="Times New Roman"/>
          <w:sz w:val="28"/>
          <w:szCs w:val="28"/>
          <w:lang w:val="kk-KZ"/>
        </w:rPr>
      </w:pPr>
    </w:p>
    <w:p w14:paraId="515FF7B2" w14:textId="77777777" w:rsidR="00EC7EBC" w:rsidRDefault="00EC7EBC" w:rsidP="00457CE9">
      <w:pPr>
        <w:tabs>
          <w:tab w:val="left" w:pos="1605"/>
        </w:tabs>
        <w:spacing w:after="0" w:line="240" w:lineRule="auto"/>
        <w:ind w:firstLine="709"/>
        <w:jc w:val="both"/>
        <w:rPr>
          <w:rFonts w:ascii="Times New Roman" w:hAnsi="Times New Roman" w:cs="Times New Roman"/>
          <w:sz w:val="28"/>
          <w:szCs w:val="28"/>
          <w:lang w:val="kk-KZ"/>
        </w:rPr>
      </w:pPr>
    </w:p>
    <w:p w14:paraId="7DD9E79F" w14:textId="5F6B1878" w:rsidR="005C0B25" w:rsidRPr="00463D68" w:rsidRDefault="005C0B25" w:rsidP="00457CE9">
      <w:pPr>
        <w:tabs>
          <w:tab w:val="left" w:pos="1605"/>
        </w:tabs>
        <w:spacing w:after="0" w:line="240" w:lineRule="auto"/>
        <w:ind w:firstLine="709"/>
        <w:jc w:val="both"/>
        <w:rPr>
          <w:rFonts w:ascii="Times New Roman" w:hAnsi="Times New Roman" w:cs="Times New Roman"/>
          <w:b/>
          <w:sz w:val="28"/>
          <w:szCs w:val="28"/>
          <w:lang w:val="kk-KZ"/>
        </w:rPr>
      </w:pPr>
      <w:r w:rsidRPr="00463D68">
        <w:rPr>
          <w:rFonts w:ascii="Times New Roman" w:hAnsi="Times New Roman" w:cs="Times New Roman"/>
          <w:b/>
          <w:sz w:val="28"/>
          <w:szCs w:val="28"/>
          <w:lang w:val="kk-KZ"/>
        </w:rPr>
        <w:t xml:space="preserve">3 </w:t>
      </w:r>
      <w:r w:rsidR="00695BA2">
        <w:rPr>
          <w:rFonts w:ascii="Times New Roman" w:hAnsi="Times New Roman" w:cs="Times New Roman"/>
          <w:b/>
          <w:bCs/>
          <w:sz w:val="28"/>
          <w:szCs w:val="28"/>
          <w:lang w:val="kk-KZ"/>
        </w:rPr>
        <w:t xml:space="preserve">ҚАЗАҚСТАН РЕСПУБЛИКАСЫНДА </w:t>
      </w:r>
      <w:r w:rsidR="00695BA2" w:rsidRPr="00695BA2">
        <w:rPr>
          <w:rStyle w:val="a4"/>
          <w:b/>
          <w:bCs/>
          <w:color w:val="auto"/>
          <w:sz w:val="28"/>
          <w:szCs w:val="28"/>
          <w:u w:val="none"/>
          <w:lang w:val="kk-KZ"/>
        </w:rPr>
        <w:t xml:space="preserve">АӨК ДАМЫТУҒА БАҒЫТТАЛҒАН БЮДЖЕТ ҚАРАЖАТЫН ПАЙДАЛАНУ ТИІМДІЛІГІ АУДИТІН </w:t>
      </w:r>
      <w:r w:rsidR="00695BA2">
        <w:rPr>
          <w:rFonts w:ascii="Times New Roman" w:hAnsi="Times New Roman"/>
          <w:b/>
          <w:bCs/>
          <w:sz w:val="28"/>
          <w:szCs w:val="28"/>
          <w:lang w:val="kk-KZ"/>
        </w:rPr>
        <w:t>ҰЙЫМДАСТЫРУ ЖӘНЕ ЖҮРГІЗУ ӘДІСНАМАСЫН ЖЕТІЛДІРУ ЖОЛДАРЫ</w:t>
      </w:r>
    </w:p>
    <w:p w14:paraId="2B97B081" w14:textId="77777777" w:rsidR="008A160F" w:rsidRPr="00463D68" w:rsidRDefault="008A160F" w:rsidP="00457CE9">
      <w:pPr>
        <w:tabs>
          <w:tab w:val="left" w:pos="1605"/>
        </w:tabs>
        <w:spacing w:after="0" w:line="240" w:lineRule="auto"/>
        <w:ind w:firstLine="709"/>
        <w:jc w:val="both"/>
        <w:rPr>
          <w:rFonts w:ascii="Times New Roman" w:hAnsi="Times New Roman" w:cs="Times New Roman"/>
          <w:b/>
          <w:sz w:val="28"/>
          <w:szCs w:val="28"/>
          <w:lang w:val="kk-KZ"/>
        </w:rPr>
      </w:pPr>
    </w:p>
    <w:p w14:paraId="755B1482" w14:textId="4AB2B5B5" w:rsidR="005C0B25" w:rsidRPr="00463D68" w:rsidRDefault="005C0B25" w:rsidP="00457CE9">
      <w:pPr>
        <w:spacing w:after="0" w:line="240" w:lineRule="auto"/>
        <w:ind w:firstLine="709"/>
        <w:jc w:val="both"/>
        <w:rPr>
          <w:rFonts w:ascii="Times New Roman" w:hAnsi="Times New Roman"/>
          <w:b/>
          <w:sz w:val="28"/>
          <w:szCs w:val="28"/>
          <w:lang w:val="kk-KZ"/>
        </w:rPr>
      </w:pPr>
      <w:r w:rsidRPr="00463D68">
        <w:rPr>
          <w:rFonts w:ascii="Times New Roman" w:hAnsi="Times New Roman" w:cs="Times New Roman"/>
          <w:b/>
          <w:sz w:val="28"/>
          <w:szCs w:val="28"/>
          <w:lang w:val="kk-KZ"/>
        </w:rPr>
        <w:t xml:space="preserve">3.1 </w:t>
      </w:r>
      <w:r w:rsidR="00E017EF" w:rsidRPr="00463D68">
        <w:rPr>
          <w:rFonts w:ascii="Times New Roman" w:hAnsi="Times New Roman"/>
          <w:b/>
          <w:sz w:val="28"/>
          <w:szCs w:val="28"/>
          <w:lang w:val="kk-KZ"/>
        </w:rPr>
        <w:t xml:space="preserve">АӨК дамытуға бағытталған бюджет қаражатын пайдаланудың тиімділігі аудитінің сапасын </w:t>
      </w:r>
      <w:r w:rsidR="00E911A7" w:rsidRPr="00463D68">
        <w:rPr>
          <w:rFonts w:ascii="Times New Roman" w:hAnsi="Times New Roman"/>
          <w:b/>
          <w:sz w:val="28"/>
          <w:szCs w:val="28"/>
          <w:lang w:val="kk-KZ"/>
        </w:rPr>
        <w:t xml:space="preserve">жақсарту және </w:t>
      </w:r>
      <w:r w:rsidR="00E017EF" w:rsidRPr="00463D68">
        <w:rPr>
          <w:rFonts w:ascii="Times New Roman" w:hAnsi="Times New Roman"/>
          <w:b/>
          <w:sz w:val="28"/>
          <w:szCs w:val="28"/>
          <w:lang w:val="kk-KZ"/>
        </w:rPr>
        <w:t xml:space="preserve">жетілдіру жолдары </w:t>
      </w:r>
    </w:p>
    <w:p w14:paraId="4EC89948" w14:textId="38F5C9F0" w:rsidR="00B44318" w:rsidRPr="00457CE9" w:rsidRDefault="009313CD"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АӨК дамытуға бағытталған бюджет қаражатын пайдаланудың тиімділі</w:t>
      </w:r>
      <w:r w:rsidR="002E0957">
        <w:rPr>
          <w:rFonts w:ascii="Times New Roman" w:hAnsi="Times New Roman" w:cs="Times New Roman"/>
          <w:sz w:val="28"/>
          <w:szCs w:val="28"/>
          <w:lang w:val="kk-KZ"/>
        </w:rPr>
        <w:t>гі</w:t>
      </w:r>
      <w:r w:rsidRPr="00457CE9">
        <w:rPr>
          <w:rFonts w:ascii="Times New Roman" w:hAnsi="Times New Roman" w:cs="Times New Roman"/>
          <w:sz w:val="28"/>
          <w:szCs w:val="28"/>
          <w:lang w:val="kk-KZ"/>
        </w:rPr>
        <w:t xml:space="preserve"> аудиті бюджет қаражатын пайдадаланудың мақсатын, міндеттерін, шараларын анықтап бекітетін мемлекеттік орган қызметі мен мемлекеттік бюджет қаражатын алушылардың қаншалықты мақсатқа сәйкес </w:t>
      </w:r>
      <w:r w:rsidR="002E0957">
        <w:rPr>
          <w:rFonts w:ascii="Times New Roman" w:hAnsi="Times New Roman" w:cs="Times New Roman"/>
          <w:sz w:val="28"/>
          <w:szCs w:val="28"/>
          <w:lang w:val="kk-KZ"/>
        </w:rPr>
        <w:t>өн</w:t>
      </w:r>
      <w:r w:rsidRPr="00457CE9">
        <w:rPr>
          <w:rFonts w:ascii="Times New Roman" w:hAnsi="Times New Roman" w:cs="Times New Roman"/>
          <w:sz w:val="28"/>
          <w:szCs w:val="28"/>
          <w:lang w:val="kk-KZ"/>
        </w:rPr>
        <w:t>імді, нәтижелі, үнемді пайдаланғанын тексеруді</w:t>
      </w:r>
      <w:r w:rsidR="00B44318" w:rsidRPr="00457CE9">
        <w:rPr>
          <w:rFonts w:ascii="Times New Roman" w:hAnsi="Times New Roman" w:cs="Times New Roman"/>
          <w:sz w:val="28"/>
          <w:szCs w:val="28"/>
          <w:lang w:val="kk-KZ"/>
        </w:rPr>
        <w:t xml:space="preserve"> және бағалауды</w:t>
      </w:r>
      <w:r w:rsidRPr="00457CE9">
        <w:rPr>
          <w:rFonts w:ascii="Times New Roman" w:hAnsi="Times New Roman" w:cs="Times New Roman"/>
          <w:sz w:val="28"/>
          <w:szCs w:val="28"/>
          <w:lang w:val="kk-KZ"/>
        </w:rPr>
        <w:t xml:space="preserve"> білдіреді. </w:t>
      </w:r>
      <w:r w:rsidR="00B44318" w:rsidRPr="00457CE9">
        <w:rPr>
          <w:rFonts w:ascii="Times New Roman" w:hAnsi="Times New Roman" w:cs="Times New Roman"/>
          <w:sz w:val="28"/>
          <w:szCs w:val="28"/>
          <w:lang w:val="kk-KZ"/>
        </w:rPr>
        <w:t xml:space="preserve">АӨК сала ретінде өзіндік ерекшелігі болғандықтан, оған жұмсалған бюджет қаражатының тиімділік аудитін ұйымдастыру мен жүргізудің </w:t>
      </w:r>
      <w:r w:rsidR="007F29CC" w:rsidRPr="00457CE9">
        <w:rPr>
          <w:rFonts w:ascii="Times New Roman" w:hAnsi="Times New Roman" w:cs="Times New Roman"/>
          <w:sz w:val="28"/>
          <w:szCs w:val="28"/>
          <w:lang w:val="kk-KZ"/>
        </w:rPr>
        <w:t xml:space="preserve">мақсатын, міндеттерін, </w:t>
      </w:r>
      <w:r w:rsidR="00B44318" w:rsidRPr="00457CE9">
        <w:rPr>
          <w:rFonts w:ascii="Times New Roman" w:hAnsi="Times New Roman" w:cs="Times New Roman"/>
          <w:sz w:val="28"/>
          <w:szCs w:val="28"/>
          <w:lang w:val="kk-KZ"/>
        </w:rPr>
        <w:t>негізгі критерийлерін анықтау</w:t>
      </w:r>
      <w:r w:rsidR="007F29CC" w:rsidRPr="00457CE9">
        <w:rPr>
          <w:rFonts w:ascii="Times New Roman" w:hAnsi="Times New Roman" w:cs="Times New Roman"/>
          <w:sz w:val="28"/>
          <w:szCs w:val="28"/>
          <w:lang w:val="kk-KZ"/>
        </w:rPr>
        <w:t xml:space="preserve"> арқылы</w:t>
      </w:r>
      <w:r w:rsidR="00B44318" w:rsidRPr="00457CE9">
        <w:rPr>
          <w:rFonts w:ascii="Times New Roman" w:hAnsi="Times New Roman" w:cs="Times New Roman"/>
          <w:sz w:val="28"/>
          <w:szCs w:val="28"/>
          <w:lang w:val="kk-KZ"/>
        </w:rPr>
        <w:t xml:space="preserve"> рәсімдік стандарттарын әзірлеу қажет.</w:t>
      </w:r>
    </w:p>
    <w:p w14:paraId="00AD3541" w14:textId="65E6D15B" w:rsidR="0025314A" w:rsidRPr="00457CE9" w:rsidRDefault="0025314A"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 өткізудің рәсімдік стандартында оның пәні ретінде ұлттық ресурстарды басқару бойынша мемлекеттік аудит және қаржылық бақылау объектілерінің тиімді қызметін қамтамасыз ету деп анықталған. </w:t>
      </w:r>
    </w:p>
    <w:p w14:paraId="62FA8D7D" w14:textId="2BFA50C3" w:rsidR="003F5BF7" w:rsidRDefault="00143D47"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INTOSAI</w:t>
      </w:r>
      <w:r w:rsidR="003F5BF7" w:rsidRPr="00457CE9">
        <w:rPr>
          <w:rFonts w:ascii="Times New Roman" w:hAnsi="Times New Roman" w:cs="Times New Roman"/>
          <w:sz w:val="28"/>
          <w:szCs w:val="28"/>
          <w:lang w:val="kk-KZ"/>
        </w:rPr>
        <w:t xml:space="preserve"> стандарттарына сәйкес мемлекеттік</w:t>
      </w:r>
      <w:r w:rsidR="00EF152C" w:rsidRPr="00EF152C">
        <w:rPr>
          <w:rFonts w:ascii="Times New Roman" w:hAnsi="Times New Roman" w:cs="Times New Roman"/>
          <w:sz w:val="28"/>
          <w:szCs w:val="28"/>
          <w:lang w:val="kk-KZ"/>
        </w:rPr>
        <w:t xml:space="preserve"> </w:t>
      </w:r>
      <w:r w:rsidR="00EF152C">
        <w:rPr>
          <w:rFonts w:ascii="Times New Roman" w:hAnsi="Times New Roman" w:cs="Times New Roman"/>
          <w:sz w:val="28"/>
          <w:szCs w:val="28"/>
          <w:lang w:val="kk-KZ"/>
        </w:rPr>
        <w:t>аудит және</w:t>
      </w:r>
      <w:r w:rsidR="003F5BF7" w:rsidRPr="00457CE9">
        <w:rPr>
          <w:rFonts w:ascii="Times New Roman" w:hAnsi="Times New Roman" w:cs="Times New Roman"/>
          <w:sz w:val="28"/>
          <w:szCs w:val="28"/>
          <w:lang w:val="kk-KZ"/>
        </w:rPr>
        <w:t xml:space="preserve"> қаржылық бақылау органы тиімділіктің тексерісін жүргізіп, бюджет қаражатын тиімсіз па</w:t>
      </w:r>
      <w:r w:rsidR="00833075" w:rsidRPr="00457CE9">
        <w:rPr>
          <w:rFonts w:ascii="Times New Roman" w:hAnsi="Times New Roman" w:cs="Times New Roman"/>
          <w:sz w:val="28"/>
          <w:szCs w:val="28"/>
          <w:lang w:val="kk-KZ"/>
        </w:rPr>
        <w:t>й</w:t>
      </w:r>
      <w:r w:rsidR="003F5BF7" w:rsidRPr="00457CE9">
        <w:rPr>
          <w:rFonts w:ascii="Times New Roman" w:hAnsi="Times New Roman" w:cs="Times New Roman"/>
          <w:sz w:val="28"/>
          <w:szCs w:val="28"/>
          <w:lang w:val="kk-KZ"/>
        </w:rPr>
        <w:t xml:space="preserve">далануы туралы </w:t>
      </w:r>
      <w:r w:rsidR="003F420F" w:rsidRPr="00457CE9">
        <w:rPr>
          <w:rFonts w:ascii="Times New Roman" w:hAnsi="Times New Roman" w:cs="Times New Roman"/>
          <w:sz w:val="28"/>
          <w:szCs w:val="28"/>
          <w:lang w:val="kk-KZ"/>
        </w:rPr>
        <w:t xml:space="preserve">қорытынды жасайды. Дегенмен тиімділік аудитінің мақсатына қарай бір немесе бірнеше өзара байланысты элементтері аясында арнайы бағыты болуы мүмкін, мысалы, су ресурстарын тиімді пайдалану. Сондықтан тиімділік аудитін жүргізу үрдісінде тексерілетін мемлекеттік </w:t>
      </w:r>
      <w:r w:rsidR="00915BA0" w:rsidRPr="00457CE9">
        <w:rPr>
          <w:rFonts w:ascii="Times New Roman" w:hAnsi="Times New Roman" w:cs="Times New Roman"/>
          <w:sz w:val="28"/>
          <w:szCs w:val="28"/>
          <w:lang w:val="kk-KZ"/>
        </w:rPr>
        <w:t xml:space="preserve">орган қызметіне немесе </w:t>
      </w:r>
      <w:r w:rsidR="00DF2967" w:rsidRPr="00457CE9">
        <w:rPr>
          <w:rFonts w:ascii="Times New Roman" w:hAnsi="Times New Roman" w:cs="Times New Roman"/>
          <w:sz w:val="28"/>
          <w:szCs w:val="28"/>
          <w:lang w:val="kk-KZ"/>
        </w:rPr>
        <w:t xml:space="preserve">бюджет қаражатын алушы жұмысының тиімділігіне жалпы бағалау беруді міндет етпейді. </w:t>
      </w:r>
      <w:r w:rsidR="00DF2967" w:rsidRPr="00457CE9">
        <w:rPr>
          <w:rFonts w:ascii="Times New Roman" w:hAnsi="Times New Roman" w:cs="Times New Roman"/>
          <w:color w:val="000000"/>
          <w:sz w:val="28"/>
          <w:szCs w:val="28"/>
          <w:lang w:val="kk-KZ"/>
        </w:rPr>
        <w:t>Біріншіден, мұндай бағалаудың қолайлы әдісін табу мүмкін емес қызмет салаларының күрделілігі мен әртүрлілігі. Екіншіден, қойылған мақсаттарға сәйкес, әдетте, нақты учаскелер мен жұмыс аспектілері тексеріледі. Сонымен, үшіншіден, тиімділік аудиті әрдайым оның нәтижелері бойынша қорытынды жасауға және тексерілетін ұйымдардың мемлекеттік қаражатты пайдалану тиімділігін арттыру бойынша нақты ұсыныстар ұсынуға бағытталуы керек</w:t>
      </w:r>
      <w:r w:rsidR="0096088F" w:rsidRPr="00457CE9">
        <w:rPr>
          <w:rFonts w:ascii="Times New Roman" w:hAnsi="Times New Roman" w:cs="Times New Roman"/>
          <w:sz w:val="28"/>
          <w:szCs w:val="28"/>
          <w:lang w:val="kk-KZ"/>
        </w:rPr>
        <w:t>.</w:t>
      </w:r>
    </w:p>
    <w:p w14:paraId="1A574A21" w14:textId="6F89A7EF" w:rsidR="0022222D" w:rsidRPr="00F32059" w:rsidRDefault="0004702C" w:rsidP="00457CE9">
      <w:pPr>
        <w:tabs>
          <w:tab w:val="left" w:pos="1605"/>
        </w:tabs>
        <w:spacing w:after="0" w:line="240" w:lineRule="auto"/>
        <w:ind w:firstLine="709"/>
        <w:jc w:val="both"/>
        <w:rPr>
          <w:rFonts w:ascii="Times New Roman" w:hAnsi="Times New Roman" w:cs="Times New Roman"/>
          <w:sz w:val="28"/>
          <w:szCs w:val="28"/>
          <w:lang w:val="kk-KZ"/>
        </w:rPr>
      </w:pPr>
      <w:r w:rsidRPr="00F32059">
        <w:rPr>
          <w:rFonts w:ascii="Times New Roman" w:hAnsi="Times New Roman" w:cs="Times New Roman"/>
          <w:sz w:val="28"/>
          <w:szCs w:val="28"/>
          <w:lang w:val="kk-KZ"/>
        </w:rPr>
        <w:t>Осы уақытқа дейін тиімділік аудиті бойынша стандарттарды, әдістемелерді әзірлеген мемлекеттік органдар, көптеген ғалымдар әр түрлі анықтамалар берген. Алайда бұл терминнің барлық анықтамалары әр түрлі болғанымен жалпы мақсаттарға ие, яғни, үнемділікті, өнімділікті және нәтижелілікті бағалау, жүйелі қоғамдық есептілікті арттыру және шешім қабылдауды жеңілдету үшін ақпарат беретін үкіметтік ұйымның қызметін, бағдарламасын, қызмет түрін немесе функциясын зерттеу; тәуелсіз тарап арқылы құпия ақпаратты жариялау. Тиімділік аудиті мақсаттарындағы ең маңыздысы тиімділікті арттыру және бағалаудың ашықтығы</w:t>
      </w:r>
      <w:r w:rsidR="00363222" w:rsidRPr="00F32059">
        <w:rPr>
          <w:rFonts w:ascii="Times New Roman" w:hAnsi="Times New Roman" w:cs="Times New Roman"/>
          <w:sz w:val="28"/>
          <w:szCs w:val="28"/>
          <w:lang w:val="kk-KZ"/>
        </w:rPr>
        <w:t>. Мемлекеттік аудиторлар аудиттелетін объекті жұмысын жақсарту ұсыныстарын бере отырып, өз нәтижелерімен бөлісуі керек</w:t>
      </w:r>
      <w:r w:rsidRPr="00F32059">
        <w:rPr>
          <w:rFonts w:ascii="Times New Roman" w:hAnsi="Times New Roman" w:cs="Times New Roman"/>
          <w:sz w:val="28"/>
          <w:szCs w:val="28"/>
          <w:lang w:val="kk-KZ"/>
        </w:rPr>
        <w:t xml:space="preserve"> [</w:t>
      </w:r>
      <w:r w:rsidR="009D4A99" w:rsidRPr="00F32059">
        <w:rPr>
          <w:rFonts w:ascii="Times New Roman" w:hAnsi="Times New Roman" w:cs="Times New Roman"/>
          <w:sz w:val="28"/>
          <w:szCs w:val="28"/>
          <w:lang w:val="kk-KZ"/>
        </w:rPr>
        <w:t>111</w:t>
      </w:r>
      <w:r w:rsidR="00F32059">
        <w:rPr>
          <w:rFonts w:ascii="Times New Roman" w:hAnsi="Times New Roman" w:cs="Times New Roman"/>
          <w:sz w:val="28"/>
          <w:szCs w:val="28"/>
          <w:lang w:val="kk-KZ"/>
        </w:rPr>
        <w:t>, р. 600</w:t>
      </w:r>
      <w:r w:rsidRPr="00F32059">
        <w:rPr>
          <w:rFonts w:ascii="Times New Roman" w:hAnsi="Times New Roman" w:cs="Times New Roman"/>
          <w:sz w:val="28"/>
          <w:szCs w:val="28"/>
          <w:lang w:val="kk-KZ"/>
        </w:rPr>
        <w:t xml:space="preserve">]. </w:t>
      </w:r>
    </w:p>
    <w:p w14:paraId="0FE0A6C7" w14:textId="48DAC5FC" w:rsidR="006644C4" w:rsidRPr="002C5349" w:rsidRDefault="0025314A" w:rsidP="00457CE9">
      <w:pPr>
        <w:tabs>
          <w:tab w:val="left" w:pos="1605"/>
        </w:tabs>
        <w:spacing w:after="0" w:line="240" w:lineRule="auto"/>
        <w:ind w:firstLine="709"/>
        <w:jc w:val="both"/>
        <w:rPr>
          <w:rFonts w:ascii="Times New Roman" w:hAnsi="Times New Roman" w:cs="Times New Roman"/>
          <w:sz w:val="28"/>
          <w:szCs w:val="28"/>
          <w:lang w:val="kk-KZ"/>
        </w:rPr>
      </w:pPr>
      <w:r w:rsidRPr="0004702C">
        <w:rPr>
          <w:rFonts w:ascii="Times New Roman" w:hAnsi="Times New Roman" w:cs="Times New Roman"/>
          <w:sz w:val="28"/>
          <w:szCs w:val="28"/>
          <w:lang w:val="kk-KZ"/>
        </w:rPr>
        <w:t>АӨК дамытуға бағытталған бюджет</w:t>
      </w:r>
      <w:r w:rsidRPr="002C5349">
        <w:rPr>
          <w:rFonts w:ascii="Times New Roman" w:hAnsi="Times New Roman" w:cs="Times New Roman"/>
          <w:sz w:val="28"/>
          <w:szCs w:val="28"/>
          <w:lang w:val="kk-KZ"/>
        </w:rPr>
        <w:t xml:space="preserve"> қаражатын пайдалануды жоспарлайтын Ауыл шаруашылығы министрлігі болғандықтан тиімділік аудитін өткізу</w:t>
      </w:r>
      <w:r w:rsidR="006644C4" w:rsidRPr="002C5349">
        <w:rPr>
          <w:rFonts w:ascii="Times New Roman" w:hAnsi="Times New Roman" w:cs="Times New Roman"/>
          <w:sz w:val="28"/>
          <w:szCs w:val="28"/>
          <w:lang w:val="kk-KZ"/>
        </w:rPr>
        <w:t>ді бюджет қаражатын пайдалану бағыттарын анықтаушы орталық мемлекеттік орган мен бюджет қаражатын алушылардың қойылған тікелей және қорытынды көрсеткіштерге жетуге қажет шараларды қаншалықты тиімді жүзеге асырғанын анықтау қажет</w:t>
      </w:r>
      <w:r w:rsidR="00363222">
        <w:rPr>
          <w:rFonts w:ascii="Times New Roman" w:hAnsi="Times New Roman" w:cs="Times New Roman"/>
          <w:sz w:val="28"/>
          <w:szCs w:val="28"/>
          <w:lang w:val="kk-KZ"/>
        </w:rPr>
        <w:t xml:space="preserve">, </w:t>
      </w:r>
      <w:r w:rsidR="00363222" w:rsidRPr="009D4A99">
        <w:rPr>
          <w:rFonts w:ascii="Times New Roman" w:hAnsi="Times New Roman" w:cs="Times New Roman"/>
          <w:sz w:val="28"/>
          <w:szCs w:val="28"/>
          <w:lang w:val="kk-KZ"/>
        </w:rPr>
        <w:t>тиімділік аудитінің аудиторы осыған баға береді [1</w:t>
      </w:r>
      <w:r w:rsidR="009D4A99" w:rsidRPr="009D4A99">
        <w:rPr>
          <w:rFonts w:ascii="Times New Roman" w:hAnsi="Times New Roman" w:cs="Times New Roman"/>
          <w:sz w:val="28"/>
          <w:szCs w:val="28"/>
          <w:lang w:val="kk-KZ"/>
        </w:rPr>
        <w:t>11</w:t>
      </w:r>
      <w:r w:rsidR="00F32059">
        <w:rPr>
          <w:rFonts w:ascii="Times New Roman" w:hAnsi="Times New Roman" w:cs="Times New Roman"/>
          <w:sz w:val="28"/>
          <w:szCs w:val="28"/>
          <w:lang w:val="kk-KZ"/>
        </w:rPr>
        <w:t>, р. 599</w:t>
      </w:r>
      <w:r w:rsidR="00363222" w:rsidRPr="009D4A99">
        <w:rPr>
          <w:rFonts w:ascii="Times New Roman" w:hAnsi="Times New Roman" w:cs="Times New Roman"/>
          <w:sz w:val="28"/>
          <w:szCs w:val="28"/>
          <w:lang w:val="kk-KZ"/>
        </w:rPr>
        <w:t>]</w:t>
      </w:r>
      <w:r w:rsidR="006644C4" w:rsidRPr="009D4A99">
        <w:rPr>
          <w:rFonts w:ascii="Times New Roman" w:hAnsi="Times New Roman" w:cs="Times New Roman"/>
          <w:sz w:val="28"/>
          <w:szCs w:val="28"/>
          <w:lang w:val="kk-KZ"/>
        </w:rPr>
        <w:t>.</w:t>
      </w:r>
      <w:r w:rsidR="006644C4" w:rsidRPr="002C5349">
        <w:rPr>
          <w:rFonts w:ascii="Times New Roman" w:hAnsi="Times New Roman" w:cs="Times New Roman"/>
          <w:sz w:val="28"/>
          <w:szCs w:val="28"/>
          <w:lang w:val="kk-KZ"/>
        </w:rPr>
        <w:t xml:space="preserve"> </w:t>
      </w:r>
    </w:p>
    <w:p w14:paraId="4B87F4A2" w14:textId="320FE3A4" w:rsidR="00081CB3" w:rsidRPr="00457CE9" w:rsidRDefault="00081CB3"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АӨК дамытуға бағытталған ұлттық жобаны жоспарлаудан бастап, оны іске асырғанға дейін нәтижеге бағытталған бюджеттеуді енгізе отырып, бағдарлама мақсатын анықтау кезінде оны сандық өлшеу арқылы және оған жету деңгейін бағалауға мүмкіндік беретін тиімділік аудитінің әдіснамасын ұсыну қажет</w:t>
      </w:r>
      <w:r w:rsidR="00143D47" w:rsidRPr="00457CE9">
        <w:rPr>
          <w:rFonts w:ascii="Times New Roman" w:hAnsi="Times New Roman" w:cs="Times New Roman"/>
          <w:sz w:val="28"/>
          <w:szCs w:val="28"/>
          <w:lang w:val="kk-KZ"/>
        </w:rPr>
        <w:t xml:space="preserve"> [</w:t>
      </w:r>
      <w:r w:rsidR="00875276">
        <w:rPr>
          <w:rFonts w:ascii="Times New Roman" w:hAnsi="Times New Roman" w:cs="Times New Roman"/>
          <w:sz w:val="28"/>
          <w:szCs w:val="28"/>
          <w:lang w:val="kk-KZ"/>
        </w:rPr>
        <w:t>6</w:t>
      </w:r>
      <w:r w:rsidR="003F004D" w:rsidRPr="003F004D">
        <w:rPr>
          <w:rFonts w:ascii="Times New Roman" w:hAnsi="Times New Roman" w:cs="Times New Roman"/>
          <w:sz w:val="28"/>
          <w:szCs w:val="28"/>
          <w:lang w:val="kk-KZ"/>
        </w:rPr>
        <w:t>9</w:t>
      </w:r>
      <w:r w:rsidR="00143D47"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104B1038" w14:textId="77777777" w:rsidR="00686419" w:rsidRDefault="00081CB3"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АӨК сала ретінде дамыту үшін бағытталған бюджет қаражатының тиімділігін бағалау үшін, оған қатысатын экономикалық субъектілердің тікелей және қорытынды нәтижелерге жетпегені үшін жауапкершілікке тарту деңгейі анықталмаған, сонымен қатар осы көрсеткіштерге жетудің сала ерекшелігін ескере отырып өзара әрекеттері мен қаржыландырудың нақты тәртібі көлемі мен мерзімдері бекітілмеген, тәуекелдер жүйеленбеген. </w:t>
      </w:r>
    </w:p>
    <w:p w14:paraId="39C0B7A7" w14:textId="5D6F4230" w:rsidR="00081CB3" w:rsidRPr="00457CE9" w:rsidRDefault="00081CB3"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АӨК дамытуға бағытталған мемлекеттік бағдарламалар жоспарлау кезеңінде жан</w:t>
      </w:r>
      <w:r w:rsidR="0068641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жақты жүйеленбеген, «қымбат» бағдарламаларға жұмсалған бюджет қаражаты тиімділігінің төмен болуы, орындалатын шаралардың үйлесімсіздігі деуге болады. Сондықтан мұндай бағдарламаларды құрудың ғылыми негізделген нақты әдістемесі қажет. </w:t>
      </w:r>
    </w:p>
    <w:p w14:paraId="1B2584F7" w14:textId="66FB695C" w:rsidR="007C75C3" w:rsidRPr="00457CE9" w:rsidRDefault="007C75C3"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Кез</w:t>
      </w:r>
      <w:r w:rsidR="00686419">
        <w:rPr>
          <w:rFonts w:ascii="Times New Roman" w:hAnsi="Times New Roman" w:cs="Times New Roman"/>
          <w:sz w:val="28"/>
          <w:szCs w:val="28"/>
          <w:lang w:val="kk-KZ"/>
        </w:rPr>
        <w:t>-</w:t>
      </w:r>
      <w:r w:rsidRPr="00457CE9">
        <w:rPr>
          <w:rFonts w:ascii="Times New Roman" w:hAnsi="Times New Roman" w:cs="Times New Roman"/>
          <w:sz w:val="28"/>
          <w:szCs w:val="28"/>
          <w:lang w:val="kk-KZ"/>
        </w:rPr>
        <w:t>келген бюджет қаражатын пайдалану тиімділігін арттыруды, оны дұрыс жоспарлаудан бастаған жөн. Жоғарыда АӨК-нің даму тарихына жүргізілген зерттеулер жоспарлау барысында тәуекелдердің жүйеленбегені, анықталған мәселелердің шешу жолдары толық қарастырылмағандығы, бағдарламаны іске асырушылар арасындағы байланыстың әлсіздігін, сонымен қатар барлық көрсеткіштер бойынша мониторингтің жоқтығы</w:t>
      </w:r>
      <w:r w:rsidR="00686419">
        <w:rPr>
          <w:rFonts w:ascii="Times New Roman" w:hAnsi="Times New Roman" w:cs="Times New Roman"/>
          <w:sz w:val="28"/>
          <w:szCs w:val="28"/>
          <w:lang w:val="kk-KZ"/>
        </w:rPr>
        <w:t>н</w:t>
      </w:r>
      <w:r w:rsidRPr="00457CE9">
        <w:rPr>
          <w:rFonts w:ascii="Times New Roman" w:hAnsi="Times New Roman" w:cs="Times New Roman"/>
          <w:sz w:val="28"/>
          <w:szCs w:val="28"/>
          <w:lang w:val="kk-KZ"/>
        </w:rPr>
        <w:t xml:space="preserve"> көрсетіп отыр. </w:t>
      </w:r>
    </w:p>
    <w:p w14:paraId="7118BF49" w14:textId="77777777" w:rsidR="00686419" w:rsidRDefault="000604C0"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ҚР АӨК-н дамытуға бағытталған бюджет қаражатын</w:t>
      </w:r>
      <w:r w:rsidR="00686419">
        <w:rPr>
          <w:rFonts w:ascii="Times New Roman" w:hAnsi="Times New Roman" w:cs="Times New Roman"/>
          <w:sz w:val="28"/>
          <w:szCs w:val="28"/>
          <w:lang w:val="kk-KZ"/>
        </w:rPr>
        <w:t xml:space="preserve"> пайдалануд</w:t>
      </w:r>
      <w:r w:rsidRPr="00457CE9">
        <w:rPr>
          <w:rFonts w:ascii="Times New Roman" w:hAnsi="Times New Roman" w:cs="Times New Roman"/>
          <w:sz w:val="28"/>
          <w:szCs w:val="28"/>
          <w:lang w:val="kk-KZ"/>
        </w:rPr>
        <w:t>ың тиімділі</w:t>
      </w:r>
      <w:r w:rsidR="00686419">
        <w:rPr>
          <w:rFonts w:ascii="Times New Roman" w:hAnsi="Times New Roman" w:cs="Times New Roman"/>
          <w:sz w:val="28"/>
          <w:szCs w:val="28"/>
          <w:lang w:val="kk-KZ"/>
        </w:rPr>
        <w:t>гі</w:t>
      </w:r>
      <w:r w:rsidRPr="00457CE9">
        <w:rPr>
          <w:rFonts w:ascii="Times New Roman" w:hAnsi="Times New Roman" w:cs="Times New Roman"/>
          <w:sz w:val="28"/>
          <w:szCs w:val="28"/>
          <w:lang w:val="kk-KZ"/>
        </w:rPr>
        <w:t xml:space="preserve"> аудиті кезінде жалпы және арнайы критерийлерді анықтау бұрын және ағымдағы жағдайға баға беруді аудит объектісін алдын-ала зерттеу кезеңінде анықталып, әрі қарай аудит жүргізу барысында нақтылауға және терең талдау жасауға мүмкіндік береді. Яғни, белгіленген критерийлер орындалуы, теріс және оң жақтары, оған әсер еткен факторларға және оның динамикасына баға беру, критерийлер орындалу үшін жоспарланған нәтижелі көрсеткіштер және оған белгіленген іс-шаралар жеткіліктілігі мен орындалу мүмкіндігін бағалау қажет. </w:t>
      </w:r>
    </w:p>
    <w:p w14:paraId="0F06C7A7" w14:textId="2D35E28A" w:rsidR="000604C0" w:rsidRDefault="000604C0" w:rsidP="00457CE9">
      <w:pPr>
        <w:tabs>
          <w:tab w:val="left" w:pos="1605"/>
        </w:tabs>
        <w:spacing w:after="0" w:line="240" w:lineRule="auto"/>
        <w:ind w:firstLine="709"/>
        <w:jc w:val="both"/>
        <w:rPr>
          <w:rFonts w:ascii="Times New Roman" w:hAnsi="Times New Roman"/>
          <w:sz w:val="28"/>
          <w:szCs w:val="28"/>
          <w:lang w:val="kk-KZ"/>
        </w:rPr>
      </w:pPr>
      <w:r w:rsidRPr="00457CE9">
        <w:rPr>
          <w:rFonts w:ascii="Times New Roman" w:hAnsi="Times New Roman" w:cs="Times New Roman"/>
          <w:sz w:val="28"/>
          <w:szCs w:val="28"/>
          <w:lang w:val="kk-KZ"/>
        </w:rPr>
        <w:t xml:space="preserve">ҚР АӨК-н дамытуға бөлінетін бюджет қаражатына қажеттілік негізінен ҚР Ауыл шаруашылығы министрлігіндегі мал шаруашылығы, егін шаруашылығы және аграрлық азық-түлік нарықтары және ауыл шарушылық өнімін қайта өңдеу деген салалық департаменттерімен құралған бюджеттік тапсырыстары негізінде қалыптасатыны белгілі болды. Құралған бюджеттік тапсырыстарды қаржылық қамтамасыз ету департаменті тексеріп бекітеді, және оны ҚР Ұлттық экономика министрлігіне ұсынады. </w:t>
      </w:r>
      <w:r w:rsidR="0099586A" w:rsidRPr="00457CE9">
        <w:rPr>
          <w:rFonts w:ascii="Times New Roman" w:hAnsi="Times New Roman" w:cs="Times New Roman"/>
          <w:sz w:val="28"/>
          <w:szCs w:val="28"/>
          <w:lang w:val="kk-KZ"/>
        </w:rPr>
        <w:t>ҚР Қаржы министрлігі АШМ</w:t>
      </w:r>
      <w:r w:rsidRPr="00457CE9">
        <w:rPr>
          <w:rFonts w:ascii="Times New Roman" w:hAnsi="Times New Roman" w:cs="Times New Roman"/>
          <w:sz w:val="28"/>
          <w:szCs w:val="28"/>
          <w:lang w:val="kk-KZ"/>
        </w:rPr>
        <w:t xml:space="preserve"> бюджетінің орындалу мониторингін жүргізеді, қаржылық және бюджеттік шоғырландыру есептілігін дайындап ұсынады. </w:t>
      </w:r>
      <w:r w:rsidRPr="00457CE9">
        <w:rPr>
          <w:rFonts w:ascii="Times New Roman" w:hAnsi="Times New Roman"/>
          <w:sz w:val="28"/>
          <w:szCs w:val="28"/>
          <w:lang w:val="kk-KZ"/>
        </w:rPr>
        <w:t xml:space="preserve">ҚР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бюджет қаражаты қозғалысыны</w:t>
      </w:r>
      <w:r w:rsidR="00562176" w:rsidRPr="00457CE9">
        <w:rPr>
          <w:rFonts w:ascii="Times New Roman" w:hAnsi="Times New Roman"/>
          <w:sz w:val="28"/>
          <w:szCs w:val="28"/>
          <w:lang w:val="kk-KZ"/>
        </w:rPr>
        <w:t>ң</w:t>
      </w:r>
      <w:r w:rsidRPr="00457CE9">
        <w:rPr>
          <w:rFonts w:ascii="Times New Roman" w:hAnsi="Times New Roman"/>
          <w:sz w:val="28"/>
          <w:szCs w:val="28"/>
          <w:lang w:val="kk-KZ"/>
        </w:rPr>
        <w:t xml:space="preserve"> сызбасы </w:t>
      </w:r>
      <w:r w:rsidR="00A23F7A">
        <w:rPr>
          <w:rFonts w:ascii="Times New Roman" w:hAnsi="Times New Roman"/>
          <w:sz w:val="28"/>
          <w:szCs w:val="28"/>
          <w:lang w:val="kk-KZ"/>
        </w:rPr>
        <w:t>2</w:t>
      </w:r>
      <w:r w:rsidRPr="00457CE9">
        <w:rPr>
          <w:rFonts w:ascii="Times New Roman" w:hAnsi="Times New Roman"/>
          <w:sz w:val="28"/>
          <w:szCs w:val="28"/>
          <w:lang w:val="kk-KZ"/>
        </w:rPr>
        <w:t>1-суретте келтірілген.</w:t>
      </w:r>
    </w:p>
    <w:p w14:paraId="3AC280A8" w14:textId="77777777" w:rsidR="00686419" w:rsidRPr="00457CE9" w:rsidRDefault="00686419" w:rsidP="00457CE9">
      <w:pPr>
        <w:tabs>
          <w:tab w:val="left" w:pos="1605"/>
        </w:tabs>
        <w:spacing w:after="0" w:line="240" w:lineRule="auto"/>
        <w:ind w:firstLine="709"/>
        <w:jc w:val="both"/>
        <w:rPr>
          <w:rFonts w:ascii="Times New Roman" w:hAnsi="Times New Roman"/>
          <w:sz w:val="28"/>
          <w:szCs w:val="28"/>
          <w:lang w:val="kk-KZ"/>
        </w:rPr>
      </w:pPr>
    </w:p>
    <w:p w14:paraId="588BE382" w14:textId="71D80A05" w:rsidR="000604C0" w:rsidRPr="00457CE9" w:rsidRDefault="00894E0B" w:rsidP="00457CE9">
      <w:pPr>
        <w:tabs>
          <w:tab w:val="left" w:pos="160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537856" behindDoc="0" locked="0" layoutInCell="1" allowOverlap="1" wp14:anchorId="08056804" wp14:editId="7B7E07D8">
                <wp:simplePos x="0" y="0"/>
                <wp:positionH relativeFrom="column">
                  <wp:posOffset>170130</wp:posOffset>
                </wp:positionH>
                <wp:positionV relativeFrom="paragraph">
                  <wp:posOffset>20320</wp:posOffset>
                </wp:positionV>
                <wp:extent cx="5849285" cy="7410091"/>
                <wp:effectExtent l="0" t="0" r="18415" b="19685"/>
                <wp:wrapNone/>
                <wp:docPr id="15" name="Группа 15"/>
                <wp:cNvGraphicFramePr/>
                <a:graphic xmlns:a="http://schemas.openxmlformats.org/drawingml/2006/main">
                  <a:graphicData uri="http://schemas.microsoft.com/office/word/2010/wordprocessingGroup">
                    <wpg:wgp>
                      <wpg:cNvGrpSpPr/>
                      <wpg:grpSpPr>
                        <a:xfrm>
                          <a:off x="0" y="0"/>
                          <a:ext cx="5849285" cy="7410091"/>
                          <a:chOff x="0" y="0"/>
                          <a:chExt cx="5849285" cy="7410091"/>
                        </a:xfrm>
                      </wpg:grpSpPr>
                      <wps:wsp>
                        <wps:cNvPr id="332101406" name="Прямоугольник 61"/>
                        <wps:cNvSpPr>
                          <a:spLocks/>
                        </wps:cNvSpPr>
                        <wps:spPr>
                          <a:xfrm>
                            <a:off x="146649" y="6952891"/>
                            <a:ext cx="5476875"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84B91B" w14:textId="1E51A5FE" w:rsidR="00D05956" w:rsidRPr="003E4686" w:rsidRDefault="00D05956" w:rsidP="003E4686">
                              <w:pPr>
                                <w:spacing w:after="0" w:line="240" w:lineRule="auto"/>
                                <w:jc w:val="center"/>
                                <w:rPr>
                                  <w:rFonts w:ascii="Times New Roman" w:hAnsi="Times New Roman" w:cs="Times New Roman"/>
                                  <w:sz w:val="24"/>
                                  <w:szCs w:val="24"/>
                                  <w:lang w:val="kk-KZ"/>
                                </w:rPr>
                              </w:pPr>
                              <w:r w:rsidRPr="003E4686">
                                <w:rPr>
                                  <w:rFonts w:ascii="Times New Roman" w:hAnsi="Times New Roman" w:cs="Times New Roman"/>
                                  <w:sz w:val="24"/>
                                  <w:szCs w:val="24"/>
                                  <w:lang w:val="kk-KZ"/>
                                </w:rPr>
                                <w:t>Бюджет қаражаты жұмсалуынан болған әлеуметтік-экономикалық ықпалды бағалау макроэкономикалық көрсеткіштер негізінде жүзеге асырылады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80970698" name="Прямая со стрелкой 98"/>
                        <wps:cNvCnPr/>
                        <wps:spPr>
                          <a:xfrm>
                            <a:off x="3881887" y="6771736"/>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4" name="Группа 14"/>
                        <wpg:cNvGrpSpPr/>
                        <wpg:grpSpPr>
                          <a:xfrm>
                            <a:off x="0" y="0"/>
                            <a:ext cx="5849285" cy="6771736"/>
                            <a:chOff x="0" y="0"/>
                            <a:chExt cx="5849285" cy="6771736"/>
                          </a:xfrm>
                        </wpg:grpSpPr>
                        <wps:wsp>
                          <wps:cNvPr id="1524560978" name="Прямоугольник 85"/>
                          <wps:cNvSpPr>
                            <a:spLocks/>
                          </wps:cNvSpPr>
                          <wps:spPr>
                            <a:xfrm>
                              <a:off x="957532" y="0"/>
                              <a:ext cx="4343400" cy="288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55FFE29" w14:textId="2591877E"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Pr>
                                    <w:rFonts w:ascii="Times New Roman" w:hAnsi="Times New Roman" w:cs="Times New Roman"/>
                                    <w:sz w:val="24"/>
                                    <w:szCs w:val="24"/>
                                    <w:lang w:val="kk-KZ"/>
                                  </w:rPr>
                                  <w:t xml:space="preserve"> дамытуға бөлінген бюджет қаражатының сызбасы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98408271" name="Прямоугольник 84"/>
                          <wps:cNvSpPr>
                            <a:spLocks/>
                          </wps:cNvSpPr>
                          <wps:spPr>
                            <a:xfrm>
                              <a:off x="957532" y="474453"/>
                              <a:ext cx="4373880" cy="4495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EA67309" w14:textId="3CA4EA1E"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Ауыл шаруашылығы министрлігінің салалық департаменттерімен бюджеттік тапсырыстар құралады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40097470" name="Прямоугольник 83"/>
                          <wps:cNvSpPr>
                            <a:spLocks/>
                          </wps:cNvSpPr>
                          <wps:spPr>
                            <a:xfrm>
                              <a:off x="94891" y="1112808"/>
                              <a:ext cx="1264920" cy="61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98221F"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Мал шаруашылығы департаменті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98238082" name="Прямоугольник 82"/>
                          <wps:cNvSpPr>
                            <a:spLocks/>
                          </wps:cNvSpPr>
                          <wps:spPr>
                            <a:xfrm>
                              <a:off x="1475117" y="1112808"/>
                              <a:ext cx="1470660" cy="61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61D0DC"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Егін шаруашылығы департаменті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61719049" name="Прямоугольник 81"/>
                          <wps:cNvSpPr>
                            <a:spLocks/>
                          </wps:cNvSpPr>
                          <wps:spPr>
                            <a:xfrm>
                              <a:off x="3045125" y="1121434"/>
                              <a:ext cx="2804160" cy="61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965A59"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Аграрлық азық-түлік нарықтары және ауыл шарушылық өнімін қайта өңдеу департаменті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2677337" name="Прямая со стрелкой 80"/>
                          <wps:cNvCnPr>
                            <a:cxnSpLocks/>
                          </wps:cNvCnPr>
                          <wps:spPr>
                            <a:xfrm>
                              <a:off x="1121434" y="92302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522300" name="Прямая со стрелкой 79"/>
                          <wps:cNvCnPr>
                            <a:cxnSpLocks/>
                          </wps:cNvCnPr>
                          <wps:spPr>
                            <a:xfrm>
                              <a:off x="2424023" y="92302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4481758" name="Прямая со стрелкой 78"/>
                          <wps:cNvCnPr>
                            <a:cxnSpLocks/>
                          </wps:cNvCnPr>
                          <wps:spPr>
                            <a:xfrm>
                              <a:off x="4356340" y="923027"/>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216441" name="Прямоугольник 77"/>
                          <wps:cNvSpPr>
                            <a:spLocks/>
                          </wps:cNvSpPr>
                          <wps:spPr>
                            <a:xfrm>
                              <a:off x="2182483" y="2096219"/>
                              <a:ext cx="3629025" cy="6096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314B450" w14:textId="0557F1D4"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АШМ қаржылық қамтамасыз ету департаменті бюджеттік тапсырыстарды жинақтайды және тапсырады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31616107" name="Прямоугольник 76"/>
                          <wps:cNvSpPr>
                            <a:spLocks/>
                          </wps:cNvSpPr>
                          <wps:spPr>
                            <a:xfrm>
                              <a:off x="2173857" y="2889849"/>
                              <a:ext cx="3638550" cy="5905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C5652CD" w14:textId="0BE97AD2"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министрлігі республикалық бюджеттік комиссия құрады, бюджетті бекітеді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37394323" name="Прямоугольник 71"/>
                          <wps:cNvSpPr>
                            <a:spLocks/>
                          </wps:cNvSpPr>
                          <wps:spPr>
                            <a:xfrm>
                              <a:off x="2182483" y="3648974"/>
                              <a:ext cx="3627120" cy="466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6B3787D" w14:textId="72C7E95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бюджеттік комиссия шешімімен ҚР Қаржы министрлігі бюджет қаражатын бөледі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99967100" name="Прямоугольник 69"/>
                          <wps:cNvSpPr>
                            <a:spLocks/>
                          </wps:cNvSpPr>
                          <wps:spPr>
                            <a:xfrm>
                              <a:off x="2199736" y="4313208"/>
                              <a:ext cx="3613785" cy="4762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E220A2E" w14:textId="076467C0"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Ауыл шаруашылығы Министрлігіне бюджет қаражаты түседі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32730464" name="Прямоугольник 68"/>
                          <wps:cNvSpPr>
                            <a:spLocks/>
                          </wps:cNvSpPr>
                          <wps:spPr>
                            <a:xfrm>
                              <a:off x="2199736" y="5003321"/>
                              <a:ext cx="3611880" cy="4781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25AEFD" w14:textId="77777777" w:rsidR="00D05956" w:rsidRDefault="00D05956" w:rsidP="003E46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АШМ қарамағындағы ұйымдарға, квазимемлекеттік субъектілерге бюджет қаражаты түседі</w:t>
                                </w:r>
                              </w:p>
                              <w:p w14:paraId="7AED7E71" w14:textId="42A4067F" w:rsidR="00D05956" w:rsidRDefault="00D05956" w:rsidP="000604C0">
                                <w:pPr>
                                  <w:spacing w:after="0" w:line="240" w:lineRule="auto"/>
                                  <w:jc w:val="center"/>
                                  <w:rPr>
                                    <w:rFonts w:ascii="Times New Roman" w:hAnsi="Times New Roman" w:cs="Times New Roman"/>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97950836" name="Прямая со стрелкой 66"/>
                          <wps:cNvCnPr>
                            <a:cxnSpLocks/>
                          </wps:cNvCnPr>
                          <wps:spPr>
                            <a:xfrm>
                              <a:off x="3950898" y="4106174"/>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321785" name="Прямоугольник 65"/>
                          <wps:cNvSpPr>
                            <a:spLocks/>
                          </wps:cNvSpPr>
                          <wps:spPr>
                            <a:xfrm>
                              <a:off x="25879" y="4295955"/>
                              <a:ext cx="1846053" cy="485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418BF73"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Жергілікті атқарушы органға қаржы түседі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15210445" name="Прямоугольник 64"/>
                          <wps:cNvSpPr>
                            <a:spLocks/>
                          </wps:cNvSpPr>
                          <wps:spPr>
                            <a:xfrm>
                              <a:off x="86264" y="5037827"/>
                              <a:ext cx="1777365" cy="4781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4753EC6"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Субсидия алушыларға үлестіреді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33831878" name="Прямая со стрелкой 63"/>
                          <wps:cNvCnPr>
                            <a:cxnSpLocks/>
                          </wps:cNvCnPr>
                          <wps:spPr>
                            <a:xfrm>
                              <a:off x="931653" y="4796287"/>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477899" name="Прямоугольник 60"/>
                          <wps:cNvSpPr>
                            <a:spLocks/>
                          </wps:cNvSpPr>
                          <wps:spPr>
                            <a:xfrm>
                              <a:off x="94891" y="6245525"/>
                              <a:ext cx="1790700"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F19BE86" w14:textId="77777777" w:rsidR="00D05956" w:rsidRDefault="00D05956" w:rsidP="00A9092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Субсидия алушылар есеп тапсырады</w:t>
                                </w:r>
                              </w:p>
                              <w:p w14:paraId="5BEA8B13" w14:textId="77777777" w:rsidR="00D05956" w:rsidRDefault="00D05956"/>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26172418" name="Прямоугольник 59"/>
                          <wps:cNvSpPr>
                            <a:spLocks/>
                          </wps:cNvSpPr>
                          <wps:spPr>
                            <a:xfrm>
                              <a:off x="2234242" y="6314536"/>
                              <a:ext cx="3581400"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32D13D3" w14:textId="77777777" w:rsidR="00D05956" w:rsidRDefault="00D05956" w:rsidP="00A9092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Статистика агенттігі негізінде ақпараттар жинақталады</w:t>
                                </w:r>
                              </w:p>
                              <w:p w14:paraId="299A08DC" w14:textId="77777777" w:rsidR="00D05956" w:rsidRDefault="00D05956"/>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68207380" name="Прямая со стрелкой 55"/>
                          <wps:cNvCnPr>
                            <a:cxnSpLocks/>
                          </wps:cNvCnPr>
                          <wps:spPr>
                            <a:xfrm>
                              <a:off x="3950898" y="5512279"/>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7943117" name="Прямая со стрелкой 54"/>
                          <wps:cNvCnPr>
                            <a:cxnSpLocks/>
                          </wps:cNvCnPr>
                          <wps:spPr>
                            <a:xfrm>
                              <a:off x="3045125" y="284672"/>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765830" name="Прямоугольник 53"/>
                          <wps:cNvSpPr>
                            <a:spLocks/>
                          </wps:cNvSpPr>
                          <wps:spPr>
                            <a:xfrm>
                              <a:off x="0" y="3709359"/>
                              <a:ext cx="1876425"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95B12C1" w14:textId="2F31C193" w:rsidR="00D05956" w:rsidRPr="00894E0B" w:rsidRDefault="00D05956" w:rsidP="00A9092D">
                                <w:pPr>
                                  <w:spacing w:after="0" w:line="240" w:lineRule="auto"/>
                                  <w:jc w:val="center"/>
                                  <w:rPr>
                                    <w:rFonts w:ascii="Times New Roman" w:hAnsi="Times New Roman" w:cs="Times New Roman"/>
                                    <w:sz w:val="24"/>
                                    <w:szCs w:val="24"/>
                                    <w:lang w:val="kk-KZ"/>
                                  </w:rPr>
                                </w:pPr>
                                <w:r w:rsidRPr="00894E0B">
                                  <w:rPr>
                                    <w:rFonts w:ascii="Times New Roman" w:hAnsi="Times New Roman" w:cs="Times New Roman"/>
                                    <w:sz w:val="24"/>
                                    <w:szCs w:val="24"/>
                                    <w:lang w:val="kk-KZ"/>
                                  </w:rPr>
                                  <w:t>Бюджет орындалуы туралы есептілік дайындайды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89170041" name="Прямая со стрелкой 52"/>
                          <wps:cNvCnPr>
                            <a:cxnSpLocks/>
                          </wps:cNvCnPr>
                          <wps:spPr>
                            <a:xfrm>
                              <a:off x="1897811" y="6487064"/>
                              <a:ext cx="2819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6325711" name="Прямоугольник 50"/>
                          <wps:cNvSpPr>
                            <a:spLocks/>
                          </wps:cNvSpPr>
                          <wps:spPr>
                            <a:xfrm>
                              <a:off x="43132" y="2863970"/>
                              <a:ext cx="1838325" cy="66423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98C1B78" w14:textId="0F4041CD" w:rsidR="00D05956" w:rsidRPr="00894E0B" w:rsidRDefault="00D05956" w:rsidP="00894E0B">
                                <w:pPr>
                                  <w:spacing w:after="0" w:line="240" w:lineRule="auto"/>
                                  <w:ind w:left="-70"/>
                                  <w:jc w:val="center"/>
                                  <w:rPr>
                                    <w:rFonts w:ascii="Times New Roman" w:hAnsi="Times New Roman" w:cs="Times New Roman"/>
                                    <w:sz w:val="24"/>
                                    <w:szCs w:val="24"/>
                                    <w:lang w:val="kk-KZ"/>
                                  </w:rPr>
                                </w:pPr>
                                <w:r w:rsidRPr="00894E0B">
                                  <w:rPr>
                                    <w:rFonts w:ascii="Times New Roman" w:hAnsi="Times New Roman" w:cs="Times New Roman"/>
                                    <w:sz w:val="24"/>
                                    <w:szCs w:val="24"/>
                                    <w:lang w:val="kk-KZ"/>
                                  </w:rPr>
                                  <w:t>ҚР Ұлттық қордан, ҚР Үкіметі резервінен қаржы бөлу туралы шешім</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42129429" name="Прямая соединительная линия 86"/>
                          <wps:cNvCnPr/>
                          <wps:spPr>
                            <a:xfrm>
                              <a:off x="767751" y="1906438"/>
                              <a:ext cx="4038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9089709" name="Прямая со стрелкой 87"/>
                          <wps:cNvCnPr/>
                          <wps:spPr>
                            <a:xfrm>
                              <a:off x="3571336" y="1923691"/>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4169246" name="Прямая со стрелкой 87"/>
                          <wps:cNvCnPr/>
                          <wps:spPr>
                            <a:xfrm>
                              <a:off x="785004" y="1725283"/>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96642955" name="Прямая со стрелкой 87"/>
                          <wps:cNvCnPr/>
                          <wps:spPr>
                            <a:xfrm>
                              <a:off x="4796287" y="1725283"/>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246302" name="Прямая со стрелкой 87"/>
                          <wps:cNvCnPr/>
                          <wps:spPr>
                            <a:xfrm>
                              <a:off x="2268747" y="1725283"/>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1434035" name="Прямоугольник 90"/>
                          <wps:cNvSpPr>
                            <a:spLocks/>
                          </wps:cNvSpPr>
                          <wps:spPr>
                            <a:xfrm>
                              <a:off x="25879" y="2096219"/>
                              <a:ext cx="1847850" cy="6191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C5C832" w14:textId="378B2C6C" w:rsidR="00D05956" w:rsidRDefault="00D05956" w:rsidP="00D739D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Бюджет қаражатына қажеттілік жоспарланады</w:t>
                                </w:r>
                              </w:p>
                              <w:p w14:paraId="139E0F24" w14:textId="77777777" w:rsidR="00D05956" w:rsidRDefault="00D05956" w:rsidP="00D739D0">
                                <w:pPr>
                                  <w:spacing w:after="0" w:line="240" w:lineRule="auto"/>
                                  <w:jc w:val="center"/>
                                  <w:rPr>
                                    <w:rFonts w:ascii="Times New Roman" w:hAnsi="Times New Roman" w:cs="Times New Roman"/>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31402061" name="Прямая со стрелкой 91"/>
                          <wps:cNvCnPr/>
                          <wps:spPr>
                            <a:xfrm>
                              <a:off x="1932317" y="2389517"/>
                              <a:ext cx="251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5782317" name="Прямая со стрелкой 92"/>
                          <wps:cNvCnPr/>
                          <wps:spPr>
                            <a:xfrm>
                              <a:off x="1915064" y="3183147"/>
                              <a:ext cx="251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3031989" name="Прямая со стрелкой 93"/>
                          <wps:cNvCnPr/>
                          <wps:spPr>
                            <a:xfrm>
                              <a:off x="3933645" y="2700068"/>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8470740" name="Прямая со стрелкой 95"/>
                          <wps:cNvCnPr/>
                          <wps:spPr>
                            <a:xfrm>
                              <a:off x="3933645" y="3467819"/>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69460670" name="Прямая со стрелкой 96"/>
                          <wps:cNvCnPr/>
                          <wps:spPr>
                            <a:xfrm flipH="1">
                              <a:off x="1871932" y="4554747"/>
                              <a:ext cx="32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47126589" name="Прямая со стрелкой 97"/>
                          <wps:cNvCnPr/>
                          <wps:spPr>
                            <a:xfrm flipH="1">
                              <a:off x="1889185" y="389914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5000907" name="Прямоугольник 99"/>
                          <wps:cNvSpPr>
                            <a:spLocks/>
                          </wps:cNvSpPr>
                          <wps:spPr>
                            <a:xfrm>
                              <a:off x="2191110" y="5693434"/>
                              <a:ext cx="3619500" cy="466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85739FF" w14:textId="36AC9F0A" w:rsidR="00D05956" w:rsidRDefault="00D05956" w:rsidP="003E46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АШМ Қаржы министрлігіне бюджет орындалуы туралы есеп тапсырады</w:t>
                                </w:r>
                              </w:p>
                              <w:p w14:paraId="12D088E9" w14:textId="77777777" w:rsidR="00D05956" w:rsidRDefault="00D05956"/>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26567801" name="Прямая со стрелкой 100"/>
                          <wps:cNvCnPr/>
                          <wps:spPr>
                            <a:xfrm flipH="1">
                              <a:off x="1889185" y="5236234"/>
                              <a:ext cx="3110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2222655" name="Прямоугольник 101"/>
                          <wps:cNvSpPr>
                            <a:spLocks/>
                          </wps:cNvSpPr>
                          <wps:spPr>
                            <a:xfrm>
                              <a:off x="112144" y="5667555"/>
                              <a:ext cx="1802920" cy="4762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8365895" w14:textId="70643FFC" w:rsidR="00D05956" w:rsidRDefault="00D05956" w:rsidP="003E46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ЖАП қорытынды береді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2821260" name="Прямая со стрелкой 103"/>
                          <wps:cNvCnPr/>
                          <wps:spPr>
                            <a:xfrm>
                              <a:off x="1932317" y="5917721"/>
                              <a:ext cx="2289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056804" id="Группа 15" o:spid="_x0000_s1184" style="position:absolute;left:0;text-align:left;margin-left:13.4pt;margin-top:1.6pt;width:460.55pt;height:583.45pt;z-index:252537856" coordsize="58492,7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">
                <v:rect id="_x0000_s1185" style="position:absolute;left:1466;top:69528;width:547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" fillcolor="white [3201]" strokecolor="black [3200]" strokeweight=".25pt">
                  <v:path arrowok="t"/>
                  <v:textbox>
                    <w:txbxContent>
                      <w:p w14:paraId="3D84B91B" w14:textId="1E51A5FE" w:rsidR="00D05956" w:rsidRPr="003E4686" w:rsidRDefault="00D05956" w:rsidP="003E4686">
                        <w:pPr>
                          <w:spacing w:after="0" w:line="240" w:lineRule="auto"/>
                          <w:jc w:val="center"/>
                          <w:rPr>
                            <w:rFonts w:ascii="Times New Roman" w:hAnsi="Times New Roman" w:cs="Times New Roman"/>
                            <w:sz w:val="24"/>
                            <w:szCs w:val="24"/>
                            <w:lang w:val="kk-KZ"/>
                          </w:rPr>
                        </w:pPr>
                        <w:r w:rsidRPr="003E4686">
                          <w:rPr>
                            <w:rFonts w:ascii="Times New Roman" w:hAnsi="Times New Roman" w:cs="Times New Roman"/>
                            <w:sz w:val="24"/>
                            <w:szCs w:val="24"/>
                            <w:lang w:val="kk-KZ"/>
                          </w:rPr>
                          <w:t>Бюджет қаражаты жұмсалуынан болған әлеуметтік-экономикалық ықпалды бағалау макроэкономикалық көрсеткіштер негізінде жүзеге асырылады</w:t>
                        </w:r>
                      </w:p>
                    </w:txbxContent>
                  </v:textbox>
                </v:rect>
                <v:shape id="Прямая со стрелкой 98" o:spid="_x0000_s1186" type="#_x0000_t32" style="position:absolute;left:38818;top:6771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" strokecolor="#4579b8 [3044]">
                  <v:stroke endarrow="block"/>
                </v:shape>
                <v:group id="Группа 14" o:spid="_x0000_s1187" style="position:absolute;width:58492;height:67717" coordsize="58492,6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Прямоугольник 85" o:spid="_x0000_s1188" style="position:absolute;left:9575;width:4343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" fillcolor="white [3201]" strokecolor="black [3200]" strokeweight=".25pt">
                    <v:path arrowok="t"/>
                    <v:textbox>
                      <w:txbxContent>
                        <w:p w14:paraId="755FFE29" w14:textId="2591877E"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Pr>
                              <w:rFonts w:ascii="Times New Roman" w:hAnsi="Times New Roman" w:cs="Times New Roman"/>
                              <w:sz w:val="24"/>
                              <w:szCs w:val="24"/>
                              <w:lang w:val="kk-KZ"/>
                            </w:rPr>
                            <w:t xml:space="preserve"> дамытуға бөлінген бюджет қаражатының сызбасы</w:t>
                          </w:r>
                        </w:p>
                      </w:txbxContent>
                    </v:textbox>
                  </v:rect>
                  <v:rect id="Прямоугольник 84" o:spid="_x0000_s1189" style="position:absolute;left:9575;top:4744;width:43739;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" fillcolor="white [3201]" strokecolor="black [3200]" strokeweight=".25pt">
                    <v:path arrowok="t"/>
                    <v:textbox>
                      <w:txbxContent>
                        <w:p w14:paraId="7EA67309" w14:textId="3CA4EA1E"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Ауыл шаруашылығы министрлігінің салалық департаменттерімен бюджеттік тапсырыстар құралады</w:t>
                          </w:r>
                        </w:p>
                      </w:txbxContent>
                    </v:textbox>
                  </v:rect>
                  <v:rect id="_x0000_s1190" style="position:absolute;left:948;top:11128;width:1265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" fillcolor="white [3201]" strokecolor="black [3200]" strokeweight=".25pt">
                    <v:path arrowok="t"/>
                    <v:textbox>
                      <w:txbxContent>
                        <w:p w14:paraId="5298221F"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Мал шаруашылығы департаменті</w:t>
                          </w:r>
                        </w:p>
                      </w:txbxContent>
                    </v:textbox>
                  </v:rect>
                  <v:rect id="Прямоугольник 82" o:spid="_x0000_s1191" style="position:absolute;left:14751;top:11128;width:14706;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" fillcolor="white [3201]" strokecolor="black [3200]" strokeweight=".25pt">
                    <v:path arrowok="t"/>
                    <v:textbox>
                      <w:txbxContent>
                        <w:p w14:paraId="3161D0DC"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Егін шаруашылығы департаменті</w:t>
                          </w:r>
                        </w:p>
                      </w:txbxContent>
                    </v:textbox>
                  </v:rect>
                  <v:rect id="_x0000_s1192" style="position:absolute;left:30451;top:11214;width:28041;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" fillcolor="white [3201]" strokecolor="black [3200]" strokeweight=".25pt">
                    <v:path arrowok="t"/>
                    <v:textbox>
                      <w:txbxContent>
                        <w:p w14:paraId="10965A59"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Аграрлық азық-түлік нарықтары және ауыл шарушылық өнімін қайта өңдеу департаменті</w:t>
                          </w:r>
                        </w:p>
                      </w:txbxContent>
                    </v:textbox>
                  </v:rect>
                  <v:shape id="Прямая со стрелкой 80" o:spid="_x0000_s1193" type="#_x0000_t32" style="position:absolute;left:11214;top:923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" strokecolor="black [3040]">
                    <v:stroke endarrow="block"/>
                    <o:lock v:ext="edit" shapetype="f"/>
                  </v:shape>
                  <v:shape id="Прямая со стрелкой 79" o:spid="_x0000_s1194" type="#_x0000_t32" style="position:absolute;left:24240;top:923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" strokecolor="black [3040]">
                    <v:stroke endarrow="block"/>
                    <o:lock v:ext="edit" shapetype="f"/>
                  </v:shape>
                  <v:shape id="Прямая со стрелкой 78" o:spid="_x0000_s1195" type="#_x0000_t32" style="position:absolute;left:43563;top:923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" strokecolor="black [3040]">
                    <v:stroke endarrow="block"/>
                    <o:lock v:ext="edit" shapetype="f"/>
                  </v:shape>
                  <v:rect id="_x0000_s1196" style="position:absolute;left:21824;top:20962;width:3629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" fillcolor="white [3201]" strokecolor="black [3200]" strokeweight=".25pt">
                    <v:path arrowok="t"/>
                    <v:textbox>
                      <w:txbxContent>
                        <w:p w14:paraId="7314B450" w14:textId="0557F1D4"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АШМ қаржылық қамтамасыз ету департаменті бюджеттік тапсырыстарды жинақтайды және тапсырады</w:t>
                          </w:r>
                        </w:p>
                      </w:txbxContent>
                    </v:textbox>
                  </v:rect>
                  <v:rect id="_x0000_s1197" style="position:absolute;left:21738;top:28898;width:3638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" fillcolor="white [3201]" strokecolor="black [3200]" strokeweight=".25pt">
                    <v:path arrowok="t"/>
                    <v:textbox>
                      <w:txbxContent>
                        <w:p w14:paraId="7C5652CD" w14:textId="0BE97AD2"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Ұлттық экономика министрлігі республикалық бюджеттік комиссия құрады, бюджетті бекітеді</w:t>
                          </w:r>
                        </w:p>
                      </w:txbxContent>
                    </v:textbox>
                  </v:rect>
                  <v:rect id="_x0000_s1198" style="position:absolute;left:21824;top:36489;width:3627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" fillcolor="white [3201]" strokecolor="black [3200]" strokeweight=".25pt">
                    <v:path arrowok="t"/>
                    <v:textbox>
                      <w:txbxContent>
                        <w:p w14:paraId="16B3787D" w14:textId="72C7E95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бюджеттік комиссия шешімімен ҚР Қаржы министрлігі бюджет қаражатын бөледі</w:t>
                          </w:r>
                        </w:p>
                      </w:txbxContent>
                    </v:textbox>
                  </v:rect>
                  <v:rect id="_x0000_s1199" style="position:absolute;left:21997;top:43132;width:3613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" fillcolor="white [3201]" strokecolor="black [3200]" strokeweight=".25pt">
                    <v:path arrowok="t"/>
                    <v:textbox>
                      <w:txbxContent>
                        <w:p w14:paraId="7E220A2E" w14:textId="076467C0"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Ауыл шаруашылығы Министрлігіне бюджет қаражаты түседі</w:t>
                          </w:r>
                        </w:p>
                      </w:txbxContent>
                    </v:textbox>
                  </v:rect>
                  <v:rect id="_x0000_s1200" style="position:absolute;left:21997;top:50033;width:36119;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" fillcolor="white [3201]" strokecolor="black [3200]" strokeweight=".25pt">
                    <v:path arrowok="t"/>
                    <v:textbox>
                      <w:txbxContent>
                        <w:p w14:paraId="4025AEFD" w14:textId="77777777" w:rsidR="00D05956" w:rsidRDefault="00D05956" w:rsidP="003E46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АШМ қарамағындағы ұйымдарға, квазимемлекеттік субъектілерге бюджет қаражаты түседі</w:t>
                          </w:r>
                        </w:p>
                        <w:p w14:paraId="7AED7E71" w14:textId="42A4067F" w:rsidR="00D05956" w:rsidRDefault="00D05956" w:rsidP="000604C0">
                          <w:pPr>
                            <w:spacing w:after="0" w:line="240" w:lineRule="auto"/>
                            <w:jc w:val="center"/>
                            <w:rPr>
                              <w:rFonts w:ascii="Times New Roman" w:hAnsi="Times New Roman" w:cs="Times New Roman"/>
                              <w:sz w:val="24"/>
                              <w:szCs w:val="24"/>
                              <w:lang w:val="kk-KZ"/>
                            </w:rPr>
                          </w:pPr>
                        </w:p>
                      </w:txbxContent>
                    </v:textbox>
                  </v:rect>
                  <v:shape id="Прямая со стрелкой 66" o:spid="_x0000_s1201" type="#_x0000_t32" style="position:absolute;left:39508;top:41061;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" strokecolor="black [3040]">
                    <v:stroke endarrow="block"/>
                    <o:lock v:ext="edit" shapetype="f"/>
                  </v:shape>
                  <v:rect id="_x0000_s1202" style="position:absolute;left:258;top:42959;width:1846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" fillcolor="white [3201]" strokecolor="black [3200]" strokeweight=".25pt">
                    <v:path arrowok="t"/>
                    <v:textbox>
                      <w:txbxContent>
                        <w:p w14:paraId="0418BF73"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Жергілікті атқарушы органға қаржы түседі</w:t>
                          </w:r>
                        </w:p>
                      </w:txbxContent>
                    </v:textbox>
                  </v:rect>
                  <v:rect id="_x0000_s1203" style="position:absolute;left:862;top:50378;width:17774;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" fillcolor="white [3201]" strokecolor="black [3200]" strokeweight=".25pt">
                    <v:path arrowok="t"/>
                    <v:textbox>
                      <w:txbxContent>
                        <w:p w14:paraId="44753EC6" w14:textId="77777777" w:rsidR="00D05956" w:rsidRDefault="00D05956" w:rsidP="000604C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Субсидия алушыларға үлестіреді</w:t>
                          </w:r>
                        </w:p>
                      </w:txbxContent>
                    </v:textbox>
                  </v:rect>
                  <v:shape id="Прямая со стрелкой 63" o:spid="_x0000_s1204" type="#_x0000_t32" style="position:absolute;left:9316;top:47962;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" strokecolor="black [3040]">
                    <v:stroke endarrow="block"/>
                    <o:lock v:ext="edit" shapetype="f"/>
                  </v:shape>
                  <v:rect id="_x0000_s1205" style="position:absolute;left:948;top:62455;width:1790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" fillcolor="white [3201]" strokecolor="black [3200]" strokeweight=".25pt">
                    <v:path arrowok="t"/>
                    <v:textbox>
                      <w:txbxContent>
                        <w:p w14:paraId="4F19BE86" w14:textId="77777777" w:rsidR="00D05956" w:rsidRDefault="00D05956" w:rsidP="00A9092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Субсидия алушылар есеп тапсырады</w:t>
                          </w:r>
                        </w:p>
                        <w:p w14:paraId="5BEA8B13" w14:textId="77777777" w:rsidR="00D05956" w:rsidRDefault="00D05956"/>
                      </w:txbxContent>
                    </v:textbox>
                  </v:rect>
                  <v:rect id="_x0000_s1206" style="position:absolute;left:22342;top:63145;width:358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" fillcolor="white [3201]" strokecolor="black [3200]" strokeweight=".25pt">
                    <v:path arrowok="t"/>
                    <v:textbox>
                      <w:txbxContent>
                        <w:p w14:paraId="532D13D3" w14:textId="77777777" w:rsidR="00D05956" w:rsidRDefault="00D05956" w:rsidP="00A9092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Статистика агенттігі негізінде ақпараттар жинақталады</w:t>
                          </w:r>
                        </w:p>
                        <w:p w14:paraId="299A08DC" w14:textId="77777777" w:rsidR="00D05956" w:rsidRDefault="00D05956"/>
                      </w:txbxContent>
                    </v:textbox>
                  </v:rect>
                  <v:shape id="Прямая со стрелкой 55" o:spid="_x0000_s1207" type="#_x0000_t32" style="position:absolute;left:39508;top:55122;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" strokecolor="black [3040]">
                    <v:stroke endarrow="block"/>
                    <o:lock v:ext="edit" shapetype="f"/>
                  </v:shape>
                  <v:shape id="Прямая со стрелкой 54" o:spid="_x0000_s1208" type="#_x0000_t32" style="position:absolute;left:30451;top:2846;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" strokecolor="black [3040]">
                    <v:stroke endarrow="block"/>
                    <o:lock v:ext="edit" shapetype="f"/>
                  </v:shape>
                  <v:rect id="_x0000_s1209" style="position:absolute;top:37093;width:1876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" fillcolor="white [3201]" strokecolor="black [3200]" strokeweight=".25pt">
                    <v:path arrowok="t"/>
                    <v:textbox>
                      <w:txbxContent>
                        <w:p w14:paraId="495B12C1" w14:textId="2F31C193" w:rsidR="00D05956" w:rsidRPr="00894E0B" w:rsidRDefault="00D05956" w:rsidP="00A9092D">
                          <w:pPr>
                            <w:spacing w:after="0" w:line="240" w:lineRule="auto"/>
                            <w:jc w:val="center"/>
                            <w:rPr>
                              <w:rFonts w:ascii="Times New Roman" w:hAnsi="Times New Roman" w:cs="Times New Roman"/>
                              <w:sz w:val="24"/>
                              <w:szCs w:val="24"/>
                              <w:lang w:val="kk-KZ"/>
                            </w:rPr>
                          </w:pPr>
                          <w:r w:rsidRPr="00894E0B">
                            <w:rPr>
                              <w:rFonts w:ascii="Times New Roman" w:hAnsi="Times New Roman" w:cs="Times New Roman"/>
                              <w:sz w:val="24"/>
                              <w:szCs w:val="24"/>
                              <w:lang w:val="kk-KZ"/>
                            </w:rPr>
                            <w:t>Бюджет орындалуы туралы есептілік дайындайды</w:t>
                          </w:r>
                        </w:p>
                      </w:txbxContent>
                    </v:textbox>
                  </v:rect>
                  <v:shape id="Прямая со стрелкой 52" o:spid="_x0000_s1210" type="#_x0000_t32" style="position:absolute;left:18978;top:64870;width:28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" strokecolor="black [3040]">
                    <v:stroke endarrow="block"/>
                    <o:lock v:ext="edit" shapetype="f"/>
                  </v:shape>
                  <v:rect id="_x0000_s1211" style="position:absolute;left:431;top:28639;width:18383;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" fillcolor="white [3201]" strokecolor="black [3200]" strokeweight=".25pt">
                    <v:path arrowok="t"/>
                    <v:textbox>
                      <w:txbxContent>
                        <w:p w14:paraId="798C1B78" w14:textId="0F4041CD" w:rsidR="00D05956" w:rsidRPr="00894E0B" w:rsidRDefault="00D05956" w:rsidP="00894E0B">
                          <w:pPr>
                            <w:spacing w:after="0" w:line="240" w:lineRule="auto"/>
                            <w:ind w:left="-70"/>
                            <w:jc w:val="center"/>
                            <w:rPr>
                              <w:rFonts w:ascii="Times New Roman" w:hAnsi="Times New Roman" w:cs="Times New Roman"/>
                              <w:sz w:val="24"/>
                              <w:szCs w:val="24"/>
                              <w:lang w:val="kk-KZ"/>
                            </w:rPr>
                          </w:pPr>
                          <w:r w:rsidRPr="00894E0B">
                            <w:rPr>
                              <w:rFonts w:ascii="Times New Roman" w:hAnsi="Times New Roman" w:cs="Times New Roman"/>
                              <w:sz w:val="24"/>
                              <w:szCs w:val="24"/>
                              <w:lang w:val="kk-KZ"/>
                            </w:rPr>
                            <w:t>ҚР Ұлттық қордан, ҚР Үкіметі резервінен қаржы бөлу туралы шешім</w:t>
                          </w:r>
                        </w:p>
                      </w:txbxContent>
                    </v:textbox>
                  </v:rect>
                  <v:line id="Прямая соединительная линия 86" o:spid="_x0000_s1212" style="position:absolute;visibility:visible;mso-wrap-style:square" from="7677,19064" to="48063,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" strokecolor="#4579b8 [3044]"/>
                  <v:shape id="Прямая со стрелкой 87" o:spid="_x0000_s1213" type="#_x0000_t32" style="position:absolute;left:35713;top:1923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" strokecolor="#4579b8 [3044]">
                    <v:stroke endarrow="block"/>
                  </v:shape>
                  <v:shape id="Прямая со стрелкой 87" o:spid="_x0000_s1214" type="#_x0000_t32" style="position:absolute;left:7850;top:17252;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" strokecolor="#4579b8 [3044]">
                    <v:stroke endarrow="block"/>
                  </v:shape>
                  <v:shape id="Прямая со стрелкой 87" o:spid="_x0000_s1215" type="#_x0000_t32" style="position:absolute;left:47962;top:17252;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" strokecolor="#4579b8 [3044]">
                    <v:stroke endarrow="block"/>
                  </v:shape>
                  <v:shape id="Прямая со стрелкой 87" o:spid="_x0000_s1216" type="#_x0000_t32" style="position:absolute;left:22687;top:17252;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" strokecolor="#4579b8 [3044]">
                    <v:stroke endarrow="block"/>
                  </v:shape>
                  <v:rect id="Прямоугольник 90" o:spid="_x0000_s1217" style="position:absolute;left:258;top:20962;width:1847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" fillcolor="white [3201]" strokecolor="black [3200]" strokeweight=".25pt">
                    <v:path arrowok="t"/>
                    <v:textbox>
                      <w:txbxContent>
                        <w:p w14:paraId="59C5C832" w14:textId="378B2C6C" w:rsidR="00D05956" w:rsidRDefault="00D05956" w:rsidP="00D739D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Бюджет қаражатына қажеттілік жоспарланады</w:t>
                          </w:r>
                        </w:p>
                        <w:p w14:paraId="139E0F24" w14:textId="77777777" w:rsidR="00D05956" w:rsidRDefault="00D05956" w:rsidP="00D739D0">
                          <w:pPr>
                            <w:spacing w:after="0" w:line="240" w:lineRule="auto"/>
                            <w:jc w:val="center"/>
                            <w:rPr>
                              <w:rFonts w:ascii="Times New Roman" w:hAnsi="Times New Roman" w:cs="Times New Roman"/>
                              <w:sz w:val="24"/>
                              <w:szCs w:val="24"/>
                              <w:lang w:val="kk-KZ"/>
                            </w:rPr>
                          </w:pPr>
                        </w:p>
                      </w:txbxContent>
                    </v:textbox>
                  </v:rect>
                  <v:shape id="Прямая со стрелкой 91" o:spid="_x0000_s1218" type="#_x0000_t32" style="position:absolute;left:19323;top:23895;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" strokecolor="#4579b8 [3044]">
                    <v:stroke endarrow="block"/>
                  </v:shape>
                  <v:shape id="Прямая со стрелкой 92" o:spid="_x0000_s1219" type="#_x0000_t32" style="position:absolute;left:19150;top:31831;width:2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" strokecolor="#4579b8 [3044]">
                    <v:stroke endarrow="block"/>
                  </v:shape>
                  <v:shape id="Прямая со стрелкой 93" o:spid="_x0000_s1220" type="#_x0000_t32" style="position:absolute;left:39336;top:27000;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" strokecolor="#4579b8 [3044]">
                    <v:stroke endarrow="block"/>
                  </v:shape>
                  <v:shape id="Прямая со стрелкой 95" o:spid="_x0000_s1221" type="#_x0000_t32" style="position:absolute;left:39336;top:3467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" strokecolor="#4579b8 [3044]">
                    <v:stroke endarrow="block"/>
                  </v:shape>
                  <v:shape id="Прямая со стрелкой 96" o:spid="_x0000_s1222" type="#_x0000_t32" style="position:absolute;left:18719;top:45547;width:3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" strokecolor="#4579b8 [3044]">
                    <v:stroke endarrow="block"/>
                  </v:shape>
                  <v:shape id="Прямая со стрелкой 97" o:spid="_x0000_s1223" type="#_x0000_t32" style="position:absolute;left:18891;top:38991;width:2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" strokecolor="#4579b8 [3044]">
                    <v:stroke endarrow="block"/>
                  </v:shape>
                  <v:rect id="Прямоугольник 99" o:spid="_x0000_s1224" style="position:absolute;left:21911;top:56934;width:3619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" fillcolor="white [3201]" strokecolor="black [3200]" strokeweight=".25pt">
                    <v:path arrowok="t"/>
                    <v:textbox>
                      <w:txbxContent>
                        <w:p w14:paraId="185739FF" w14:textId="36AC9F0A" w:rsidR="00D05956" w:rsidRDefault="00D05956" w:rsidP="003E46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АШМ Қаржы министрлігіне бюджет орындалуы туралы есеп тапсырады</w:t>
                          </w:r>
                        </w:p>
                        <w:p w14:paraId="12D088E9" w14:textId="77777777" w:rsidR="00D05956" w:rsidRDefault="00D05956"/>
                      </w:txbxContent>
                    </v:textbox>
                  </v:rect>
                  <v:shape id="Прямая со стрелкой 100" o:spid="_x0000_s1225" type="#_x0000_t32" style="position:absolute;left:18891;top:52362;width:31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" strokecolor="#4579b8 [3044]">
                    <v:stroke endarrow="block"/>
                  </v:shape>
                  <v:rect id="_x0000_s1226" style="position:absolute;left:1121;top:56675;width:18029;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" fillcolor="white [3201]" strokecolor="black [3200]" strokeweight=".25pt">
                    <v:path arrowok="t"/>
                    <v:textbox>
                      <w:txbxContent>
                        <w:p w14:paraId="18365895" w14:textId="70643FFC" w:rsidR="00D05956" w:rsidRDefault="00D05956" w:rsidP="003E468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 ЖАП қорытынды береді</w:t>
                          </w:r>
                        </w:p>
                      </w:txbxContent>
                    </v:textbox>
                  </v:rect>
                  <v:shape id="Прямая со стрелкой 103" o:spid="_x0000_s1227" type="#_x0000_t32" style="position:absolute;left:19323;top:59177;width: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" strokecolor="#4579b8 [3044]">
                    <v:stroke endarrow="block"/>
                  </v:shape>
                </v:group>
              </v:group>
            </w:pict>
          </mc:Fallback>
        </mc:AlternateContent>
      </w:r>
    </w:p>
    <w:p w14:paraId="09A3D2F6" w14:textId="7D3161D4"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6CE0EDF2" w14:textId="5559E7FD"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C15612A" w14:textId="77777777"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2B3D52AA" w14:textId="6B662F36"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6A990565" w14:textId="5D4256F8"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B70D208" w14:textId="3004F528"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2362453" w14:textId="132756FF"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721C2618" w14:textId="2707679C"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3CEE4B6D" w14:textId="05024FAC"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1CD063F3" w14:textId="23CE2049"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1972278" w14:textId="4F4FAB1F"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1E120A1F" w14:textId="54C78243"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351B0767" w14:textId="5382DAC0"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68F7CBFA" w14:textId="7094C70B"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55917F1" w14:textId="11F83169"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45F839BD" w14:textId="09DEAC75"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5ECBE28C" w14:textId="5877CCD0"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4EBEFB5C" w14:textId="49C90E8A"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FBDE4D9" w14:textId="3940BEDC"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30105F1" w14:textId="096225BA"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594DAF5D" w14:textId="16BA2D66"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144D6133" w14:textId="408CD3D0"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7796A6E8" w14:textId="0327ED10" w:rsidR="000604C0" w:rsidRPr="00457CE9" w:rsidRDefault="00686419" w:rsidP="00457CE9">
      <w:pPr>
        <w:tabs>
          <w:tab w:val="left" w:pos="160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954624" behindDoc="0" locked="0" layoutInCell="1" allowOverlap="1" wp14:anchorId="2DBE234E" wp14:editId="404DA458">
                <wp:simplePos x="0" y="0"/>
                <wp:positionH relativeFrom="column">
                  <wp:posOffset>4118335</wp:posOffset>
                </wp:positionH>
                <wp:positionV relativeFrom="paragraph">
                  <wp:posOffset>109964</wp:posOffset>
                </wp:positionV>
                <wp:extent cx="0" cy="222721"/>
                <wp:effectExtent l="76200" t="0" r="57150" b="63500"/>
                <wp:wrapNone/>
                <wp:docPr id="1317798903" name="Прямая со стрелкой 1"/>
                <wp:cNvGraphicFramePr/>
                <a:graphic xmlns:a="http://schemas.openxmlformats.org/drawingml/2006/main">
                  <a:graphicData uri="http://schemas.microsoft.com/office/word/2010/wordprocessingShape">
                    <wps:wsp>
                      <wps:cNvCnPr/>
                      <wps:spPr>
                        <a:xfrm>
                          <a:off x="0" y="0"/>
                          <a:ext cx="0" cy="2227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4388C" id="Прямая со стрелкой 1" o:spid="_x0000_s1026" type="#_x0000_t32" style="position:absolute;margin-left:324.3pt;margin-top:8.65pt;width:0;height:17.55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" strokecolor="#4579b8 [3044]">
                <v:stroke endarrow="block"/>
              </v:shape>
            </w:pict>
          </mc:Fallback>
        </mc:AlternateContent>
      </w:r>
    </w:p>
    <w:p w14:paraId="698E1A20" w14:textId="24E55BBA"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0B8D239B" w14:textId="2C7E6513"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409BACF4" w14:textId="54F2AC09"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2F46D699" w14:textId="4A8ACB7B"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4BA369C6" w14:textId="2E8ED750"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571DA1A0" w14:textId="3F5A27E5"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26CE6905" w14:textId="3058AD7D"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579F9BE3" w14:textId="32C6F02C"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212C40B6" w14:textId="31BDF578"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39BB5983" w14:textId="12E44436"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6365D6CC" w14:textId="4D12D25B"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6A0A850B" w14:textId="0E9F766E" w:rsidR="000604C0" w:rsidRPr="00457CE9" w:rsidRDefault="000604C0" w:rsidP="00457CE9">
      <w:pPr>
        <w:tabs>
          <w:tab w:val="left" w:pos="1605"/>
        </w:tabs>
        <w:spacing w:after="0" w:line="240" w:lineRule="auto"/>
        <w:ind w:firstLine="567"/>
        <w:jc w:val="both"/>
        <w:rPr>
          <w:rFonts w:ascii="Times New Roman" w:hAnsi="Times New Roman" w:cs="Times New Roman"/>
          <w:sz w:val="28"/>
          <w:szCs w:val="28"/>
          <w:lang w:val="kk-KZ"/>
        </w:rPr>
      </w:pPr>
    </w:p>
    <w:p w14:paraId="7F9ACCB2" w14:textId="305C92C7" w:rsidR="003E4686" w:rsidRPr="00457CE9" w:rsidRDefault="003E4686" w:rsidP="00457CE9">
      <w:pPr>
        <w:tabs>
          <w:tab w:val="left" w:pos="1605"/>
        </w:tabs>
        <w:spacing w:after="0" w:line="240" w:lineRule="auto"/>
        <w:ind w:firstLine="567"/>
        <w:jc w:val="both"/>
        <w:rPr>
          <w:rFonts w:ascii="Times New Roman" w:hAnsi="Times New Roman" w:cs="Times New Roman"/>
          <w:sz w:val="28"/>
          <w:szCs w:val="28"/>
          <w:lang w:val="kk-KZ"/>
        </w:rPr>
      </w:pPr>
    </w:p>
    <w:p w14:paraId="71D66551" w14:textId="77777777" w:rsidR="003E4686" w:rsidRPr="00894E0B" w:rsidRDefault="003E4686" w:rsidP="00457CE9">
      <w:pPr>
        <w:tabs>
          <w:tab w:val="left" w:pos="1605"/>
        </w:tabs>
        <w:spacing w:after="0" w:line="240" w:lineRule="auto"/>
        <w:ind w:firstLine="567"/>
        <w:jc w:val="both"/>
        <w:rPr>
          <w:rFonts w:ascii="Times New Roman" w:hAnsi="Times New Roman" w:cs="Times New Roman"/>
          <w:sz w:val="16"/>
          <w:szCs w:val="16"/>
          <w:lang w:val="kk-KZ"/>
        </w:rPr>
      </w:pPr>
    </w:p>
    <w:p w14:paraId="54EE32A4" w14:textId="03ECAAE9" w:rsidR="000604C0" w:rsidRPr="00457CE9" w:rsidRDefault="000604C0" w:rsidP="00064AAF">
      <w:pPr>
        <w:tabs>
          <w:tab w:val="left" w:pos="1605"/>
        </w:tabs>
        <w:spacing w:after="0" w:line="240" w:lineRule="auto"/>
        <w:jc w:val="center"/>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Сурет </w:t>
      </w:r>
      <w:r w:rsidR="004777CA">
        <w:rPr>
          <w:rFonts w:ascii="Times New Roman" w:hAnsi="Times New Roman" w:cs="Times New Roman"/>
          <w:sz w:val="28"/>
          <w:szCs w:val="28"/>
          <w:lang w:val="kk-KZ"/>
        </w:rPr>
        <w:t>2</w:t>
      </w:r>
      <w:r w:rsidR="00A23F7A">
        <w:rPr>
          <w:rFonts w:ascii="Times New Roman" w:hAnsi="Times New Roman" w:cs="Times New Roman"/>
          <w:sz w:val="28"/>
          <w:szCs w:val="28"/>
          <w:lang w:val="kk-KZ"/>
        </w:rPr>
        <w:t>1</w:t>
      </w:r>
      <w:r w:rsidRPr="00457CE9">
        <w:rPr>
          <w:rFonts w:ascii="Times New Roman" w:hAnsi="Times New Roman" w:cs="Times New Roman"/>
          <w:sz w:val="28"/>
          <w:szCs w:val="28"/>
          <w:lang w:val="kk-KZ"/>
        </w:rPr>
        <w:t xml:space="preserve"> </w:t>
      </w:r>
      <w:r w:rsidR="00064AAF">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ҚР АӨК-н дамытуға бөлінген бюджет қаражаты қозғалысыны</w:t>
      </w:r>
      <w:r w:rsidR="00686419">
        <w:rPr>
          <w:rFonts w:ascii="Times New Roman" w:hAnsi="Times New Roman" w:cs="Times New Roman"/>
          <w:sz w:val="28"/>
          <w:szCs w:val="28"/>
          <w:lang w:val="kk-KZ"/>
        </w:rPr>
        <w:t>ң</w:t>
      </w:r>
      <w:r w:rsidRPr="00457CE9">
        <w:rPr>
          <w:rFonts w:ascii="Times New Roman" w:hAnsi="Times New Roman" w:cs="Times New Roman"/>
          <w:sz w:val="28"/>
          <w:szCs w:val="28"/>
          <w:lang w:val="kk-KZ"/>
        </w:rPr>
        <w:t xml:space="preserve"> сызбасы</w:t>
      </w:r>
    </w:p>
    <w:p w14:paraId="0FEDAA07" w14:textId="77777777" w:rsidR="00894E0B" w:rsidRPr="00894E0B" w:rsidRDefault="00894E0B" w:rsidP="00064AAF">
      <w:pPr>
        <w:tabs>
          <w:tab w:val="left" w:pos="1605"/>
        </w:tabs>
        <w:spacing w:after="0" w:line="240" w:lineRule="auto"/>
        <w:ind w:firstLine="709"/>
        <w:jc w:val="both"/>
        <w:rPr>
          <w:rFonts w:ascii="Times New Roman" w:hAnsi="Times New Roman" w:cs="Times New Roman"/>
          <w:sz w:val="16"/>
          <w:szCs w:val="16"/>
          <w:lang w:val="kk-KZ"/>
        </w:rPr>
      </w:pPr>
    </w:p>
    <w:p w14:paraId="511991F2" w14:textId="5490DA59" w:rsidR="000604C0" w:rsidRPr="00716F95" w:rsidRDefault="000604C0" w:rsidP="00064AAF">
      <w:pPr>
        <w:tabs>
          <w:tab w:val="left" w:pos="1605"/>
        </w:tabs>
        <w:spacing w:after="0" w:line="240" w:lineRule="auto"/>
        <w:ind w:firstLine="709"/>
        <w:jc w:val="both"/>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Ескерту – </w:t>
      </w:r>
      <w:r w:rsidR="00064AAF" w:rsidRPr="00457CE9">
        <w:rPr>
          <w:rFonts w:ascii="Times New Roman" w:hAnsi="Times New Roman" w:cs="Times New Roman"/>
          <w:sz w:val="24"/>
          <w:szCs w:val="24"/>
          <w:lang w:val="kk-KZ"/>
        </w:rPr>
        <w:t xml:space="preserve">Зерттеу </w:t>
      </w:r>
      <w:r w:rsidRPr="00457CE9">
        <w:rPr>
          <w:rFonts w:ascii="Times New Roman" w:hAnsi="Times New Roman" w:cs="Times New Roman"/>
          <w:sz w:val="24"/>
          <w:szCs w:val="24"/>
          <w:lang w:val="kk-KZ"/>
        </w:rPr>
        <w:t>негізінде автормен құрастырылған</w:t>
      </w:r>
      <w:r w:rsidR="001978B6" w:rsidRPr="00716F95">
        <w:rPr>
          <w:rFonts w:ascii="Times New Roman" w:hAnsi="Times New Roman" w:cs="Times New Roman"/>
          <w:sz w:val="24"/>
          <w:szCs w:val="24"/>
          <w:lang w:val="kk-KZ"/>
        </w:rPr>
        <w:t xml:space="preserve"> </w:t>
      </w:r>
    </w:p>
    <w:p w14:paraId="53E76848" w14:textId="77777777" w:rsidR="001F4F0D" w:rsidRDefault="001F4F0D" w:rsidP="00457CE9">
      <w:pPr>
        <w:tabs>
          <w:tab w:val="left" w:pos="1605"/>
        </w:tabs>
        <w:spacing w:after="0" w:line="240" w:lineRule="auto"/>
        <w:ind w:firstLine="709"/>
        <w:jc w:val="both"/>
        <w:rPr>
          <w:rFonts w:ascii="Times New Roman" w:hAnsi="Times New Roman" w:cs="Times New Roman"/>
          <w:sz w:val="28"/>
          <w:szCs w:val="28"/>
          <w:lang w:val="kk-KZ"/>
        </w:rPr>
      </w:pPr>
    </w:p>
    <w:p w14:paraId="1614A2DE" w14:textId="533CBA07" w:rsidR="00FB2672" w:rsidRPr="002C5349" w:rsidRDefault="004777CA" w:rsidP="00457CE9">
      <w:pPr>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A23F7A">
        <w:rPr>
          <w:rFonts w:ascii="Times New Roman" w:hAnsi="Times New Roman" w:cs="Times New Roman"/>
          <w:sz w:val="28"/>
          <w:szCs w:val="28"/>
          <w:lang w:val="kk-KZ"/>
        </w:rPr>
        <w:t>1</w:t>
      </w:r>
      <w:r w:rsidR="00FB2672" w:rsidRPr="00457CE9">
        <w:rPr>
          <w:rFonts w:ascii="Times New Roman" w:hAnsi="Times New Roman" w:cs="Times New Roman"/>
          <w:sz w:val="28"/>
          <w:szCs w:val="28"/>
          <w:lang w:val="kk-KZ"/>
        </w:rPr>
        <w:t xml:space="preserve">-суреттен ҚР </w:t>
      </w:r>
      <w:r w:rsidR="00575788">
        <w:rPr>
          <w:rFonts w:ascii="Times New Roman" w:hAnsi="Times New Roman" w:cs="Times New Roman"/>
          <w:sz w:val="28"/>
          <w:szCs w:val="28"/>
          <w:lang w:val="kk-KZ"/>
        </w:rPr>
        <w:t>АӨК-н</w:t>
      </w:r>
      <w:r w:rsidR="00FB2672" w:rsidRPr="00457CE9">
        <w:rPr>
          <w:rFonts w:ascii="Times New Roman" w:hAnsi="Times New Roman" w:cs="Times New Roman"/>
          <w:sz w:val="28"/>
          <w:szCs w:val="28"/>
          <w:lang w:val="kk-KZ"/>
        </w:rPr>
        <w:t xml:space="preserve"> дамыту бағыттарын салалық департаменттері, көрсетілетін мемлекеттік қолдау </w:t>
      </w:r>
      <w:r w:rsidR="00FB2672" w:rsidRPr="002C5349">
        <w:rPr>
          <w:rFonts w:ascii="Times New Roman" w:hAnsi="Times New Roman" w:cs="Times New Roman"/>
          <w:sz w:val="28"/>
          <w:szCs w:val="28"/>
          <w:lang w:val="kk-KZ"/>
        </w:rPr>
        <w:t>түрлері мен көлемін анықтайтыны</w:t>
      </w:r>
      <w:r w:rsidR="00686419">
        <w:rPr>
          <w:rFonts w:ascii="Times New Roman" w:hAnsi="Times New Roman" w:cs="Times New Roman"/>
          <w:sz w:val="28"/>
          <w:szCs w:val="28"/>
          <w:lang w:val="kk-KZ"/>
        </w:rPr>
        <w:t>н</w:t>
      </w:r>
      <w:r w:rsidR="00FB2672" w:rsidRPr="002C5349">
        <w:rPr>
          <w:rFonts w:ascii="Times New Roman" w:hAnsi="Times New Roman" w:cs="Times New Roman"/>
          <w:sz w:val="28"/>
          <w:szCs w:val="28"/>
          <w:lang w:val="kk-KZ"/>
        </w:rPr>
        <w:t>, бюджет қаражатын алушылар тізімін, субсидия алу талаптарын белгілей</w:t>
      </w:r>
      <w:r w:rsidR="00686419">
        <w:rPr>
          <w:rFonts w:ascii="Times New Roman" w:hAnsi="Times New Roman" w:cs="Times New Roman"/>
          <w:sz w:val="28"/>
          <w:szCs w:val="28"/>
          <w:lang w:val="kk-KZ"/>
        </w:rPr>
        <w:t>т</w:t>
      </w:r>
      <w:r w:rsidR="00FB2672" w:rsidRPr="002C5349">
        <w:rPr>
          <w:rFonts w:ascii="Times New Roman" w:hAnsi="Times New Roman" w:cs="Times New Roman"/>
          <w:sz w:val="28"/>
          <w:szCs w:val="28"/>
          <w:lang w:val="kk-KZ"/>
        </w:rPr>
        <w:t>і</w:t>
      </w:r>
      <w:r w:rsidR="00686419">
        <w:rPr>
          <w:rFonts w:ascii="Times New Roman" w:hAnsi="Times New Roman" w:cs="Times New Roman"/>
          <w:sz w:val="28"/>
          <w:szCs w:val="28"/>
          <w:lang w:val="kk-KZ"/>
        </w:rPr>
        <w:t>нін</w:t>
      </w:r>
      <w:r w:rsidR="00FB2672" w:rsidRPr="002C5349">
        <w:rPr>
          <w:rFonts w:ascii="Times New Roman" w:hAnsi="Times New Roman" w:cs="Times New Roman"/>
          <w:sz w:val="28"/>
          <w:szCs w:val="28"/>
          <w:lang w:val="kk-KZ"/>
        </w:rPr>
        <w:t>, осының негізінде бюджет қаражатына қажеттілік анықталып жоспарланатынын көруге болады. Ауыл шаруашылығы министрлігінің қаржылық қамтамасыз ету департаменті бюджет қаражатының жоспарын республикалық бюджеттік комиссияға қарастыруға тапсырады. Республикалық бюджеттік комиссия жоспарды бекіткен соң, ҚР Қаржы министрлігі АШМ</w:t>
      </w:r>
      <w:r w:rsidR="00686419">
        <w:rPr>
          <w:rFonts w:ascii="Times New Roman" w:hAnsi="Times New Roman" w:cs="Times New Roman"/>
          <w:sz w:val="28"/>
          <w:szCs w:val="28"/>
          <w:lang w:val="kk-KZ"/>
        </w:rPr>
        <w:t>-не</w:t>
      </w:r>
      <w:r w:rsidR="00FB2672" w:rsidRPr="002C5349">
        <w:rPr>
          <w:rFonts w:ascii="Times New Roman" w:hAnsi="Times New Roman" w:cs="Times New Roman"/>
          <w:sz w:val="28"/>
          <w:szCs w:val="28"/>
          <w:lang w:val="kk-KZ"/>
        </w:rPr>
        <w:t xml:space="preserve"> бюджет қаражатын аударады. Қаржы жылының соңында қаржылық қамтамасыз ету департаменті бөлінген бюджет қаражатының қанша көлемі игерілгендігі туралы есепті дайындайды. Субсидия алушылар бойынша нақты мониторинг салалық департаменттермен толықтай бақыланбайды. </w:t>
      </w:r>
    </w:p>
    <w:p w14:paraId="1DFF7AE7" w14:textId="45219B35" w:rsidR="00FB2672" w:rsidRPr="00457CE9" w:rsidRDefault="00FB2672" w:rsidP="00457CE9">
      <w:pPr>
        <w:tabs>
          <w:tab w:val="left" w:pos="1605"/>
        </w:tabs>
        <w:spacing w:after="0" w:line="240" w:lineRule="auto"/>
        <w:ind w:firstLine="709"/>
        <w:jc w:val="both"/>
        <w:rPr>
          <w:rFonts w:ascii="Times New Roman" w:hAnsi="Times New Roman" w:cs="Times New Roman"/>
          <w:sz w:val="28"/>
          <w:szCs w:val="28"/>
          <w:lang w:val="kk-KZ"/>
        </w:rPr>
      </w:pPr>
      <w:r w:rsidRPr="002C5349">
        <w:rPr>
          <w:rFonts w:ascii="Times New Roman" w:hAnsi="Times New Roman" w:cs="Times New Roman"/>
          <w:sz w:val="28"/>
          <w:szCs w:val="28"/>
          <w:lang w:val="kk-KZ"/>
        </w:rPr>
        <w:t xml:space="preserve">ҚР Ауыл шаруашылығының орталық мемлекеттік орган ретінде </w:t>
      </w:r>
      <w:r w:rsidRPr="00457CE9">
        <w:rPr>
          <w:rFonts w:ascii="Times New Roman" w:hAnsi="Times New Roman" w:cs="Times New Roman"/>
          <w:sz w:val="28"/>
          <w:szCs w:val="28"/>
          <w:lang w:val="kk-KZ"/>
        </w:rPr>
        <w:t xml:space="preserve">негізгі функциясы бюджеттен түскен қаражатты қайта үлестіру болып табылады. АӨК дамыту бойынша мемлекеттік жоспарлау жүйесінің негізгі құжаттарындағы, квазимемлекеттік сектор субъектілерінің стратегиялық даму құжаттары мен бюджеттік бағдарлама көрсеткіштері арасындағы байланыс болмауы анықталған. Дер кезінде орындалмай жатқан іс-шаралардың себеп салдарын анықтау мақсатында жоспарланған нәтижелі көрсеткіштер мен іс-шаралардың нақты іс жүзінде іске асырылуының мониторингін толық қамтамасыз ету қажеттілігі туындап отыр. Салалық департаменттердің ресми сайтында бюджеттік бағдарламалар туралы есептіліктері жоқ. Мемлекеттік қолдау алушылардың, бюджеттік несиелерді мақсатқа сәйкес пайдаланылуының мониторингі жүзеге асырылмайтыны аудит кезінде анықталған. </w:t>
      </w:r>
    </w:p>
    <w:p w14:paraId="1A307ED8" w14:textId="74210930" w:rsidR="00256ECD" w:rsidRPr="00457CE9" w:rsidRDefault="00256ECD"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АӨК саласындағы 2016-2023 жылдар аралығында ЖАП-мен  бюджет қаражатын пайдаданудың тиімділік аудитін өткізу жоспары туралы ақпарат </w:t>
      </w:r>
      <w:r w:rsidR="007F5D1B">
        <w:rPr>
          <w:rFonts w:ascii="Times New Roman" w:hAnsi="Times New Roman" w:cs="Times New Roman"/>
          <w:sz w:val="28"/>
          <w:szCs w:val="28"/>
          <w:lang w:val="kk-KZ"/>
        </w:rPr>
        <w:t>41</w:t>
      </w:r>
      <w:r w:rsidRPr="00457CE9">
        <w:rPr>
          <w:rFonts w:ascii="Times New Roman" w:hAnsi="Times New Roman" w:cs="Times New Roman"/>
          <w:sz w:val="28"/>
          <w:szCs w:val="28"/>
          <w:lang w:val="kk-KZ"/>
        </w:rPr>
        <w:t>-кестеде келтірілген.</w:t>
      </w:r>
    </w:p>
    <w:p w14:paraId="517EF2FE" w14:textId="77777777" w:rsidR="00256ECD" w:rsidRPr="00457CE9" w:rsidRDefault="00256ECD" w:rsidP="00457CE9">
      <w:pPr>
        <w:spacing w:after="0" w:line="240" w:lineRule="auto"/>
        <w:jc w:val="both"/>
        <w:rPr>
          <w:rFonts w:ascii="Times New Roman" w:hAnsi="Times New Roman" w:cs="Times New Roman"/>
          <w:sz w:val="28"/>
          <w:szCs w:val="28"/>
          <w:lang w:val="kk-KZ"/>
        </w:rPr>
      </w:pPr>
    </w:p>
    <w:p w14:paraId="0E3CE1E7" w14:textId="3DA331A0" w:rsidR="00256ECD" w:rsidRDefault="00256ECD"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7F5D1B">
        <w:rPr>
          <w:rFonts w:ascii="Times New Roman" w:hAnsi="Times New Roman" w:cs="Times New Roman"/>
          <w:sz w:val="28"/>
          <w:szCs w:val="28"/>
          <w:lang w:val="kk-KZ"/>
        </w:rPr>
        <w:t>41</w:t>
      </w:r>
      <w:r w:rsidRPr="00457CE9">
        <w:rPr>
          <w:rFonts w:ascii="Times New Roman" w:hAnsi="Times New Roman" w:cs="Times New Roman"/>
          <w:sz w:val="28"/>
          <w:szCs w:val="28"/>
          <w:lang w:val="kk-KZ"/>
        </w:rPr>
        <w:t xml:space="preserve"> – ҚР АӨК саласындағы 2016-2023 жылдар аралығында ЖАП-мен өткізілген бюджет қаражатын пайдадану тиімділі</w:t>
      </w:r>
      <w:r w:rsidR="00D71245">
        <w:rPr>
          <w:rFonts w:ascii="Times New Roman" w:hAnsi="Times New Roman" w:cs="Times New Roman"/>
          <w:sz w:val="28"/>
          <w:szCs w:val="28"/>
          <w:lang w:val="kk-KZ"/>
        </w:rPr>
        <w:t>гінің</w:t>
      </w:r>
      <w:r w:rsidRPr="00457CE9">
        <w:rPr>
          <w:rFonts w:ascii="Times New Roman" w:hAnsi="Times New Roman" w:cs="Times New Roman"/>
          <w:sz w:val="28"/>
          <w:szCs w:val="28"/>
          <w:lang w:val="kk-KZ"/>
        </w:rPr>
        <w:t xml:space="preserve"> аудиті туралы ақпарат</w:t>
      </w:r>
    </w:p>
    <w:p w14:paraId="0FBDDA83" w14:textId="77777777" w:rsidR="004777CA" w:rsidRPr="004777CA" w:rsidRDefault="004777CA" w:rsidP="00457CE9">
      <w:pPr>
        <w:spacing w:after="0" w:line="240" w:lineRule="auto"/>
        <w:jc w:val="both"/>
        <w:rPr>
          <w:rFonts w:ascii="Times New Roman" w:hAnsi="Times New Roman" w:cs="Times New Roman"/>
          <w:sz w:val="16"/>
          <w:szCs w:val="16"/>
          <w:lang w:val="kk-KZ"/>
        </w:rPr>
      </w:pPr>
    </w:p>
    <w:tbl>
      <w:tblPr>
        <w:tblStyle w:val="a3"/>
        <w:tblW w:w="9608" w:type="dxa"/>
        <w:jc w:val="center"/>
        <w:tblLook w:val="04A0" w:firstRow="1" w:lastRow="0" w:firstColumn="1" w:lastColumn="0" w:noHBand="0" w:noVBand="1"/>
      </w:tblPr>
      <w:tblGrid>
        <w:gridCol w:w="1091"/>
        <w:gridCol w:w="966"/>
        <w:gridCol w:w="3625"/>
        <w:gridCol w:w="1841"/>
        <w:gridCol w:w="2085"/>
      </w:tblGrid>
      <w:tr w:rsidR="00256ECD" w:rsidRPr="00805B3E" w14:paraId="43CFA79C" w14:textId="77777777" w:rsidTr="004777CA">
        <w:trPr>
          <w:trHeight w:val="58"/>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50B31669" w14:textId="14BF0BD6" w:rsidR="00256ECD" w:rsidRPr="00BB2991" w:rsidRDefault="00256ECD" w:rsidP="004777CA">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Жылдар</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F9C88" w14:textId="77777777" w:rsidR="00256ECD" w:rsidRPr="00BB2991" w:rsidRDefault="00256ECD" w:rsidP="004777CA">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Объект саны</w:t>
            </w:r>
          </w:p>
        </w:tc>
        <w:tc>
          <w:tcPr>
            <w:tcW w:w="3625" w:type="dxa"/>
            <w:tcBorders>
              <w:top w:val="single" w:sz="4" w:space="0" w:color="auto"/>
              <w:left w:val="single" w:sz="4" w:space="0" w:color="auto"/>
              <w:bottom w:val="single" w:sz="4" w:space="0" w:color="auto"/>
              <w:right w:val="single" w:sz="4" w:space="0" w:color="auto"/>
            </w:tcBorders>
            <w:vAlign w:val="center"/>
            <w:hideMark/>
          </w:tcPr>
          <w:p w14:paraId="31D4AD7A" w14:textId="77777777" w:rsidR="00256ECD" w:rsidRPr="00BB2991" w:rsidRDefault="00256ECD" w:rsidP="004777CA">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Қаржы көзі</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70FF145" w14:textId="77777777" w:rsidR="00256ECD" w:rsidRPr="00BB2991" w:rsidRDefault="00256ECD" w:rsidP="004777CA">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Қаржы көлемі, млн. теңге</w:t>
            </w:r>
          </w:p>
        </w:tc>
        <w:tc>
          <w:tcPr>
            <w:tcW w:w="2085" w:type="dxa"/>
            <w:tcBorders>
              <w:top w:val="single" w:sz="4" w:space="0" w:color="auto"/>
              <w:left w:val="single" w:sz="4" w:space="0" w:color="auto"/>
              <w:bottom w:val="single" w:sz="4" w:space="0" w:color="auto"/>
              <w:right w:val="single" w:sz="4" w:space="0" w:color="auto"/>
            </w:tcBorders>
            <w:vAlign w:val="center"/>
            <w:hideMark/>
          </w:tcPr>
          <w:p w14:paraId="49A7C223" w14:textId="77777777" w:rsidR="00256ECD" w:rsidRPr="00BB2991" w:rsidRDefault="00256ECD" w:rsidP="004777CA">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Нақты жұмсалған қаржы, млн.теңге</w:t>
            </w:r>
          </w:p>
        </w:tc>
      </w:tr>
      <w:tr w:rsidR="00256ECD" w:rsidRPr="00BB2991" w14:paraId="45FF0D68"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105DDEEC"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2016</w:t>
            </w:r>
          </w:p>
        </w:tc>
        <w:tc>
          <w:tcPr>
            <w:tcW w:w="966" w:type="dxa"/>
            <w:tcBorders>
              <w:top w:val="single" w:sz="4" w:space="0" w:color="auto"/>
              <w:left w:val="single" w:sz="4" w:space="0" w:color="auto"/>
              <w:bottom w:val="single" w:sz="4" w:space="0" w:color="auto"/>
              <w:right w:val="single" w:sz="4" w:space="0" w:color="auto"/>
            </w:tcBorders>
            <w:vAlign w:val="center"/>
            <w:hideMark/>
          </w:tcPr>
          <w:p w14:paraId="7C3DAFA4"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35</w:t>
            </w:r>
          </w:p>
        </w:tc>
        <w:tc>
          <w:tcPr>
            <w:tcW w:w="3625" w:type="dxa"/>
            <w:tcBorders>
              <w:top w:val="single" w:sz="4" w:space="0" w:color="auto"/>
              <w:left w:val="single" w:sz="4" w:space="0" w:color="auto"/>
              <w:bottom w:val="single" w:sz="4" w:space="0" w:color="auto"/>
              <w:right w:val="single" w:sz="4" w:space="0" w:color="auto"/>
            </w:tcBorders>
            <w:hideMark/>
          </w:tcPr>
          <w:p w14:paraId="65881159"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00E7D64"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rPr>
              <w:t>2534,2</w:t>
            </w:r>
          </w:p>
        </w:tc>
        <w:tc>
          <w:tcPr>
            <w:tcW w:w="2085" w:type="dxa"/>
            <w:tcBorders>
              <w:top w:val="single" w:sz="4" w:space="0" w:color="auto"/>
              <w:left w:val="single" w:sz="4" w:space="0" w:color="auto"/>
              <w:bottom w:val="single" w:sz="4" w:space="0" w:color="auto"/>
              <w:right w:val="single" w:sz="4" w:space="0" w:color="auto"/>
            </w:tcBorders>
            <w:vAlign w:val="center"/>
            <w:hideMark/>
          </w:tcPr>
          <w:p w14:paraId="36ED3B0C"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326201,1</w:t>
            </w:r>
          </w:p>
        </w:tc>
      </w:tr>
      <w:tr w:rsidR="00256ECD" w:rsidRPr="00BB2991" w14:paraId="6A06912A"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64B224A6"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2017</w:t>
            </w:r>
          </w:p>
        </w:tc>
        <w:tc>
          <w:tcPr>
            <w:tcW w:w="966" w:type="dxa"/>
            <w:tcBorders>
              <w:top w:val="single" w:sz="4" w:space="0" w:color="auto"/>
              <w:left w:val="single" w:sz="4" w:space="0" w:color="auto"/>
              <w:bottom w:val="single" w:sz="4" w:space="0" w:color="auto"/>
              <w:right w:val="single" w:sz="4" w:space="0" w:color="auto"/>
            </w:tcBorders>
            <w:vAlign w:val="center"/>
            <w:hideMark/>
          </w:tcPr>
          <w:p w14:paraId="2134D44A"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15</w:t>
            </w:r>
          </w:p>
        </w:tc>
        <w:tc>
          <w:tcPr>
            <w:tcW w:w="3625" w:type="dxa"/>
            <w:tcBorders>
              <w:top w:val="single" w:sz="4" w:space="0" w:color="auto"/>
              <w:left w:val="single" w:sz="4" w:space="0" w:color="auto"/>
              <w:bottom w:val="single" w:sz="4" w:space="0" w:color="auto"/>
              <w:right w:val="single" w:sz="4" w:space="0" w:color="auto"/>
            </w:tcBorders>
            <w:hideMark/>
          </w:tcPr>
          <w:p w14:paraId="02C0E883"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DA4A3F6"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rPr>
              <w:t>67910,36</w:t>
            </w:r>
          </w:p>
        </w:tc>
        <w:tc>
          <w:tcPr>
            <w:tcW w:w="2085" w:type="dxa"/>
            <w:tcBorders>
              <w:top w:val="single" w:sz="4" w:space="0" w:color="auto"/>
              <w:left w:val="single" w:sz="4" w:space="0" w:color="auto"/>
              <w:bottom w:val="single" w:sz="4" w:space="0" w:color="auto"/>
              <w:right w:val="single" w:sz="4" w:space="0" w:color="auto"/>
            </w:tcBorders>
            <w:vAlign w:val="center"/>
            <w:hideMark/>
          </w:tcPr>
          <w:p w14:paraId="7032DAF3"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346276,9</w:t>
            </w:r>
          </w:p>
        </w:tc>
      </w:tr>
      <w:tr w:rsidR="00256ECD" w:rsidRPr="00BB2991" w14:paraId="1C45E8F0"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18FBDFE3"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2018</w:t>
            </w:r>
          </w:p>
        </w:tc>
        <w:tc>
          <w:tcPr>
            <w:tcW w:w="966" w:type="dxa"/>
            <w:tcBorders>
              <w:top w:val="single" w:sz="4" w:space="0" w:color="auto"/>
              <w:left w:val="single" w:sz="4" w:space="0" w:color="auto"/>
              <w:bottom w:val="single" w:sz="4" w:space="0" w:color="auto"/>
              <w:right w:val="single" w:sz="4" w:space="0" w:color="auto"/>
            </w:tcBorders>
            <w:vAlign w:val="center"/>
            <w:hideMark/>
          </w:tcPr>
          <w:p w14:paraId="11C8C2F6"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22</w:t>
            </w:r>
          </w:p>
        </w:tc>
        <w:tc>
          <w:tcPr>
            <w:tcW w:w="3625" w:type="dxa"/>
            <w:tcBorders>
              <w:top w:val="single" w:sz="4" w:space="0" w:color="auto"/>
              <w:left w:val="single" w:sz="4" w:space="0" w:color="auto"/>
              <w:bottom w:val="single" w:sz="4" w:space="0" w:color="auto"/>
              <w:right w:val="single" w:sz="4" w:space="0" w:color="auto"/>
            </w:tcBorders>
            <w:hideMark/>
          </w:tcPr>
          <w:p w14:paraId="5DEC1362"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4B08366"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rPr>
              <w:t>1012552,9</w:t>
            </w:r>
          </w:p>
        </w:tc>
        <w:tc>
          <w:tcPr>
            <w:tcW w:w="2085" w:type="dxa"/>
            <w:tcBorders>
              <w:top w:val="single" w:sz="4" w:space="0" w:color="auto"/>
              <w:left w:val="single" w:sz="4" w:space="0" w:color="auto"/>
              <w:bottom w:val="single" w:sz="4" w:space="0" w:color="auto"/>
              <w:right w:val="single" w:sz="4" w:space="0" w:color="auto"/>
            </w:tcBorders>
            <w:vAlign w:val="center"/>
            <w:hideMark/>
          </w:tcPr>
          <w:p w14:paraId="42ADB001"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402931,2</w:t>
            </w:r>
          </w:p>
        </w:tc>
      </w:tr>
      <w:tr w:rsidR="00256ECD" w:rsidRPr="00BB2991" w14:paraId="59F8EE57"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4105F91B"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2019</w:t>
            </w:r>
          </w:p>
        </w:tc>
        <w:tc>
          <w:tcPr>
            <w:tcW w:w="966" w:type="dxa"/>
            <w:tcBorders>
              <w:top w:val="single" w:sz="4" w:space="0" w:color="auto"/>
              <w:left w:val="single" w:sz="4" w:space="0" w:color="auto"/>
              <w:bottom w:val="single" w:sz="4" w:space="0" w:color="auto"/>
              <w:right w:val="single" w:sz="4" w:space="0" w:color="auto"/>
            </w:tcBorders>
            <w:vAlign w:val="center"/>
            <w:hideMark/>
          </w:tcPr>
          <w:p w14:paraId="1D326A4F"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26</w:t>
            </w:r>
          </w:p>
        </w:tc>
        <w:tc>
          <w:tcPr>
            <w:tcW w:w="3625" w:type="dxa"/>
            <w:tcBorders>
              <w:top w:val="single" w:sz="4" w:space="0" w:color="auto"/>
              <w:left w:val="single" w:sz="4" w:space="0" w:color="auto"/>
              <w:bottom w:val="single" w:sz="4" w:space="0" w:color="auto"/>
              <w:right w:val="single" w:sz="4" w:space="0" w:color="auto"/>
            </w:tcBorders>
            <w:hideMark/>
          </w:tcPr>
          <w:p w14:paraId="322528F3"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6A0BA5B"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lang w:val="kk-KZ"/>
              </w:rPr>
              <w:t>2811108</w:t>
            </w:r>
          </w:p>
        </w:tc>
        <w:tc>
          <w:tcPr>
            <w:tcW w:w="2085" w:type="dxa"/>
            <w:tcBorders>
              <w:top w:val="single" w:sz="4" w:space="0" w:color="auto"/>
              <w:left w:val="single" w:sz="4" w:space="0" w:color="auto"/>
              <w:bottom w:val="single" w:sz="4" w:space="0" w:color="auto"/>
              <w:right w:val="single" w:sz="4" w:space="0" w:color="auto"/>
            </w:tcBorders>
            <w:vAlign w:val="center"/>
            <w:hideMark/>
          </w:tcPr>
          <w:p w14:paraId="6F1A2B38"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469353,9</w:t>
            </w:r>
          </w:p>
        </w:tc>
      </w:tr>
      <w:tr w:rsidR="00256ECD" w:rsidRPr="00BB2991" w14:paraId="1FD1B535"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3DDC6822"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2020</w:t>
            </w:r>
          </w:p>
        </w:tc>
        <w:tc>
          <w:tcPr>
            <w:tcW w:w="966" w:type="dxa"/>
            <w:tcBorders>
              <w:top w:val="single" w:sz="4" w:space="0" w:color="auto"/>
              <w:left w:val="single" w:sz="4" w:space="0" w:color="auto"/>
              <w:bottom w:val="single" w:sz="4" w:space="0" w:color="auto"/>
              <w:right w:val="single" w:sz="4" w:space="0" w:color="auto"/>
            </w:tcBorders>
            <w:vAlign w:val="center"/>
            <w:hideMark/>
          </w:tcPr>
          <w:p w14:paraId="4B93A2BD"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13</w:t>
            </w:r>
          </w:p>
        </w:tc>
        <w:tc>
          <w:tcPr>
            <w:tcW w:w="3625" w:type="dxa"/>
            <w:tcBorders>
              <w:top w:val="single" w:sz="4" w:space="0" w:color="auto"/>
              <w:left w:val="single" w:sz="4" w:space="0" w:color="auto"/>
              <w:bottom w:val="single" w:sz="4" w:space="0" w:color="auto"/>
              <w:right w:val="single" w:sz="4" w:space="0" w:color="auto"/>
            </w:tcBorders>
            <w:hideMark/>
          </w:tcPr>
          <w:p w14:paraId="79D703F3"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8BF7292"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rPr>
              <w:t>1122152,1</w:t>
            </w:r>
          </w:p>
        </w:tc>
        <w:tc>
          <w:tcPr>
            <w:tcW w:w="2085" w:type="dxa"/>
            <w:tcBorders>
              <w:top w:val="single" w:sz="4" w:space="0" w:color="auto"/>
              <w:left w:val="single" w:sz="4" w:space="0" w:color="auto"/>
              <w:bottom w:val="single" w:sz="4" w:space="0" w:color="auto"/>
              <w:right w:val="single" w:sz="4" w:space="0" w:color="auto"/>
            </w:tcBorders>
            <w:vAlign w:val="center"/>
            <w:hideMark/>
          </w:tcPr>
          <w:p w14:paraId="739B1717"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423308,4</w:t>
            </w:r>
          </w:p>
        </w:tc>
      </w:tr>
      <w:tr w:rsidR="00256ECD" w:rsidRPr="00BB2991" w14:paraId="4D13DED4"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4B2182CD"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2021</w:t>
            </w:r>
          </w:p>
        </w:tc>
        <w:tc>
          <w:tcPr>
            <w:tcW w:w="966" w:type="dxa"/>
            <w:tcBorders>
              <w:top w:val="single" w:sz="4" w:space="0" w:color="auto"/>
              <w:left w:val="single" w:sz="4" w:space="0" w:color="auto"/>
              <w:bottom w:val="single" w:sz="4" w:space="0" w:color="auto"/>
              <w:right w:val="single" w:sz="4" w:space="0" w:color="auto"/>
            </w:tcBorders>
            <w:vAlign w:val="center"/>
            <w:hideMark/>
          </w:tcPr>
          <w:p w14:paraId="5FA3D66D"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13</w:t>
            </w:r>
          </w:p>
        </w:tc>
        <w:tc>
          <w:tcPr>
            <w:tcW w:w="3625" w:type="dxa"/>
            <w:tcBorders>
              <w:top w:val="single" w:sz="4" w:space="0" w:color="auto"/>
              <w:left w:val="single" w:sz="4" w:space="0" w:color="auto"/>
              <w:bottom w:val="single" w:sz="4" w:space="0" w:color="auto"/>
              <w:right w:val="single" w:sz="4" w:space="0" w:color="auto"/>
            </w:tcBorders>
            <w:hideMark/>
          </w:tcPr>
          <w:p w14:paraId="2B65F947"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 Ұлттық қор</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218DEEE"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rPr>
              <w:t>33647,47</w:t>
            </w:r>
          </w:p>
        </w:tc>
        <w:tc>
          <w:tcPr>
            <w:tcW w:w="2085" w:type="dxa"/>
            <w:tcBorders>
              <w:top w:val="single" w:sz="4" w:space="0" w:color="auto"/>
              <w:left w:val="single" w:sz="4" w:space="0" w:color="auto"/>
              <w:bottom w:val="single" w:sz="4" w:space="0" w:color="auto"/>
              <w:right w:val="single" w:sz="4" w:space="0" w:color="auto"/>
            </w:tcBorders>
            <w:vAlign w:val="center"/>
            <w:hideMark/>
          </w:tcPr>
          <w:p w14:paraId="0F2D048A"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407042,7</w:t>
            </w:r>
          </w:p>
        </w:tc>
      </w:tr>
      <w:tr w:rsidR="00256ECD" w:rsidRPr="00BB2991" w14:paraId="0FF833C2"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0E583A71"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2022</w:t>
            </w:r>
          </w:p>
        </w:tc>
        <w:tc>
          <w:tcPr>
            <w:tcW w:w="966" w:type="dxa"/>
            <w:tcBorders>
              <w:top w:val="single" w:sz="4" w:space="0" w:color="auto"/>
              <w:left w:val="single" w:sz="4" w:space="0" w:color="auto"/>
              <w:bottom w:val="single" w:sz="4" w:space="0" w:color="auto"/>
              <w:right w:val="single" w:sz="4" w:space="0" w:color="auto"/>
            </w:tcBorders>
            <w:vAlign w:val="center"/>
            <w:hideMark/>
          </w:tcPr>
          <w:p w14:paraId="69C6C934"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3</w:t>
            </w:r>
          </w:p>
        </w:tc>
        <w:tc>
          <w:tcPr>
            <w:tcW w:w="3625" w:type="dxa"/>
            <w:tcBorders>
              <w:top w:val="single" w:sz="4" w:space="0" w:color="auto"/>
              <w:left w:val="single" w:sz="4" w:space="0" w:color="auto"/>
              <w:bottom w:val="single" w:sz="4" w:space="0" w:color="auto"/>
              <w:right w:val="single" w:sz="4" w:space="0" w:color="auto"/>
            </w:tcBorders>
            <w:hideMark/>
          </w:tcPr>
          <w:p w14:paraId="0A21CD06"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 Ұлттық қор</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DC31FB1"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color w:val="000000"/>
                <w:sz w:val="24"/>
                <w:szCs w:val="24"/>
              </w:rPr>
              <w:t>64637,3</w:t>
            </w:r>
          </w:p>
        </w:tc>
        <w:tc>
          <w:tcPr>
            <w:tcW w:w="2085" w:type="dxa"/>
            <w:tcBorders>
              <w:top w:val="single" w:sz="4" w:space="0" w:color="auto"/>
              <w:left w:val="single" w:sz="4" w:space="0" w:color="auto"/>
              <w:bottom w:val="single" w:sz="4" w:space="0" w:color="auto"/>
              <w:right w:val="single" w:sz="4" w:space="0" w:color="auto"/>
            </w:tcBorders>
            <w:vAlign w:val="center"/>
            <w:hideMark/>
          </w:tcPr>
          <w:p w14:paraId="51A3B233"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561896,1</w:t>
            </w:r>
          </w:p>
        </w:tc>
      </w:tr>
      <w:tr w:rsidR="00256ECD" w:rsidRPr="00BB2991" w14:paraId="5103710D"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3FE65C2A"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2023</w:t>
            </w:r>
          </w:p>
        </w:tc>
        <w:tc>
          <w:tcPr>
            <w:tcW w:w="966" w:type="dxa"/>
            <w:tcBorders>
              <w:top w:val="single" w:sz="4" w:space="0" w:color="auto"/>
              <w:left w:val="single" w:sz="4" w:space="0" w:color="auto"/>
              <w:bottom w:val="single" w:sz="4" w:space="0" w:color="auto"/>
              <w:right w:val="single" w:sz="4" w:space="0" w:color="auto"/>
            </w:tcBorders>
            <w:vAlign w:val="center"/>
            <w:hideMark/>
          </w:tcPr>
          <w:p w14:paraId="036A8410"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4</w:t>
            </w:r>
          </w:p>
        </w:tc>
        <w:tc>
          <w:tcPr>
            <w:tcW w:w="3625" w:type="dxa"/>
            <w:tcBorders>
              <w:top w:val="single" w:sz="4" w:space="0" w:color="auto"/>
              <w:left w:val="single" w:sz="4" w:space="0" w:color="auto"/>
              <w:bottom w:val="single" w:sz="4" w:space="0" w:color="auto"/>
              <w:right w:val="single" w:sz="4" w:space="0" w:color="auto"/>
            </w:tcBorders>
            <w:hideMark/>
          </w:tcPr>
          <w:p w14:paraId="28591442" w14:textId="77777777" w:rsidR="00256ECD" w:rsidRPr="00BB2991" w:rsidRDefault="00256ECD" w:rsidP="00457CE9">
            <w:pPr>
              <w:rPr>
                <w:rFonts w:ascii="Times New Roman" w:hAnsi="Times New Roman" w:cs="Times New Roman"/>
                <w:sz w:val="24"/>
                <w:szCs w:val="24"/>
                <w:lang w:val="kk-KZ"/>
              </w:rPr>
            </w:pPr>
            <w:r w:rsidRPr="00BB2991">
              <w:rPr>
                <w:rFonts w:ascii="Times New Roman" w:hAnsi="Times New Roman" w:cs="Times New Roman"/>
                <w:sz w:val="24"/>
                <w:szCs w:val="24"/>
                <w:lang w:val="kk-KZ"/>
              </w:rPr>
              <w:t>Республикалық бюджет, жергілікті бюджет</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C6AF586"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25111,2</w:t>
            </w:r>
          </w:p>
        </w:tc>
        <w:tc>
          <w:tcPr>
            <w:tcW w:w="2085" w:type="dxa"/>
            <w:tcBorders>
              <w:top w:val="single" w:sz="4" w:space="0" w:color="auto"/>
              <w:left w:val="single" w:sz="4" w:space="0" w:color="auto"/>
              <w:bottom w:val="single" w:sz="4" w:space="0" w:color="auto"/>
              <w:right w:val="single" w:sz="4" w:space="0" w:color="auto"/>
            </w:tcBorders>
            <w:vAlign w:val="center"/>
            <w:hideMark/>
          </w:tcPr>
          <w:p w14:paraId="2E5A15CF"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w:t>
            </w:r>
          </w:p>
        </w:tc>
      </w:tr>
      <w:tr w:rsidR="00256ECD" w:rsidRPr="00BB2991" w14:paraId="422E8A7B" w14:textId="77777777" w:rsidTr="004777CA">
        <w:trPr>
          <w:jc w:val="center"/>
        </w:trPr>
        <w:tc>
          <w:tcPr>
            <w:tcW w:w="1091" w:type="dxa"/>
            <w:tcBorders>
              <w:top w:val="single" w:sz="4" w:space="0" w:color="auto"/>
              <w:left w:val="single" w:sz="4" w:space="0" w:color="auto"/>
              <w:bottom w:val="single" w:sz="4" w:space="0" w:color="auto"/>
              <w:right w:val="single" w:sz="4" w:space="0" w:color="auto"/>
            </w:tcBorders>
            <w:hideMark/>
          </w:tcPr>
          <w:p w14:paraId="0C14EB2C"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Жалпы</w:t>
            </w:r>
          </w:p>
        </w:tc>
        <w:tc>
          <w:tcPr>
            <w:tcW w:w="966" w:type="dxa"/>
            <w:tcBorders>
              <w:top w:val="single" w:sz="4" w:space="0" w:color="auto"/>
              <w:left w:val="single" w:sz="4" w:space="0" w:color="auto"/>
              <w:bottom w:val="single" w:sz="4" w:space="0" w:color="auto"/>
              <w:right w:val="single" w:sz="4" w:space="0" w:color="auto"/>
            </w:tcBorders>
            <w:hideMark/>
          </w:tcPr>
          <w:p w14:paraId="198EBC98"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131</w:t>
            </w:r>
          </w:p>
        </w:tc>
        <w:tc>
          <w:tcPr>
            <w:tcW w:w="3625" w:type="dxa"/>
            <w:tcBorders>
              <w:top w:val="single" w:sz="4" w:space="0" w:color="auto"/>
              <w:left w:val="single" w:sz="4" w:space="0" w:color="auto"/>
              <w:bottom w:val="single" w:sz="4" w:space="0" w:color="auto"/>
              <w:right w:val="single" w:sz="4" w:space="0" w:color="auto"/>
            </w:tcBorders>
            <w:hideMark/>
          </w:tcPr>
          <w:p w14:paraId="13E5E33F" w14:textId="77777777" w:rsidR="00256ECD" w:rsidRPr="00BB2991" w:rsidRDefault="00256ECD" w:rsidP="00457CE9">
            <w:pPr>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х</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54B9B0F" w14:textId="77777777" w:rsidR="00256ECD" w:rsidRPr="00BB2991" w:rsidRDefault="00256ECD" w:rsidP="00457CE9">
            <w:pPr>
              <w:jc w:val="center"/>
              <w:rPr>
                <w:rFonts w:ascii="Times New Roman" w:hAnsi="Times New Roman" w:cs="Times New Roman"/>
                <w:color w:val="000000"/>
                <w:sz w:val="24"/>
                <w:szCs w:val="24"/>
                <w:lang w:val="kk-KZ"/>
              </w:rPr>
            </w:pPr>
            <w:r w:rsidRPr="00BB2991">
              <w:rPr>
                <w:rFonts w:ascii="Times New Roman" w:hAnsi="Times New Roman" w:cs="Times New Roman"/>
                <w:color w:val="000000"/>
                <w:sz w:val="24"/>
                <w:szCs w:val="24"/>
                <w:lang w:val="kk-KZ"/>
              </w:rPr>
              <w:t>х</w:t>
            </w:r>
          </w:p>
        </w:tc>
        <w:tc>
          <w:tcPr>
            <w:tcW w:w="2085" w:type="dxa"/>
            <w:tcBorders>
              <w:top w:val="single" w:sz="4" w:space="0" w:color="auto"/>
              <w:left w:val="single" w:sz="4" w:space="0" w:color="auto"/>
              <w:bottom w:val="single" w:sz="4" w:space="0" w:color="auto"/>
              <w:right w:val="single" w:sz="4" w:space="0" w:color="auto"/>
            </w:tcBorders>
            <w:vAlign w:val="center"/>
            <w:hideMark/>
          </w:tcPr>
          <w:p w14:paraId="708890F9" w14:textId="77777777" w:rsidR="00256ECD" w:rsidRPr="00BB2991" w:rsidRDefault="00256ECD" w:rsidP="00457CE9">
            <w:pPr>
              <w:jc w:val="center"/>
              <w:rPr>
                <w:rFonts w:ascii="Times New Roman" w:hAnsi="Times New Roman" w:cs="Times New Roman"/>
                <w:sz w:val="24"/>
                <w:szCs w:val="24"/>
              </w:rPr>
            </w:pPr>
            <w:r w:rsidRPr="00BB2991">
              <w:rPr>
                <w:rFonts w:ascii="Times New Roman" w:hAnsi="Times New Roman" w:cs="Times New Roman"/>
                <w:sz w:val="24"/>
                <w:szCs w:val="24"/>
              </w:rPr>
              <w:t>2937010</w:t>
            </w:r>
          </w:p>
        </w:tc>
      </w:tr>
      <w:tr w:rsidR="00256ECD" w:rsidRPr="00BB2991" w14:paraId="62BCE6CC" w14:textId="77777777" w:rsidTr="004777CA">
        <w:trPr>
          <w:jc w:val="center"/>
        </w:trPr>
        <w:tc>
          <w:tcPr>
            <w:tcW w:w="9608" w:type="dxa"/>
            <w:gridSpan w:val="5"/>
            <w:tcBorders>
              <w:top w:val="single" w:sz="4" w:space="0" w:color="auto"/>
              <w:left w:val="single" w:sz="4" w:space="0" w:color="auto"/>
              <w:bottom w:val="single" w:sz="4" w:space="0" w:color="auto"/>
              <w:right w:val="single" w:sz="4" w:space="0" w:color="auto"/>
            </w:tcBorders>
            <w:hideMark/>
          </w:tcPr>
          <w:p w14:paraId="0E836B6D" w14:textId="5D8F6BC5" w:rsidR="00256ECD" w:rsidRPr="00BB2991" w:rsidRDefault="004777CA" w:rsidP="004777CA">
            <w:pPr>
              <w:ind w:firstLine="577"/>
              <w:rPr>
                <w:rFonts w:ascii="Times New Roman" w:hAnsi="Times New Roman" w:cs="Times New Roman"/>
                <w:color w:val="FF0000"/>
                <w:sz w:val="24"/>
                <w:szCs w:val="24"/>
              </w:rPr>
            </w:pPr>
            <w:r>
              <w:rPr>
                <w:rFonts w:ascii="Times New Roman" w:eastAsia="Calibri" w:hAnsi="Times New Roman" w:cs="Times New Roman"/>
                <w:sz w:val="24"/>
                <w:szCs w:val="24"/>
                <w:lang w:val="kk-KZ"/>
              </w:rPr>
              <w:t>Е</w:t>
            </w:r>
            <w:r w:rsidR="00463D68" w:rsidRPr="00BB2991">
              <w:rPr>
                <w:rFonts w:ascii="Times New Roman" w:eastAsia="Calibri" w:hAnsi="Times New Roman" w:cs="Times New Roman"/>
                <w:sz w:val="24"/>
                <w:szCs w:val="24"/>
              </w:rPr>
              <w:t>скерту –</w:t>
            </w:r>
            <w:r w:rsidR="00463D68" w:rsidRPr="00BB2991">
              <w:rPr>
                <w:rFonts w:ascii="Times New Roman" w:eastAsia="Calibri" w:hAnsi="Times New Roman" w:cs="Times New Roman"/>
                <w:bCs/>
                <w:sz w:val="24"/>
                <w:szCs w:val="24"/>
                <w:lang w:val="kk-KZ"/>
              </w:rPr>
              <w:t xml:space="preserve"> Әдебиет негізінде құралған</w:t>
            </w:r>
            <w:r w:rsidR="0099586A" w:rsidRPr="00BB2991">
              <w:rPr>
                <w:rFonts w:ascii="Times New Roman" w:hAnsi="Times New Roman" w:cs="Times New Roman"/>
                <w:sz w:val="24"/>
                <w:szCs w:val="24"/>
                <w:lang w:val="kk-KZ"/>
              </w:rPr>
              <w:t xml:space="preserve"> </w:t>
            </w:r>
            <w:r w:rsidR="0099586A" w:rsidRPr="00BB2991">
              <w:rPr>
                <w:rFonts w:ascii="Times New Roman" w:hAnsi="Times New Roman" w:cs="Times New Roman"/>
                <w:sz w:val="24"/>
                <w:szCs w:val="24"/>
              </w:rPr>
              <w:t>[</w:t>
            </w:r>
            <w:r w:rsidR="0043725B">
              <w:rPr>
                <w:rFonts w:ascii="Times New Roman" w:hAnsi="Times New Roman" w:cs="Times New Roman"/>
                <w:sz w:val="24"/>
                <w:szCs w:val="24"/>
                <w:lang w:val="kk-KZ"/>
              </w:rPr>
              <w:t>5</w:t>
            </w:r>
            <w:r w:rsidR="002C5349">
              <w:rPr>
                <w:rFonts w:ascii="Times New Roman" w:hAnsi="Times New Roman" w:cs="Times New Roman"/>
                <w:sz w:val="24"/>
                <w:szCs w:val="24"/>
                <w:lang w:val="kk-KZ"/>
              </w:rPr>
              <w:t>2</w:t>
            </w:r>
            <w:r w:rsidR="005D0BC2" w:rsidRPr="00BB2991">
              <w:rPr>
                <w:rFonts w:ascii="Times New Roman" w:hAnsi="Times New Roman" w:cs="Times New Roman"/>
                <w:sz w:val="24"/>
                <w:szCs w:val="24"/>
                <w:lang w:val="kk-KZ"/>
              </w:rPr>
              <w:t xml:space="preserve">, </w:t>
            </w:r>
            <w:r w:rsidR="0043725B">
              <w:rPr>
                <w:rFonts w:ascii="Times New Roman" w:hAnsi="Times New Roman" w:cs="Times New Roman"/>
                <w:sz w:val="24"/>
                <w:szCs w:val="24"/>
                <w:lang w:val="kk-KZ"/>
              </w:rPr>
              <w:t>66</w:t>
            </w:r>
            <w:r w:rsidR="005D0BC2" w:rsidRPr="00BB2991">
              <w:rPr>
                <w:rFonts w:ascii="Times New Roman" w:hAnsi="Times New Roman" w:cs="Times New Roman"/>
                <w:sz w:val="24"/>
                <w:szCs w:val="24"/>
                <w:lang w:val="kk-KZ"/>
              </w:rPr>
              <w:t xml:space="preserve">, </w:t>
            </w:r>
            <w:r w:rsidR="002C5349">
              <w:rPr>
                <w:rFonts w:ascii="Times New Roman" w:hAnsi="Times New Roman" w:cs="Times New Roman"/>
                <w:sz w:val="24"/>
                <w:szCs w:val="24"/>
                <w:lang w:val="en-US"/>
              </w:rPr>
              <w:t>112</w:t>
            </w:r>
            <w:r w:rsidR="0099586A" w:rsidRPr="00BB2991">
              <w:rPr>
                <w:rFonts w:ascii="Times New Roman" w:hAnsi="Times New Roman" w:cs="Times New Roman"/>
                <w:sz w:val="24"/>
                <w:szCs w:val="24"/>
              </w:rPr>
              <w:t>-</w:t>
            </w:r>
            <w:r w:rsidR="0043725B">
              <w:rPr>
                <w:rFonts w:ascii="Times New Roman" w:hAnsi="Times New Roman" w:cs="Times New Roman"/>
                <w:sz w:val="24"/>
                <w:szCs w:val="24"/>
                <w:lang w:val="kk-KZ"/>
              </w:rPr>
              <w:t>1</w:t>
            </w:r>
            <w:r w:rsidR="002C5349">
              <w:rPr>
                <w:rFonts w:ascii="Times New Roman" w:hAnsi="Times New Roman" w:cs="Times New Roman"/>
                <w:sz w:val="24"/>
                <w:szCs w:val="24"/>
                <w:lang w:val="en-US"/>
              </w:rPr>
              <w:t>19</w:t>
            </w:r>
            <w:r w:rsidR="0099586A" w:rsidRPr="00BB2991">
              <w:rPr>
                <w:rFonts w:ascii="Times New Roman" w:hAnsi="Times New Roman" w:cs="Times New Roman"/>
                <w:sz w:val="24"/>
                <w:szCs w:val="24"/>
              </w:rPr>
              <w:t xml:space="preserve">] </w:t>
            </w:r>
          </w:p>
        </w:tc>
      </w:tr>
    </w:tbl>
    <w:p w14:paraId="37832BE5" w14:textId="77777777" w:rsidR="00BE3507" w:rsidRDefault="00BE3507" w:rsidP="00457CE9">
      <w:pPr>
        <w:spacing w:after="0" w:line="240" w:lineRule="auto"/>
        <w:ind w:firstLine="709"/>
        <w:jc w:val="both"/>
        <w:rPr>
          <w:rFonts w:ascii="Times New Roman" w:hAnsi="Times New Roman" w:cs="Times New Roman"/>
          <w:sz w:val="28"/>
          <w:szCs w:val="28"/>
          <w:lang w:val="kk-KZ"/>
        </w:rPr>
      </w:pPr>
    </w:p>
    <w:p w14:paraId="05FCC2A8" w14:textId="5E66B313" w:rsidR="00256ECD" w:rsidRPr="00457CE9" w:rsidRDefault="007F5D1B" w:rsidP="00457C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41</w:t>
      </w:r>
      <w:r w:rsidR="00256ECD" w:rsidRPr="00457CE9">
        <w:rPr>
          <w:rFonts w:ascii="Times New Roman" w:hAnsi="Times New Roman" w:cs="Times New Roman"/>
          <w:sz w:val="28"/>
          <w:szCs w:val="28"/>
          <w:lang w:val="kk-KZ"/>
        </w:rPr>
        <w:t xml:space="preserve">-кесте мәліметтерінен 2016-2023 жылдар аралығында Жоғары аудит палатасымен ҚР АӨК-н дамытуға бағытталған бюджет қаражаты тиімділігінің аудитін өткізу 131 объекті деп жоспарланған. Дегенмен аудиторлық есептерді зерттеу кезінде тиімділік аудитін өткізу жоспары толық орындалмайтыны анықталды, және АӨК бағытталған бюджет қаражаты тиімділігінің аудитімен толық қамтылмайтынын атап өтуге болады. ЖАП ресми сайтындағы аудиторлық тексеріс объектілер тізімі бойынша мәліметтерді зерттеу кезінде негізінен облыстардағы, республикалық маңызы бар қалалардың, мәселен 2017 жылы «Ақмола облысының ауыл шаруашылығын басқару» ММ-сі объект ретінде таңдалған. Аталған мемлекеттік аудиторлық тексеру 28 тамыз 2020 жылы өткізілген. </w:t>
      </w:r>
    </w:p>
    <w:p w14:paraId="4CC44886" w14:textId="6A6D3DFD" w:rsidR="00256ECD" w:rsidRPr="00457CE9" w:rsidRDefault="00256ECD"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Мемлекеттік аудит мақсаты 2017-2021 жж. АӨК дамытудың мемлекеттік бағдарламасын іске асыруды және дағдарысқа қарсы бағытталған шараларға пайдаланылған қаражат тиімділігін ағымдық бағалау деп бекітілген. Аудит пәні ретінде бюджеттік бағдарламалар анықталған. «Ақмола облысының ауыл шаруашылығын басқару» ММ-сінде</w:t>
      </w:r>
      <w:r w:rsidR="0099586A" w:rsidRPr="00457CE9">
        <w:rPr>
          <w:rFonts w:ascii="Times New Roman" w:hAnsi="Times New Roman" w:cs="Times New Roman"/>
          <w:sz w:val="28"/>
          <w:szCs w:val="28"/>
          <w:lang w:val="kk-KZ"/>
        </w:rPr>
        <w:t xml:space="preserve"> [1</w:t>
      </w:r>
      <w:r w:rsidR="0043725B">
        <w:rPr>
          <w:rFonts w:ascii="Times New Roman" w:hAnsi="Times New Roman" w:cs="Times New Roman"/>
          <w:sz w:val="28"/>
          <w:szCs w:val="28"/>
          <w:lang w:val="kk-KZ"/>
        </w:rPr>
        <w:t>06</w:t>
      </w:r>
      <w:r w:rsidR="0099586A"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өткізілген аудиторлық тексерістегі аудит көрсеткіштері (критерийлері) бойынша қорытынды бөліміндегі ақпарат </w:t>
      </w:r>
      <w:r w:rsidR="007F5D1B">
        <w:rPr>
          <w:rFonts w:ascii="Times New Roman" w:hAnsi="Times New Roman" w:cs="Times New Roman"/>
          <w:sz w:val="28"/>
          <w:szCs w:val="28"/>
          <w:lang w:val="kk-KZ"/>
        </w:rPr>
        <w:t>42</w:t>
      </w:r>
      <w:r w:rsidRPr="00457CE9">
        <w:rPr>
          <w:rFonts w:ascii="Times New Roman" w:hAnsi="Times New Roman" w:cs="Times New Roman"/>
          <w:sz w:val="28"/>
          <w:szCs w:val="28"/>
          <w:lang w:val="kk-KZ"/>
        </w:rPr>
        <w:t xml:space="preserve">-кестеде келтірілген. </w:t>
      </w:r>
    </w:p>
    <w:p w14:paraId="211F1DF0" w14:textId="77777777" w:rsidR="00256ECD" w:rsidRPr="00457CE9" w:rsidRDefault="00256ECD" w:rsidP="00457CE9">
      <w:pPr>
        <w:spacing w:after="0" w:line="240" w:lineRule="auto"/>
        <w:jc w:val="both"/>
        <w:rPr>
          <w:rFonts w:ascii="Times New Roman" w:hAnsi="Times New Roman" w:cs="Times New Roman"/>
          <w:sz w:val="28"/>
          <w:szCs w:val="28"/>
          <w:lang w:val="kk-KZ"/>
        </w:rPr>
      </w:pPr>
    </w:p>
    <w:p w14:paraId="41CC512F" w14:textId="10750416" w:rsidR="00256ECD" w:rsidRDefault="00256ECD"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7F5D1B">
        <w:rPr>
          <w:rFonts w:ascii="Times New Roman" w:hAnsi="Times New Roman" w:cs="Times New Roman"/>
          <w:sz w:val="28"/>
          <w:szCs w:val="28"/>
          <w:lang w:val="kk-KZ"/>
        </w:rPr>
        <w:t>42</w:t>
      </w:r>
      <w:r w:rsidRPr="00457CE9">
        <w:rPr>
          <w:rFonts w:ascii="Times New Roman" w:hAnsi="Times New Roman" w:cs="Times New Roman"/>
          <w:sz w:val="28"/>
          <w:szCs w:val="28"/>
          <w:lang w:val="kk-KZ"/>
        </w:rPr>
        <w:t xml:space="preserve"> – «Ақмола облысының ауыл шаруашылығын басқару» ММ-сінде өткізілген аудиторлық тексерістегі аудит көрсеткіштері (критерийлері)</w:t>
      </w:r>
    </w:p>
    <w:p w14:paraId="44EDEFAA" w14:textId="77777777" w:rsidR="005D05DC" w:rsidRPr="005D05DC" w:rsidRDefault="005D05DC" w:rsidP="00457CE9">
      <w:pPr>
        <w:spacing w:after="0" w:line="240" w:lineRule="auto"/>
        <w:jc w:val="both"/>
        <w:rPr>
          <w:rFonts w:ascii="Times New Roman" w:hAnsi="Times New Roman" w:cs="Times New Roman"/>
          <w:sz w:val="16"/>
          <w:szCs w:val="16"/>
          <w:lang w:val="kk-KZ"/>
        </w:rPr>
      </w:pPr>
    </w:p>
    <w:tbl>
      <w:tblPr>
        <w:tblStyle w:val="a3"/>
        <w:tblW w:w="0" w:type="auto"/>
        <w:jc w:val="center"/>
        <w:tblLook w:val="04A0" w:firstRow="1" w:lastRow="0" w:firstColumn="1" w:lastColumn="0" w:noHBand="0" w:noVBand="1"/>
      </w:tblPr>
      <w:tblGrid>
        <w:gridCol w:w="3275"/>
        <w:gridCol w:w="3969"/>
        <w:gridCol w:w="2261"/>
      </w:tblGrid>
      <w:tr w:rsidR="00256ECD" w:rsidRPr="00457CE9" w14:paraId="6E9F59DE" w14:textId="77777777" w:rsidTr="005D05DC">
        <w:trPr>
          <w:jc w:val="center"/>
        </w:trPr>
        <w:tc>
          <w:tcPr>
            <w:tcW w:w="3275" w:type="dxa"/>
            <w:tcBorders>
              <w:top w:val="single" w:sz="4" w:space="0" w:color="auto"/>
              <w:left w:val="single" w:sz="4" w:space="0" w:color="auto"/>
              <w:bottom w:val="single" w:sz="4" w:space="0" w:color="auto"/>
              <w:right w:val="single" w:sz="4" w:space="0" w:color="auto"/>
            </w:tcBorders>
            <w:hideMark/>
          </w:tcPr>
          <w:p w14:paraId="56535F79" w14:textId="77777777" w:rsidR="00256ECD" w:rsidRPr="00457CE9" w:rsidRDefault="00256ECD" w:rsidP="005D05DC">
            <w:pPr>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Жалпы қорытынды</w:t>
            </w:r>
          </w:p>
        </w:tc>
        <w:tc>
          <w:tcPr>
            <w:tcW w:w="3969" w:type="dxa"/>
            <w:tcBorders>
              <w:top w:val="single" w:sz="4" w:space="0" w:color="auto"/>
              <w:left w:val="single" w:sz="4" w:space="0" w:color="auto"/>
              <w:bottom w:val="single" w:sz="4" w:space="0" w:color="auto"/>
              <w:right w:val="single" w:sz="4" w:space="0" w:color="auto"/>
            </w:tcBorders>
            <w:hideMark/>
          </w:tcPr>
          <w:p w14:paraId="57829845" w14:textId="77777777" w:rsidR="00256ECD" w:rsidRPr="00457CE9" w:rsidRDefault="00256ECD" w:rsidP="005D05DC">
            <w:pPr>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Мемлекеттік аудит көрсеткіші</w:t>
            </w:r>
          </w:p>
        </w:tc>
        <w:tc>
          <w:tcPr>
            <w:tcW w:w="2261" w:type="dxa"/>
            <w:tcBorders>
              <w:top w:val="single" w:sz="4" w:space="0" w:color="auto"/>
              <w:left w:val="single" w:sz="4" w:space="0" w:color="auto"/>
              <w:bottom w:val="single" w:sz="4" w:space="0" w:color="auto"/>
              <w:right w:val="single" w:sz="4" w:space="0" w:color="auto"/>
            </w:tcBorders>
            <w:hideMark/>
          </w:tcPr>
          <w:p w14:paraId="48187DCF" w14:textId="46355DF9" w:rsidR="00256ECD" w:rsidRPr="00457CE9" w:rsidRDefault="00256ECD" w:rsidP="005D05DC">
            <w:pPr>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Ескерту</w:t>
            </w:r>
          </w:p>
        </w:tc>
      </w:tr>
      <w:tr w:rsidR="00256ECD" w:rsidRPr="00805B3E" w14:paraId="26253E8E" w14:textId="77777777" w:rsidTr="005D05DC">
        <w:trPr>
          <w:jc w:val="center"/>
        </w:trPr>
        <w:tc>
          <w:tcPr>
            <w:tcW w:w="3275" w:type="dxa"/>
            <w:vMerge w:val="restart"/>
            <w:tcBorders>
              <w:top w:val="single" w:sz="4" w:space="0" w:color="auto"/>
              <w:left w:val="single" w:sz="4" w:space="0" w:color="auto"/>
              <w:bottom w:val="single" w:sz="4" w:space="0" w:color="auto"/>
              <w:right w:val="single" w:sz="4" w:space="0" w:color="auto"/>
            </w:tcBorders>
            <w:hideMark/>
          </w:tcPr>
          <w:p w14:paraId="72479A86" w14:textId="0862E0F1"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Бағдарламаның мақсатына, көрсеткіштеріне (критерий</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леріне) сәйкес заңнаманың, ішкі нормативтік актілер мен құжаттардың сақталуын және мемлекеттік аудит объектісі қызметінің тиімділігін бағалау</w:t>
            </w:r>
          </w:p>
        </w:tc>
        <w:tc>
          <w:tcPr>
            <w:tcW w:w="3969" w:type="dxa"/>
            <w:tcBorders>
              <w:top w:val="single" w:sz="4" w:space="0" w:color="auto"/>
              <w:left w:val="single" w:sz="4" w:space="0" w:color="auto"/>
              <w:bottom w:val="single" w:sz="4" w:space="0" w:color="auto"/>
              <w:right w:val="single" w:sz="4" w:space="0" w:color="auto"/>
            </w:tcBorders>
            <w:hideMark/>
          </w:tcPr>
          <w:p w14:paraId="3FFFF0B4" w14:textId="3DCA9A68"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Нәтижелілік – белгіленген міндет</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терді іске асыру дәрежесі және тиісті қызметті жоспарлы (тікелей, түпкілікті) және нақты нәтижеле</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рінің ара қатынасы </w:t>
            </w:r>
          </w:p>
        </w:tc>
        <w:tc>
          <w:tcPr>
            <w:tcW w:w="2261" w:type="dxa"/>
            <w:vMerge w:val="restart"/>
            <w:tcBorders>
              <w:top w:val="single" w:sz="4" w:space="0" w:color="auto"/>
              <w:left w:val="single" w:sz="4" w:space="0" w:color="auto"/>
              <w:bottom w:val="single" w:sz="4" w:space="0" w:color="auto"/>
              <w:right w:val="single" w:sz="4" w:space="0" w:color="auto"/>
            </w:tcBorders>
            <w:hideMark/>
          </w:tcPr>
          <w:p w14:paraId="58C20421" w14:textId="545C3BF7"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Қорытынды жалпы мәтінмен талдау ретінде жазылған. Нақты аудиторлық қорытындыда тиім</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ділікке қатысты пікір келтірілмеген</w:t>
            </w:r>
          </w:p>
        </w:tc>
      </w:tr>
      <w:tr w:rsidR="00256ECD" w:rsidRPr="00805B3E" w14:paraId="153D6982" w14:textId="77777777" w:rsidTr="005D05DC">
        <w:trPr>
          <w:jc w:val="center"/>
        </w:trPr>
        <w:tc>
          <w:tcPr>
            <w:tcW w:w="3275" w:type="dxa"/>
            <w:vMerge/>
            <w:tcBorders>
              <w:top w:val="single" w:sz="4" w:space="0" w:color="auto"/>
              <w:left w:val="single" w:sz="4" w:space="0" w:color="auto"/>
              <w:bottom w:val="single" w:sz="4" w:space="0" w:color="auto"/>
              <w:right w:val="single" w:sz="4" w:space="0" w:color="auto"/>
            </w:tcBorders>
            <w:vAlign w:val="center"/>
            <w:hideMark/>
          </w:tcPr>
          <w:p w14:paraId="7DDD9BE2" w14:textId="77777777" w:rsidR="00256ECD" w:rsidRPr="00457CE9" w:rsidRDefault="00256ECD" w:rsidP="00457CE9">
            <w:pPr>
              <w:rPr>
                <w:rFonts w:ascii="Times New Roman" w:hAnsi="Times New Roman" w:cs="Times New Roman"/>
                <w:sz w:val="24"/>
                <w:szCs w:val="24"/>
                <w:lang w:val="kk-KZ"/>
              </w:rPr>
            </w:pPr>
          </w:p>
        </w:tc>
        <w:tc>
          <w:tcPr>
            <w:tcW w:w="3969" w:type="dxa"/>
            <w:tcBorders>
              <w:top w:val="single" w:sz="4" w:space="0" w:color="auto"/>
              <w:left w:val="single" w:sz="4" w:space="0" w:color="auto"/>
              <w:bottom w:val="single" w:sz="4" w:space="0" w:color="auto"/>
              <w:right w:val="single" w:sz="4" w:space="0" w:color="auto"/>
            </w:tcBorders>
            <w:hideMark/>
          </w:tcPr>
          <w:p w14:paraId="39B22630" w14:textId="77777777"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Тиімділік – оларға қол жеткізу үшін пайдаланылған ресурстарды ескере отырып, алынған нәтижелердің жоспарланғанға қатынасы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FC74C" w14:textId="77777777" w:rsidR="00256ECD" w:rsidRPr="00457CE9" w:rsidRDefault="00256ECD" w:rsidP="00457CE9">
            <w:pPr>
              <w:rPr>
                <w:rFonts w:ascii="Times New Roman" w:hAnsi="Times New Roman" w:cs="Times New Roman"/>
                <w:sz w:val="24"/>
                <w:szCs w:val="24"/>
                <w:lang w:val="kk-KZ"/>
              </w:rPr>
            </w:pPr>
          </w:p>
        </w:tc>
      </w:tr>
      <w:tr w:rsidR="00256ECD" w:rsidRPr="00805B3E" w14:paraId="3E826340" w14:textId="77777777" w:rsidTr="005D05DC">
        <w:trPr>
          <w:jc w:val="center"/>
        </w:trPr>
        <w:tc>
          <w:tcPr>
            <w:tcW w:w="3275" w:type="dxa"/>
            <w:tcBorders>
              <w:top w:val="single" w:sz="4" w:space="0" w:color="auto"/>
              <w:left w:val="single" w:sz="4" w:space="0" w:color="auto"/>
              <w:bottom w:val="single" w:sz="4" w:space="0" w:color="auto"/>
              <w:right w:val="single" w:sz="4" w:space="0" w:color="auto"/>
            </w:tcBorders>
            <w:hideMark/>
          </w:tcPr>
          <w:p w14:paraId="70054ADC" w14:textId="7A3ACAA8"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Аудит объектісінің мезо/</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макро деңгейіндегі әлеумет</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тік-экономикалық дамуға әсе</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рін бағалау (аудиттелетін са</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ланың, оның ішінде мемле</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кеттік басқару мен эконо</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мика саласының тұтастай ал</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 xml:space="preserve">ғанда экономиканың өңірлік және елдік бөлінісінде) </w:t>
            </w:r>
          </w:p>
        </w:tc>
        <w:tc>
          <w:tcPr>
            <w:tcW w:w="3969" w:type="dxa"/>
            <w:tcBorders>
              <w:top w:val="single" w:sz="4" w:space="0" w:color="auto"/>
              <w:left w:val="single" w:sz="4" w:space="0" w:color="auto"/>
              <w:bottom w:val="single" w:sz="4" w:space="0" w:color="auto"/>
              <w:right w:val="single" w:sz="4" w:space="0" w:color="auto"/>
            </w:tcBorders>
            <w:hideMark/>
          </w:tcPr>
          <w:p w14:paraId="1615D854" w14:textId="77777777"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Көрсеткіштер белгіленбеген</w:t>
            </w:r>
          </w:p>
        </w:tc>
        <w:tc>
          <w:tcPr>
            <w:tcW w:w="2261" w:type="dxa"/>
            <w:tcBorders>
              <w:top w:val="single" w:sz="4" w:space="0" w:color="auto"/>
              <w:left w:val="single" w:sz="4" w:space="0" w:color="auto"/>
              <w:bottom w:val="single" w:sz="4" w:space="0" w:color="auto"/>
              <w:right w:val="single" w:sz="4" w:space="0" w:color="auto"/>
            </w:tcBorders>
          </w:tcPr>
          <w:p w14:paraId="5F18D279" w14:textId="3C7D7B87" w:rsidR="00256ECD" w:rsidRPr="00457CE9" w:rsidRDefault="00256ECD" w:rsidP="00457CE9">
            <w:pPr>
              <w:rPr>
                <w:rFonts w:ascii="Times New Roman" w:hAnsi="Times New Roman" w:cs="Times New Roman"/>
                <w:sz w:val="24"/>
                <w:szCs w:val="24"/>
                <w:lang w:val="kk-KZ"/>
              </w:rPr>
            </w:pPr>
            <w:r w:rsidRPr="00457CE9">
              <w:rPr>
                <w:rFonts w:ascii="Times New Roman" w:hAnsi="Times New Roman" w:cs="Times New Roman"/>
                <w:sz w:val="24"/>
                <w:szCs w:val="24"/>
                <w:lang w:val="kk-KZ"/>
              </w:rPr>
              <w:t>Қорытынды жалпы мәтінмен талдау ретінде жазылған. Нақты аудиторлық қорытындыда тиім</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ділікке қатысты пікір келтірілмеген</w:t>
            </w:r>
          </w:p>
          <w:p w14:paraId="564F627E" w14:textId="77777777" w:rsidR="00256ECD" w:rsidRPr="00457CE9" w:rsidRDefault="00256ECD" w:rsidP="00457CE9">
            <w:pPr>
              <w:rPr>
                <w:rFonts w:ascii="Times New Roman" w:hAnsi="Times New Roman" w:cs="Times New Roman"/>
                <w:sz w:val="24"/>
                <w:szCs w:val="24"/>
                <w:lang w:val="kk-KZ"/>
              </w:rPr>
            </w:pPr>
          </w:p>
        </w:tc>
      </w:tr>
      <w:tr w:rsidR="00256ECD" w:rsidRPr="00457CE9" w14:paraId="7A90F63E" w14:textId="77777777" w:rsidTr="005D05DC">
        <w:trPr>
          <w:jc w:val="center"/>
        </w:trPr>
        <w:tc>
          <w:tcPr>
            <w:tcW w:w="9505" w:type="dxa"/>
            <w:gridSpan w:val="3"/>
            <w:tcBorders>
              <w:top w:val="single" w:sz="4" w:space="0" w:color="auto"/>
              <w:left w:val="single" w:sz="4" w:space="0" w:color="auto"/>
              <w:bottom w:val="single" w:sz="4" w:space="0" w:color="auto"/>
              <w:right w:val="single" w:sz="4" w:space="0" w:color="auto"/>
            </w:tcBorders>
            <w:hideMark/>
          </w:tcPr>
          <w:p w14:paraId="2B26622C" w14:textId="7BE9F190" w:rsidR="00256ECD" w:rsidRPr="00457CE9" w:rsidRDefault="00463D68" w:rsidP="005D05DC">
            <w:pPr>
              <w:ind w:firstLine="596"/>
              <w:rPr>
                <w:rFonts w:ascii="Times New Roman" w:hAnsi="Times New Roman" w:cs="Times New Roman"/>
                <w:sz w:val="24"/>
                <w:szCs w:val="24"/>
                <w:lang w:val="kk-KZ"/>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99586A" w:rsidRPr="00457CE9">
              <w:rPr>
                <w:rFonts w:ascii="Times New Roman" w:hAnsi="Times New Roman" w:cs="Times New Roman"/>
                <w:sz w:val="24"/>
                <w:szCs w:val="24"/>
                <w:lang w:val="kk-KZ"/>
              </w:rPr>
              <w:t xml:space="preserve"> [</w:t>
            </w:r>
            <w:r w:rsidR="002C5349">
              <w:rPr>
                <w:rFonts w:ascii="Times New Roman" w:hAnsi="Times New Roman" w:cs="Times New Roman"/>
                <w:sz w:val="24"/>
                <w:szCs w:val="24"/>
                <w:lang w:val="kk-KZ"/>
              </w:rPr>
              <w:t>120</w:t>
            </w:r>
            <w:r w:rsidR="0099586A" w:rsidRPr="00457CE9">
              <w:rPr>
                <w:rFonts w:ascii="Times New Roman" w:hAnsi="Times New Roman" w:cs="Times New Roman"/>
                <w:sz w:val="24"/>
                <w:szCs w:val="24"/>
                <w:lang w:val="kk-KZ"/>
              </w:rPr>
              <w:t>]</w:t>
            </w:r>
            <w:r w:rsidR="00256ECD" w:rsidRPr="00457CE9">
              <w:rPr>
                <w:rFonts w:ascii="Times New Roman" w:hAnsi="Times New Roman" w:cs="Times New Roman"/>
                <w:sz w:val="24"/>
                <w:szCs w:val="24"/>
                <w:lang w:val="kk-KZ"/>
              </w:rPr>
              <w:t xml:space="preserve"> </w:t>
            </w:r>
          </w:p>
        </w:tc>
      </w:tr>
    </w:tbl>
    <w:p w14:paraId="26439492" w14:textId="77777777" w:rsidR="00256ECD" w:rsidRPr="00457CE9" w:rsidRDefault="00256ECD" w:rsidP="00457CE9">
      <w:pPr>
        <w:spacing w:after="0" w:line="240" w:lineRule="auto"/>
        <w:jc w:val="both"/>
        <w:rPr>
          <w:rFonts w:ascii="Times New Roman" w:hAnsi="Times New Roman" w:cs="Times New Roman"/>
          <w:sz w:val="28"/>
          <w:szCs w:val="28"/>
          <w:lang w:val="kk-KZ"/>
        </w:rPr>
      </w:pPr>
    </w:p>
    <w:p w14:paraId="6FD29C88" w14:textId="1AE888BA" w:rsidR="002C5349" w:rsidRDefault="002C5349" w:rsidP="00457CE9">
      <w:pPr>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АӨК дамытудың 2017-2021 жж. мемлекеттік бағдарламасы бойынша жұмсалған бюджет қаражатын пайдалану тиімділігі аудитін жүргізу кезінде </w:t>
      </w:r>
      <w:r w:rsidR="00962214">
        <w:rPr>
          <w:rFonts w:ascii="Times New Roman" w:hAnsi="Times New Roman" w:cs="Times New Roman"/>
          <w:sz w:val="28"/>
          <w:szCs w:val="28"/>
          <w:lang w:val="kk-KZ"/>
        </w:rPr>
        <w:t>арнайы критерийлер белгіленбеген, және аудиторлық қорытындыда нақты аудиторлық пікір берілмеген.</w:t>
      </w:r>
    </w:p>
    <w:p w14:paraId="25D3752D" w14:textId="7734C349" w:rsidR="000604C0" w:rsidRDefault="00FB2672"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ЖАП, тексеру комиссияларының мемлекеттік аудиторларымен 2016-2021 жж. аралығында ҚР </w:t>
      </w:r>
      <w:r w:rsidR="00575788">
        <w:rPr>
          <w:rFonts w:ascii="Times New Roman" w:hAnsi="Times New Roman" w:cs="Times New Roman"/>
          <w:sz w:val="28"/>
          <w:szCs w:val="28"/>
          <w:lang w:val="kk-KZ"/>
        </w:rPr>
        <w:t>АӨК-н</w:t>
      </w:r>
      <w:r w:rsidRPr="00457CE9">
        <w:rPr>
          <w:rFonts w:ascii="Times New Roman" w:hAnsi="Times New Roman" w:cs="Times New Roman"/>
          <w:sz w:val="28"/>
          <w:szCs w:val="28"/>
          <w:lang w:val="kk-KZ"/>
        </w:rPr>
        <w:t xml:space="preserve"> дамытуға жұмсалған бюджет қаражаты тиімділігінің аудиті бойынша жарияланған аудиторлық есептерін зерттеген кезде жіберілген кемшіліктер </w:t>
      </w:r>
      <w:r w:rsidR="007F5D1B">
        <w:rPr>
          <w:rFonts w:ascii="Times New Roman" w:hAnsi="Times New Roman" w:cs="Times New Roman"/>
          <w:sz w:val="28"/>
          <w:szCs w:val="28"/>
          <w:lang w:val="kk-KZ"/>
        </w:rPr>
        <w:t>43</w:t>
      </w:r>
      <w:r w:rsidR="000604C0" w:rsidRPr="00457CE9">
        <w:rPr>
          <w:rFonts w:ascii="Times New Roman" w:hAnsi="Times New Roman" w:cs="Times New Roman"/>
          <w:sz w:val="28"/>
          <w:szCs w:val="28"/>
          <w:lang w:val="kk-KZ"/>
        </w:rPr>
        <w:t>-кесте мәліметтерінде келтірілген.</w:t>
      </w:r>
    </w:p>
    <w:p w14:paraId="73780BA2" w14:textId="084C6810" w:rsidR="000604C0" w:rsidRDefault="000604C0" w:rsidP="00457CE9">
      <w:pPr>
        <w:tabs>
          <w:tab w:val="left" w:pos="1605"/>
        </w:tabs>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7F5D1B">
        <w:rPr>
          <w:rFonts w:ascii="Times New Roman" w:hAnsi="Times New Roman" w:cs="Times New Roman"/>
          <w:sz w:val="28"/>
          <w:szCs w:val="28"/>
          <w:lang w:val="kk-KZ"/>
        </w:rPr>
        <w:t>43</w:t>
      </w:r>
      <w:r w:rsidRPr="00457CE9">
        <w:rPr>
          <w:rFonts w:ascii="Times New Roman" w:hAnsi="Times New Roman" w:cs="Times New Roman"/>
          <w:sz w:val="28"/>
          <w:szCs w:val="28"/>
          <w:lang w:val="kk-KZ"/>
        </w:rPr>
        <w:t xml:space="preserve"> – ҚР </w:t>
      </w:r>
      <w:r w:rsidR="00575788">
        <w:rPr>
          <w:rFonts w:ascii="Times New Roman" w:hAnsi="Times New Roman" w:cs="Times New Roman"/>
          <w:sz w:val="28"/>
          <w:szCs w:val="28"/>
          <w:lang w:val="kk-KZ"/>
        </w:rPr>
        <w:t>АӨК-н</w:t>
      </w:r>
      <w:r w:rsidRPr="00457CE9">
        <w:rPr>
          <w:rFonts w:ascii="Times New Roman" w:hAnsi="Times New Roman" w:cs="Times New Roman"/>
          <w:sz w:val="28"/>
          <w:szCs w:val="28"/>
          <w:lang w:val="kk-KZ"/>
        </w:rPr>
        <w:t xml:space="preserve"> дамытуға </w:t>
      </w:r>
      <w:r w:rsidR="00FB2672" w:rsidRPr="00457CE9">
        <w:rPr>
          <w:rFonts w:ascii="Times New Roman" w:hAnsi="Times New Roman" w:cs="Times New Roman"/>
          <w:sz w:val="28"/>
          <w:szCs w:val="28"/>
          <w:lang w:val="kk-KZ"/>
        </w:rPr>
        <w:t>жұмсал</w:t>
      </w:r>
      <w:r w:rsidRPr="00457CE9">
        <w:rPr>
          <w:rFonts w:ascii="Times New Roman" w:hAnsi="Times New Roman" w:cs="Times New Roman"/>
          <w:sz w:val="28"/>
          <w:szCs w:val="28"/>
          <w:lang w:val="kk-KZ"/>
        </w:rPr>
        <w:t>ған бюджет қаражатының тиімділік аудитін жүргізу барысында жіберілген кемшіліктер</w:t>
      </w:r>
    </w:p>
    <w:p w14:paraId="60515C7B" w14:textId="77777777" w:rsidR="005D05DC" w:rsidRPr="005D05DC" w:rsidRDefault="005D05DC" w:rsidP="00457CE9">
      <w:pPr>
        <w:tabs>
          <w:tab w:val="left" w:pos="1605"/>
        </w:tabs>
        <w:spacing w:after="0" w:line="240" w:lineRule="auto"/>
        <w:jc w:val="both"/>
        <w:rPr>
          <w:rFonts w:ascii="Times New Roman" w:hAnsi="Times New Roman" w:cs="Times New Roman"/>
          <w:sz w:val="16"/>
          <w:szCs w:val="16"/>
          <w:lang w:val="kk-KZ"/>
        </w:rPr>
      </w:pPr>
    </w:p>
    <w:tbl>
      <w:tblPr>
        <w:tblStyle w:val="a3"/>
        <w:tblW w:w="9538" w:type="dxa"/>
        <w:jc w:val="center"/>
        <w:tblLook w:val="04A0" w:firstRow="1" w:lastRow="0" w:firstColumn="1" w:lastColumn="0" w:noHBand="0" w:noVBand="1"/>
      </w:tblPr>
      <w:tblGrid>
        <w:gridCol w:w="4876"/>
        <w:gridCol w:w="4662"/>
      </w:tblGrid>
      <w:tr w:rsidR="00BB2991" w:rsidRPr="00457CE9" w14:paraId="64D4E380"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vAlign w:val="center"/>
            <w:hideMark/>
          </w:tcPr>
          <w:p w14:paraId="7FB6EB11" w14:textId="77777777" w:rsidR="00BB2991" w:rsidRPr="00457CE9" w:rsidRDefault="00BB2991" w:rsidP="005D05DC">
            <w:pPr>
              <w:tabs>
                <w:tab w:val="left" w:pos="1605"/>
              </w:tabs>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Тиімділік аудитіндегі жіберілген кемшіліктер</w:t>
            </w:r>
          </w:p>
        </w:tc>
        <w:tc>
          <w:tcPr>
            <w:tcW w:w="4662" w:type="dxa"/>
            <w:tcBorders>
              <w:top w:val="single" w:sz="4" w:space="0" w:color="auto"/>
              <w:left w:val="single" w:sz="4" w:space="0" w:color="auto"/>
              <w:bottom w:val="single" w:sz="4" w:space="0" w:color="auto"/>
              <w:right w:val="single" w:sz="4" w:space="0" w:color="auto"/>
            </w:tcBorders>
            <w:vAlign w:val="center"/>
            <w:hideMark/>
          </w:tcPr>
          <w:p w14:paraId="2764E5E9" w14:textId="77777777" w:rsidR="00BB2991" w:rsidRPr="00457CE9" w:rsidRDefault="00BB2991" w:rsidP="005D05DC">
            <w:pPr>
              <w:tabs>
                <w:tab w:val="left" w:pos="1605"/>
              </w:tabs>
              <w:jc w:val="center"/>
              <w:rPr>
                <w:rFonts w:ascii="Times New Roman" w:hAnsi="Times New Roman" w:cs="Times New Roman"/>
                <w:sz w:val="24"/>
                <w:szCs w:val="24"/>
                <w:lang w:val="kk-KZ"/>
              </w:rPr>
            </w:pPr>
            <w:r w:rsidRPr="00457CE9">
              <w:rPr>
                <w:rFonts w:ascii="Times New Roman" w:hAnsi="Times New Roman" w:cs="Times New Roman"/>
                <w:sz w:val="24"/>
                <w:szCs w:val="24"/>
                <w:lang w:val="kk-KZ"/>
              </w:rPr>
              <w:t>Себеп-салдары</w:t>
            </w:r>
          </w:p>
        </w:tc>
      </w:tr>
      <w:tr w:rsidR="00BB2991" w:rsidRPr="00805B3E" w14:paraId="6CBC3BFA"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hideMark/>
          </w:tcPr>
          <w:p w14:paraId="103ADD9D" w14:textId="119D86F3"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Аудиторлық бағдарламаларда таңдалған аудит объектілеріне байланысты нақтылан</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баған аудиттің тым жалпыланған және анық емес мақсаттарын тұжырымдау</w:t>
            </w:r>
          </w:p>
        </w:tc>
        <w:tc>
          <w:tcPr>
            <w:tcW w:w="4662" w:type="dxa"/>
            <w:tcBorders>
              <w:top w:val="single" w:sz="4" w:space="0" w:color="auto"/>
              <w:left w:val="single" w:sz="4" w:space="0" w:color="auto"/>
              <w:bottom w:val="single" w:sz="4" w:space="0" w:color="auto"/>
              <w:right w:val="single" w:sz="4" w:space="0" w:color="auto"/>
            </w:tcBorders>
            <w:hideMark/>
          </w:tcPr>
          <w:p w14:paraId="3D54793F" w14:textId="77777777"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Аудит мақсаты толығымен аудиторлық шара тақырыбымен сәйкес келуі</w:t>
            </w:r>
          </w:p>
        </w:tc>
      </w:tr>
      <w:tr w:rsidR="00BB2991" w:rsidRPr="00805B3E" w14:paraId="1C7E1B1A"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hideMark/>
          </w:tcPr>
          <w:p w14:paraId="54B43961" w14:textId="17D53488"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Аудит тақырыбы әр түрлі болғанымен аудиттің әртүрлі тақырыптары бойынша сәйкестік аудитінің осы мәселелерінің тұжырымдары мен мазмұны бірдей </w:t>
            </w:r>
          </w:p>
        </w:tc>
        <w:tc>
          <w:tcPr>
            <w:tcW w:w="4662" w:type="dxa"/>
            <w:tcBorders>
              <w:top w:val="single" w:sz="4" w:space="0" w:color="auto"/>
              <w:left w:val="single" w:sz="4" w:space="0" w:color="auto"/>
              <w:bottom w:val="single" w:sz="4" w:space="0" w:color="auto"/>
              <w:right w:val="single" w:sz="4" w:space="0" w:color="auto"/>
            </w:tcBorders>
            <w:hideMark/>
          </w:tcPr>
          <w:p w14:paraId="210A2019" w14:textId="634EC528"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Аудит бағдарламасына енгізілетін Жоғары аудит палатасының бұрынғы жылдардағы тәжірибесіндегі жинақталған «стандарт</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ты» сұрақтар жиыны қолданылған</w:t>
            </w:r>
          </w:p>
        </w:tc>
      </w:tr>
      <w:tr w:rsidR="00BB2991" w:rsidRPr="00805B3E" w14:paraId="11B8E683"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hideMark/>
          </w:tcPr>
          <w:p w14:paraId="0790D9B1" w14:textId="10F945CC"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Аудит бағдарламаларында белгілі бір сипаттамаларға (қолдану мүмкіндігі, қолай</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лылығы, сенімділігі, объективтілігі, толық</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тығы, пайдалылығы, түсінігі) жауап беретін аудиттің базалық және арнайы критерий</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лерін әзірлеу туралы көрсетілген талап сақталмауы</w:t>
            </w:r>
          </w:p>
        </w:tc>
        <w:tc>
          <w:tcPr>
            <w:tcW w:w="4662" w:type="dxa"/>
            <w:tcBorders>
              <w:top w:val="single" w:sz="4" w:space="0" w:color="auto"/>
              <w:left w:val="single" w:sz="4" w:space="0" w:color="auto"/>
              <w:bottom w:val="single" w:sz="4" w:space="0" w:color="auto"/>
              <w:right w:val="single" w:sz="4" w:space="0" w:color="auto"/>
            </w:tcBorders>
            <w:hideMark/>
          </w:tcPr>
          <w:p w14:paraId="5AFC0782" w14:textId="5FEE882A"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Барлық бағдарламаларда келтірілген аудит көрсеткіштері бірдей және келесі көрсеткіштердің түсінігі болып табылады: тиімділік, нәтижелілік, перспективтілік, өнімділік аудит бағдарламалары бойынша мазмұны жағынан бірдей және көрсет</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кіштер индикаторлары анықталмаған</w:t>
            </w:r>
          </w:p>
        </w:tc>
      </w:tr>
      <w:tr w:rsidR="00BB2991" w:rsidRPr="00805B3E" w14:paraId="57154D2E"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hideMark/>
          </w:tcPr>
          <w:p w14:paraId="4ABF99D1" w14:textId="45F752EA"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Аймақтарда өткізілген тиімділік аудитін жүргізуде стандартты әдістер ғана қолданы</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латыны және оның аудит сапасына кері әсерін тигізуі</w:t>
            </w:r>
          </w:p>
        </w:tc>
        <w:tc>
          <w:tcPr>
            <w:tcW w:w="4662" w:type="dxa"/>
            <w:tcBorders>
              <w:top w:val="single" w:sz="4" w:space="0" w:color="auto"/>
              <w:left w:val="single" w:sz="4" w:space="0" w:color="auto"/>
              <w:bottom w:val="single" w:sz="4" w:space="0" w:color="auto"/>
              <w:right w:val="single" w:sz="4" w:space="0" w:color="auto"/>
            </w:tcBorders>
            <w:hideMark/>
          </w:tcPr>
          <w:p w14:paraId="337CD572" w14:textId="77777777"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Барлық жылдарда бірдей немесе ұқсас бұзушылықтар анықталуы</w:t>
            </w:r>
          </w:p>
        </w:tc>
      </w:tr>
      <w:tr w:rsidR="00BB2991" w:rsidRPr="00805B3E" w14:paraId="7CE27CB5"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hideMark/>
          </w:tcPr>
          <w:p w14:paraId="6E089764" w14:textId="77777777" w:rsidR="00BB2991" w:rsidRPr="00962214" w:rsidRDefault="00BB2991" w:rsidP="00457CE9">
            <w:pPr>
              <w:tabs>
                <w:tab w:val="left" w:pos="1605"/>
              </w:tabs>
              <w:rPr>
                <w:rFonts w:ascii="Times New Roman" w:hAnsi="Times New Roman" w:cs="Times New Roman"/>
                <w:sz w:val="24"/>
                <w:szCs w:val="24"/>
                <w:lang w:val="kk-KZ"/>
              </w:rPr>
            </w:pPr>
            <w:r w:rsidRPr="00962214">
              <w:rPr>
                <w:rFonts w:ascii="Times New Roman" w:hAnsi="Times New Roman" w:cs="Times New Roman"/>
                <w:sz w:val="24"/>
                <w:szCs w:val="24"/>
                <w:lang w:val="kk-KZ"/>
              </w:rPr>
              <w:t>Аудит бағдарламаларында тексерілетін объектілердің ішкі бақылау жүйесі қызметіне баға берілмеуі, сұрақтарының болмауы</w:t>
            </w:r>
          </w:p>
        </w:tc>
        <w:tc>
          <w:tcPr>
            <w:tcW w:w="4662" w:type="dxa"/>
            <w:tcBorders>
              <w:top w:val="single" w:sz="4" w:space="0" w:color="auto"/>
              <w:left w:val="single" w:sz="4" w:space="0" w:color="auto"/>
              <w:bottom w:val="single" w:sz="4" w:space="0" w:color="auto"/>
              <w:right w:val="single" w:sz="4" w:space="0" w:color="auto"/>
            </w:tcBorders>
            <w:hideMark/>
          </w:tcPr>
          <w:p w14:paraId="5AA4BC8E" w14:textId="2C0F2014"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Операциондық қызметіне қатысты сұрақ</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тар (нормативтер сақталуы, шығын норма</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лары, бухгалтерлік есептің дұрыстығы т.б.) және бұзушылықтар анықталғанда ішкі бақылау қызметіне бағалау берілмеуі. Қаржылық тәуекелдерді және оны мини</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малдау шараларын бағалаудың әрекет етуші жүйесімен аудит объектілерін қам</w:t>
            </w:r>
            <w:r w:rsidR="005D05DC">
              <w:rPr>
                <w:rFonts w:ascii="Times New Roman" w:hAnsi="Times New Roman" w:cs="Times New Roman"/>
                <w:sz w:val="24"/>
                <w:szCs w:val="24"/>
                <w:lang w:val="kk-KZ"/>
              </w:rPr>
              <w:t xml:space="preserve"> </w:t>
            </w:r>
            <w:r w:rsidRPr="00457CE9">
              <w:rPr>
                <w:rFonts w:ascii="Times New Roman" w:hAnsi="Times New Roman" w:cs="Times New Roman"/>
                <w:sz w:val="24"/>
                <w:szCs w:val="24"/>
                <w:lang w:val="kk-KZ"/>
              </w:rPr>
              <w:t>тамасыз етумен байланысты аудит сұрақтарының болмауы</w:t>
            </w:r>
          </w:p>
        </w:tc>
      </w:tr>
      <w:tr w:rsidR="00BB2991" w:rsidRPr="00805B3E" w14:paraId="700EF2BD" w14:textId="77777777" w:rsidTr="005D05DC">
        <w:trPr>
          <w:jc w:val="center"/>
        </w:trPr>
        <w:tc>
          <w:tcPr>
            <w:tcW w:w="4876" w:type="dxa"/>
            <w:tcBorders>
              <w:top w:val="single" w:sz="4" w:space="0" w:color="auto"/>
              <w:left w:val="single" w:sz="4" w:space="0" w:color="auto"/>
              <w:bottom w:val="single" w:sz="4" w:space="0" w:color="auto"/>
              <w:right w:val="single" w:sz="4" w:space="0" w:color="auto"/>
            </w:tcBorders>
            <w:hideMark/>
          </w:tcPr>
          <w:p w14:paraId="33D5524D" w14:textId="77777777"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Аудит бағдарламаларында тиімділік көрсеткіштерінің жеңілдетілген әдістерін қолдануы, базалық көрсеткіштер ретінде тиімділік, үнемділік, өнімділік, нәтижелілік деп анықтауы</w:t>
            </w:r>
          </w:p>
        </w:tc>
        <w:tc>
          <w:tcPr>
            <w:tcW w:w="4662" w:type="dxa"/>
            <w:tcBorders>
              <w:top w:val="single" w:sz="4" w:space="0" w:color="auto"/>
              <w:left w:val="single" w:sz="4" w:space="0" w:color="auto"/>
              <w:bottom w:val="single" w:sz="4" w:space="0" w:color="auto"/>
              <w:right w:val="single" w:sz="4" w:space="0" w:color="auto"/>
            </w:tcBorders>
            <w:hideMark/>
          </w:tcPr>
          <w:p w14:paraId="19C32FD6" w14:textId="386502F3" w:rsidR="00BB2991" w:rsidRPr="00457CE9" w:rsidRDefault="00BB2991" w:rsidP="00457CE9">
            <w:pPr>
              <w:tabs>
                <w:tab w:val="left" w:pos="1605"/>
              </w:tabs>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Осы көрсеткіштерге индикаторларды анықтамау, аудит тақырыбына қарай арнайы </w:t>
            </w:r>
            <w:r w:rsidR="00962214">
              <w:rPr>
                <w:rFonts w:ascii="Times New Roman" w:hAnsi="Times New Roman" w:cs="Times New Roman"/>
                <w:sz w:val="24"/>
                <w:szCs w:val="24"/>
                <w:lang w:val="kk-KZ"/>
              </w:rPr>
              <w:t>критерийл</w:t>
            </w:r>
            <w:r w:rsidRPr="00457CE9">
              <w:rPr>
                <w:rFonts w:ascii="Times New Roman" w:hAnsi="Times New Roman" w:cs="Times New Roman"/>
                <w:sz w:val="24"/>
                <w:szCs w:val="24"/>
                <w:lang w:val="kk-KZ"/>
              </w:rPr>
              <w:t>ерді белгілемеуі</w:t>
            </w:r>
          </w:p>
        </w:tc>
      </w:tr>
      <w:tr w:rsidR="00BB2991" w:rsidRPr="00457CE9" w14:paraId="2E441624" w14:textId="0FE71782" w:rsidTr="005D05DC">
        <w:trPr>
          <w:jc w:val="center"/>
        </w:trPr>
        <w:tc>
          <w:tcPr>
            <w:tcW w:w="9538" w:type="dxa"/>
            <w:gridSpan w:val="2"/>
            <w:tcBorders>
              <w:top w:val="single" w:sz="4" w:space="0" w:color="auto"/>
              <w:left w:val="single" w:sz="4" w:space="0" w:color="auto"/>
              <w:bottom w:val="single" w:sz="4" w:space="0" w:color="auto"/>
              <w:right w:val="single" w:sz="4" w:space="0" w:color="auto"/>
            </w:tcBorders>
          </w:tcPr>
          <w:p w14:paraId="2F7D8090" w14:textId="403D0C8E" w:rsidR="00BB2991" w:rsidRPr="00457CE9" w:rsidRDefault="00BB2991" w:rsidP="005D05DC">
            <w:pPr>
              <w:tabs>
                <w:tab w:val="left" w:pos="1605"/>
              </w:tabs>
              <w:ind w:left="9" w:firstLine="542"/>
              <w:rPr>
                <w:rFonts w:ascii="Times New Roman" w:hAnsi="Times New Roman" w:cs="Times New Roman"/>
                <w:sz w:val="24"/>
                <w:szCs w:val="24"/>
                <w:lang w:val="kk-KZ"/>
              </w:rPr>
            </w:pPr>
            <w:r w:rsidRPr="00463D68">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457CE9">
              <w:rPr>
                <w:rFonts w:ascii="Times New Roman" w:hAnsi="Times New Roman" w:cs="Times New Roman"/>
                <w:sz w:val="24"/>
                <w:szCs w:val="24"/>
                <w:lang w:val="kk-KZ"/>
              </w:rPr>
              <w:t xml:space="preserve"> [</w:t>
            </w:r>
            <w:r w:rsidR="009C58C8">
              <w:rPr>
                <w:rFonts w:ascii="Times New Roman" w:hAnsi="Times New Roman" w:cs="Times New Roman"/>
                <w:sz w:val="24"/>
                <w:szCs w:val="24"/>
                <w:lang w:val="kk-KZ"/>
              </w:rPr>
              <w:t>5</w:t>
            </w:r>
            <w:r w:rsidR="00962214">
              <w:rPr>
                <w:rFonts w:ascii="Times New Roman" w:hAnsi="Times New Roman" w:cs="Times New Roman"/>
                <w:sz w:val="24"/>
                <w:szCs w:val="24"/>
                <w:lang w:val="kk-KZ"/>
              </w:rPr>
              <w:t>2</w:t>
            </w:r>
            <w:r w:rsidRPr="00457CE9">
              <w:rPr>
                <w:rFonts w:ascii="Times New Roman" w:hAnsi="Times New Roman" w:cs="Times New Roman"/>
                <w:sz w:val="24"/>
                <w:szCs w:val="24"/>
                <w:lang w:val="kk-KZ"/>
              </w:rPr>
              <w:t>,</w:t>
            </w:r>
            <w:r w:rsidR="009C58C8">
              <w:rPr>
                <w:rFonts w:ascii="Times New Roman" w:hAnsi="Times New Roman" w:cs="Times New Roman"/>
                <w:sz w:val="24"/>
                <w:szCs w:val="24"/>
                <w:lang w:val="kk-KZ"/>
              </w:rPr>
              <w:t xml:space="preserve"> 66,</w:t>
            </w:r>
            <w:r w:rsidRPr="00457CE9">
              <w:rPr>
                <w:rFonts w:ascii="Times New Roman" w:hAnsi="Times New Roman" w:cs="Times New Roman"/>
                <w:sz w:val="24"/>
                <w:szCs w:val="24"/>
                <w:lang w:val="kk-KZ"/>
              </w:rPr>
              <w:t xml:space="preserve"> 1</w:t>
            </w:r>
            <w:r w:rsidR="00962214">
              <w:rPr>
                <w:rFonts w:ascii="Times New Roman" w:hAnsi="Times New Roman" w:cs="Times New Roman"/>
                <w:sz w:val="24"/>
                <w:szCs w:val="24"/>
                <w:lang w:val="kk-KZ"/>
              </w:rPr>
              <w:t>20</w:t>
            </w:r>
            <w:r w:rsidRPr="00457CE9">
              <w:rPr>
                <w:rFonts w:ascii="Times New Roman" w:hAnsi="Times New Roman" w:cs="Times New Roman"/>
                <w:sz w:val="24"/>
                <w:szCs w:val="24"/>
                <w:lang w:val="kk-KZ"/>
              </w:rPr>
              <w:t>-1</w:t>
            </w:r>
            <w:r w:rsidR="00962214">
              <w:rPr>
                <w:rFonts w:ascii="Times New Roman" w:hAnsi="Times New Roman" w:cs="Times New Roman"/>
                <w:sz w:val="24"/>
                <w:szCs w:val="24"/>
                <w:lang w:val="kk-KZ"/>
              </w:rPr>
              <w:t>39</w:t>
            </w:r>
            <w:r w:rsidRPr="00457CE9">
              <w:rPr>
                <w:rFonts w:ascii="Times New Roman" w:hAnsi="Times New Roman" w:cs="Times New Roman"/>
                <w:sz w:val="24"/>
                <w:szCs w:val="24"/>
                <w:lang w:val="kk-KZ"/>
              </w:rPr>
              <w:t xml:space="preserve">] </w:t>
            </w:r>
          </w:p>
        </w:tc>
      </w:tr>
    </w:tbl>
    <w:p w14:paraId="05121C7A" w14:textId="77777777" w:rsidR="000604C0" w:rsidRPr="00962214" w:rsidRDefault="000604C0" w:rsidP="00457CE9">
      <w:pPr>
        <w:tabs>
          <w:tab w:val="left" w:pos="1605"/>
        </w:tabs>
        <w:spacing w:after="0" w:line="240" w:lineRule="auto"/>
        <w:ind w:firstLine="567"/>
        <w:jc w:val="both"/>
        <w:rPr>
          <w:rFonts w:ascii="Times New Roman" w:hAnsi="Times New Roman" w:cs="Times New Roman"/>
          <w:sz w:val="16"/>
          <w:szCs w:val="16"/>
          <w:lang w:val="kk-KZ"/>
        </w:rPr>
      </w:pPr>
    </w:p>
    <w:p w14:paraId="4964F07F" w14:textId="334337B8" w:rsidR="00B5189E" w:rsidRDefault="007F5D1B" w:rsidP="00962214">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43</w:t>
      </w:r>
      <w:r w:rsidR="00B5189E" w:rsidRPr="00457CE9">
        <w:rPr>
          <w:rFonts w:ascii="Times New Roman" w:hAnsi="Times New Roman" w:cs="Times New Roman"/>
          <w:sz w:val="28"/>
          <w:szCs w:val="28"/>
          <w:lang w:val="kk-KZ"/>
        </w:rPr>
        <w:t xml:space="preserve">-кесте мәліметтерінен </w:t>
      </w:r>
      <w:r w:rsidR="00962214">
        <w:rPr>
          <w:rFonts w:ascii="Times New Roman" w:hAnsi="Times New Roman" w:cs="Times New Roman"/>
          <w:sz w:val="28"/>
          <w:szCs w:val="28"/>
          <w:lang w:val="kk-KZ"/>
        </w:rPr>
        <w:t xml:space="preserve">соңғы 2020-2023 жж. жүргізген </w:t>
      </w:r>
      <w:r w:rsidR="00B5189E" w:rsidRPr="00457CE9">
        <w:rPr>
          <w:rFonts w:ascii="Times New Roman" w:hAnsi="Times New Roman" w:cs="Times New Roman"/>
          <w:sz w:val="28"/>
          <w:szCs w:val="28"/>
          <w:lang w:val="kk-KZ"/>
        </w:rPr>
        <w:t>ЖАП</w:t>
      </w:r>
      <w:r w:rsidR="00962214">
        <w:rPr>
          <w:rFonts w:ascii="Times New Roman" w:hAnsi="Times New Roman" w:cs="Times New Roman"/>
          <w:sz w:val="28"/>
          <w:szCs w:val="28"/>
          <w:lang w:val="kk-KZ"/>
        </w:rPr>
        <w:t>, тексеру комиссиялары</w:t>
      </w:r>
      <w:r w:rsidR="00B5189E" w:rsidRPr="00457CE9">
        <w:rPr>
          <w:rFonts w:ascii="Times New Roman" w:hAnsi="Times New Roman" w:cs="Times New Roman"/>
          <w:sz w:val="28"/>
          <w:szCs w:val="28"/>
          <w:lang w:val="kk-KZ"/>
        </w:rPr>
        <w:t xml:space="preserve"> аудиторларының аудиторлық есептері негізінде тиімділік аудитінде жіберілген кемшіліктері келтірілген. </w:t>
      </w:r>
      <w:r w:rsidR="00962214">
        <w:rPr>
          <w:rFonts w:ascii="Times New Roman" w:hAnsi="Times New Roman" w:cs="Times New Roman"/>
          <w:sz w:val="28"/>
          <w:szCs w:val="28"/>
          <w:lang w:val="kk-KZ"/>
        </w:rPr>
        <w:t>Аудиторлық есептер орыс тілінде жарияланған, тек Маңғыстау облысы тексеру комиссиясы жүргізген аудиторлық есеп мемлекеттік тілде дайындалып ұсынылған. Тексеру комиссиялары аудиторлық есепте облыс бойынша барлық салалар көрсеткіштері</w:t>
      </w:r>
      <w:r w:rsidR="00D71245">
        <w:rPr>
          <w:rFonts w:ascii="Times New Roman" w:hAnsi="Times New Roman" w:cs="Times New Roman"/>
          <w:sz w:val="28"/>
          <w:szCs w:val="28"/>
          <w:lang w:val="kk-KZ"/>
        </w:rPr>
        <w:t>ні</w:t>
      </w:r>
      <w:r w:rsidR="00962214">
        <w:rPr>
          <w:rFonts w:ascii="Times New Roman" w:hAnsi="Times New Roman" w:cs="Times New Roman"/>
          <w:sz w:val="28"/>
          <w:szCs w:val="28"/>
          <w:lang w:val="kk-KZ"/>
        </w:rPr>
        <w:t xml:space="preserve">ң талдауын жасау арқылы бағалау берген. </w:t>
      </w:r>
      <w:r w:rsidR="00B5189E" w:rsidRPr="00457CE9">
        <w:rPr>
          <w:rFonts w:ascii="Times New Roman" w:hAnsi="Times New Roman" w:cs="Times New Roman"/>
          <w:sz w:val="28"/>
          <w:szCs w:val="28"/>
          <w:lang w:val="kk-KZ"/>
        </w:rPr>
        <w:t xml:space="preserve">Бұл фактілер тиімділік аудиті сапасын жақсарту жолдарын ұсыну қажеттілігін көрсетеді. 2017-2021 жж. аралығында ҚР-да </w:t>
      </w:r>
      <w:r w:rsidR="00575788">
        <w:rPr>
          <w:rFonts w:ascii="Times New Roman" w:hAnsi="Times New Roman" w:cs="Times New Roman"/>
          <w:sz w:val="28"/>
          <w:szCs w:val="28"/>
          <w:lang w:val="kk-KZ"/>
        </w:rPr>
        <w:t>АӨК-н</w:t>
      </w:r>
      <w:r w:rsidR="00B5189E" w:rsidRPr="00457CE9">
        <w:rPr>
          <w:rFonts w:ascii="Times New Roman" w:hAnsi="Times New Roman" w:cs="Times New Roman"/>
          <w:sz w:val="28"/>
          <w:szCs w:val="28"/>
          <w:lang w:val="kk-KZ"/>
        </w:rPr>
        <w:t xml:space="preserve"> дамытуға бағытталған бюджет қаражаты тиімділігінің аудиті өткізілген аумақтық бөлімшелер туралы ақпарат </w:t>
      </w:r>
      <w:r>
        <w:rPr>
          <w:rFonts w:ascii="Times New Roman" w:hAnsi="Times New Roman" w:cs="Times New Roman"/>
          <w:sz w:val="28"/>
          <w:szCs w:val="28"/>
          <w:lang w:val="kk-KZ"/>
        </w:rPr>
        <w:t>44-</w:t>
      </w:r>
      <w:r w:rsidR="00B5189E" w:rsidRPr="00457CE9">
        <w:rPr>
          <w:rFonts w:ascii="Times New Roman" w:hAnsi="Times New Roman" w:cs="Times New Roman"/>
          <w:sz w:val="28"/>
          <w:szCs w:val="28"/>
          <w:lang w:val="kk-KZ"/>
        </w:rPr>
        <w:t>кестеде келтірілген.</w:t>
      </w:r>
    </w:p>
    <w:p w14:paraId="6441D0A6" w14:textId="5E59D79C" w:rsidR="00B5189E" w:rsidRDefault="00B5189E" w:rsidP="00457CE9">
      <w:pPr>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9B76D2">
        <w:rPr>
          <w:rFonts w:ascii="Times New Roman" w:hAnsi="Times New Roman" w:cs="Times New Roman"/>
          <w:sz w:val="28"/>
          <w:szCs w:val="28"/>
          <w:lang w:val="kk-KZ"/>
        </w:rPr>
        <w:t>44</w:t>
      </w:r>
      <w:r w:rsidRPr="00457CE9">
        <w:rPr>
          <w:rFonts w:ascii="Times New Roman" w:hAnsi="Times New Roman" w:cs="Times New Roman"/>
          <w:sz w:val="28"/>
          <w:szCs w:val="28"/>
          <w:lang w:val="kk-KZ"/>
        </w:rPr>
        <w:t xml:space="preserve"> – 2017-2021 жж. аралығында ҚР-да </w:t>
      </w:r>
      <w:r w:rsidR="00575788">
        <w:rPr>
          <w:rFonts w:ascii="Times New Roman" w:hAnsi="Times New Roman" w:cs="Times New Roman"/>
          <w:sz w:val="28"/>
          <w:szCs w:val="28"/>
          <w:lang w:val="kk-KZ"/>
        </w:rPr>
        <w:t>АӨК-н</w:t>
      </w:r>
      <w:r w:rsidRPr="00457CE9">
        <w:rPr>
          <w:rFonts w:ascii="Times New Roman" w:hAnsi="Times New Roman" w:cs="Times New Roman"/>
          <w:sz w:val="28"/>
          <w:szCs w:val="28"/>
          <w:lang w:val="kk-KZ"/>
        </w:rPr>
        <w:t xml:space="preserve"> дамытуға бағытталған бюджет қаражаты тиімділігінің аудиті өткізілген аумақтық бөлімшелер туралы ақпарат</w:t>
      </w:r>
    </w:p>
    <w:p w14:paraId="376D98B0" w14:textId="77777777" w:rsidR="005D05DC" w:rsidRPr="005D05DC" w:rsidRDefault="005D05DC" w:rsidP="00457CE9">
      <w:pPr>
        <w:spacing w:after="0" w:line="240" w:lineRule="auto"/>
        <w:jc w:val="both"/>
        <w:rPr>
          <w:rFonts w:ascii="Times New Roman" w:hAnsi="Times New Roman" w:cs="Times New Roman"/>
          <w:sz w:val="16"/>
          <w:szCs w:val="16"/>
          <w:lang w:val="kk-KZ"/>
        </w:rPr>
      </w:pPr>
    </w:p>
    <w:tbl>
      <w:tblPr>
        <w:tblStyle w:val="a3"/>
        <w:tblW w:w="9570" w:type="dxa"/>
        <w:jc w:val="center"/>
        <w:tblLook w:val="04A0" w:firstRow="1" w:lastRow="0" w:firstColumn="1" w:lastColumn="0" w:noHBand="0" w:noVBand="1"/>
      </w:tblPr>
      <w:tblGrid>
        <w:gridCol w:w="3924"/>
        <w:gridCol w:w="1607"/>
        <w:gridCol w:w="4039"/>
      </w:tblGrid>
      <w:tr w:rsidR="00BB2991" w:rsidRPr="005D05DC" w14:paraId="0CBF493A"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vAlign w:val="center"/>
            <w:hideMark/>
          </w:tcPr>
          <w:p w14:paraId="12C41AE8" w14:textId="77777777" w:rsidR="00BB2991" w:rsidRPr="005D05DC" w:rsidRDefault="00BB2991" w:rsidP="005D05DC">
            <w:pPr>
              <w:jc w:val="center"/>
              <w:rPr>
                <w:rFonts w:ascii="Times New Roman" w:hAnsi="Times New Roman" w:cs="Times New Roman"/>
                <w:sz w:val="24"/>
                <w:szCs w:val="24"/>
                <w:lang w:val="kk-KZ"/>
              </w:rPr>
            </w:pPr>
            <w:r w:rsidRPr="005D05DC">
              <w:rPr>
                <w:rFonts w:ascii="Times New Roman" w:hAnsi="Times New Roman" w:cs="Times New Roman"/>
                <w:sz w:val="24"/>
                <w:szCs w:val="24"/>
                <w:lang w:val="kk-KZ"/>
              </w:rPr>
              <w:t>Тиімділік аудитімен қамтылған объектілер</w:t>
            </w:r>
          </w:p>
        </w:tc>
        <w:tc>
          <w:tcPr>
            <w:tcW w:w="1607" w:type="dxa"/>
            <w:tcBorders>
              <w:top w:val="single" w:sz="4" w:space="0" w:color="auto"/>
              <w:left w:val="single" w:sz="4" w:space="0" w:color="auto"/>
              <w:bottom w:val="single" w:sz="4" w:space="0" w:color="auto"/>
              <w:right w:val="single" w:sz="4" w:space="0" w:color="auto"/>
            </w:tcBorders>
            <w:vAlign w:val="center"/>
            <w:hideMark/>
          </w:tcPr>
          <w:p w14:paraId="0848E650" w14:textId="77777777" w:rsidR="00BB2991" w:rsidRPr="005D05DC" w:rsidRDefault="00BB2991" w:rsidP="005D05DC">
            <w:pPr>
              <w:ind w:left="-97"/>
              <w:jc w:val="center"/>
              <w:rPr>
                <w:rFonts w:ascii="Times New Roman" w:hAnsi="Times New Roman" w:cs="Times New Roman"/>
                <w:sz w:val="24"/>
                <w:szCs w:val="24"/>
                <w:lang w:val="kk-KZ"/>
              </w:rPr>
            </w:pPr>
            <w:r w:rsidRPr="005D05DC">
              <w:rPr>
                <w:rFonts w:ascii="Times New Roman" w:hAnsi="Times New Roman" w:cs="Times New Roman"/>
                <w:sz w:val="24"/>
                <w:szCs w:val="24"/>
                <w:lang w:val="kk-KZ"/>
              </w:rPr>
              <w:t>Аудит өткізген орган</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FB84F18" w14:textId="6AE2F86C" w:rsidR="00BB2991" w:rsidRPr="005D05DC" w:rsidRDefault="00BB2991" w:rsidP="005D05DC">
            <w:pPr>
              <w:jc w:val="center"/>
              <w:rPr>
                <w:rFonts w:ascii="Times New Roman" w:hAnsi="Times New Roman" w:cs="Times New Roman"/>
                <w:sz w:val="24"/>
                <w:szCs w:val="24"/>
                <w:lang w:val="kk-KZ"/>
              </w:rPr>
            </w:pPr>
            <w:r w:rsidRPr="005D05DC">
              <w:rPr>
                <w:rFonts w:ascii="Times New Roman" w:hAnsi="Times New Roman" w:cs="Times New Roman"/>
                <w:sz w:val="24"/>
                <w:szCs w:val="24"/>
                <w:lang w:val="kk-KZ"/>
              </w:rPr>
              <w:t>Аудит типі мен мақсаты</w:t>
            </w:r>
          </w:p>
        </w:tc>
      </w:tr>
      <w:tr w:rsidR="005D05DC" w:rsidRPr="005D05DC" w14:paraId="640076EB"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vAlign w:val="center"/>
          </w:tcPr>
          <w:p w14:paraId="416A82F6" w14:textId="00DEFEE0" w:rsidR="005D05DC" w:rsidRPr="005D05DC" w:rsidRDefault="005D05DC" w:rsidP="005D05D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07" w:type="dxa"/>
            <w:tcBorders>
              <w:top w:val="single" w:sz="4" w:space="0" w:color="auto"/>
              <w:left w:val="single" w:sz="4" w:space="0" w:color="auto"/>
              <w:bottom w:val="single" w:sz="4" w:space="0" w:color="auto"/>
              <w:right w:val="single" w:sz="4" w:space="0" w:color="auto"/>
            </w:tcBorders>
            <w:vAlign w:val="center"/>
          </w:tcPr>
          <w:p w14:paraId="2E2EE751" w14:textId="05E48144" w:rsidR="005D05DC" w:rsidRPr="005D05DC" w:rsidRDefault="005D05DC" w:rsidP="005D05DC">
            <w:pPr>
              <w:ind w:left="-97"/>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039" w:type="dxa"/>
            <w:tcBorders>
              <w:top w:val="single" w:sz="4" w:space="0" w:color="auto"/>
              <w:left w:val="single" w:sz="4" w:space="0" w:color="auto"/>
              <w:bottom w:val="single" w:sz="4" w:space="0" w:color="auto"/>
              <w:right w:val="single" w:sz="4" w:space="0" w:color="auto"/>
            </w:tcBorders>
            <w:vAlign w:val="center"/>
          </w:tcPr>
          <w:p w14:paraId="586CE0FF" w14:textId="2A3FAF6C" w:rsidR="005D05DC" w:rsidRPr="005D05DC" w:rsidRDefault="005D05DC" w:rsidP="005D05D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B2991" w:rsidRPr="00805B3E" w14:paraId="04DDFD3B"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524460FA"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«Ақмола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244939CD"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ЖАП</w:t>
            </w:r>
          </w:p>
        </w:tc>
        <w:tc>
          <w:tcPr>
            <w:tcW w:w="4039" w:type="dxa"/>
            <w:tcBorders>
              <w:top w:val="single" w:sz="4" w:space="0" w:color="auto"/>
              <w:left w:val="single" w:sz="4" w:space="0" w:color="auto"/>
              <w:bottom w:val="single" w:sz="4" w:space="0" w:color="auto"/>
              <w:right w:val="single" w:sz="4" w:space="0" w:color="auto"/>
            </w:tcBorders>
            <w:hideMark/>
          </w:tcPr>
          <w:p w14:paraId="283B454A"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ҚР АӨК дамытудың 2017-2021 жж. мемлекеттік бағдарламасын іске асыруды, дағдарысқа қарсы шараларға бағытталған қаражатты пайдалану тиімділік аудиті</w:t>
            </w:r>
          </w:p>
        </w:tc>
      </w:tr>
      <w:tr w:rsidR="00BB2991" w:rsidRPr="00805B3E" w14:paraId="14EDBAE4"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1CEFAAB1"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«Ақмола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3174000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Тексеру комиссиясы</w:t>
            </w:r>
          </w:p>
        </w:tc>
        <w:tc>
          <w:tcPr>
            <w:tcW w:w="4039" w:type="dxa"/>
            <w:tcBorders>
              <w:top w:val="single" w:sz="4" w:space="0" w:color="auto"/>
              <w:left w:val="single" w:sz="4" w:space="0" w:color="auto"/>
              <w:bottom w:val="single" w:sz="4" w:space="0" w:color="auto"/>
              <w:right w:val="single" w:sz="4" w:space="0" w:color="auto"/>
            </w:tcBorders>
            <w:hideMark/>
          </w:tcPr>
          <w:p w14:paraId="4A32AB98" w14:textId="2061433E"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БП және аймақтарды дамыту Бағдарламасының жеке бағыттарын іске асыруға бағытталған бюджет қаражатын пайдалану тиімділігін бағалау, бюджет қаражатын пайда</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лану кезінде ҚР заң нормаларын сақтау</w:t>
            </w:r>
          </w:p>
        </w:tc>
      </w:tr>
      <w:tr w:rsidR="00BB2991" w:rsidRPr="00805B3E" w14:paraId="2C23BE59"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2881E132"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«Алматы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19A915E8"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Тексеру комиссиясы</w:t>
            </w:r>
          </w:p>
        </w:tc>
        <w:tc>
          <w:tcPr>
            <w:tcW w:w="4039" w:type="dxa"/>
            <w:tcBorders>
              <w:top w:val="single" w:sz="4" w:space="0" w:color="auto"/>
              <w:left w:val="single" w:sz="4" w:space="0" w:color="auto"/>
              <w:bottom w:val="single" w:sz="4" w:space="0" w:color="auto"/>
              <w:right w:val="single" w:sz="4" w:space="0" w:color="auto"/>
            </w:tcBorders>
            <w:hideMark/>
          </w:tcPr>
          <w:p w14:paraId="06BA177D" w14:textId="4E5D6CAD"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Жергілікті бюджеттің шоғырлан</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дырылған қаржылық есептілігін растау</w:t>
            </w:r>
          </w:p>
        </w:tc>
      </w:tr>
      <w:tr w:rsidR="00BB2991" w:rsidRPr="00805B3E" w14:paraId="3ECCBA75"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22FBF3F2"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«Қостанай облысының ауыл шаруашылығын басқару» ММ</w:t>
            </w:r>
          </w:p>
        </w:tc>
        <w:tc>
          <w:tcPr>
            <w:tcW w:w="1607" w:type="dxa"/>
            <w:vMerge w:val="restart"/>
            <w:tcBorders>
              <w:top w:val="single" w:sz="4" w:space="0" w:color="auto"/>
              <w:left w:val="single" w:sz="4" w:space="0" w:color="auto"/>
              <w:bottom w:val="single" w:sz="4" w:space="0" w:color="auto"/>
              <w:right w:val="single" w:sz="4" w:space="0" w:color="auto"/>
            </w:tcBorders>
            <w:hideMark/>
          </w:tcPr>
          <w:p w14:paraId="36CA45E2"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ЖАП</w:t>
            </w:r>
          </w:p>
        </w:tc>
        <w:tc>
          <w:tcPr>
            <w:tcW w:w="4039" w:type="dxa"/>
            <w:vMerge w:val="restart"/>
            <w:tcBorders>
              <w:top w:val="single" w:sz="4" w:space="0" w:color="auto"/>
              <w:left w:val="single" w:sz="4" w:space="0" w:color="auto"/>
              <w:bottom w:val="single" w:sz="4" w:space="0" w:color="auto"/>
              <w:right w:val="single" w:sz="4" w:space="0" w:color="auto"/>
            </w:tcBorders>
            <w:hideMark/>
          </w:tcPr>
          <w:p w14:paraId="08E7C712" w14:textId="76466C2B"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РБ-тен бөлінген нысаналы транс</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ферттердің әлеуметтік-экономика</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лық дамуына әсерін бағалау</w:t>
            </w:r>
          </w:p>
        </w:tc>
      </w:tr>
      <w:tr w:rsidR="00BB2991" w:rsidRPr="00805B3E" w14:paraId="49E7B3EB"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2FDF9B3D"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«Қызылорда облысының ауыл шаруашылығын басқару»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34A3A" w14:textId="77777777" w:rsidR="00BB2991" w:rsidRPr="005D05DC" w:rsidRDefault="00BB2991" w:rsidP="00457CE9">
            <w:pPr>
              <w:rPr>
                <w:rFonts w:ascii="Times New Roman" w:hAnsi="Times New Roman" w:cs="Times New Roman"/>
                <w:sz w:val="24"/>
                <w:szCs w:val="24"/>
                <w:lang w:val="kk-KZ"/>
              </w:rPr>
            </w:pPr>
          </w:p>
        </w:tc>
        <w:tc>
          <w:tcPr>
            <w:tcW w:w="4039" w:type="dxa"/>
            <w:vMerge/>
            <w:tcBorders>
              <w:top w:val="single" w:sz="4" w:space="0" w:color="auto"/>
              <w:left w:val="single" w:sz="4" w:space="0" w:color="auto"/>
              <w:bottom w:val="single" w:sz="4" w:space="0" w:color="auto"/>
              <w:right w:val="single" w:sz="4" w:space="0" w:color="auto"/>
            </w:tcBorders>
            <w:vAlign w:val="center"/>
            <w:hideMark/>
          </w:tcPr>
          <w:p w14:paraId="06536F76" w14:textId="77777777" w:rsidR="00BB2991" w:rsidRPr="005D05DC" w:rsidRDefault="00BB2991" w:rsidP="00457CE9">
            <w:pPr>
              <w:rPr>
                <w:rFonts w:ascii="Times New Roman" w:hAnsi="Times New Roman" w:cs="Times New Roman"/>
                <w:sz w:val="24"/>
                <w:szCs w:val="24"/>
                <w:lang w:val="kk-KZ"/>
              </w:rPr>
            </w:pPr>
          </w:p>
        </w:tc>
      </w:tr>
      <w:tr w:rsidR="00BB2991" w:rsidRPr="005D05DC" w14:paraId="2C448041"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43120B0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«Қарағанды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263E9278"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ІМАД</w:t>
            </w:r>
          </w:p>
        </w:tc>
        <w:tc>
          <w:tcPr>
            <w:tcW w:w="4039" w:type="dxa"/>
            <w:tcBorders>
              <w:top w:val="single" w:sz="4" w:space="0" w:color="auto"/>
              <w:left w:val="single" w:sz="4" w:space="0" w:color="auto"/>
              <w:bottom w:val="single" w:sz="4" w:space="0" w:color="auto"/>
              <w:right w:val="single" w:sz="4" w:space="0" w:color="auto"/>
            </w:tcBorders>
            <w:hideMark/>
          </w:tcPr>
          <w:p w14:paraId="4985C788"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Сәйкестік аудиті</w:t>
            </w:r>
          </w:p>
        </w:tc>
      </w:tr>
      <w:tr w:rsidR="00BB2991" w:rsidRPr="005D05DC" w14:paraId="493F98D0"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1CBE6017"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«СҚО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4E79029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Мәліметтер жоқ</w:t>
            </w:r>
          </w:p>
        </w:tc>
        <w:tc>
          <w:tcPr>
            <w:tcW w:w="4039" w:type="dxa"/>
            <w:tcBorders>
              <w:top w:val="single" w:sz="4" w:space="0" w:color="auto"/>
              <w:left w:val="single" w:sz="4" w:space="0" w:color="auto"/>
              <w:bottom w:val="single" w:sz="4" w:space="0" w:color="auto"/>
              <w:right w:val="single" w:sz="4" w:space="0" w:color="auto"/>
            </w:tcBorders>
          </w:tcPr>
          <w:p w14:paraId="1365F39D" w14:textId="77777777" w:rsidR="00BB2991" w:rsidRPr="005D05DC" w:rsidRDefault="00BB2991" w:rsidP="00457CE9">
            <w:pPr>
              <w:rPr>
                <w:rFonts w:ascii="Times New Roman" w:hAnsi="Times New Roman" w:cs="Times New Roman"/>
                <w:sz w:val="24"/>
                <w:szCs w:val="24"/>
                <w:lang w:val="kk-KZ"/>
              </w:rPr>
            </w:pPr>
          </w:p>
        </w:tc>
      </w:tr>
      <w:tr w:rsidR="00BB2991" w:rsidRPr="00805B3E" w14:paraId="0E885730"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629697B9"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«ШҚО ауыл шаруашылығын басқару» ММ</w:t>
            </w:r>
          </w:p>
        </w:tc>
        <w:tc>
          <w:tcPr>
            <w:tcW w:w="1607" w:type="dxa"/>
            <w:vMerge w:val="restart"/>
            <w:tcBorders>
              <w:top w:val="single" w:sz="4" w:space="0" w:color="auto"/>
              <w:left w:val="single" w:sz="4" w:space="0" w:color="auto"/>
              <w:bottom w:val="single" w:sz="4" w:space="0" w:color="auto"/>
              <w:right w:val="single" w:sz="4" w:space="0" w:color="auto"/>
            </w:tcBorders>
            <w:hideMark/>
          </w:tcPr>
          <w:p w14:paraId="46478A38"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ЖАП</w:t>
            </w:r>
          </w:p>
        </w:tc>
        <w:tc>
          <w:tcPr>
            <w:tcW w:w="4039" w:type="dxa"/>
            <w:vMerge w:val="restart"/>
            <w:tcBorders>
              <w:top w:val="single" w:sz="4" w:space="0" w:color="auto"/>
              <w:left w:val="single" w:sz="4" w:space="0" w:color="auto"/>
              <w:bottom w:val="single" w:sz="4" w:space="0" w:color="auto"/>
              <w:right w:val="single" w:sz="4" w:space="0" w:color="auto"/>
            </w:tcBorders>
            <w:hideMark/>
          </w:tcPr>
          <w:p w14:paraId="418E6368" w14:textId="06B0A656"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Республикалық бюджеттен бөлінген нысаналы трансферттердің әлеумет</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тік-экономикалық дамуына әсерін бағалау</w:t>
            </w:r>
          </w:p>
        </w:tc>
      </w:tr>
      <w:tr w:rsidR="00BB2991" w:rsidRPr="00805B3E" w14:paraId="59C7E37A"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61A84D3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«БҚО ауыл шаруашылығын басқару»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7EAF0" w14:textId="77777777" w:rsidR="00BB2991" w:rsidRPr="005D05DC" w:rsidRDefault="00BB2991" w:rsidP="00457CE9">
            <w:pPr>
              <w:rPr>
                <w:rFonts w:ascii="Times New Roman" w:hAnsi="Times New Roman" w:cs="Times New Roman"/>
                <w:sz w:val="24"/>
                <w:szCs w:val="24"/>
                <w:lang w:val="kk-KZ"/>
              </w:rPr>
            </w:pPr>
          </w:p>
        </w:tc>
        <w:tc>
          <w:tcPr>
            <w:tcW w:w="4039" w:type="dxa"/>
            <w:vMerge/>
            <w:tcBorders>
              <w:top w:val="single" w:sz="4" w:space="0" w:color="auto"/>
              <w:left w:val="single" w:sz="4" w:space="0" w:color="auto"/>
              <w:bottom w:val="single" w:sz="4" w:space="0" w:color="auto"/>
              <w:right w:val="single" w:sz="4" w:space="0" w:color="auto"/>
            </w:tcBorders>
            <w:vAlign w:val="center"/>
            <w:hideMark/>
          </w:tcPr>
          <w:p w14:paraId="14ECC17F" w14:textId="77777777" w:rsidR="00BB2991" w:rsidRPr="005D05DC" w:rsidRDefault="00BB2991" w:rsidP="00457CE9">
            <w:pPr>
              <w:rPr>
                <w:rFonts w:ascii="Times New Roman" w:hAnsi="Times New Roman" w:cs="Times New Roman"/>
                <w:sz w:val="24"/>
                <w:szCs w:val="24"/>
                <w:lang w:val="kk-KZ"/>
              </w:rPr>
            </w:pPr>
          </w:p>
        </w:tc>
      </w:tr>
      <w:tr w:rsidR="00BB2991" w:rsidRPr="00805B3E" w14:paraId="5814C6DD"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02AE834B"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«Атырау облысының ауыл шаруашылығын басқару»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F8C10" w14:textId="77777777" w:rsidR="00BB2991" w:rsidRPr="005D05DC" w:rsidRDefault="00BB2991" w:rsidP="00457CE9">
            <w:pPr>
              <w:rPr>
                <w:rFonts w:ascii="Times New Roman" w:hAnsi="Times New Roman" w:cs="Times New Roman"/>
                <w:sz w:val="24"/>
                <w:szCs w:val="24"/>
                <w:lang w:val="kk-KZ"/>
              </w:rPr>
            </w:pPr>
          </w:p>
        </w:tc>
        <w:tc>
          <w:tcPr>
            <w:tcW w:w="4039" w:type="dxa"/>
            <w:vMerge/>
            <w:tcBorders>
              <w:top w:val="single" w:sz="4" w:space="0" w:color="auto"/>
              <w:left w:val="single" w:sz="4" w:space="0" w:color="auto"/>
              <w:bottom w:val="single" w:sz="4" w:space="0" w:color="auto"/>
              <w:right w:val="single" w:sz="4" w:space="0" w:color="auto"/>
            </w:tcBorders>
            <w:vAlign w:val="center"/>
            <w:hideMark/>
          </w:tcPr>
          <w:p w14:paraId="2FDD4E62" w14:textId="77777777" w:rsidR="00BB2991" w:rsidRPr="005D05DC" w:rsidRDefault="00BB2991" w:rsidP="00457CE9">
            <w:pPr>
              <w:rPr>
                <w:rFonts w:ascii="Times New Roman" w:hAnsi="Times New Roman" w:cs="Times New Roman"/>
                <w:sz w:val="24"/>
                <w:szCs w:val="24"/>
                <w:lang w:val="kk-KZ"/>
              </w:rPr>
            </w:pPr>
          </w:p>
        </w:tc>
      </w:tr>
      <w:tr w:rsidR="00BB2991" w:rsidRPr="00805B3E" w14:paraId="098E134F"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0745BD76"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«Маңғыстау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19821E4D"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Тексеру комиссиясы, қазақ тілінде есептілік</w:t>
            </w:r>
          </w:p>
        </w:tc>
        <w:tc>
          <w:tcPr>
            <w:tcW w:w="4039" w:type="dxa"/>
            <w:tcBorders>
              <w:top w:val="single" w:sz="4" w:space="0" w:color="auto"/>
              <w:left w:val="single" w:sz="4" w:space="0" w:color="auto"/>
              <w:bottom w:val="single" w:sz="4" w:space="0" w:color="auto"/>
              <w:right w:val="single" w:sz="4" w:space="0" w:color="auto"/>
            </w:tcBorders>
            <w:hideMark/>
          </w:tcPr>
          <w:p w14:paraId="2FD13FE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ҚР АӨК дамытудың 2017-2021 жж. мемлекеттік бағдарламасын іске асыруды, дағдарысқа қарсы шараларға бағытталған қаражатты пайдалану тиімділік аудиті</w:t>
            </w:r>
          </w:p>
        </w:tc>
      </w:tr>
      <w:tr w:rsidR="00BB2991" w:rsidRPr="005D05DC" w14:paraId="0599292C"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2A04D1E6"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«Ақтөбе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15F534CE"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Мәліметтер жоқ</w:t>
            </w:r>
          </w:p>
        </w:tc>
        <w:tc>
          <w:tcPr>
            <w:tcW w:w="4039" w:type="dxa"/>
            <w:tcBorders>
              <w:top w:val="single" w:sz="4" w:space="0" w:color="auto"/>
              <w:left w:val="single" w:sz="4" w:space="0" w:color="auto"/>
              <w:bottom w:val="single" w:sz="4" w:space="0" w:color="auto"/>
              <w:right w:val="single" w:sz="4" w:space="0" w:color="auto"/>
            </w:tcBorders>
          </w:tcPr>
          <w:p w14:paraId="7AF78AEA" w14:textId="77777777" w:rsidR="00BB2991" w:rsidRPr="005D05DC" w:rsidRDefault="00BB2991" w:rsidP="00457CE9">
            <w:pPr>
              <w:rPr>
                <w:rFonts w:ascii="Times New Roman" w:hAnsi="Times New Roman" w:cs="Times New Roman"/>
                <w:sz w:val="24"/>
                <w:szCs w:val="24"/>
                <w:lang w:val="kk-KZ"/>
              </w:rPr>
            </w:pPr>
          </w:p>
        </w:tc>
      </w:tr>
      <w:tr w:rsidR="00BB2991" w:rsidRPr="005D05DC" w14:paraId="3399D7E7"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605E12CB"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«Жамбыл облысының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1403DA61"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Мәліметтер жоқ</w:t>
            </w:r>
          </w:p>
        </w:tc>
        <w:tc>
          <w:tcPr>
            <w:tcW w:w="4039" w:type="dxa"/>
            <w:tcBorders>
              <w:top w:val="single" w:sz="4" w:space="0" w:color="auto"/>
              <w:left w:val="single" w:sz="4" w:space="0" w:color="auto"/>
              <w:bottom w:val="single" w:sz="4" w:space="0" w:color="auto"/>
              <w:right w:val="single" w:sz="4" w:space="0" w:color="auto"/>
            </w:tcBorders>
          </w:tcPr>
          <w:p w14:paraId="72DD6C8A" w14:textId="77777777" w:rsidR="00BB2991" w:rsidRPr="005D05DC" w:rsidRDefault="00BB2991" w:rsidP="00457CE9">
            <w:pPr>
              <w:rPr>
                <w:rFonts w:ascii="Times New Roman" w:hAnsi="Times New Roman" w:cs="Times New Roman"/>
                <w:sz w:val="24"/>
                <w:szCs w:val="24"/>
                <w:lang w:val="kk-KZ"/>
              </w:rPr>
            </w:pPr>
          </w:p>
        </w:tc>
      </w:tr>
      <w:tr w:rsidR="00BB2991" w:rsidRPr="00805B3E" w14:paraId="3BC19B02"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0832272B"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«Павлодар облысының ауыл шаруашылығын басқару» ММ</w:t>
            </w:r>
          </w:p>
        </w:tc>
        <w:tc>
          <w:tcPr>
            <w:tcW w:w="1607" w:type="dxa"/>
            <w:vMerge w:val="restart"/>
            <w:tcBorders>
              <w:top w:val="single" w:sz="4" w:space="0" w:color="auto"/>
              <w:left w:val="single" w:sz="4" w:space="0" w:color="auto"/>
              <w:bottom w:val="single" w:sz="4" w:space="0" w:color="auto"/>
              <w:right w:val="single" w:sz="4" w:space="0" w:color="auto"/>
            </w:tcBorders>
            <w:hideMark/>
          </w:tcPr>
          <w:p w14:paraId="0715574B"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ЖАП</w:t>
            </w:r>
          </w:p>
        </w:tc>
        <w:tc>
          <w:tcPr>
            <w:tcW w:w="4039" w:type="dxa"/>
            <w:vMerge w:val="restart"/>
            <w:tcBorders>
              <w:top w:val="single" w:sz="4" w:space="0" w:color="auto"/>
              <w:left w:val="single" w:sz="4" w:space="0" w:color="auto"/>
              <w:bottom w:val="single" w:sz="4" w:space="0" w:color="auto"/>
              <w:right w:val="single" w:sz="4" w:space="0" w:color="auto"/>
            </w:tcBorders>
            <w:hideMark/>
          </w:tcPr>
          <w:p w14:paraId="58C29456" w14:textId="42D05159"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РБ-тен бөлінген нысаналы транс</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ферттердің әлеуметтік-экономи</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калық дамуына әсерін бағалау</w:t>
            </w:r>
          </w:p>
        </w:tc>
      </w:tr>
      <w:tr w:rsidR="00BB2991" w:rsidRPr="00805B3E" w14:paraId="35C84F14"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5FE58588"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«Түркістан облысының ауыл шаруашылығын басқару»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08F2C" w14:textId="77777777" w:rsidR="00BB2991" w:rsidRPr="005D05DC" w:rsidRDefault="00BB2991" w:rsidP="00457CE9">
            <w:pPr>
              <w:rPr>
                <w:rFonts w:ascii="Times New Roman" w:hAnsi="Times New Roman" w:cs="Times New Roman"/>
                <w:sz w:val="24"/>
                <w:szCs w:val="24"/>
                <w:lang w:val="kk-KZ"/>
              </w:rPr>
            </w:pPr>
          </w:p>
        </w:tc>
        <w:tc>
          <w:tcPr>
            <w:tcW w:w="4039" w:type="dxa"/>
            <w:vMerge/>
            <w:tcBorders>
              <w:top w:val="single" w:sz="4" w:space="0" w:color="auto"/>
              <w:left w:val="single" w:sz="4" w:space="0" w:color="auto"/>
              <w:bottom w:val="single" w:sz="4" w:space="0" w:color="auto"/>
              <w:right w:val="single" w:sz="4" w:space="0" w:color="auto"/>
            </w:tcBorders>
            <w:vAlign w:val="center"/>
            <w:hideMark/>
          </w:tcPr>
          <w:p w14:paraId="5EC13983" w14:textId="77777777" w:rsidR="00BB2991" w:rsidRPr="005D05DC" w:rsidRDefault="00BB2991" w:rsidP="00457CE9">
            <w:pPr>
              <w:rPr>
                <w:rFonts w:ascii="Times New Roman" w:hAnsi="Times New Roman" w:cs="Times New Roman"/>
                <w:sz w:val="24"/>
                <w:szCs w:val="24"/>
                <w:lang w:val="kk-KZ"/>
              </w:rPr>
            </w:pPr>
          </w:p>
        </w:tc>
      </w:tr>
      <w:tr w:rsidR="00BB2991" w:rsidRPr="00805B3E" w14:paraId="2248BDDC" w14:textId="77777777" w:rsidTr="005D05DC">
        <w:trPr>
          <w:jc w:val="center"/>
        </w:trPr>
        <w:tc>
          <w:tcPr>
            <w:tcW w:w="3924" w:type="dxa"/>
            <w:tcBorders>
              <w:top w:val="single" w:sz="4" w:space="0" w:color="auto"/>
              <w:left w:val="single" w:sz="4" w:space="0" w:color="auto"/>
              <w:bottom w:val="nil"/>
              <w:right w:val="single" w:sz="4" w:space="0" w:color="auto"/>
            </w:tcBorders>
            <w:hideMark/>
          </w:tcPr>
          <w:p w14:paraId="55C76ED1"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«Шымкент қаласының ауыл шаруашылығын басқару» ММ</w:t>
            </w:r>
          </w:p>
        </w:tc>
        <w:tc>
          <w:tcPr>
            <w:tcW w:w="1607" w:type="dxa"/>
            <w:tcBorders>
              <w:top w:val="single" w:sz="4" w:space="0" w:color="auto"/>
              <w:left w:val="single" w:sz="4" w:space="0" w:color="auto"/>
              <w:bottom w:val="nil"/>
              <w:right w:val="single" w:sz="4" w:space="0" w:color="auto"/>
            </w:tcBorders>
            <w:hideMark/>
          </w:tcPr>
          <w:p w14:paraId="5EF33D1D"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Мәліметтер жоқ</w:t>
            </w:r>
          </w:p>
        </w:tc>
        <w:tc>
          <w:tcPr>
            <w:tcW w:w="4039" w:type="dxa"/>
            <w:tcBorders>
              <w:top w:val="single" w:sz="4" w:space="0" w:color="auto"/>
              <w:left w:val="single" w:sz="4" w:space="0" w:color="auto"/>
              <w:bottom w:val="nil"/>
              <w:right w:val="single" w:sz="4" w:space="0" w:color="auto"/>
            </w:tcBorders>
            <w:hideMark/>
          </w:tcPr>
          <w:p w14:paraId="347C5EA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№123, 171 аудиторлық есеп сайтқа жүктелген, ақпарат жоқ</w:t>
            </w:r>
          </w:p>
        </w:tc>
      </w:tr>
      <w:tr w:rsidR="005D05DC" w:rsidRPr="005D05DC" w14:paraId="4586C4CC" w14:textId="77777777" w:rsidTr="005D05DC">
        <w:trPr>
          <w:jc w:val="center"/>
        </w:trPr>
        <w:tc>
          <w:tcPr>
            <w:tcW w:w="9570" w:type="dxa"/>
            <w:gridSpan w:val="3"/>
            <w:tcBorders>
              <w:top w:val="nil"/>
              <w:left w:val="nil"/>
              <w:bottom w:val="single" w:sz="4" w:space="0" w:color="auto"/>
              <w:right w:val="nil"/>
            </w:tcBorders>
          </w:tcPr>
          <w:p w14:paraId="7F52D55F" w14:textId="2D9C88A4" w:rsidR="005D05DC" w:rsidRPr="005D05DC" w:rsidRDefault="009B76D2" w:rsidP="005D05DC">
            <w:pPr>
              <w:ind w:hanging="114"/>
              <w:rPr>
                <w:rFonts w:ascii="Times New Roman" w:hAnsi="Times New Roman" w:cs="Times New Roman"/>
                <w:sz w:val="28"/>
                <w:szCs w:val="28"/>
                <w:lang w:val="kk-KZ"/>
              </w:rPr>
            </w:pPr>
            <w:r>
              <w:rPr>
                <w:rFonts w:ascii="Times New Roman" w:hAnsi="Times New Roman" w:cs="Times New Roman"/>
                <w:sz w:val="28"/>
                <w:szCs w:val="28"/>
                <w:lang w:val="kk-KZ"/>
              </w:rPr>
              <w:t>44</w:t>
            </w:r>
            <w:r w:rsidR="005D05DC" w:rsidRPr="005D05DC">
              <w:rPr>
                <w:rFonts w:ascii="Times New Roman" w:hAnsi="Times New Roman" w:cs="Times New Roman"/>
                <w:sz w:val="28"/>
                <w:szCs w:val="28"/>
                <w:lang w:val="kk-KZ"/>
              </w:rPr>
              <w:t>-кестенің жалғасы</w:t>
            </w:r>
          </w:p>
          <w:p w14:paraId="56A9A75F" w14:textId="77777777" w:rsidR="005D05DC" w:rsidRPr="005D05DC" w:rsidRDefault="005D05DC" w:rsidP="00457CE9">
            <w:pPr>
              <w:rPr>
                <w:rFonts w:ascii="Times New Roman" w:hAnsi="Times New Roman" w:cs="Times New Roman"/>
                <w:sz w:val="16"/>
                <w:szCs w:val="16"/>
                <w:lang w:val="kk-KZ"/>
              </w:rPr>
            </w:pPr>
          </w:p>
        </w:tc>
      </w:tr>
      <w:tr w:rsidR="005D05DC" w:rsidRPr="005D05DC" w14:paraId="3779E254"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tcPr>
          <w:p w14:paraId="144A1227" w14:textId="59EC7898" w:rsidR="005D05DC" w:rsidRPr="005D05DC" w:rsidRDefault="005D05DC" w:rsidP="005D05D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07" w:type="dxa"/>
            <w:tcBorders>
              <w:top w:val="single" w:sz="4" w:space="0" w:color="auto"/>
              <w:left w:val="single" w:sz="4" w:space="0" w:color="auto"/>
              <w:bottom w:val="single" w:sz="4" w:space="0" w:color="auto"/>
              <w:right w:val="single" w:sz="4" w:space="0" w:color="auto"/>
            </w:tcBorders>
          </w:tcPr>
          <w:p w14:paraId="78A71305" w14:textId="5FDB5561" w:rsidR="005D05DC" w:rsidRPr="005D05DC" w:rsidRDefault="005D05DC" w:rsidP="005D05D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039" w:type="dxa"/>
            <w:tcBorders>
              <w:top w:val="single" w:sz="4" w:space="0" w:color="auto"/>
              <w:left w:val="single" w:sz="4" w:space="0" w:color="auto"/>
              <w:bottom w:val="single" w:sz="4" w:space="0" w:color="auto"/>
              <w:right w:val="single" w:sz="4" w:space="0" w:color="auto"/>
            </w:tcBorders>
          </w:tcPr>
          <w:p w14:paraId="3C919124" w14:textId="7C67553C" w:rsidR="005D05DC" w:rsidRPr="005D05DC" w:rsidRDefault="005D05DC" w:rsidP="005D05D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B2991" w:rsidRPr="005D05DC" w14:paraId="76A6FB6A"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653BCD65"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«Астана қаласының ауыл шаруашылығын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42438C4F"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Мәліметтер жоқ</w:t>
            </w:r>
          </w:p>
        </w:tc>
        <w:tc>
          <w:tcPr>
            <w:tcW w:w="4039" w:type="dxa"/>
            <w:tcBorders>
              <w:top w:val="single" w:sz="4" w:space="0" w:color="auto"/>
              <w:left w:val="single" w:sz="4" w:space="0" w:color="auto"/>
              <w:bottom w:val="single" w:sz="4" w:space="0" w:color="auto"/>
              <w:right w:val="single" w:sz="4" w:space="0" w:color="auto"/>
            </w:tcBorders>
          </w:tcPr>
          <w:p w14:paraId="346A8CC4" w14:textId="77777777" w:rsidR="00BB2991" w:rsidRPr="005D05DC" w:rsidRDefault="00BB2991" w:rsidP="00457CE9">
            <w:pPr>
              <w:rPr>
                <w:rFonts w:ascii="Times New Roman" w:hAnsi="Times New Roman" w:cs="Times New Roman"/>
                <w:sz w:val="24"/>
                <w:szCs w:val="24"/>
                <w:lang w:val="kk-KZ"/>
              </w:rPr>
            </w:pPr>
          </w:p>
        </w:tc>
      </w:tr>
      <w:tr w:rsidR="00BB2991" w:rsidRPr="00805B3E" w14:paraId="37A46BF3" w14:textId="77777777" w:rsidTr="005D05DC">
        <w:trPr>
          <w:jc w:val="center"/>
        </w:trPr>
        <w:tc>
          <w:tcPr>
            <w:tcW w:w="3924" w:type="dxa"/>
            <w:tcBorders>
              <w:top w:val="single" w:sz="4" w:space="0" w:color="auto"/>
              <w:left w:val="single" w:sz="4" w:space="0" w:color="auto"/>
              <w:bottom w:val="single" w:sz="4" w:space="0" w:color="auto"/>
              <w:right w:val="single" w:sz="4" w:space="0" w:color="auto"/>
            </w:tcBorders>
            <w:hideMark/>
          </w:tcPr>
          <w:p w14:paraId="71B0BAE7"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«Алматы облысының жер қатынастарын басқару» ММ</w:t>
            </w:r>
          </w:p>
        </w:tc>
        <w:tc>
          <w:tcPr>
            <w:tcW w:w="1607" w:type="dxa"/>
            <w:tcBorders>
              <w:top w:val="single" w:sz="4" w:space="0" w:color="auto"/>
              <w:left w:val="single" w:sz="4" w:space="0" w:color="auto"/>
              <w:bottom w:val="single" w:sz="4" w:space="0" w:color="auto"/>
              <w:right w:val="single" w:sz="4" w:space="0" w:color="auto"/>
            </w:tcBorders>
            <w:hideMark/>
          </w:tcPr>
          <w:p w14:paraId="23FF178C" w14:textId="77777777"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ЖАП</w:t>
            </w:r>
          </w:p>
        </w:tc>
        <w:tc>
          <w:tcPr>
            <w:tcW w:w="4039" w:type="dxa"/>
            <w:tcBorders>
              <w:top w:val="single" w:sz="4" w:space="0" w:color="auto"/>
              <w:left w:val="single" w:sz="4" w:space="0" w:color="auto"/>
              <w:bottom w:val="single" w:sz="4" w:space="0" w:color="auto"/>
              <w:right w:val="single" w:sz="4" w:space="0" w:color="auto"/>
            </w:tcBorders>
            <w:hideMark/>
          </w:tcPr>
          <w:p w14:paraId="0C37116E" w14:textId="45AC8A12" w:rsidR="00BB2991" w:rsidRPr="005D05DC" w:rsidRDefault="00BB2991" w:rsidP="00457CE9">
            <w:pPr>
              <w:rPr>
                <w:rFonts w:ascii="Times New Roman" w:hAnsi="Times New Roman" w:cs="Times New Roman"/>
                <w:sz w:val="24"/>
                <w:szCs w:val="24"/>
                <w:lang w:val="kk-KZ"/>
              </w:rPr>
            </w:pPr>
            <w:r w:rsidRPr="005D05DC">
              <w:rPr>
                <w:rFonts w:ascii="Times New Roman" w:hAnsi="Times New Roman" w:cs="Times New Roman"/>
                <w:sz w:val="24"/>
                <w:szCs w:val="24"/>
                <w:lang w:val="kk-KZ"/>
              </w:rPr>
              <w:t>Жер ресурстарын ұтымды басқа</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руды қамтамасыз ету, жер ресурс</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тарын пайдалану және қорғау, сон</w:t>
            </w:r>
            <w:r w:rsidR="005D05DC">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дай-ақ геодезия және картография саласындағы жер ресурстарын басқарудың тиімділігін айқындау</w:t>
            </w:r>
          </w:p>
        </w:tc>
      </w:tr>
      <w:tr w:rsidR="00BB2991" w:rsidRPr="005D05DC" w14:paraId="309F702E" w14:textId="42FBEFCF" w:rsidTr="005D05DC">
        <w:trPr>
          <w:jc w:val="center"/>
        </w:trPr>
        <w:tc>
          <w:tcPr>
            <w:tcW w:w="9570" w:type="dxa"/>
            <w:gridSpan w:val="3"/>
            <w:tcBorders>
              <w:top w:val="single" w:sz="4" w:space="0" w:color="auto"/>
              <w:left w:val="single" w:sz="4" w:space="0" w:color="auto"/>
              <w:bottom w:val="single" w:sz="4" w:space="0" w:color="auto"/>
              <w:right w:val="single" w:sz="4" w:space="0" w:color="auto"/>
            </w:tcBorders>
          </w:tcPr>
          <w:p w14:paraId="562BAAD8" w14:textId="4A297C74" w:rsidR="00BB2991" w:rsidRPr="005D05DC" w:rsidRDefault="00BB2991" w:rsidP="005D05DC">
            <w:pPr>
              <w:ind w:left="293" w:firstLine="279"/>
              <w:rPr>
                <w:rFonts w:ascii="Times New Roman" w:hAnsi="Times New Roman" w:cs="Times New Roman"/>
                <w:sz w:val="24"/>
                <w:szCs w:val="24"/>
                <w:lang w:val="kk-KZ"/>
              </w:rPr>
            </w:pPr>
            <w:r w:rsidRPr="005D05DC">
              <w:rPr>
                <w:rFonts w:ascii="Times New Roman" w:eastAsia="Calibri" w:hAnsi="Times New Roman" w:cs="Times New Roman"/>
                <w:sz w:val="24"/>
                <w:szCs w:val="24"/>
                <w:lang w:val="kk-KZ"/>
              </w:rPr>
              <w:t>Ескерту –</w:t>
            </w:r>
            <w:r w:rsidRPr="005D05DC">
              <w:rPr>
                <w:rFonts w:ascii="Times New Roman" w:eastAsia="Calibri" w:hAnsi="Times New Roman" w:cs="Times New Roman"/>
                <w:bCs/>
                <w:sz w:val="24"/>
                <w:szCs w:val="24"/>
                <w:lang w:val="kk-KZ"/>
              </w:rPr>
              <w:t xml:space="preserve"> Әдебиет негізінде құралған</w:t>
            </w:r>
            <w:r w:rsidRPr="005D05DC">
              <w:rPr>
                <w:rFonts w:ascii="Times New Roman" w:hAnsi="Times New Roman" w:cs="Times New Roman"/>
                <w:sz w:val="24"/>
                <w:szCs w:val="24"/>
                <w:lang w:val="kk-KZ"/>
              </w:rPr>
              <w:t xml:space="preserve"> [1</w:t>
            </w:r>
            <w:r w:rsidR="009C58C8">
              <w:rPr>
                <w:rFonts w:ascii="Times New Roman" w:hAnsi="Times New Roman" w:cs="Times New Roman"/>
                <w:sz w:val="24"/>
                <w:szCs w:val="24"/>
                <w:lang w:val="kk-KZ"/>
              </w:rPr>
              <w:t>06</w:t>
            </w:r>
            <w:r w:rsidRPr="005D05DC">
              <w:rPr>
                <w:rFonts w:ascii="Times New Roman" w:hAnsi="Times New Roman" w:cs="Times New Roman"/>
                <w:sz w:val="24"/>
                <w:szCs w:val="24"/>
                <w:lang w:val="kk-KZ"/>
              </w:rPr>
              <w:t>-1</w:t>
            </w:r>
            <w:r w:rsidR="009C58C8">
              <w:rPr>
                <w:rFonts w:ascii="Times New Roman" w:hAnsi="Times New Roman" w:cs="Times New Roman"/>
                <w:sz w:val="24"/>
                <w:szCs w:val="24"/>
                <w:lang w:val="kk-KZ"/>
              </w:rPr>
              <w:t>25</w:t>
            </w:r>
            <w:r w:rsidRPr="005D05DC">
              <w:rPr>
                <w:rFonts w:ascii="Times New Roman" w:hAnsi="Times New Roman" w:cs="Times New Roman"/>
                <w:sz w:val="24"/>
                <w:szCs w:val="24"/>
                <w:lang w:val="kk-KZ"/>
              </w:rPr>
              <w:t xml:space="preserve">] </w:t>
            </w:r>
          </w:p>
        </w:tc>
      </w:tr>
    </w:tbl>
    <w:p w14:paraId="2F3F7087" w14:textId="77777777" w:rsidR="005D05DC" w:rsidRDefault="005D05DC" w:rsidP="00457CE9">
      <w:pPr>
        <w:spacing w:after="0" w:line="240" w:lineRule="auto"/>
        <w:ind w:firstLine="709"/>
        <w:jc w:val="both"/>
        <w:rPr>
          <w:rFonts w:ascii="Times New Roman" w:hAnsi="Times New Roman" w:cs="Times New Roman"/>
          <w:sz w:val="28"/>
          <w:szCs w:val="28"/>
          <w:lang w:val="kk-KZ"/>
        </w:rPr>
      </w:pPr>
    </w:p>
    <w:p w14:paraId="50C2FB84" w14:textId="1D26801E" w:rsidR="00B5189E" w:rsidRPr="00457CE9" w:rsidRDefault="009B76D2" w:rsidP="00457C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44</w:t>
      </w:r>
      <w:r w:rsidR="00B5189E" w:rsidRPr="00457CE9">
        <w:rPr>
          <w:rFonts w:ascii="Times New Roman" w:hAnsi="Times New Roman" w:cs="Times New Roman"/>
          <w:sz w:val="28"/>
          <w:szCs w:val="28"/>
          <w:lang w:val="kk-KZ"/>
        </w:rPr>
        <w:t>-кесте мәліметтерінен сол уақыт аралығында 14 облыс және 3 республикалық маңызы бар қалалары бойынша АӨК-н дамытуға бағытталған бюджет қаражаты</w:t>
      </w:r>
      <w:r w:rsidR="006D4F39">
        <w:rPr>
          <w:rFonts w:ascii="Times New Roman" w:hAnsi="Times New Roman" w:cs="Times New Roman"/>
          <w:sz w:val="28"/>
          <w:szCs w:val="28"/>
          <w:lang w:val="kk-KZ"/>
        </w:rPr>
        <w:t>н пайдалану</w:t>
      </w:r>
      <w:r w:rsidR="00B5189E" w:rsidRPr="00457CE9">
        <w:rPr>
          <w:rFonts w:ascii="Times New Roman" w:hAnsi="Times New Roman" w:cs="Times New Roman"/>
          <w:sz w:val="28"/>
          <w:szCs w:val="28"/>
          <w:lang w:val="kk-KZ"/>
        </w:rPr>
        <w:t xml:space="preserve"> тиімділігінің аудиті бойынша ресми сайттарда жарияланған аудиторлық қорытынды тек 13 аймақ бойынша, соның ішінде 2 тексеріс сәйкестік аудиті, 1 тексеріс шоғырландырылған қаржылық есептілікті растаумен байланысты болса, 10 тексеріс қана тиімділік аудиті бойынша ұйымдастырылып өткізілгенін көруге болады. Тек Ақмола облысы бойынша 2020 жылы ЖАП және тексеру комиссиясының аудиторлары 2 рет тексергенін көруге болады. Облыстар бойынша аумақты дамыту бағдарламаларында 2017-2021 жж. АӨК дамытудың мемлекеттік бағдарламарында нысаналы индикаторлар жоспарланбауы орын алып отыр.</w:t>
      </w:r>
    </w:p>
    <w:p w14:paraId="6337E279" w14:textId="77777777" w:rsidR="00B5189E" w:rsidRPr="00457CE9" w:rsidRDefault="00B5189E"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Ұлттық қорынан 2021 жылы 15 млрд. теңге 063/032 «СҚО облыстық бюджетіне «Солтустік әлеуметтік-кәсіпкерлік корпорациясы» АҚ-ның жарғылық капиталын ұлғайту АӨК дамытуға бағытталған бюджет қаражаты деп қарастыруға болады. Бұл 2021 жылы нысаналы трансферттер инвестициялық жобаларды қаржыландыруға бағытталып, соның ішінде АӨК-не 15 пайызы жұмсалған. Ұлттық қордан бөлінген қаржыны меңгеру 72 пайызды құраған, қалған 4,2 млрд. теңге тиімділік аудитін өткізу кезінде игерілген, жобаны іске асыру кезең 2021-2022 жылдар. Нысаналы трансферттер 7 инвестициялық жобаны іске қосуға бағытталған, яғни, ауыл шаруашылық тауар өндірушілер ұйымының жарғылық капиталын толтыруға жұмсалған. </w:t>
      </w:r>
    </w:p>
    <w:p w14:paraId="22DB2D0B" w14:textId="43018389" w:rsidR="000604C0" w:rsidRPr="00457CE9" w:rsidRDefault="00256ECD" w:rsidP="00AF6490">
      <w:pPr>
        <w:widowControl w:val="0"/>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Сонымен қатар ҚР АӨК дамытуға жұмсалған бюджет қаражаты</w:t>
      </w:r>
      <w:r w:rsidR="00B5189E" w:rsidRPr="00457CE9">
        <w:rPr>
          <w:rFonts w:ascii="Times New Roman" w:hAnsi="Times New Roman" w:cs="Times New Roman"/>
          <w:sz w:val="28"/>
          <w:szCs w:val="28"/>
          <w:lang w:val="kk-KZ"/>
        </w:rPr>
        <w:t>ның</w:t>
      </w:r>
      <w:r w:rsidRPr="00457CE9">
        <w:rPr>
          <w:rFonts w:ascii="Times New Roman" w:hAnsi="Times New Roman" w:cs="Times New Roman"/>
          <w:sz w:val="28"/>
          <w:szCs w:val="28"/>
          <w:lang w:val="kk-KZ"/>
        </w:rPr>
        <w:t xml:space="preserve"> тиімділік аудитін ЖАП, тексеру комиссиясы құрамындағы мемлекеттік аудиторлармен ұйымдастырылған және өткізілген тәжірибесі ресми сайттарда жарияланған аудиторлық есептері негізінде зерттеулер жасалды. Зерттеу барысында тиімділік аудитін ұйымдастыру және өткізудегі кемшіліктер мен олқылықтары анықталды. </w:t>
      </w:r>
      <w:r w:rsidR="000604C0" w:rsidRPr="00457CE9">
        <w:rPr>
          <w:rFonts w:ascii="Times New Roman" w:hAnsi="Times New Roman" w:cs="Times New Roman"/>
          <w:sz w:val="28"/>
          <w:szCs w:val="28"/>
          <w:lang w:val="kk-KZ"/>
        </w:rPr>
        <w:t>ҚР АӨК-н дамытуға бағытталған бюджет қаражаты</w:t>
      </w:r>
      <w:r w:rsidR="00D71245">
        <w:rPr>
          <w:rFonts w:ascii="Times New Roman" w:hAnsi="Times New Roman" w:cs="Times New Roman"/>
          <w:sz w:val="28"/>
          <w:szCs w:val="28"/>
          <w:lang w:val="kk-KZ"/>
        </w:rPr>
        <w:t>н пайдалану</w:t>
      </w:r>
      <w:r w:rsidR="000604C0" w:rsidRPr="00457CE9">
        <w:rPr>
          <w:rFonts w:ascii="Times New Roman" w:hAnsi="Times New Roman" w:cs="Times New Roman"/>
          <w:sz w:val="28"/>
          <w:szCs w:val="28"/>
          <w:lang w:val="kk-KZ"/>
        </w:rPr>
        <w:t xml:space="preserve"> тиімділі</w:t>
      </w:r>
      <w:r w:rsidR="00D71245">
        <w:rPr>
          <w:rFonts w:ascii="Times New Roman" w:hAnsi="Times New Roman" w:cs="Times New Roman"/>
          <w:sz w:val="28"/>
          <w:szCs w:val="28"/>
          <w:lang w:val="kk-KZ"/>
        </w:rPr>
        <w:t>гінің</w:t>
      </w:r>
      <w:r w:rsidR="000604C0" w:rsidRPr="00457CE9">
        <w:rPr>
          <w:rFonts w:ascii="Times New Roman" w:hAnsi="Times New Roman" w:cs="Times New Roman"/>
          <w:sz w:val="28"/>
          <w:szCs w:val="28"/>
          <w:lang w:val="kk-KZ"/>
        </w:rPr>
        <w:t xml:space="preserve"> аудитін сапалы жүргізілуіне кедергі келтіретін фактілер келесідей:</w:t>
      </w:r>
    </w:p>
    <w:p w14:paraId="33466344" w14:textId="77777777" w:rsidR="00256ECD" w:rsidRPr="00457CE9" w:rsidRDefault="00256ECD" w:rsidP="0097172E">
      <w:pPr>
        <w:pStyle w:val="a5"/>
        <w:widowControl w:val="0"/>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аудиттелетін аудит объектілерінің тізімі жоспарларының өзгертілуі;</w:t>
      </w:r>
    </w:p>
    <w:p w14:paraId="4D5BC5BA" w14:textId="19B33A8D" w:rsidR="000604C0" w:rsidRPr="00457CE9" w:rsidRDefault="000604C0" w:rsidP="0097172E">
      <w:pPr>
        <w:pStyle w:val="a5"/>
        <w:widowControl w:val="0"/>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мемлекеттік аудиторлардың қолда бар пайдалы және жеткілікті әдістемелік база, соның ішінде, әртүрлі бағыттар бойынша </w:t>
      </w:r>
      <w:r w:rsidR="00F23833" w:rsidRPr="00457CE9">
        <w:rPr>
          <w:rFonts w:ascii="Times New Roman" w:hAnsi="Times New Roman"/>
          <w:sz w:val="28"/>
          <w:szCs w:val="28"/>
          <w:lang w:val="kk-KZ"/>
        </w:rPr>
        <w:t xml:space="preserve">мемлекеттік аудиттің </w:t>
      </w:r>
      <w:r w:rsidRPr="00457CE9">
        <w:rPr>
          <w:rFonts w:ascii="Times New Roman" w:hAnsi="Times New Roman"/>
          <w:sz w:val="28"/>
          <w:szCs w:val="28"/>
          <w:lang w:val="kk-KZ"/>
        </w:rPr>
        <w:t>халықаралық база</w:t>
      </w:r>
      <w:r w:rsidR="00F23833" w:rsidRPr="00457CE9">
        <w:rPr>
          <w:rFonts w:ascii="Times New Roman" w:hAnsi="Times New Roman"/>
          <w:sz w:val="28"/>
          <w:szCs w:val="28"/>
          <w:lang w:val="kk-KZ"/>
        </w:rPr>
        <w:t>сы</w:t>
      </w:r>
      <w:r w:rsidRPr="00457CE9">
        <w:rPr>
          <w:rFonts w:ascii="Times New Roman" w:hAnsi="Times New Roman"/>
          <w:sz w:val="28"/>
          <w:szCs w:val="28"/>
          <w:lang w:val="kk-KZ"/>
        </w:rPr>
        <w:t xml:space="preserve"> туралы хабарсыз болуы;</w:t>
      </w:r>
    </w:p>
    <w:p w14:paraId="54BD5C64" w14:textId="77777777" w:rsidR="000604C0" w:rsidRPr="00457CE9" w:rsidRDefault="000604C0"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мемлекеттік аудиторларға аудиторлық шараларды дайындық және негізгі кезеңдерінде уақыттың шектеулі болуы;</w:t>
      </w:r>
    </w:p>
    <w:p w14:paraId="7F8E50C6" w14:textId="77777777" w:rsidR="000604C0" w:rsidRPr="00457CE9" w:rsidRDefault="000604C0"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қазіргі уақытта пайдаланушылар тарапынан мемлекеттік аудит нәтижелерінің халықаралық аудит әдіснамасына сәйкес тиімділік аудитін жүргізудің үздік тәжірибелерін қолдануда қажеттілігінің болмауы;</w:t>
      </w:r>
    </w:p>
    <w:p w14:paraId="4260D9C5" w14:textId="40C3EEE8" w:rsidR="00F23833" w:rsidRPr="00457CE9" w:rsidRDefault="000604C0"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сыртқы мемлекеттік аудит органдары қызметінің негізгі көрсеткіштерінің тек ақшалай нысанда көрсетілген бұзушылықтарды, кемшіліктерді, </w:t>
      </w:r>
      <w:r w:rsidR="00A257E7" w:rsidRPr="00457CE9">
        <w:rPr>
          <w:rFonts w:ascii="Times New Roman" w:hAnsi="Times New Roman"/>
          <w:sz w:val="28"/>
          <w:szCs w:val="28"/>
          <w:lang w:val="kk-KZ"/>
        </w:rPr>
        <w:t>жоспарға сәйкес емес</w:t>
      </w:r>
      <w:r w:rsidRPr="00457CE9">
        <w:rPr>
          <w:rFonts w:ascii="Times New Roman" w:hAnsi="Times New Roman"/>
          <w:sz w:val="28"/>
          <w:szCs w:val="28"/>
          <w:lang w:val="kk-KZ"/>
        </w:rPr>
        <w:t xml:space="preserve"> шығыстарды анықтауға бағдарлануы</w:t>
      </w:r>
      <w:r w:rsidR="00F23833" w:rsidRPr="00457CE9">
        <w:rPr>
          <w:rFonts w:ascii="Times New Roman" w:hAnsi="Times New Roman"/>
          <w:sz w:val="28"/>
          <w:szCs w:val="28"/>
          <w:lang w:val="kk-KZ"/>
        </w:rPr>
        <w:t>;</w:t>
      </w:r>
    </w:p>
    <w:p w14:paraId="2335722E" w14:textId="63724904" w:rsidR="00826CB0" w:rsidRPr="00457CE9" w:rsidRDefault="00826CB0"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 бағыты бойынша арнайы аудиторлық критерийлердің белгіленбеуі;</w:t>
      </w:r>
    </w:p>
    <w:p w14:paraId="11B1796C" w14:textId="62EADF59" w:rsidR="00F23833" w:rsidRPr="00457CE9" w:rsidRDefault="00F23833"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аудиторлық дәлелдемелерді талдау кезінде тек сандық орындалуына мән беру, іске асырылған жобалардың сапасына, әлеуметтік-экономикалық</w:t>
      </w:r>
      <w:r w:rsidR="00FB2672" w:rsidRPr="00457CE9">
        <w:rPr>
          <w:rFonts w:ascii="Times New Roman" w:hAnsi="Times New Roman"/>
          <w:sz w:val="28"/>
          <w:szCs w:val="28"/>
          <w:lang w:val="kk-KZ"/>
        </w:rPr>
        <w:t>, экологиялық, технологиялық</w:t>
      </w:r>
      <w:r w:rsidR="00D71245">
        <w:rPr>
          <w:rFonts w:ascii="Times New Roman" w:hAnsi="Times New Roman"/>
          <w:sz w:val="28"/>
          <w:szCs w:val="28"/>
          <w:lang w:val="kk-KZ"/>
        </w:rPr>
        <w:t>, бюджеттік</w:t>
      </w:r>
      <w:r w:rsidRPr="00457CE9">
        <w:rPr>
          <w:rFonts w:ascii="Times New Roman" w:hAnsi="Times New Roman"/>
          <w:sz w:val="28"/>
          <w:szCs w:val="28"/>
          <w:lang w:val="kk-KZ"/>
        </w:rPr>
        <w:t xml:space="preserve"> ықпалы тарапынан бағаламауы;</w:t>
      </w:r>
    </w:p>
    <w:p w14:paraId="1296CC00" w14:textId="3F016C59" w:rsidR="00376232" w:rsidRPr="00457CE9" w:rsidRDefault="00376232"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аудиторлық есептерде көрсетілген дәлелдемелердің көздеріне сілтеме берілмеген (</w:t>
      </w:r>
      <w:r w:rsidR="00962214">
        <w:rPr>
          <w:rFonts w:ascii="Times New Roman" w:hAnsi="Times New Roman"/>
          <w:color w:val="000000"/>
          <w:sz w:val="28"/>
          <w:szCs w:val="28"/>
          <w:lang w:val="kk-KZ"/>
        </w:rPr>
        <w:t>ҚР Стратегиялық жоспарлау және реформалар агенттігі Ұлттық статистика бюросы</w:t>
      </w:r>
      <w:r w:rsidRPr="00457CE9">
        <w:rPr>
          <w:rFonts w:ascii="Times New Roman" w:hAnsi="Times New Roman"/>
          <w:sz w:val="28"/>
          <w:szCs w:val="28"/>
          <w:lang w:val="kk-KZ"/>
        </w:rPr>
        <w:t xml:space="preserve"> т.с.с.);</w:t>
      </w:r>
    </w:p>
    <w:p w14:paraId="46C5952E" w14:textId="77777777" w:rsidR="002E27CD" w:rsidRPr="00457CE9" w:rsidRDefault="00514CAF"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тиімділік аудиті бойынша аудиторлық есептерге аудит барысында анықталған кемшіліктер мен бұзушылықтар тізімі көп жағдайларда жарияланбаған, пайдаланушылар үшін ақпарат шектеулі болуы</w:t>
      </w:r>
      <w:r w:rsidR="002E27CD" w:rsidRPr="00457CE9">
        <w:rPr>
          <w:rFonts w:ascii="Times New Roman" w:hAnsi="Times New Roman"/>
          <w:sz w:val="28"/>
          <w:szCs w:val="28"/>
          <w:lang w:val="kk-KZ"/>
        </w:rPr>
        <w:t>;</w:t>
      </w:r>
    </w:p>
    <w:p w14:paraId="1170EA5C" w14:textId="143BF3F9" w:rsidR="00826CB0" w:rsidRPr="00457CE9" w:rsidRDefault="00826CB0" w:rsidP="0097172E">
      <w:pPr>
        <w:pStyle w:val="a5"/>
        <w:numPr>
          <w:ilvl w:val="0"/>
          <w:numId w:val="3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АШМ ішкі аудит қызметі АӨК дамытуға бағытталған бюджет қаражаты тиімділігінің аудиті бойынша аудиторлық есептері ресми сайтында жарияланбаған, соған қарамастан ІМАД жылына екі рет АШМ ІАҚ жұмысына бағаны 2018-2021 жылдар аралығында тиімді деп баға беруі;</w:t>
      </w:r>
    </w:p>
    <w:p w14:paraId="690ACA75" w14:textId="0AAECB78" w:rsidR="00275BA0" w:rsidRPr="00457CE9" w:rsidRDefault="00275BA0" w:rsidP="0097172E">
      <w:pPr>
        <w:pStyle w:val="a5"/>
        <w:numPr>
          <w:ilvl w:val="0"/>
          <w:numId w:val="2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АӨК дамытуға жұмсалған бюджет қаражаты</w:t>
      </w:r>
      <w:r w:rsidR="00F96494">
        <w:rPr>
          <w:rFonts w:ascii="Times New Roman" w:hAnsi="Times New Roman"/>
          <w:sz w:val="28"/>
          <w:szCs w:val="28"/>
          <w:lang w:val="kk-KZ"/>
        </w:rPr>
        <w:t>н пайдалану</w:t>
      </w:r>
      <w:r w:rsidRPr="00457CE9">
        <w:rPr>
          <w:rFonts w:ascii="Times New Roman" w:hAnsi="Times New Roman"/>
          <w:sz w:val="28"/>
          <w:szCs w:val="28"/>
          <w:lang w:val="kk-KZ"/>
        </w:rPr>
        <w:t xml:space="preserve"> тиімділігінің аудиті бойынша аудиторлық шаралардың стандартты болмауы; </w:t>
      </w:r>
    </w:p>
    <w:p w14:paraId="34823629" w14:textId="2DE58417" w:rsidR="008C1F7A" w:rsidRPr="00457CE9" w:rsidRDefault="00517ED4" w:rsidP="0097172E">
      <w:pPr>
        <w:pStyle w:val="a5"/>
        <w:numPr>
          <w:ilvl w:val="0"/>
          <w:numId w:val="2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w:t>
      </w:r>
      <w:r w:rsidR="008C1F7A" w:rsidRPr="00457CE9">
        <w:rPr>
          <w:rFonts w:ascii="Times New Roman" w:hAnsi="Times New Roman"/>
          <w:sz w:val="28"/>
          <w:szCs w:val="28"/>
          <w:lang w:val="kk-KZ"/>
        </w:rPr>
        <w:t>удиторлық қорытындыда аудит объектісінің ішкі бақылау жүйесіне баға берілмеуі;</w:t>
      </w:r>
    </w:p>
    <w:p w14:paraId="57F85276" w14:textId="085D4AF3" w:rsidR="00256ECD" w:rsidRPr="00457CE9" w:rsidRDefault="00256ECD" w:rsidP="0097172E">
      <w:pPr>
        <w:pStyle w:val="a5"/>
        <w:numPr>
          <w:ilvl w:val="0"/>
          <w:numId w:val="2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аудиторлық есепте бюджет қаражаты</w:t>
      </w:r>
      <w:r w:rsidR="00F96494">
        <w:rPr>
          <w:rFonts w:ascii="Times New Roman" w:hAnsi="Times New Roman"/>
          <w:sz w:val="28"/>
          <w:szCs w:val="28"/>
          <w:lang w:val="kk-KZ"/>
        </w:rPr>
        <w:t>н пайдалану</w:t>
      </w:r>
      <w:r w:rsidRPr="00457CE9">
        <w:rPr>
          <w:rFonts w:ascii="Times New Roman" w:hAnsi="Times New Roman"/>
          <w:sz w:val="28"/>
          <w:szCs w:val="28"/>
          <w:lang w:val="kk-KZ"/>
        </w:rPr>
        <w:t xml:space="preserve"> тиімділігі туралы нақты аудиторлық пікірдің (жоғары, орташа, төмен, тиімсіз) болмауы;</w:t>
      </w:r>
    </w:p>
    <w:p w14:paraId="1B271BAA" w14:textId="20EA7D16" w:rsidR="00275BA0" w:rsidRPr="00457CE9" w:rsidRDefault="00256ECD" w:rsidP="0097172E">
      <w:pPr>
        <w:pStyle w:val="a5"/>
        <w:numPr>
          <w:ilvl w:val="0"/>
          <w:numId w:val="27"/>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жеткілікті және сапалы аудиторлық дәлелдемелер болмаған жағдайда пікір беруден бас тарту жағдайларының қарастырылмауы</w:t>
      </w:r>
      <w:r w:rsidR="00B5189E" w:rsidRPr="00457CE9">
        <w:rPr>
          <w:rFonts w:ascii="Times New Roman" w:hAnsi="Times New Roman"/>
          <w:sz w:val="28"/>
          <w:szCs w:val="28"/>
          <w:lang w:val="kk-KZ"/>
        </w:rPr>
        <w:t>.</w:t>
      </w:r>
      <w:r w:rsidR="00275BA0" w:rsidRPr="00457CE9">
        <w:rPr>
          <w:rFonts w:ascii="Times New Roman" w:hAnsi="Times New Roman"/>
          <w:sz w:val="28"/>
          <w:szCs w:val="28"/>
          <w:lang w:val="kk-KZ"/>
        </w:rPr>
        <w:t xml:space="preserve"> </w:t>
      </w:r>
    </w:p>
    <w:p w14:paraId="6677F369" w14:textId="77777777" w:rsidR="004704A7" w:rsidRPr="00457CE9" w:rsidRDefault="004704A7" w:rsidP="00457CE9">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АШМ Стратегиялық жоспарлау және талдау департаментінің құрамында үш басқармалары бар: </w:t>
      </w:r>
    </w:p>
    <w:p w14:paraId="22C1EE98" w14:textId="317E256A" w:rsidR="004704A7" w:rsidRPr="00457CE9" w:rsidRDefault="004704A7" w:rsidP="0097172E">
      <w:pPr>
        <w:pStyle w:val="a5"/>
        <w:numPr>
          <w:ilvl w:val="0"/>
          <w:numId w:val="3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Стратегиялық жоспарлау басқармасы</w:t>
      </w:r>
      <w:r w:rsidR="005D05DC">
        <w:rPr>
          <w:rFonts w:ascii="Times New Roman" w:hAnsi="Times New Roman"/>
          <w:sz w:val="28"/>
          <w:szCs w:val="28"/>
          <w:lang w:val="kk-KZ"/>
        </w:rPr>
        <w:t>.</w:t>
      </w:r>
    </w:p>
    <w:p w14:paraId="04EB02D5" w14:textId="51A6174E" w:rsidR="004704A7" w:rsidRPr="00457CE9" w:rsidRDefault="004704A7" w:rsidP="0097172E">
      <w:pPr>
        <w:pStyle w:val="a5"/>
        <w:numPr>
          <w:ilvl w:val="0"/>
          <w:numId w:val="3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Мониторинг және талдау басқармасы</w:t>
      </w:r>
      <w:r w:rsidR="005D05DC">
        <w:rPr>
          <w:rFonts w:ascii="Times New Roman" w:hAnsi="Times New Roman"/>
          <w:sz w:val="28"/>
          <w:szCs w:val="28"/>
          <w:lang w:val="kk-KZ"/>
        </w:rPr>
        <w:t>.</w:t>
      </w:r>
    </w:p>
    <w:p w14:paraId="46D84F0A" w14:textId="77777777" w:rsidR="004704A7" w:rsidRPr="00457CE9" w:rsidRDefault="004704A7" w:rsidP="0097172E">
      <w:pPr>
        <w:pStyle w:val="a5"/>
        <w:numPr>
          <w:ilvl w:val="0"/>
          <w:numId w:val="39"/>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Аймақтарда және кооперацияларда АӨК дамыту басқармалары.</w:t>
      </w:r>
    </w:p>
    <w:p w14:paraId="2EC3A7AB" w14:textId="1032D691" w:rsidR="004704A7" w:rsidRPr="00457CE9" w:rsidRDefault="004704A7"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Мониторинг және талдау басқармасы Ауыл шаруашылығы министрлігінің нәтижелі көрсеткіштерінің мониторингісі мен талдауын жүзеге асырады, оның динамикасы негізінде жобалау мен жоспарлауды дайындайды. Алайда аудиторлық есептерде бұл мониторингтің іс жүзінде іске асырылмайтыны жазылған, және ресми сайтында бюджеттік бағдарламалар, ұлттық жобалар бойынша есептілік</w:t>
      </w:r>
      <w:r w:rsidR="005D05DC">
        <w:rPr>
          <w:rFonts w:ascii="Times New Roman" w:hAnsi="Times New Roman" w:cs="Times New Roman"/>
          <w:sz w:val="28"/>
          <w:szCs w:val="28"/>
          <w:lang w:val="kk-KZ"/>
        </w:rPr>
        <w:t xml:space="preserve"> толық түрде жарияланбаған.</w:t>
      </w:r>
    </w:p>
    <w:p w14:paraId="735773D4" w14:textId="37FF16ED" w:rsidR="00302F35" w:rsidRPr="00457CE9" w:rsidRDefault="00302F35"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2021 жылы «Зерттеулер, талдау және тиімділікті бағалау ортылығы» «Агроөнеркәсіптік кешенді дамытуға бағытталған бюджет қаражатын пайдалану тиімділігіне аудит жүргізу бойынша әдіснамалық басшылықтың жобасын»</w:t>
      </w:r>
      <w:r w:rsidR="00AB5119" w:rsidRPr="00457CE9">
        <w:rPr>
          <w:rFonts w:ascii="Times New Roman" w:hAnsi="Times New Roman" w:cs="Times New Roman"/>
          <w:sz w:val="28"/>
          <w:szCs w:val="28"/>
          <w:lang w:val="kk-KZ"/>
        </w:rPr>
        <w:t xml:space="preserve"> [</w:t>
      </w:r>
      <w:r w:rsidR="009C58C8">
        <w:rPr>
          <w:rFonts w:ascii="Times New Roman" w:hAnsi="Times New Roman" w:cs="Times New Roman"/>
          <w:sz w:val="28"/>
          <w:szCs w:val="28"/>
          <w:lang w:val="kk-KZ"/>
        </w:rPr>
        <w:t>6</w:t>
      </w:r>
      <w:r w:rsidR="003F004D" w:rsidRPr="003F004D">
        <w:rPr>
          <w:rFonts w:ascii="Times New Roman" w:hAnsi="Times New Roman" w:cs="Times New Roman"/>
          <w:sz w:val="28"/>
          <w:szCs w:val="28"/>
          <w:lang w:val="kk-KZ"/>
        </w:rPr>
        <w:t>9</w:t>
      </w:r>
      <w:r w:rsidR="00AB5119" w:rsidRPr="00457CE9">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әзірле</w:t>
      </w:r>
      <w:r w:rsidR="00AB5119" w:rsidRPr="00457CE9">
        <w:rPr>
          <w:rFonts w:ascii="Times New Roman" w:hAnsi="Times New Roman" w:cs="Times New Roman"/>
          <w:sz w:val="28"/>
          <w:szCs w:val="28"/>
          <w:lang w:val="kk-KZ"/>
        </w:rPr>
        <w:t>гені белгіл</w:t>
      </w:r>
      <w:r w:rsidRPr="00457CE9">
        <w:rPr>
          <w:rFonts w:ascii="Times New Roman" w:hAnsi="Times New Roman" w:cs="Times New Roman"/>
          <w:sz w:val="28"/>
          <w:szCs w:val="28"/>
          <w:lang w:val="kk-KZ"/>
        </w:rPr>
        <w:t>і. Аталған жобада тиімділік аудитін өткізудің «Агроөнеркәсіптік кешенді дамытуға бағытталған бюджет қаражатын пайдалану тиімділігіне аудит жүргізу жөніндегі басшылықтың әдістемелік басшылық</w:t>
      </w:r>
      <w:r w:rsidR="00F96494">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аудит тақырыбын, нысанасын, нақты өлшемшарттарын және аудиторлық іс-шаралардың қаралатын мәселелерін әзірлей отырып, саланың ерекшеліктерін анықтау мақсатында АӨК дамытуға бағытталған бюджет қаражатын пайдаланудың тиімділігі мен заңнамаға сәйкестігі тұрғысынан қарастыру деп анықтаған</w:t>
      </w:r>
      <w:r w:rsidR="00815761">
        <w:rPr>
          <w:rFonts w:ascii="Times New Roman" w:hAnsi="Times New Roman" w:cs="Times New Roman"/>
          <w:sz w:val="28"/>
          <w:szCs w:val="28"/>
          <w:lang w:val="kk-KZ"/>
        </w:rPr>
        <w:t xml:space="preserve"> </w:t>
      </w:r>
      <w:r w:rsidR="00815761" w:rsidRPr="00815761">
        <w:rPr>
          <w:rFonts w:ascii="Times New Roman" w:hAnsi="Times New Roman" w:cs="Times New Roman"/>
          <w:sz w:val="28"/>
          <w:szCs w:val="28"/>
          <w:lang w:val="kk-KZ"/>
        </w:rPr>
        <w:t>[69]</w:t>
      </w:r>
      <w:r w:rsidRPr="00457CE9">
        <w:rPr>
          <w:rFonts w:ascii="Times New Roman" w:hAnsi="Times New Roman" w:cs="Times New Roman"/>
          <w:sz w:val="28"/>
          <w:szCs w:val="28"/>
          <w:lang w:val="kk-KZ"/>
        </w:rPr>
        <w:t xml:space="preserve">. </w:t>
      </w:r>
    </w:p>
    <w:p w14:paraId="7D038EFD" w14:textId="247F9CBE" w:rsidR="00302F35" w:rsidRPr="00457CE9" w:rsidRDefault="00302F35"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Басшылық мақсаты ҚР АӨК дамыту аудитін жүргізудің ерекшеліктерін және арнайы талаптарын анықтау деп бекітілген. Басшылық тиісті аудиторлық, талдамалық рәсімдерді жүргізу және аудиторлық құжаттаманы жүргізу жөніндегі нұсқаулықтарды қоса отырып,  аудитті жоспарлау кезеңінен бастап жекелеген мемлекеттік аудиттің қорытындыларын іске асыруға дейінгі барлық кезеңдер бойынша АӨК саласының аудитін жүзеге асыру тәртібінің егжей-тегжейлі сипаттамасын ұсынады делінген</w:t>
      </w:r>
      <w:r w:rsidR="003F004D" w:rsidRPr="003F004D">
        <w:rPr>
          <w:rFonts w:ascii="Times New Roman" w:hAnsi="Times New Roman" w:cs="Times New Roman"/>
          <w:sz w:val="28"/>
          <w:szCs w:val="28"/>
          <w:lang w:val="kk-KZ"/>
        </w:rPr>
        <w:t xml:space="preserve"> [69]</w:t>
      </w:r>
      <w:r w:rsidRPr="00457CE9">
        <w:rPr>
          <w:rFonts w:ascii="Times New Roman" w:hAnsi="Times New Roman" w:cs="Times New Roman"/>
          <w:sz w:val="28"/>
          <w:szCs w:val="28"/>
          <w:lang w:val="kk-KZ"/>
        </w:rPr>
        <w:t xml:space="preserve">. </w:t>
      </w:r>
    </w:p>
    <w:p w14:paraId="0C916D3C" w14:textId="27ABA7E0" w:rsidR="00302F35" w:rsidRPr="00457CE9" w:rsidRDefault="00302F35"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ҚР АӨК аудиті аудит объектісі қызметінің тиімділігін арттыру бойынша ұсынымдар әзірлей отырып, оның сәйкестігін немесе белгілі бір өлшемдерге сәйкестігін тәуелсіз тексеруді жүзеге асыру негізінде аудиттелетін объект туралы ақпаратты алудың, зерделеудің және оның қызметін бағалаудың жүйеленген процесі ретінде ұсынылады</w:t>
      </w:r>
      <w:r w:rsidR="003F004D" w:rsidRPr="003F004D">
        <w:rPr>
          <w:rFonts w:ascii="Times New Roman" w:hAnsi="Times New Roman" w:cs="Times New Roman"/>
          <w:sz w:val="28"/>
          <w:szCs w:val="28"/>
          <w:lang w:val="kk-KZ"/>
        </w:rPr>
        <w:t xml:space="preserve"> [69]</w:t>
      </w:r>
      <w:r w:rsidRPr="00457CE9">
        <w:rPr>
          <w:rFonts w:ascii="Times New Roman" w:hAnsi="Times New Roman" w:cs="Times New Roman"/>
          <w:sz w:val="28"/>
          <w:szCs w:val="28"/>
          <w:lang w:val="kk-KZ"/>
        </w:rPr>
        <w:t xml:space="preserve">. </w:t>
      </w:r>
    </w:p>
    <w:p w14:paraId="63A8BC6B" w14:textId="7349505B" w:rsidR="007B3BFC" w:rsidRDefault="00302F35"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sz w:val="28"/>
          <w:szCs w:val="28"/>
          <w:lang w:val="kk-KZ"/>
        </w:rPr>
        <w:t>ҚР АӨК дам</w:t>
      </w:r>
      <w:r w:rsidR="00A10B24">
        <w:rPr>
          <w:rFonts w:ascii="Times New Roman" w:hAnsi="Times New Roman" w:cs="Times New Roman"/>
          <w:sz w:val="28"/>
          <w:szCs w:val="28"/>
          <w:lang w:val="kk-KZ"/>
        </w:rPr>
        <w:t>ыту мақсаты анықталып, бюджет қаражаты жұмсалады</w:t>
      </w:r>
      <w:r w:rsidR="007B3BFC">
        <w:rPr>
          <w:rFonts w:ascii="Times New Roman" w:hAnsi="Times New Roman" w:cs="Times New Roman"/>
          <w:sz w:val="28"/>
          <w:szCs w:val="28"/>
          <w:lang w:val="kk-KZ"/>
        </w:rPr>
        <w:t>, яғни оның</w:t>
      </w:r>
      <w:r w:rsidRPr="00457CE9">
        <w:rPr>
          <w:rFonts w:ascii="Times New Roman" w:hAnsi="Times New Roman" w:cs="Times New Roman"/>
          <w:sz w:val="28"/>
          <w:szCs w:val="28"/>
          <w:lang w:val="kk-KZ"/>
        </w:rPr>
        <w:t xml:space="preserve"> аудиті</w:t>
      </w:r>
      <w:r w:rsidR="007B3BFC">
        <w:rPr>
          <w:rFonts w:ascii="Times New Roman" w:hAnsi="Times New Roman" w:cs="Times New Roman"/>
          <w:sz w:val="28"/>
          <w:szCs w:val="28"/>
          <w:lang w:val="kk-KZ"/>
        </w:rPr>
        <w:t xml:space="preserve"> осымен байланысты. </w:t>
      </w:r>
      <w:r w:rsidR="007B3BFC" w:rsidRPr="007B3BFC">
        <w:rPr>
          <w:rFonts w:ascii="Times New Roman" w:hAnsi="Times New Roman" w:cs="Times New Roman"/>
          <w:color w:val="000000"/>
          <w:sz w:val="28"/>
          <w:szCs w:val="28"/>
          <w:lang w:val="kk-KZ"/>
        </w:rPr>
        <w:t>Тиімділік аудиті мемлекеттік секторды дұрыс басқарудың негізі болып табылады. Белгіленген нәтижелерге қол жеткізу үшін мемлекеттік ресурстардың қаншалықты жауапкершілікпен және тиімді пайдаланылатынына бейтарап және объективті баға бере отырып, аудиторлар мемлекеттік сектор ұйымдарына есеп беру мен адалдыққа қол жеткізуге, операциялық қызметті жақсартуға және азаматтар мен мүдделі тараптар арасында сенімді нығайтуға көмектеседі</w:t>
      </w:r>
      <w:r w:rsidR="007B3BFC">
        <w:rPr>
          <w:rFonts w:ascii="Times New Roman" w:hAnsi="Times New Roman" w:cs="Times New Roman"/>
          <w:color w:val="000000"/>
          <w:sz w:val="28"/>
          <w:szCs w:val="28"/>
          <w:lang w:val="kk-KZ"/>
        </w:rPr>
        <w:t xml:space="preserve"> </w:t>
      </w:r>
      <w:r w:rsidR="007B3BFC" w:rsidRPr="007B3BFC">
        <w:rPr>
          <w:rFonts w:ascii="Times New Roman" w:hAnsi="Times New Roman" w:cs="Times New Roman"/>
          <w:color w:val="000000"/>
          <w:sz w:val="28"/>
          <w:szCs w:val="28"/>
          <w:lang w:val="kk-KZ"/>
        </w:rPr>
        <w:t>[1</w:t>
      </w:r>
      <w:r w:rsidR="009D4A99" w:rsidRPr="009D4A99">
        <w:rPr>
          <w:rFonts w:ascii="Times New Roman" w:hAnsi="Times New Roman" w:cs="Times New Roman"/>
          <w:color w:val="000000"/>
          <w:sz w:val="28"/>
          <w:szCs w:val="28"/>
          <w:lang w:val="kk-KZ"/>
        </w:rPr>
        <w:t>11</w:t>
      </w:r>
      <w:r w:rsidR="00F32059">
        <w:rPr>
          <w:rFonts w:ascii="Times New Roman" w:hAnsi="Times New Roman" w:cs="Times New Roman"/>
          <w:color w:val="000000"/>
          <w:sz w:val="28"/>
          <w:szCs w:val="28"/>
          <w:lang w:val="kk-KZ"/>
        </w:rPr>
        <w:t>, р. 600</w:t>
      </w:r>
      <w:r w:rsidR="007B3BFC" w:rsidRPr="007B3BFC">
        <w:rPr>
          <w:rFonts w:ascii="Times New Roman" w:hAnsi="Times New Roman" w:cs="Times New Roman"/>
          <w:color w:val="000000"/>
          <w:sz w:val="28"/>
          <w:szCs w:val="28"/>
          <w:lang w:val="kk-KZ"/>
        </w:rPr>
        <w:t>]</w:t>
      </w:r>
      <w:r w:rsidR="007B3BFC">
        <w:rPr>
          <w:rFonts w:ascii="Times New Roman" w:hAnsi="Times New Roman" w:cs="Times New Roman"/>
          <w:color w:val="000000"/>
          <w:sz w:val="28"/>
          <w:szCs w:val="28"/>
          <w:lang w:val="kk-KZ"/>
        </w:rPr>
        <w:t>.</w:t>
      </w:r>
    </w:p>
    <w:p w14:paraId="242DA236" w14:textId="77777777" w:rsidR="007B3BFC" w:rsidRDefault="007B3BFC" w:rsidP="00457CE9">
      <w:pPr>
        <w:tabs>
          <w:tab w:val="left" w:pos="1605"/>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Тиімділік аудитін жүргізу кезінде келесідей әдістерді қолдану ұсынылады: </w:t>
      </w:r>
    </w:p>
    <w:p w14:paraId="7379B701" w14:textId="5A628BB4" w:rsidR="007B3BFC" w:rsidRDefault="007B3BFC"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7B3BFC">
        <w:rPr>
          <w:rFonts w:ascii="Times New Roman" w:hAnsi="Times New Roman" w:cs="Times New Roman"/>
          <w:color w:val="000000"/>
          <w:sz w:val="28"/>
          <w:szCs w:val="28"/>
          <w:lang w:val="kk-KZ"/>
        </w:rPr>
        <w:t>Жүйелік талдау әдісі</w:t>
      </w:r>
      <w:r>
        <w:rPr>
          <w:rFonts w:ascii="Times New Roman" w:hAnsi="Times New Roman" w:cs="Times New Roman"/>
          <w:color w:val="000000"/>
          <w:sz w:val="28"/>
          <w:szCs w:val="28"/>
          <w:lang w:val="kk-KZ"/>
        </w:rPr>
        <w:t xml:space="preserve"> – </w:t>
      </w:r>
      <w:r w:rsidRPr="007B3BFC">
        <w:rPr>
          <w:rFonts w:ascii="Times New Roman" w:hAnsi="Times New Roman" w:cs="Times New Roman"/>
          <w:color w:val="000000"/>
          <w:sz w:val="28"/>
          <w:szCs w:val="28"/>
          <w:lang w:val="kk-KZ"/>
        </w:rPr>
        <w:t xml:space="preserve">бұл жүйелер түрінде ұсынылған кез-келген объектілерді зерттеуден, оларды құрылымдаудан және кейінгі талдаудан тұратын жүйелер теориясының әдістемесі. Жүйелік талдаудың басты ерекшелігі – бұл тек талдау әдістерін ғана емес (грек тілінен аударғанда </w:t>
      </w:r>
      <w:r>
        <w:rPr>
          <w:rFonts w:ascii="Times New Roman" w:hAnsi="Times New Roman" w:cs="Times New Roman"/>
          <w:color w:val="000000"/>
          <w:sz w:val="28"/>
          <w:szCs w:val="28"/>
          <w:lang w:val="kk-KZ"/>
        </w:rPr>
        <w:t>«</w:t>
      </w:r>
      <w:r w:rsidRPr="007B3BFC">
        <w:rPr>
          <w:rFonts w:ascii="Times New Roman" w:hAnsi="Times New Roman" w:cs="Times New Roman"/>
          <w:sz w:val="28"/>
          <w:szCs w:val="28"/>
        </w:rPr>
        <w:t>ἀνάλυσις</w:t>
      </w:r>
      <w:r>
        <w:rPr>
          <w:rFonts w:ascii="Times New Roman" w:hAnsi="Times New Roman" w:cs="Times New Roman"/>
          <w:color w:val="000000"/>
          <w:sz w:val="28"/>
          <w:szCs w:val="28"/>
          <w:lang w:val="kk-KZ"/>
        </w:rPr>
        <w:t>»</w:t>
      </w:r>
      <w:r w:rsidRPr="007B3BFC">
        <w:rPr>
          <w:rFonts w:ascii="Times New Roman" w:hAnsi="Times New Roman" w:cs="Times New Roman"/>
          <w:color w:val="000000"/>
          <w:sz w:val="28"/>
          <w:szCs w:val="28"/>
          <w:lang w:val="kk-KZ"/>
        </w:rPr>
        <w:t xml:space="preserve"> – объектіні элементтерге бөлу), сонымен қатар синтез әдістерін де қамтиды (грек тілінен аударғанда </w:t>
      </w:r>
      <w:r>
        <w:rPr>
          <w:rFonts w:ascii="Times New Roman" w:hAnsi="Times New Roman" w:cs="Times New Roman"/>
          <w:color w:val="000000"/>
          <w:sz w:val="28"/>
          <w:szCs w:val="28"/>
          <w:lang w:val="kk-KZ"/>
        </w:rPr>
        <w:t>«</w:t>
      </w:r>
      <w:r w:rsidRPr="007B3BFC">
        <w:rPr>
          <w:rFonts w:ascii="Times New Roman" w:hAnsi="Times New Roman" w:cs="Times New Roman"/>
          <w:color w:val="000000"/>
          <w:sz w:val="28"/>
          <w:szCs w:val="28"/>
        </w:rPr>
        <w:t>σύνθεσις</w:t>
      </w:r>
      <w:r>
        <w:rPr>
          <w:rFonts w:ascii="Times New Roman" w:hAnsi="Times New Roman" w:cs="Times New Roman"/>
          <w:color w:val="000000"/>
          <w:sz w:val="28"/>
          <w:szCs w:val="28"/>
          <w:lang w:val="kk-KZ"/>
        </w:rPr>
        <w:t>»</w:t>
      </w:r>
      <w:r w:rsidRPr="007B3BFC">
        <w:rPr>
          <w:rFonts w:ascii="Times New Roman" w:hAnsi="Times New Roman" w:cs="Times New Roman"/>
          <w:color w:val="000000"/>
          <w:sz w:val="28"/>
          <w:szCs w:val="28"/>
          <w:lang w:val="kk-KZ"/>
        </w:rPr>
        <w:t xml:space="preserve"> - элементтерді біртұтас тұтастыққа біріктіру). Жүйелік талдаудың негізгі мақсаты</w:t>
      </w:r>
      <w:r>
        <w:rPr>
          <w:rFonts w:ascii="Times New Roman" w:hAnsi="Times New Roman" w:cs="Times New Roman"/>
          <w:color w:val="000000"/>
          <w:sz w:val="28"/>
          <w:szCs w:val="28"/>
          <w:lang w:val="kk-KZ"/>
        </w:rPr>
        <w:t xml:space="preserve"> – </w:t>
      </w:r>
      <w:r w:rsidRPr="007B3BFC">
        <w:rPr>
          <w:rFonts w:ascii="Times New Roman" w:hAnsi="Times New Roman" w:cs="Times New Roman"/>
          <w:color w:val="000000"/>
          <w:sz w:val="28"/>
          <w:szCs w:val="28"/>
          <w:lang w:val="kk-KZ"/>
        </w:rPr>
        <w:t xml:space="preserve">бар баламалардың ішінен ең жақсы шешімді табу арқылы күрделі мәселені шешудегі белгісіздікті анықтау және жою. Жүйелік талдау </w:t>
      </w:r>
      <w:r>
        <w:rPr>
          <w:rFonts w:ascii="Times New Roman" w:hAnsi="Times New Roman" w:cs="Times New Roman"/>
          <w:color w:val="000000"/>
          <w:sz w:val="28"/>
          <w:szCs w:val="28"/>
          <w:lang w:val="kk-KZ"/>
        </w:rPr>
        <w:t>бюджет қаражатын пайдалану</w:t>
      </w:r>
      <w:r w:rsidRPr="007B3BFC">
        <w:rPr>
          <w:rFonts w:ascii="Times New Roman" w:hAnsi="Times New Roman" w:cs="Times New Roman"/>
          <w:color w:val="000000"/>
          <w:sz w:val="28"/>
          <w:szCs w:val="28"/>
          <w:lang w:val="kk-KZ"/>
        </w:rPr>
        <w:t xml:space="preserve"> тиімділігі аудитінің кезеңдерін талдауға, оның күшті жақтарын анықтауға, сондай-ақ оның ерекшеліктері мен түрлерін анықтауға көмектес</w:t>
      </w:r>
      <w:r>
        <w:rPr>
          <w:rFonts w:ascii="Times New Roman" w:hAnsi="Times New Roman" w:cs="Times New Roman"/>
          <w:color w:val="000000"/>
          <w:sz w:val="28"/>
          <w:szCs w:val="28"/>
          <w:lang w:val="kk-KZ"/>
        </w:rPr>
        <w:t>еді</w:t>
      </w:r>
      <w:r w:rsidR="00F32059">
        <w:rPr>
          <w:rFonts w:ascii="Times New Roman" w:hAnsi="Times New Roman" w:cs="Times New Roman"/>
          <w:color w:val="000000"/>
          <w:sz w:val="28"/>
          <w:szCs w:val="28"/>
          <w:lang w:val="kk-KZ"/>
        </w:rPr>
        <w:t xml:space="preserve"> </w:t>
      </w:r>
      <w:r w:rsidR="00F32059" w:rsidRPr="00F32059">
        <w:rPr>
          <w:rFonts w:ascii="Times New Roman" w:hAnsi="Times New Roman" w:cs="Times New Roman"/>
          <w:color w:val="000000"/>
          <w:sz w:val="28"/>
          <w:szCs w:val="28"/>
          <w:lang w:val="kk-KZ"/>
        </w:rPr>
        <w:t>[111, p. 600]</w:t>
      </w:r>
      <w:r>
        <w:rPr>
          <w:rFonts w:ascii="Times New Roman" w:hAnsi="Times New Roman" w:cs="Times New Roman"/>
          <w:color w:val="000000"/>
          <w:sz w:val="28"/>
          <w:szCs w:val="28"/>
          <w:lang w:val="kk-KZ"/>
        </w:rPr>
        <w:t>.</w:t>
      </w:r>
    </w:p>
    <w:p w14:paraId="1B3CC7D9" w14:textId="144AC396" w:rsidR="007B3BFC" w:rsidRPr="007B3BFC" w:rsidRDefault="007B3BFC"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7B3BFC">
        <w:rPr>
          <w:rFonts w:ascii="Times New Roman" w:hAnsi="Times New Roman" w:cs="Times New Roman"/>
          <w:color w:val="000000"/>
          <w:sz w:val="28"/>
          <w:szCs w:val="28"/>
          <w:lang w:val="kk-KZ"/>
        </w:rPr>
        <w:t>Мазмұнды талдау</w:t>
      </w:r>
      <w:r>
        <w:rPr>
          <w:rFonts w:ascii="Times New Roman" w:hAnsi="Times New Roman" w:cs="Times New Roman"/>
          <w:color w:val="000000"/>
          <w:sz w:val="28"/>
          <w:szCs w:val="28"/>
          <w:lang w:val="kk-KZ"/>
        </w:rPr>
        <w:t xml:space="preserve"> – </w:t>
      </w:r>
      <w:r w:rsidRPr="007B3BFC">
        <w:rPr>
          <w:rFonts w:ascii="Times New Roman" w:hAnsi="Times New Roman" w:cs="Times New Roman"/>
          <w:color w:val="000000"/>
          <w:sz w:val="28"/>
          <w:szCs w:val="28"/>
          <w:lang w:val="kk-KZ"/>
        </w:rPr>
        <w:t>бұл әлеуметтік шындық туралы сенімді ақпарат алу үшін хабарламалардың мазмұнын сапалы және сандық зерттеу әдісі. Бұл әдісті қолдану мәтіндегі белгілі бір мазмұн элементтерін алгоритмдік таңдауды, оларды алдын-ала жасалған с</w:t>
      </w:r>
      <w:r w:rsidR="00FE4779">
        <w:rPr>
          <w:rFonts w:ascii="Times New Roman" w:hAnsi="Times New Roman" w:cs="Times New Roman"/>
          <w:color w:val="000000"/>
          <w:sz w:val="28"/>
          <w:szCs w:val="28"/>
          <w:lang w:val="kk-KZ"/>
        </w:rPr>
        <w:t>ызба</w:t>
      </w:r>
      <w:r w:rsidRPr="007B3BFC">
        <w:rPr>
          <w:rFonts w:ascii="Times New Roman" w:hAnsi="Times New Roman" w:cs="Times New Roman"/>
          <w:color w:val="000000"/>
          <w:sz w:val="28"/>
          <w:szCs w:val="28"/>
          <w:lang w:val="kk-KZ"/>
        </w:rPr>
        <w:t>ға сәйкес жіктеуді, таңдалған мазмұн элементтерін кейіннен есептеуді және нәтижелердің сандық көрінісін қамтиды. Осы әдісті қолдана отырып, басқа авторлар бұрын сипаттаған тиімділік аудитінің негізгі функцияларын анықтауға болады</w:t>
      </w:r>
      <w:r w:rsidR="00FE4779">
        <w:rPr>
          <w:rFonts w:ascii="Times New Roman" w:hAnsi="Times New Roman" w:cs="Times New Roman"/>
          <w:color w:val="000000"/>
          <w:sz w:val="28"/>
          <w:szCs w:val="28"/>
          <w:lang w:val="kk-KZ"/>
        </w:rPr>
        <w:t xml:space="preserve"> </w:t>
      </w:r>
      <w:r w:rsidR="00FE4779" w:rsidRPr="00FE4779">
        <w:rPr>
          <w:rFonts w:ascii="Times New Roman" w:hAnsi="Times New Roman" w:cs="Times New Roman"/>
          <w:color w:val="000000"/>
          <w:sz w:val="28"/>
          <w:szCs w:val="28"/>
          <w:lang w:val="kk-KZ"/>
        </w:rPr>
        <w:t>[111, p. 600]</w:t>
      </w:r>
      <w:r w:rsidRPr="007B3BFC">
        <w:rPr>
          <w:rFonts w:ascii="Times New Roman" w:hAnsi="Times New Roman" w:cs="Times New Roman"/>
          <w:color w:val="000000"/>
          <w:sz w:val="28"/>
          <w:szCs w:val="28"/>
          <w:lang w:val="kk-KZ"/>
        </w:rPr>
        <w:t>.</w:t>
      </w:r>
    </w:p>
    <w:p w14:paraId="23162558" w14:textId="6C9B707A" w:rsidR="007B3BFC" w:rsidRDefault="007B3BFC"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7B3BFC">
        <w:rPr>
          <w:rFonts w:ascii="Times New Roman" w:hAnsi="Times New Roman" w:cs="Times New Roman"/>
          <w:color w:val="000000"/>
          <w:sz w:val="28"/>
          <w:szCs w:val="28"/>
          <w:lang w:val="kk-KZ"/>
        </w:rPr>
        <w:t>Салыстырмалы талдау әдісі кез-келген саяси жүйенің алдында тұрған шындыққа, тұжырымдамалар мен мақсаттарға сәйкес кез-келген елдегі саяси процестер мен өзгерістерді түсіну</w:t>
      </w:r>
      <w:r w:rsidR="002064DE">
        <w:rPr>
          <w:rFonts w:ascii="Times New Roman" w:hAnsi="Times New Roman" w:cs="Times New Roman"/>
          <w:color w:val="000000"/>
          <w:sz w:val="28"/>
          <w:szCs w:val="28"/>
          <w:lang w:val="kk-KZ"/>
        </w:rPr>
        <w:t>ге,</w:t>
      </w:r>
      <w:r w:rsidRPr="007B3BFC">
        <w:rPr>
          <w:rFonts w:ascii="Times New Roman" w:hAnsi="Times New Roman" w:cs="Times New Roman"/>
          <w:color w:val="000000"/>
          <w:sz w:val="28"/>
          <w:szCs w:val="28"/>
          <w:lang w:val="kk-KZ"/>
        </w:rPr>
        <w:t xml:space="preserve"> сипаттауға мүмкіндік беретін қуатты және жан-жақты құрал болып табылады</w:t>
      </w:r>
      <w:r w:rsidR="002064DE">
        <w:rPr>
          <w:rFonts w:ascii="Times New Roman" w:hAnsi="Times New Roman" w:cs="Times New Roman"/>
          <w:color w:val="000000"/>
          <w:sz w:val="28"/>
          <w:szCs w:val="28"/>
          <w:lang w:val="kk-KZ"/>
        </w:rPr>
        <w:t xml:space="preserve"> </w:t>
      </w:r>
      <w:r w:rsidR="002064DE" w:rsidRPr="002064DE">
        <w:rPr>
          <w:rFonts w:ascii="Times New Roman" w:hAnsi="Times New Roman" w:cs="Times New Roman"/>
          <w:color w:val="000000"/>
          <w:sz w:val="28"/>
          <w:szCs w:val="28"/>
          <w:lang w:val="kk-KZ"/>
        </w:rPr>
        <w:t>[1</w:t>
      </w:r>
      <w:r w:rsidR="009D4A99" w:rsidRPr="009D4A99">
        <w:rPr>
          <w:rFonts w:ascii="Times New Roman" w:hAnsi="Times New Roman" w:cs="Times New Roman"/>
          <w:color w:val="000000"/>
          <w:sz w:val="28"/>
          <w:szCs w:val="28"/>
          <w:lang w:val="kk-KZ"/>
        </w:rPr>
        <w:t>11</w:t>
      </w:r>
      <w:r w:rsidR="00F32059" w:rsidRPr="00F32059">
        <w:rPr>
          <w:rFonts w:ascii="Times New Roman" w:hAnsi="Times New Roman" w:cs="Times New Roman"/>
          <w:color w:val="000000"/>
          <w:sz w:val="28"/>
          <w:szCs w:val="28"/>
          <w:lang w:val="kk-KZ"/>
        </w:rPr>
        <w:t>, p. 601</w:t>
      </w:r>
      <w:r w:rsidR="002064DE" w:rsidRPr="002064DE">
        <w:rPr>
          <w:rFonts w:ascii="Times New Roman" w:hAnsi="Times New Roman" w:cs="Times New Roman"/>
          <w:color w:val="000000"/>
          <w:sz w:val="28"/>
          <w:szCs w:val="28"/>
          <w:lang w:val="kk-KZ"/>
        </w:rPr>
        <w:t>]</w:t>
      </w:r>
      <w:r w:rsidRPr="007B3BFC">
        <w:rPr>
          <w:rFonts w:ascii="Times New Roman" w:hAnsi="Times New Roman" w:cs="Times New Roman"/>
          <w:color w:val="000000"/>
          <w:sz w:val="28"/>
          <w:szCs w:val="28"/>
          <w:lang w:val="kk-KZ"/>
        </w:rPr>
        <w:t xml:space="preserve">. </w:t>
      </w:r>
    </w:p>
    <w:p w14:paraId="3E3FA222" w14:textId="77777777" w:rsidR="00F4114C" w:rsidRDefault="002064DE"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2064DE">
        <w:rPr>
          <w:rFonts w:ascii="Times New Roman" w:hAnsi="Times New Roman" w:cs="Times New Roman"/>
          <w:color w:val="000000"/>
          <w:sz w:val="28"/>
          <w:szCs w:val="28"/>
          <w:lang w:val="kk-KZ"/>
        </w:rPr>
        <w:t xml:space="preserve">Тікелей мемлекеттік аудит объектісінде талдамалық және аудиторлық рәсімдерді жүргізу бөлігінде аудиторлық іс-шараның жоспары мен бағдарламасын іске асыруды көздейтін </w:t>
      </w:r>
      <w:r>
        <w:rPr>
          <w:rFonts w:ascii="Times New Roman" w:hAnsi="Times New Roman" w:cs="Times New Roman"/>
          <w:color w:val="000000"/>
          <w:sz w:val="28"/>
          <w:szCs w:val="28"/>
          <w:lang w:val="kk-KZ"/>
        </w:rPr>
        <w:t>аудит объектісі</w:t>
      </w:r>
      <w:r w:rsidRPr="002064DE">
        <w:rPr>
          <w:rFonts w:ascii="Times New Roman" w:hAnsi="Times New Roman" w:cs="Times New Roman"/>
          <w:color w:val="000000"/>
          <w:sz w:val="28"/>
          <w:szCs w:val="28"/>
          <w:lang w:val="kk-KZ"/>
        </w:rPr>
        <w:t xml:space="preserve"> қызметінің тиімділігіне аудит жүргізу кезінде мемлекеттік аудиторлар осы мақсатқа уәкілеттік берілген адамдар ретінде мыналармен айналысуға тиіс: </w:t>
      </w:r>
    </w:p>
    <w:p w14:paraId="54967424" w14:textId="77777777" w:rsidR="00F4114C" w:rsidRPr="00F4114C" w:rsidRDefault="002064DE"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F4114C">
        <w:rPr>
          <w:rFonts w:ascii="Times New Roman" w:hAnsi="Times New Roman" w:cs="Times New Roman"/>
          <w:color w:val="000000"/>
          <w:sz w:val="28"/>
          <w:szCs w:val="28"/>
          <w:lang w:val="kk-KZ"/>
        </w:rPr>
        <w:t xml:space="preserve">1) тиісті сападағы/форматтағы аудиторлық дәлелдемелерді жинау; </w:t>
      </w:r>
    </w:p>
    <w:p w14:paraId="33337BBB" w14:textId="77777777" w:rsidR="00F4114C" w:rsidRPr="00F4114C" w:rsidRDefault="002064DE"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F4114C">
        <w:rPr>
          <w:rFonts w:ascii="Times New Roman" w:hAnsi="Times New Roman" w:cs="Times New Roman"/>
          <w:color w:val="000000"/>
          <w:sz w:val="28"/>
          <w:szCs w:val="28"/>
          <w:lang w:val="kk-KZ"/>
        </w:rPr>
        <w:t xml:space="preserve">2) қажет болған жағдайда аудиторлық іс-шараларды қарсы аудит жүргізуді және аудит барысында анықталған фактілерді көрсеткіштерден, атап айтқанда аудит критерийлерінен ауытқу мәніне бағалауды қоса алғанда, аудиторлық тәуекелді басқаруға және/немесе қажетті дәлелдемелер жинауды қамтамасыз етуге бағытталған қосымша талдамалық және аудиторлық рәсімдер; </w:t>
      </w:r>
    </w:p>
    <w:p w14:paraId="0080FFD6" w14:textId="77777777" w:rsidR="00F4114C" w:rsidRPr="00F4114C" w:rsidRDefault="002064DE"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F4114C">
        <w:rPr>
          <w:rFonts w:ascii="Times New Roman" w:hAnsi="Times New Roman" w:cs="Times New Roman"/>
          <w:color w:val="000000"/>
          <w:sz w:val="28"/>
          <w:szCs w:val="28"/>
          <w:lang w:val="kk-KZ"/>
        </w:rPr>
        <w:t xml:space="preserve">3) аудиторлық есепті жасау; </w:t>
      </w:r>
    </w:p>
    <w:p w14:paraId="2277C4ED" w14:textId="591E7525" w:rsidR="002064DE" w:rsidRPr="00F4114C" w:rsidRDefault="002064DE"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F4114C">
        <w:rPr>
          <w:rFonts w:ascii="Times New Roman" w:hAnsi="Times New Roman" w:cs="Times New Roman"/>
          <w:color w:val="000000"/>
          <w:sz w:val="28"/>
          <w:szCs w:val="28"/>
          <w:lang w:val="kk-KZ"/>
        </w:rPr>
        <w:t>4) анықталған фактілерді және объектінің өкілдерімен аудиторлық есептің жобасын талқылауды жүргізу мемлекеттік аудит және (немесе) уәкілетті органдар;</w:t>
      </w:r>
    </w:p>
    <w:p w14:paraId="7DD01F08" w14:textId="405CF5AC" w:rsidR="00F4114C" w:rsidRPr="00FE4779" w:rsidRDefault="00F4114C" w:rsidP="00457CE9">
      <w:pPr>
        <w:tabs>
          <w:tab w:val="left" w:pos="1605"/>
        </w:tabs>
        <w:spacing w:after="0" w:line="240" w:lineRule="auto"/>
        <w:ind w:firstLine="709"/>
        <w:jc w:val="both"/>
        <w:rPr>
          <w:rFonts w:ascii="Times New Roman" w:hAnsi="Times New Roman" w:cs="Times New Roman"/>
          <w:color w:val="000000"/>
          <w:sz w:val="28"/>
          <w:szCs w:val="28"/>
          <w:lang w:val="kk-KZ"/>
        </w:rPr>
      </w:pPr>
      <w:r w:rsidRPr="00F4114C">
        <w:rPr>
          <w:rFonts w:ascii="Times New Roman" w:hAnsi="Times New Roman" w:cs="Times New Roman"/>
          <w:color w:val="000000"/>
          <w:sz w:val="28"/>
          <w:szCs w:val="28"/>
          <w:lang w:val="kk-KZ"/>
        </w:rPr>
        <w:t xml:space="preserve">5) </w:t>
      </w:r>
      <w:r w:rsidR="00FE4779" w:rsidRPr="00F4114C">
        <w:rPr>
          <w:rFonts w:ascii="Times New Roman" w:hAnsi="Times New Roman" w:cs="Times New Roman"/>
          <w:color w:val="000000"/>
          <w:sz w:val="28"/>
          <w:szCs w:val="28"/>
          <w:lang w:val="kk-KZ"/>
        </w:rPr>
        <w:t xml:space="preserve">аудиторлық </w:t>
      </w:r>
      <w:r w:rsidRPr="00F4114C">
        <w:rPr>
          <w:rFonts w:ascii="Times New Roman" w:hAnsi="Times New Roman" w:cs="Times New Roman"/>
          <w:color w:val="000000"/>
          <w:sz w:val="28"/>
          <w:szCs w:val="28"/>
          <w:lang w:val="kk-KZ"/>
        </w:rPr>
        <w:t xml:space="preserve">жұмыс файлдарын тиісінше ресімдеуге; </w:t>
      </w:r>
      <w:r w:rsidR="00FE4779" w:rsidRPr="00FE4779">
        <w:rPr>
          <w:rFonts w:ascii="Times New Roman" w:hAnsi="Times New Roman" w:cs="Times New Roman"/>
          <w:color w:val="000000"/>
          <w:sz w:val="28"/>
          <w:szCs w:val="28"/>
          <w:lang w:val="kk-KZ"/>
        </w:rPr>
        <w:t xml:space="preserve"> </w:t>
      </w:r>
    </w:p>
    <w:p w14:paraId="008F9020" w14:textId="473E9D55" w:rsidR="00F4114C" w:rsidRPr="00F4114C" w:rsidRDefault="00F4114C" w:rsidP="00457CE9">
      <w:pPr>
        <w:tabs>
          <w:tab w:val="left" w:pos="1605"/>
        </w:tabs>
        <w:spacing w:after="0" w:line="240" w:lineRule="auto"/>
        <w:ind w:firstLine="709"/>
        <w:jc w:val="both"/>
        <w:rPr>
          <w:rFonts w:ascii="Times New Roman" w:hAnsi="Times New Roman" w:cs="Times New Roman"/>
          <w:sz w:val="28"/>
          <w:szCs w:val="28"/>
          <w:lang w:val="kk-KZ"/>
        </w:rPr>
      </w:pPr>
      <w:r w:rsidRPr="00F4114C">
        <w:rPr>
          <w:rFonts w:ascii="Times New Roman" w:hAnsi="Times New Roman" w:cs="Times New Roman"/>
          <w:color w:val="000000"/>
          <w:sz w:val="28"/>
          <w:szCs w:val="28"/>
          <w:lang w:val="kk-KZ"/>
        </w:rPr>
        <w:t>6) аудиторлық іс-шараны өткізу сапасын бақылау рәсімдері</w:t>
      </w:r>
      <w:r>
        <w:rPr>
          <w:rFonts w:ascii="Times New Roman" w:hAnsi="Times New Roman" w:cs="Times New Roman"/>
          <w:color w:val="000000"/>
          <w:sz w:val="28"/>
          <w:szCs w:val="28"/>
          <w:lang w:val="kk-KZ"/>
        </w:rPr>
        <w:t xml:space="preserve"> </w:t>
      </w:r>
      <w:r w:rsidRPr="00F4114C">
        <w:rPr>
          <w:rFonts w:ascii="Times New Roman" w:hAnsi="Times New Roman" w:cs="Times New Roman"/>
          <w:color w:val="000000"/>
          <w:sz w:val="28"/>
          <w:szCs w:val="28"/>
          <w:lang w:val="kk-KZ"/>
        </w:rPr>
        <w:t>[1</w:t>
      </w:r>
      <w:r w:rsidR="009D4A99" w:rsidRPr="009D4A99">
        <w:rPr>
          <w:rFonts w:ascii="Times New Roman" w:hAnsi="Times New Roman" w:cs="Times New Roman"/>
          <w:color w:val="000000"/>
          <w:sz w:val="28"/>
          <w:szCs w:val="28"/>
          <w:lang w:val="kk-KZ"/>
        </w:rPr>
        <w:t>11</w:t>
      </w:r>
      <w:r w:rsidR="00F32059" w:rsidRPr="00F32059">
        <w:rPr>
          <w:rFonts w:ascii="Times New Roman" w:hAnsi="Times New Roman" w:cs="Times New Roman"/>
          <w:color w:val="000000"/>
          <w:sz w:val="28"/>
          <w:szCs w:val="28"/>
          <w:lang w:val="kk-KZ"/>
        </w:rPr>
        <w:t>, p. 603</w:t>
      </w:r>
      <w:r w:rsidRPr="00F4114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p>
    <w:p w14:paraId="598F8B9A" w14:textId="56E175F9" w:rsidR="00302F35" w:rsidRPr="00457CE9" w:rsidRDefault="00302F35" w:rsidP="00457CE9">
      <w:pPr>
        <w:tabs>
          <w:tab w:val="left" w:pos="1605"/>
        </w:tabs>
        <w:spacing w:after="0" w:line="240" w:lineRule="auto"/>
        <w:ind w:firstLine="709"/>
        <w:jc w:val="both"/>
        <w:rPr>
          <w:rFonts w:ascii="Times New Roman" w:hAnsi="Times New Roman" w:cs="Times New Roman"/>
          <w:sz w:val="28"/>
          <w:szCs w:val="28"/>
          <w:lang w:val="kk-KZ"/>
        </w:rPr>
      </w:pPr>
      <w:r w:rsidRPr="002064DE">
        <w:rPr>
          <w:rFonts w:ascii="Times New Roman" w:hAnsi="Times New Roman" w:cs="Times New Roman"/>
          <w:sz w:val="28"/>
          <w:szCs w:val="28"/>
          <w:lang w:val="kk-KZ"/>
        </w:rPr>
        <w:t>Тиімділік аудиті кезінде қолданылатын ақпараттық база негізін, нәтижелілігін бағалаудың критерийлері, жүргізу</w:t>
      </w:r>
      <w:r w:rsidRPr="007B3BFC">
        <w:rPr>
          <w:rFonts w:ascii="Times New Roman" w:hAnsi="Times New Roman" w:cs="Times New Roman"/>
          <w:sz w:val="28"/>
          <w:szCs w:val="28"/>
          <w:lang w:val="kk-KZ"/>
        </w:rPr>
        <w:t xml:space="preserve"> кезінде қолданылатын әдістері, рәсімдері және оның қорытындысын дайындау</w:t>
      </w:r>
      <w:r w:rsidRPr="00457CE9">
        <w:rPr>
          <w:rFonts w:ascii="Times New Roman" w:hAnsi="Times New Roman" w:cs="Times New Roman"/>
          <w:sz w:val="28"/>
          <w:szCs w:val="28"/>
          <w:lang w:val="kk-KZ"/>
        </w:rPr>
        <w:t xml:space="preserve"> мен ұсыну бойынша әдіснамалық нұсқаулар қажет.</w:t>
      </w:r>
    </w:p>
    <w:p w14:paraId="2C236A61" w14:textId="4A29564E" w:rsidR="00A5416A" w:rsidRPr="00457CE9" w:rsidRDefault="00A5416A"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ҚР АӨК дамытуға бағытталған бюджет қаражатын</w:t>
      </w:r>
      <w:r w:rsidR="00FE4779">
        <w:rPr>
          <w:rFonts w:ascii="Times New Roman" w:hAnsi="Times New Roman" w:cs="Times New Roman"/>
          <w:sz w:val="28"/>
          <w:szCs w:val="28"/>
          <w:lang w:val="kk-KZ"/>
        </w:rPr>
        <w:t xml:space="preserve"> пайдалану</w:t>
      </w:r>
      <w:r w:rsidR="001968F4" w:rsidRPr="00457CE9">
        <w:rPr>
          <w:rFonts w:ascii="Times New Roman" w:hAnsi="Times New Roman" w:cs="Times New Roman"/>
          <w:sz w:val="28"/>
          <w:szCs w:val="28"/>
          <w:lang w:val="kk-KZ"/>
        </w:rPr>
        <w:t xml:space="preserve"> </w:t>
      </w:r>
      <w:r w:rsidR="00BA75D5" w:rsidRPr="00457CE9">
        <w:rPr>
          <w:rFonts w:ascii="Times New Roman" w:hAnsi="Times New Roman" w:cs="Times New Roman"/>
          <w:sz w:val="28"/>
          <w:szCs w:val="28"/>
          <w:lang w:val="kk-KZ"/>
        </w:rPr>
        <w:t xml:space="preserve">мемлекеттік аудиттің </w:t>
      </w:r>
      <w:r w:rsidR="001968F4" w:rsidRPr="00457CE9">
        <w:rPr>
          <w:rFonts w:ascii="Times New Roman" w:hAnsi="Times New Roman" w:cs="Times New Roman"/>
          <w:sz w:val="28"/>
          <w:szCs w:val="28"/>
          <w:lang w:val="kk-KZ"/>
        </w:rPr>
        <w:t>халықаралық стандарттар</w:t>
      </w:r>
      <w:r w:rsidR="00BA75D5" w:rsidRPr="00457CE9">
        <w:rPr>
          <w:rFonts w:ascii="Times New Roman" w:hAnsi="Times New Roman" w:cs="Times New Roman"/>
          <w:sz w:val="28"/>
          <w:szCs w:val="28"/>
          <w:lang w:val="kk-KZ"/>
        </w:rPr>
        <w:t>ын</w:t>
      </w:r>
      <w:r w:rsidR="001968F4" w:rsidRPr="00457CE9">
        <w:rPr>
          <w:rFonts w:ascii="Times New Roman" w:hAnsi="Times New Roman" w:cs="Times New Roman"/>
          <w:sz w:val="28"/>
          <w:szCs w:val="28"/>
          <w:lang w:val="kk-KZ"/>
        </w:rPr>
        <w:t>а сай</w:t>
      </w:r>
      <w:r w:rsidRPr="00457CE9">
        <w:rPr>
          <w:rFonts w:ascii="Times New Roman" w:hAnsi="Times New Roman" w:cs="Times New Roman"/>
          <w:sz w:val="28"/>
          <w:szCs w:val="28"/>
          <w:lang w:val="kk-KZ"/>
        </w:rPr>
        <w:t xml:space="preserve"> тиімділік аудиті кезінде бағалау үрдісі </w:t>
      </w:r>
      <w:r w:rsidR="005D05DC">
        <w:rPr>
          <w:rFonts w:ascii="Times New Roman" w:hAnsi="Times New Roman" w:cs="Times New Roman"/>
          <w:sz w:val="28"/>
          <w:szCs w:val="28"/>
          <w:lang w:val="kk-KZ"/>
        </w:rPr>
        <w:t>2</w:t>
      </w:r>
      <w:r w:rsidR="00A23F7A">
        <w:rPr>
          <w:rFonts w:ascii="Times New Roman" w:hAnsi="Times New Roman" w:cs="Times New Roman"/>
          <w:sz w:val="28"/>
          <w:szCs w:val="28"/>
          <w:lang w:val="kk-KZ"/>
        </w:rPr>
        <w:t>2</w:t>
      </w:r>
      <w:r w:rsidR="00E9348E" w:rsidRPr="00457CE9">
        <w:rPr>
          <w:rFonts w:ascii="Times New Roman" w:hAnsi="Times New Roman" w:cs="Times New Roman"/>
          <w:sz w:val="28"/>
          <w:szCs w:val="28"/>
          <w:lang w:val="kk-KZ"/>
        </w:rPr>
        <w:t>-суретте</w:t>
      </w:r>
      <w:r w:rsidR="00BA75D5" w:rsidRPr="00457CE9">
        <w:rPr>
          <w:rFonts w:ascii="Times New Roman" w:hAnsi="Times New Roman" w:cs="Times New Roman"/>
          <w:sz w:val="28"/>
          <w:szCs w:val="28"/>
          <w:lang w:val="kk-KZ"/>
        </w:rPr>
        <w:t>гідей деп</w:t>
      </w:r>
      <w:r w:rsidR="00E9348E" w:rsidRPr="00457CE9">
        <w:rPr>
          <w:rFonts w:ascii="Times New Roman" w:hAnsi="Times New Roman" w:cs="Times New Roman"/>
          <w:sz w:val="28"/>
          <w:szCs w:val="28"/>
          <w:lang w:val="kk-KZ"/>
        </w:rPr>
        <w:t xml:space="preserve"> </w:t>
      </w:r>
      <w:r w:rsidR="00BA75D5" w:rsidRPr="00457CE9">
        <w:rPr>
          <w:rFonts w:ascii="Times New Roman" w:hAnsi="Times New Roman" w:cs="Times New Roman"/>
          <w:sz w:val="28"/>
          <w:szCs w:val="28"/>
          <w:lang w:val="kk-KZ"/>
        </w:rPr>
        <w:t>анықталға</w:t>
      </w:r>
      <w:r w:rsidR="00E9348E" w:rsidRPr="00457CE9">
        <w:rPr>
          <w:rFonts w:ascii="Times New Roman" w:hAnsi="Times New Roman" w:cs="Times New Roman"/>
          <w:sz w:val="28"/>
          <w:szCs w:val="28"/>
          <w:lang w:val="kk-KZ"/>
        </w:rPr>
        <w:t>н</w:t>
      </w:r>
      <w:r w:rsidR="0099586A" w:rsidRPr="00457CE9">
        <w:rPr>
          <w:rFonts w:ascii="Times New Roman" w:hAnsi="Times New Roman" w:cs="Times New Roman"/>
          <w:sz w:val="28"/>
          <w:szCs w:val="28"/>
          <w:lang w:val="kk-KZ"/>
        </w:rPr>
        <w:t xml:space="preserve"> [</w:t>
      </w:r>
      <w:r w:rsidR="009C58C8">
        <w:rPr>
          <w:rFonts w:ascii="Times New Roman" w:hAnsi="Times New Roman" w:cs="Times New Roman"/>
          <w:sz w:val="28"/>
          <w:szCs w:val="28"/>
          <w:lang w:val="kk-KZ"/>
        </w:rPr>
        <w:t>18</w:t>
      </w:r>
      <w:r w:rsidR="0099586A" w:rsidRPr="00457CE9">
        <w:rPr>
          <w:rFonts w:ascii="Times New Roman" w:hAnsi="Times New Roman" w:cs="Times New Roman"/>
          <w:sz w:val="28"/>
          <w:szCs w:val="28"/>
          <w:lang w:val="kk-KZ"/>
        </w:rPr>
        <w:t>]</w:t>
      </w:r>
      <w:r w:rsidR="00E9348E" w:rsidRPr="00457CE9">
        <w:rPr>
          <w:rFonts w:ascii="Times New Roman" w:hAnsi="Times New Roman" w:cs="Times New Roman"/>
          <w:sz w:val="28"/>
          <w:szCs w:val="28"/>
          <w:lang w:val="kk-KZ"/>
        </w:rPr>
        <w:t>.</w:t>
      </w:r>
    </w:p>
    <w:p w14:paraId="1BD3A27B" w14:textId="77777777" w:rsidR="005D05DC" w:rsidRPr="00457CE9" w:rsidRDefault="005D05DC" w:rsidP="005D05DC">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Біздің ойымызша, АӨК дамытуға бағытталған бюджет қаражатының тиімділік аудитін келесі бағыттарда жүргізген жөн:</w:t>
      </w:r>
    </w:p>
    <w:p w14:paraId="210D0886" w14:textId="77777777" w:rsidR="005D05DC" w:rsidRPr="00457CE9" w:rsidRDefault="005D05DC" w:rsidP="0097172E">
      <w:pPr>
        <w:pStyle w:val="a5"/>
        <w:numPr>
          <w:ilvl w:val="0"/>
          <w:numId w:val="40"/>
        </w:numPr>
        <w:tabs>
          <w:tab w:val="left" w:pos="851"/>
          <w:tab w:val="left" w:pos="1605"/>
        </w:tabs>
        <w:spacing w:after="0" w:line="240" w:lineRule="auto"/>
        <w:ind w:left="0" w:firstLine="567"/>
        <w:jc w:val="both"/>
        <w:rPr>
          <w:rFonts w:ascii="Times New Roman" w:hAnsi="Times New Roman"/>
          <w:sz w:val="28"/>
          <w:szCs w:val="28"/>
          <w:lang w:val="kk-KZ"/>
        </w:rPr>
      </w:pPr>
      <w:r w:rsidRPr="00457CE9">
        <w:rPr>
          <w:rFonts w:ascii="Times New Roman" w:hAnsi="Times New Roman"/>
          <w:sz w:val="28"/>
          <w:szCs w:val="28"/>
          <w:lang w:val="kk-KZ"/>
        </w:rPr>
        <w:t>бюджет қаражатын жұмсауын жоспарлайтын мемлекеттік орган қызметінің тиімділігін, яғни, қаншалықты тиімді басқару шешімдерін қабылдағанын, жалпы осы мемлекеттік саясатты бағалау;</w:t>
      </w:r>
    </w:p>
    <w:p w14:paraId="0C0CCD3B" w14:textId="7C0C8DD6" w:rsidR="005D05DC" w:rsidRPr="00457CE9" w:rsidRDefault="005D05DC" w:rsidP="0097172E">
      <w:pPr>
        <w:pStyle w:val="a5"/>
        <w:numPr>
          <w:ilvl w:val="0"/>
          <w:numId w:val="40"/>
        </w:numPr>
        <w:tabs>
          <w:tab w:val="left" w:pos="851"/>
          <w:tab w:val="left" w:pos="1605"/>
        </w:tabs>
        <w:spacing w:after="0" w:line="240" w:lineRule="auto"/>
        <w:ind w:left="0" w:firstLine="567"/>
        <w:jc w:val="both"/>
        <w:rPr>
          <w:rFonts w:ascii="Times New Roman" w:hAnsi="Times New Roman"/>
          <w:sz w:val="28"/>
          <w:szCs w:val="28"/>
          <w:lang w:val="kk-KZ"/>
        </w:rPr>
      </w:pPr>
      <w:r w:rsidRPr="00457CE9">
        <w:rPr>
          <w:rFonts w:ascii="Times New Roman" w:hAnsi="Times New Roman"/>
          <w:sz w:val="28"/>
          <w:szCs w:val="28"/>
          <w:lang w:val="kk-KZ"/>
        </w:rPr>
        <w:t>мемлекеттік қаражатын алушылардың нәтижеге бағытталған бюджет негізінде қойылған мақсатқа жету үшін қаншалықты үлес қосқанын бағалау</w:t>
      </w:r>
      <w:r w:rsidR="00FE4779" w:rsidRPr="00FE4779">
        <w:rPr>
          <w:rFonts w:ascii="Times New Roman" w:hAnsi="Times New Roman"/>
          <w:sz w:val="28"/>
          <w:szCs w:val="28"/>
          <w:lang w:val="kk-KZ"/>
        </w:rPr>
        <w:t xml:space="preserve">. </w:t>
      </w:r>
      <w:r w:rsidR="00FE4779">
        <w:rPr>
          <w:rFonts w:ascii="Times New Roman" w:hAnsi="Times New Roman"/>
          <w:sz w:val="28"/>
          <w:szCs w:val="28"/>
          <w:lang w:val="kk-KZ"/>
        </w:rPr>
        <w:t>Мемлекеттік қолдау беру механизмінің тиімділігін бағалау</w:t>
      </w:r>
      <w:r w:rsidRPr="00457CE9">
        <w:rPr>
          <w:rFonts w:ascii="Times New Roman" w:hAnsi="Times New Roman"/>
          <w:sz w:val="28"/>
          <w:szCs w:val="28"/>
          <w:lang w:val="kk-KZ"/>
        </w:rPr>
        <w:t>.</w:t>
      </w:r>
    </w:p>
    <w:p w14:paraId="622A0E06" w14:textId="77777777" w:rsidR="005D05DC" w:rsidRDefault="005D05DC" w:rsidP="005D05DC">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Тиімділік аудиті қорытындысы бойынша АӨК дамытуға бағытталған бюджет қаражаттарын пайдалануды үнемділік, өнімділік және нәтижелілік қағидаттарына сәйкестігін бағалап қана қоймай, жалпы осы бағыттағы мемлекеттік саясат тиімділігіне баға беруді, және оны жетілдіру бойынша ұсыныстар берілгені дұрыс.  </w:t>
      </w:r>
    </w:p>
    <w:p w14:paraId="29B313D5" w14:textId="77777777" w:rsidR="00FE4779" w:rsidRDefault="00FE4779" w:rsidP="005D05DC">
      <w:pPr>
        <w:tabs>
          <w:tab w:val="left" w:pos="1605"/>
        </w:tabs>
        <w:spacing w:after="0" w:line="240" w:lineRule="auto"/>
        <w:ind w:firstLine="709"/>
        <w:jc w:val="both"/>
        <w:rPr>
          <w:rFonts w:ascii="Times New Roman" w:hAnsi="Times New Roman" w:cs="Times New Roman"/>
          <w:sz w:val="28"/>
          <w:szCs w:val="28"/>
          <w:lang w:val="kk-KZ"/>
        </w:rPr>
      </w:pPr>
    </w:p>
    <w:p w14:paraId="0C936B83" w14:textId="77777777" w:rsidR="0055710E" w:rsidRDefault="0055710E" w:rsidP="009C58C8">
      <w:pPr>
        <w:tabs>
          <w:tab w:val="left" w:pos="1605"/>
        </w:tabs>
        <w:spacing w:after="0" w:line="240" w:lineRule="auto"/>
        <w:ind w:firstLine="709"/>
        <w:jc w:val="both"/>
        <w:rPr>
          <w:rFonts w:ascii="Times New Roman" w:hAnsi="Times New Roman" w:cs="Times New Roman"/>
          <w:sz w:val="28"/>
          <w:szCs w:val="28"/>
          <w:lang w:val="kk-KZ"/>
        </w:rPr>
      </w:pPr>
    </w:p>
    <w:p w14:paraId="7185329A" w14:textId="7C16AA62" w:rsidR="009C58C8" w:rsidRDefault="00AF6490" w:rsidP="009C58C8">
      <w:pPr>
        <w:tabs>
          <w:tab w:val="left" w:pos="1605"/>
        </w:tabs>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670976" behindDoc="0" locked="0" layoutInCell="1" allowOverlap="1" wp14:anchorId="61F0DCA1" wp14:editId="0EA3AA24">
                <wp:simplePos x="0" y="0"/>
                <wp:positionH relativeFrom="margin">
                  <wp:align>right</wp:align>
                </wp:positionH>
                <wp:positionV relativeFrom="paragraph">
                  <wp:posOffset>200660</wp:posOffset>
                </wp:positionV>
                <wp:extent cx="1462405" cy="1185545"/>
                <wp:effectExtent l="0" t="0" r="23495" b="14605"/>
                <wp:wrapNone/>
                <wp:docPr id="304080105"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62405" cy="11855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7C14B39"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Жобаны іске асыру барысында барлық кезеңде мониторингті қамтамасыз ету</w:t>
                            </w:r>
                            <w:r>
                              <w:rPr>
                                <w:rFonts w:ascii="Times New Roman" w:hAnsi="Times New Roman" w:cs="Times New Roman"/>
                                <w:color w:val="00B050"/>
                                <w:sz w:val="24"/>
                                <w:szCs w:val="24"/>
                                <w:lang w:val="en-US"/>
                              </w:rPr>
                              <w:t xml:space="preserve">, </w:t>
                            </w:r>
                            <w:r>
                              <w:rPr>
                                <w:rFonts w:ascii="Times New Roman" w:hAnsi="Times New Roman" w:cs="Times New Roman"/>
                                <w:color w:val="00B050"/>
                                <w:sz w:val="24"/>
                                <w:szCs w:val="24"/>
                                <w:lang w:val="kk-KZ"/>
                              </w:rPr>
                              <w:t>ІАҚ</w:t>
                            </w:r>
                          </w:p>
                          <w:p w14:paraId="7D6FA770" w14:textId="77777777" w:rsidR="009C58C8" w:rsidRDefault="009C58C8" w:rsidP="009C58C8">
                            <w:pPr>
                              <w:spacing w:after="0" w:line="240" w:lineRule="auto"/>
                              <w:jc w:val="center"/>
                              <w:rPr>
                                <w:rFonts w:ascii="Times New Roman" w:hAnsi="Times New Roman" w:cs="Times New Roman"/>
                                <w:color w:val="00B050"/>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0DCA1" id="Прямоугольник 80" o:spid="_x0000_s1228" style="position:absolute;left:0;text-align:left;margin-left:63.95pt;margin-top:15.8pt;width:115.15pt;height:93.35pt;flip:x;z-index:25267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" fillcolor="white [3201]" strokecolor="black [3200]" strokeweight=".25pt">
                <v:path arrowok="t"/>
                <v:textbox>
                  <w:txbxContent>
                    <w:p w14:paraId="67C14B39"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Жобаны іске асыру барысында барлық кезеңде мониторингті қамтамасыз ету</w:t>
                      </w:r>
                      <w:r>
                        <w:rPr>
                          <w:rFonts w:ascii="Times New Roman" w:hAnsi="Times New Roman" w:cs="Times New Roman"/>
                          <w:color w:val="00B050"/>
                          <w:sz w:val="24"/>
                          <w:szCs w:val="24"/>
                          <w:lang w:val="en-US"/>
                        </w:rPr>
                        <w:t xml:space="preserve">, </w:t>
                      </w:r>
                      <w:r>
                        <w:rPr>
                          <w:rFonts w:ascii="Times New Roman" w:hAnsi="Times New Roman" w:cs="Times New Roman"/>
                          <w:color w:val="00B050"/>
                          <w:sz w:val="24"/>
                          <w:szCs w:val="24"/>
                          <w:lang w:val="kk-KZ"/>
                        </w:rPr>
                        <w:t>ІАҚ</w:t>
                      </w:r>
                    </w:p>
                    <w:p w14:paraId="7D6FA770" w14:textId="77777777" w:rsidR="009C58C8" w:rsidRDefault="009C58C8" w:rsidP="009C58C8">
                      <w:pPr>
                        <w:spacing w:after="0" w:line="240" w:lineRule="auto"/>
                        <w:jc w:val="center"/>
                        <w:rPr>
                          <w:rFonts w:ascii="Times New Roman" w:hAnsi="Times New Roman" w:cs="Times New Roman"/>
                          <w:color w:val="00B050"/>
                          <w:sz w:val="24"/>
                          <w:szCs w:val="24"/>
                          <w:lang w:val="kk-KZ"/>
                        </w:rPr>
                      </w:pPr>
                    </w:p>
                  </w:txbxContent>
                </v:textbox>
                <w10:wrap anchorx="margin"/>
              </v:rect>
            </w:pict>
          </mc:Fallback>
        </mc:AlternateContent>
      </w:r>
    </w:p>
    <w:p w14:paraId="1DF3232D" w14:textId="0D575596"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628992" behindDoc="0" locked="0" layoutInCell="1" allowOverlap="1" wp14:anchorId="60A58BC3" wp14:editId="5C5A6C66">
                <wp:simplePos x="0" y="0"/>
                <wp:positionH relativeFrom="column">
                  <wp:posOffset>196215</wp:posOffset>
                </wp:positionH>
                <wp:positionV relativeFrom="paragraph">
                  <wp:posOffset>1981200</wp:posOffset>
                </wp:positionV>
                <wp:extent cx="1245235" cy="588645"/>
                <wp:effectExtent l="0" t="0" r="12065" b="20955"/>
                <wp:wrapNone/>
                <wp:docPr id="1969720984"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5886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1C33D7"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Қоғамдағы қажеттіліктер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58BC3" id="Прямоугольник 121" o:spid="_x0000_s1229" style="position:absolute;left:0;text-align:left;margin-left:15.45pt;margin-top:156pt;width:98.05pt;height:46.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" fillcolor="white [3201]" strokecolor="black [3200]" strokeweight=".25pt">
                <v:path arrowok="t"/>
                <v:textbox>
                  <w:txbxContent>
                    <w:p w14:paraId="261C33D7"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Қоғамдағы қажеттіліктер</w:t>
                      </w:r>
                    </w:p>
                  </w:txbxContent>
                </v:textbox>
              </v:rect>
            </w:pict>
          </mc:Fallback>
        </mc:AlternateContent>
      </w:r>
      <w:r>
        <w:rPr>
          <w:noProof/>
          <w:lang w:eastAsia="ru-RU"/>
        </w:rPr>
        <mc:AlternateContent>
          <mc:Choice Requires="wps">
            <w:drawing>
              <wp:anchor distT="0" distB="0" distL="114299" distR="114299" simplePos="0" relativeHeight="252630016" behindDoc="0" locked="0" layoutInCell="1" allowOverlap="1" wp14:anchorId="49EFAA7B" wp14:editId="038E8B26">
                <wp:simplePos x="0" y="0"/>
                <wp:positionH relativeFrom="column">
                  <wp:posOffset>625475</wp:posOffset>
                </wp:positionH>
                <wp:positionV relativeFrom="paragraph">
                  <wp:posOffset>1413510</wp:posOffset>
                </wp:positionV>
                <wp:extent cx="0" cy="527685"/>
                <wp:effectExtent l="0" t="0" r="38100" b="24765"/>
                <wp:wrapNone/>
                <wp:docPr id="1614386779"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27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30FC6A" id="Прямая соединительная линия 120" o:spid="_x0000_s1026" style="position:absolute;flip:y;z-index:25263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25pt,111.3pt" to="49.2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2631040" behindDoc="0" locked="0" layoutInCell="1" allowOverlap="1" wp14:anchorId="0A6C0714" wp14:editId="37A9CD07">
                <wp:simplePos x="0" y="0"/>
                <wp:positionH relativeFrom="column">
                  <wp:posOffset>625475</wp:posOffset>
                </wp:positionH>
                <wp:positionV relativeFrom="paragraph">
                  <wp:posOffset>1404620</wp:posOffset>
                </wp:positionV>
                <wp:extent cx="1670685" cy="0"/>
                <wp:effectExtent l="0" t="0" r="0" b="0"/>
                <wp:wrapNone/>
                <wp:docPr id="128080265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0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C5984" id="Прямая соединительная линия 119" o:spid="_x0000_s1026" style="position:absolute;z-index:25263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25pt,110.6pt" to="180.8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" strokecolor="black [3040]">
                <o:lock v:ext="edit" shapetype="f"/>
              </v:line>
            </w:pict>
          </mc:Fallback>
        </mc:AlternateContent>
      </w:r>
      <w:r>
        <w:rPr>
          <w:noProof/>
          <w:lang w:eastAsia="ru-RU"/>
        </w:rPr>
        <mc:AlternateContent>
          <mc:Choice Requires="wps">
            <w:drawing>
              <wp:anchor distT="0" distB="0" distL="114300" distR="114300" simplePos="0" relativeHeight="252632064" behindDoc="0" locked="0" layoutInCell="1" allowOverlap="1" wp14:anchorId="6D584E4C" wp14:editId="11D65232">
                <wp:simplePos x="0" y="0"/>
                <wp:positionH relativeFrom="page">
                  <wp:align>center</wp:align>
                </wp:positionH>
                <wp:positionV relativeFrom="paragraph">
                  <wp:posOffset>1097280</wp:posOffset>
                </wp:positionV>
                <wp:extent cx="1090295" cy="589280"/>
                <wp:effectExtent l="0" t="0" r="14605" b="20320"/>
                <wp:wrapNone/>
                <wp:docPr id="1393918107"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295" cy="5892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5E42D74"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Тәжірибедегі пайдалылық</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84E4C" id="Прямоугольник 118" o:spid="_x0000_s1230" style="position:absolute;left:0;text-align:left;margin-left:0;margin-top:86.4pt;width:85.85pt;height:46.4pt;z-index:25263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" fillcolor="white [3201]" strokecolor="black [3200]" strokeweight=".25pt">
                <v:path arrowok="t"/>
                <v:textbox>
                  <w:txbxContent>
                    <w:p w14:paraId="75E42D74"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Тәжірибедегі пайдалылық</w:t>
                      </w:r>
                    </w:p>
                  </w:txbxContent>
                </v:textbox>
                <w10:wrap anchorx="page"/>
              </v:rect>
            </w:pict>
          </mc:Fallback>
        </mc:AlternateContent>
      </w:r>
      <w:r>
        <w:rPr>
          <w:noProof/>
          <w:lang w:eastAsia="ru-RU"/>
        </w:rPr>
        <mc:AlternateContent>
          <mc:Choice Requires="wps">
            <w:drawing>
              <wp:anchor distT="4294967295" distB="4294967295" distL="114300" distR="114300" simplePos="0" relativeHeight="252633088" behindDoc="0" locked="0" layoutInCell="1" allowOverlap="1" wp14:anchorId="6FC0B71D" wp14:editId="16CBA289">
                <wp:simplePos x="0" y="0"/>
                <wp:positionH relativeFrom="column">
                  <wp:posOffset>3237230</wp:posOffset>
                </wp:positionH>
                <wp:positionV relativeFrom="paragraph">
                  <wp:posOffset>1422400</wp:posOffset>
                </wp:positionV>
                <wp:extent cx="1890395" cy="0"/>
                <wp:effectExtent l="0" t="0" r="0" b="0"/>
                <wp:wrapNone/>
                <wp:docPr id="1797229782"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0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3A0FA0" id="Прямая соединительная линия 117" o:spid="_x0000_s1026" style="position:absolute;z-index:25263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9pt,112pt" to="403.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" strokecolor="#4579b8 [3044]">
                <o:lock v:ext="edit" shapetype="f"/>
              </v:line>
            </w:pict>
          </mc:Fallback>
        </mc:AlternateContent>
      </w:r>
      <w:r>
        <w:rPr>
          <w:noProof/>
          <w:lang w:eastAsia="ru-RU"/>
        </w:rPr>
        <mc:AlternateContent>
          <mc:Choice Requires="wps">
            <w:drawing>
              <wp:anchor distT="0" distB="0" distL="114299" distR="114299" simplePos="0" relativeHeight="252634112" behindDoc="0" locked="0" layoutInCell="1" allowOverlap="1" wp14:anchorId="4F3DB6F7" wp14:editId="64D91D1C">
                <wp:simplePos x="0" y="0"/>
                <wp:positionH relativeFrom="column">
                  <wp:posOffset>5126355</wp:posOffset>
                </wp:positionH>
                <wp:positionV relativeFrom="paragraph">
                  <wp:posOffset>1422400</wp:posOffset>
                </wp:positionV>
                <wp:extent cx="0" cy="580390"/>
                <wp:effectExtent l="76200" t="0" r="57150" b="48260"/>
                <wp:wrapNone/>
                <wp:docPr id="793457527"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0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74FAF" id="Прямая со стрелкой 116" o:spid="_x0000_s1026" type="#_x0000_t32" style="position:absolute;margin-left:403.65pt;margin-top:112pt;width:0;height:45.7pt;z-index:25263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35136" behindDoc="0" locked="0" layoutInCell="1" allowOverlap="1" wp14:anchorId="0DA0FD12" wp14:editId="63E78DCA">
                <wp:simplePos x="0" y="0"/>
                <wp:positionH relativeFrom="column">
                  <wp:posOffset>4044315</wp:posOffset>
                </wp:positionH>
                <wp:positionV relativeFrom="paragraph">
                  <wp:posOffset>2021840</wp:posOffset>
                </wp:positionV>
                <wp:extent cx="1567180" cy="606425"/>
                <wp:effectExtent l="0" t="0" r="13970" b="22225"/>
                <wp:wrapNone/>
                <wp:docPr id="2136960718"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7180" cy="6064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6098AF"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Әлеуметтік, экономикалық, экологиялық салдар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0FD12" id="Прямоугольник 115" o:spid="_x0000_s1231" style="position:absolute;left:0;text-align:left;margin-left:318.45pt;margin-top:159.2pt;width:123.4pt;height:47.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" fillcolor="white [3201]" strokecolor="black [3200]" strokeweight=".25pt">
                <v:path arrowok="t"/>
                <v:textbox>
                  <w:txbxContent>
                    <w:p w14:paraId="0F6098AF"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Әлеуметтік, экономикалық, экологиялық салдар</w:t>
                      </w:r>
                    </w:p>
                  </w:txbxContent>
                </v:textbox>
              </v:rect>
            </w:pict>
          </mc:Fallback>
        </mc:AlternateContent>
      </w:r>
      <w:r>
        <w:rPr>
          <w:noProof/>
          <w:lang w:eastAsia="ru-RU"/>
        </w:rPr>
        <mc:AlternateContent>
          <mc:Choice Requires="wps">
            <w:drawing>
              <wp:anchor distT="0" distB="0" distL="114300" distR="114300" simplePos="0" relativeHeight="252636160" behindDoc="0" locked="0" layoutInCell="1" allowOverlap="1" wp14:anchorId="74195F1F" wp14:editId="13653625">
                <wp:simplePos x="0" y="0"/>
                <wp:positionH relativeFrom="page">
                  <wp:posOffset>3227705</wp:posOffset>
                </wp:positionH>
                <wp:positionV relativeFrom="paragraph">
                  <wp:posOffset>1906270</wp:posOffset>
                </wp:positionV>
                <wp:extent cx="1090295" cy="443230"/>
                <wp:effectExtent l="0" t="0" r="14605" b="13970"/>
                <wp:wrapNone/>
                <wp:docPr id="567880772"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295" cy="4432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E35BBC"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Тиімділік аудиті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95F1F" id="Прямоугольник 114" o:spid="_x0000_s1232" style="position:absolute;left:0;text-align:left;margin-left:254.15pt;margin-top:150.1pt;width:85.85pt;height:34.9pt;z-index:2526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" fillcolor="white [3201]" strokecolor="black [3200]" strokeweight=".25pt">
                <v:path arrowok="t"/>
                <v:textbox>
                  <w:txbxContent>
                    <w:p w14:paraId="09E35BBC"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Тиімділік аудиті </w:t>
                      </w:r>
                    </w:p>
                  </w:txbxContent>
                </v:textbox>
                <w10:wrap anchorx="page"/>
              </v:rect>
            </w:pict>
          </mc:Fallback>
        </mc:AlternateContent>
      </w:r>
      <w:r>
        <w:rPr>
          <w:noProof/>
          <w:lang w:eastAsia="ru-RU"/>
        </w:rPr>
        <mc:AlternateContent>
          <mc:Choice Requires="wps">
            <w:drawing>
              <wp:anchor distT="0" distB="0" distL="114300" distR="114300" simplePos="0" relativeHeight="252637184" behindDoc="0" locked="0" layoutInCell="1" allowOverlap="1" wp14:anchorId="0C632253" wp14:editId="54D7030C">
                <wp:simplePos x="0" y="0"/>
                <wp:positionH relativeFrom="column">
                  <wp:posOffset>563880</wp:posOffset>
                </wp:positionH>
                <wp:positionV relativeFrom="paragraph">
                  <wp:posOffset>2710815</wp:posOffset>
                </wp:positionV>
                <wp:extent cx="896620" cy="456565"/>
                <wp:effectExtent l="0" t="0" r="17780" b="19685"/>
                <wp:wrapNone/>
                <wp:docPr id="362008664"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45656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41C2EC"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Мақсаттар</w:t>
                            </w:r>
                            <w:r>
                              <w:rPr>
                                <w:rFonts w:ascii="Times New Roman" w:hAnsi="Times New Roman" w:cs="Times New Roman"/>
                                <w:sz w:val="24"/>
                                <w:szCs w:val="24"/>
                                <w:lang w:val="kk-KZ"/>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32253" id="Прямоугольник 113" o:spid="_x0000_s1233" style="position:absolute;left:0;text-align:left;margin-left:44.4pt;margin-top:213.45pt;width:70.6pt;height:35.9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" fillcolor="white [3201]" strokecolor="black [3200]" strokeweight=".25pt">
                <v:path arrowok="t"/>
                <v:textbox>
                  <w:txbxContent>
                    <w:p w14:paraId="0E41C2EC"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Мақсаттар</w:t>
                      </w:r>
                      <w:r>
                        <w:rPr>
                          <w:rFonts w:ascii="Times New Roman" w:hAnsi="Times New Roman" w:cs="Times New Roman"/>
                          <w:sz w:val="24"/>
                          <w:szCs w:val="24"/>
                          <w:lang w:val="kk-KZ"/>
                        </w:rPr>
                        <w:t xml:space="preserve"> </w:t>
                      </w:r>
                    </w:p>
                  </w:txbxContent>
                </v:textbox>
              </v:rect>
            </w:pict>
          </mc:Fallback>
        </mc:AlternateContent>
      </w:r>
      <w:r>
        <w:rPr>
          <w:noProof/>
          <w:lang w:eastAsia="ru-RU"/>
        </w:rPr>
        <mc:AlternateContent>
          <mc:Choice Requires="wps">
            <w:drawing>
              <wp:anchor distT="0" distB="0" distL="114300" distR="114300" simplePos="0" relativeHeight="252638208" behindDoc="0" locked="0" layoutInCell="1" allowOverlap="1" wp14:anchorId="52287995" wp14:editId="784ABB2D">
                <wp:simplePos x="0" y="0"/>
                <wp:positionH relativeFrom="column">
                  <wp:posOffset>1566545</wp:posOffset>
                </wp:positionH>
                <wp:positionV relativeFrom="paragraph">
                  <wp:posOffset>2710815</wp:posOffset>
                </wp:positionV>
                <wp:extent cx="949325" cy="456565"/>
                <wp:effectExtent l="0" t="0" r="22225" b="19685"/>
                <wp:wrapNone/>
                <wp:docPr id="469579950"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325" cy="45656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AAFDF7F"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Ресурстар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87995" id="Прямоугольник 112" o:spid="_x0000_s1234" style="position:absolute;left:0;text-align:left;margin-left:123.35pt;margin-top:213.45pt;width:74.75pt;height:35.9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" fillcolor="white [3201]" strokecolor="black [3200]" strokeweight=".25pt">
                <v:path arrowok="t"/>
                <v:textbox>
                  <w:txbxContent>
                    <w:p w14:paraId="1AAFDF7F"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Ресурстар </w:t>
                      </w:r>
                    </w:p>
                  </w:txbxContent>
                </v:textbox>
              </v:rect>
            </w:pict>
          </mc:Fallback>
        </mc:AlternateContent>
      </w:r>
      <w:r>
        <w:rPr>
          <w:noProof/>
          <w:lang w:eastAsia="ru-RU"/>
        </w:rPr>
        <mc:AlternateContent>
          <mc:Choice Requires="wps">
            <w:drawing>
              <wp:anchor distT="0" distB="0" distL="114300" distR="114300" simplePos="0" relativeHeight="252639232" behindDoc="0" locked="0" layoutInCell="1" allowOverlap="1" wp14:anchorId="75CD2224" wp14:editId="2EA73E63">
                <wp:simplePos x="0" y="0"/>
                <wp:positionH relativeFrom="column">
                  <wp:posOffset>2656205</wp:posOffset>
                </wp:positionH>
                <wp:positionV relativeFrom="paragraph">
                  <wp:posOffset>2698750</wp:posOffset>
                </wp:positionV>
                <wp:extent cx="887730" cy="466090"/>
                <wp:effectExtent l="0" t="0" r="26670" b="10160"/>
                <wp:wrapNone/>
                <wp:docPr id="483973299"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730" cy="4660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C147171"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Тікелей нәтижелер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D2224" id="Прямоугольник 111" o:spid="_x0000_s1235" style="position:absolute;left:0;text-align:left;margin-left:209.15pt;margin-top:212.5pt;width:69.9pt;height:36.7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" fillcolor="white [3201]" strokecolor="black [3200]" strokeweight=".25pt">
                <v:path arrowok="t"/>
                <v:textbox>
                  <w:txbxContent>
                    <w:p w14:paraId="5C147171"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Тікелей нәтижелер</w:t>
                      </w:r>
                    </w:p>
                  </w:txbxContent>
                </v:textbox>
              </v:rect>
            </w:pict>
          </mc:Fallback>
        </mc:AlternateContent>
      </w:r>
      <w:r>
        <w:rPr>
          <w:noProof/>
          <w:lang w:eastAsia="ru-RU"/>
        </w:rPr>
        <mc:AlternateContent>
          <mc:Choice Requires="wps">
            <w:drawing>
              <wp:anchor distT="0" distB="0" distL="114300" distR="114300" simplePos="0" relativeHeight="252640256" behindDoc="0" locked="0" layoutInCell="1" allowOverlap="1" wp14:anchorId="59A3B730" wp14:editId="60B31079">
                <wp:simplePos x="0" y="0"/>
                <wp:positionH relativeFrom="column">
                  <wp:posOffset>3649980</wp:posOffset>
                </wp:positionH>
                <wp:positionV relativeFrom="paragraph">
                  <wp:posOffset>2710815</wp:posOffset>
                </wp:positionV>
                <wp:extent cx="967105" cy="430530"/>
                <wp:effectExtent l="0" t="0" r="23495" b="26670"/>
                <wp:wrapNone/>
                <wp:docPr id="1110116533"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05" cy="4305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56943A3"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Нәтижелер</w:t>
                            </w:r>
                            <w:r>
                              <w:rPr>
                                <w:rFonts w:ascii="Times New Roman" w:hAnsi="Times New Roman" w:cs="Times New Roman"/>
                                <w:sz w:val="24"/>
                                <w:szCs w:val="24"/>
                                <w:lang w:val="kk-KZ"/>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3B730" id="Прямоугольник 110" o:spid="_x0000_s1236" style="position:absolute;left:0;text-align:left;margin-left:287.4pt;margin-top:213.45pt;width:76.15pt;height:33.9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" fillcolor="white [3201]" strokecolor="black [3200]" strokeweight=".25pt">
                <v:path arrowok="t"/>
                <v:textbox>
                  <w:txbxContent>
                    <w:p w14:paraId="156943A3"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Нәтижелер</w:t>
                      </w:r>
                      <w:r>
                        <w:rPr>
                          <w:rFonts w:ascii="Times New Roman" w:hAnsi="Times New Roman" w:cs="Times New Roman"/>
                          <w:sz w:val="24"/>
                          <w:szCs w:val="24"/>
                          <w:lang w:val="kk-KZ"/>
                        </w:rPr>
                        <w:t xml:space="preserve"> </w:t>
                      </w:r>
                    </w:p>
                  </w:txbxContent>
                </v:textbox>
              </v:rect>
            </w:pict>
          </mc:Fallback>
        </mc:AlternateContent>
      </w:r>
      <w:r>
        <w:rPr>
          <w:noProof/>
          <w:lang w:eastAsia="ru-RU"/>
        </w:rPr>
        <mc:AlternateContent>
          <mc:Choice Requires="wps">
            <w:drawing>
              <wp:anchor distT="4294967295" distB="4294967295" distL="114300" distR="114300" simplePos="0" relativeHeight="252641280" behindDoc="0" locked="0" layoutInCell="1" allowOverlap="1" wp14:anchorId="78B78CDE" wp14:editId="73160B6A">
                <wp:simplePos x="0" y="0"/>
                <wp:positionH relativeFrom="column">
                  <wp:posOffset>1795145</wp:posOffset>
                </wp:positionH>
                <wp:positionV relativeFrom="paragraph">
                  <wp:posOffset>2182495</wp:posOffset>
                </wp:positionV>
                <wp:extent cx="360680" cy="0"/>
                <wp:effectExtent l="0" t="0" r="0" b="0"/>
                <wp:wrapNone/>
                <wp:docPr id="520519478"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0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CBA5B" id="Прямая соединительная линия 109" o:spid="_x0000_s1026" style="position:absolute;flip:x;z-index:25264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35pt,171.85pt" to="169.7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" strokecolor="#4579b8 [3044]">
                <o:lock v:ext="edit" shapetype="f"/>
              </v:line>
            </w:pict>
          </mc:Fallback>
        </mc:AlternateContent>
      </w:r>
      <w:r>
        <w:rPr>
          <w:noProof/>
          <w:lang w:eastAsia="ru-RU"/>
        </w:rPr>
        <mc:AlternateContent>
          <mc:Choice Requires="wps">
            <w:drawing>
              <wp:anchor distT="4294967295" distB="4294967295" distL="114300" distR="114300" simplePos="0" relativeHeight="252642304" behindDoc="0" locked="0" layoutInCell="1" allowOverlap="1" wp14:anchorId="34A41816" wp14:editId="25C266D2">
                <wp:simplePos x="0" y="0"/>
                <wp:positionH relativeFrom="column">
                  <wp:posOffset>3237230</wp:posOffset>
                </wp:positionH>
                <wp:positionV relativeFrom="paragraph">
                  <wp:posOffset>2182495</wp:posOffset>
                </wp:positionV>
                <wp:extent cx="184785" cy="0"/>
                <wp:effectExtent l="0" t="0" r="0" b="0"/>
                <wp:wrapNone/>
                <wp:docPr id="386185741"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7411AD" id="Прямая соединительная линия 108" o:spid="_x0000_s1026" style="position:absolute;z-index:25264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9pt,171.85pt" to="269.4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" strokecolor="#4579b8 [3044]">
                <o:lock v:ext="edit" shapetype="f"/>
              </v:line>
            </w:pict>
          </mc:Fallback>
        </mc:AlternateContent>
      </w:r>
      <w:r>
        <w:rPr>
          <w:noProof/>
          <w:lang w:eastAsia="ru-RU"/>
        </w:rPr>
        <mc:AlternateContent>
          <mc:Choice Requires="wps">
            <w:drawing>
              <wp:anchor distT="0" distB="0" distL="114299" distR="114299" simplePos="0" relativeHeight="252643328" behindDoc="0" locked="0" layoutInCell="1" allowOverlap="1" wp14:anchorId="163CCC27" wp14:editId="0E00E276">
                <wp:simplePos x="0" y="0"/>
                <wp:positionH relativeFrom="column">
                  <wp:posOffset>3411855</wp:posOffset>
                </wp:positionH>
                <wp:positionV relativeFrom="paragraph">
                  <wp:posOffset>2190750</wp:posOffset>
                </wp:positionV>
                <wp:extent cx="0" cy="483235"/>
                <wp:effectExtent l="76200" t="0" r="57150" b="50165"/>
                <wp:wrapNone/>
                <wp:docPr id="6168458"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3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2ACC2" id="Прямая со стрелкой 107" o:spid="_x0000_s1026" type="#_x0000_t32" style="position:absolute;margin-left:268.65pt;margin-top:172.5pt;width:0;height:38.05pt;z-index:25264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" strokecolor="#4579b8 [3044]">
                <v:stroke endarrow="block"/>
                <o:lock v:ext="edit" shapetype="f"/>
              </v:shape>
            </w:pict>
          </mc:Fallback>
        </mc:AlternateContent>
      </w:r>
      <w:r>
        <w:rPr>
          <w:noProof/>
          <w:lang w:eastAsia="ru-RU"/>
        </w:rPr>
        <mc:AlternateContent>
          <mc:Choice Requires="wps">
            <w:drawing>
              <wp:anchor distT="0" distB="0" distL="114299" distR="114299" simplePos="0" relativeHeight="252644352" behindDoc="0" locked="0" layoutInCell="1" allowOverlap="1" wp14:anchorId="3570A493" wp14:editId="69849058">
                <wp:simplePos x="0" y="0"/>
                <wp:positionH relativeFrom="column">
                  <wp:posOffset>1785620</wp:posOffset>
                </wp:positionH>
                <wp:positionV relativeFrom="paragraph">
                  <wp:posOffset>2173605</wp:posOffset>
                </wp:positionV>
                <wp:extent cx="0" cy="518795"/>
                <wp:effectExtent l="76200" t="0" r="57150" b="52705"/>
                <wp:wrapNone/>
                <wp:docPr id="1684825349"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8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88555" id="Прямая со стрелкой 106" o:spid="_x0000_s1026" type="#_x0000_t32" style="position:absolute;margin-left:140.6pt;margin-top:171.15pt;width:0;height:40.85pt;z-index:25264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45376" behindDoc="0" locked="0" layoutInCell="1" allowOverlap="1" wp14:anchorId="3D665BEB" wp14:editId="74775531">
                <wp:simplePos x="0" y="0"/>
                <wp:positionH relativeFrom="column">
                  <wp:posOffset>1583690</wp:posOffset>
                </wp:positionH>
                <wp:positionV relativeFrom="paragraph">
                  <wp:posOffset>3549650</wp:posOffset>
                </wp:positionV>
                <wp:extent cx="904875" cy="342265"/>
                <wp:effectExtent l="0" t="0" r="28575" b="19685"/>
                <wp:wrapNone/>
                <wp:docPr id="1989302778"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34226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66319C"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Үнемділік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65BEB" id="Прямоугольник 105" o:spid="_x0000_s1237" style="position:absolute;left:0;text-align:left;margin-left:124.7pt;margin-top:279.5pt;width:71.25pt;height:26.9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" fillcolor="white [3201]" strokecolor="black [3200]" strokeweight=".25pt">
                <v:path arrowok="t"/>
                <v:textbox>
                  <w:txbxContent>
                    <w:p w14:paraId="0066319C"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Үнемділік </w:t>
                      </w:r>
                    </w:p>
                  </w:txbxContent>
                </v:textbox>
              </v:rect>
            </w:pict>
          </mc:Fallback>
        </mc:AlternateContent>
      </w:r>
      <w:r>
        <w:rPr>
          <w:noProof/>
          <w:lang w:eastAsia="ru-RU"/>
        </w:rPr>
        <mc:AlternateContent>
          <mc:Choice Requires="wps">
            <w:drawing>
              <wp:anchor distT="0" distB="0" distL="114299" distR="114299" simplePos="0" relativeHeight="252646400" behindDoc="0" locked="0" layoutInCell="1" allowOverlap="1" wp14:anchorId="1AE108E9" wp14:editId="3FE17993">
                <wp:simplePos x="0" y="0"/>
                <wp:positionH relativeFrom="column">
                  <wp:posOffset>2023745</wp:posOffset>
                </wp:positionH>
                <wp:positionV relativeFrom="paragraph">
                  <wp:posOffset>3173730</wp:posOffset>
                </wp:positionV>
                <wp:extent cx="0" cy="378460"/>
                <wp:effectExtent l="76200" t="38100" r="95250" b="59690"/>
                <wp:wrapNone/>
                <wp:docPr id="2117589039"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84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E930D" id="Прямая со стрелкой 104" o:spid="_x0000_s1026" type="#_x0000_t32" style="position:absolute;margin-left:159.35pt;margin-top:249.9pt;width:0;height:29.8pt;z-index:25264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" strokecolor="#4579b8 [3044]">
                <v:stroke startarrow="block" endarrow="block"/>
                <o:lock v:ext="edit" shapetype="f"/>
              </v:shape>
            </w:pict>
          </mc:Fallback>
        </mc:AlternateContent>
      </w:r>
      <w:r>
        <w:rPr>
          <w:noProof/>
          <w:lang w:eastAsia="ru-RU"/>
        </w:rPr>
        <mc:AlternateContent>
          <mc:Choice Requires="wps">
            <w:drawing>
              <wp:anchor distT="0" distB="0" distL="114300" distR="114300" simplePos="0" relativeHeight="252647424" behindDoc="0" locked="0" layoutInCell="1" allowOverlap="1" wp14:anchorId="461F9182" wp14:editId="57CDE1CE">
                <wp:simplePos x="0" y="0"/>
                <wp:positionH relativeFrom="column">
                  <wp:posOffset>2612390</wp:posOffset>
                </wp:positionH>
                <wp:positionV relativeFrom="paragraph">
                  <wp:posOffset>3541395</wp:posOffset>
                </wp:positionV>
                <wp:extent cx="887730" cy="351790"/>
                <wp:effectExtent l="0" t="0" r="26670" b="10160"/>
                <wp:wrapNone/>
                <wp:docPr id="750756389"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730" cy="3517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521C55F"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Өнімділік</w:t>
                            </w:r>
                            <w:r>
                              <w:rPr>
                                <w:rFonts w:ascii="Times New Roman" w:hAnsi="Times New Roman" w:cs="Times New Roman"/>
                                <w:sz w:val="24"/>
                                <w:szCs w:val="24"/>
                                <w:lang w:val="kk-KZ"/>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F9182" id="Прямоугольник 103" o:spid="_x0000_s1238" style="position:absolute;left:0;text-align:left;margin-left:205.7pt;margin-top:278.85pt;width:69.9pt;height:27.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" fillcolor="white [3201]" strokecolor="black [3200]" strokeweight=".25pt">
                <v:path arrowok="t"/>
                <v:textbox>
                  <w:txbxContent>
                    <w:p w14:paraId="2521C55F" w14:textId="77777777" w:rsidR="009C58C8" w:rsidRDefault="009C58C8" w:rsidP="009C58C8">
                      <w:pPr>
                        <w:spacing w:after="0" w:line="240" w:lineRule="auto"/>
                        <w:jc w:val="center"/>
                        <w:rPr>
                          <w:rFonts w:ascii="Times New Roman" w:hAnsi="Times New Roman" w:cs="Times New Roman"/>
                          <w:sz w:val="24"/>
                          <w:szCs w:val="24"/>
                          <w:lang w:val="kk-KZ"/>
                        </w:rPr>
                      </w:pPr>
                      <w:r>
                        <w:rPr>
                          <w:rFonts w:ascii="Times New Roman" w:hAnsi="Times New Roman" w:cs="Times New Roman"/>
                          <w:color w:val="FF0000"/>
                          <w:sz w:val="24"/>
                          <w:szCs w:val="24"/>
                          <w:lang w:val="kk-KZ"/>
                        </w:rPr>
                        <w:t>Өнімділік</w:t>
                      </w:r>
                      <w:r>
                        <w:rPr>
                          <w:rFonts w:ascii="Times New Roman" w:hAnsi="Times New Roman" w:cs="Times New Roman"/>
                          <w:sz w:val="24"/>
                          <w:szCs w:val="24"/>
                          <w:lang w:val="kk-KZ"/>
                        </w:rPr>
                        <w:t xml:space="preserve"> </w:t>
                      </w:r>
                    </w:p>
                  </w:txbxContent>
                </v:textbox>
              </v:rect>
            </w:pict>
          </mc:Fallback>
        </mc:AlternateContent>
      </w:r>
      <w:r>
        <w:rPr>
          <w:noProof/>
          <w:lang w:eastAsia="ru-RU"/>
        </w:rPr>
        <mc:AlternateContent>
          <mc:Choice Requires="wps">
            <w:drawing>
              <wp:anchor distT="0" distB="0" distL="114300" distR="114300" simplePos="0" relativeHeight="252648448" behindDoc="0" locked="0" layoutInCell="1" allowOverlap="1" wp14:anchorId="441E1147" wp14:editId="16DD99E9">
                <wp:simplePos x="0" y="0"/>
                <wp:positionH relativeFrom="column">
                  <wp:posOffset>3620135</wp:posOffset>
                </wp:positionH>
                <wp:positionV relativeFrom="paragraph">
                  <wp:posOffset>3540760</wp:posOffset>
                </wp:positionV>
                <wp:extent cx="1014730" cy="351155"/>
                <wp:effectExtent l="0" t="0" r="13970" b="10795"/>
                <wp:wrapNone/>
                <wp:docPr id="1391465048"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14730" cy="3511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6196830"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Нәтижелілік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E1147" id="Прямоугольник 102" o:spid="_x0000_s1239" style="position:absolute;left:0;text-align:left;margin-left:285.05pt;margin-top:278.8pt;width:79.9pt;height:27.65pt;flip:x;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" fillcolor="white [3201]" strokecolor="black [3200]" strokeweight=".25pt">
                <v:path arrowok="t"/>
                <v:textbox>
                  <w:txbxContent>
                    <w:p w14:paraId="06196830" w14:textId="77777777" w:rsidR="009C58C8" w:rsidRDefault="009C58C8" w:rsidP="009C58C8">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Нәтижелілік </w:t>
                      </w:r>
                    </w:p>
                  </w:txbxContent>
                </v:textbox>
              </v:rect>
            </w:pict>
          </mc:Fallback>
        </mc:AlternateContent>
      </w:r>
      <w:r>
        <w:rPr>
          <w:noProof/>
          <w:lang w:eastAsia="ru-RU"/>
        </w:rPr>
        <mc:AlternateContent>
          <mc:Choice Requires="wps">
            <w:drawing>
              <wp:anchor distT="0" distB="0" distL="114299" distR="114299" simplePos="0" relativeHeight="252649472" behindDoc="0" locked="0" layoutInCell="1" allowOverlap="1" wp14:anchorId="50899D98" wp14:editId="27190717">
                <wp:simplePos x="0" y="0"/>
                <wp:positionH relativeFrom="column">
                  <wp:posOffset>4098290</wp:posOffset>
                </wp:positionH>
                <wp:positionV relativeFrom="paragraph">
                  <wp:posOffset>3147695</wp:posOffset>
                </wp:positionV>
                <wp:extent cx="0" cy="408305"/>
                <wp:effectExtent l="76200" t="38100" r="57150" b="48895"/>
                <wp:wrapNone/>
                <wp:docPr id="1335537055"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83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8A926" id="Прямая со стрелкой 101" o:spid="_x0000_s1026" type="#_x0000_t32" style="position:absolute;margin-left:322.7pt;margin-top:247.85pt;width:0;height:32.15pt;z-index:25264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" strokecolor="#4579b8 [3044]">
                <v:stroke startarrow="block" endarrow="block"/>
                <o:lock v:ext="edit" shapetype="f"/>
              </v:shape>
            </w:pict>
          </mc:Fallback>
        </mc:AlternateContent>
      </w:r>
      <w:r>
        <w:rPr>
          <w:noProof/>
          <w:lang w:eastAsia="ru-RU"/>
        </w:rPr>
        <mc:AlternateContent>
          <mc:Choice Requires="wps">
            <w:drawing>
              <wp:anchor distT="0" distB="0" distL="114299" distR="114299" simplePos="0" relativeHeight="252650496" behindDoc="0" locked="0" layoutInCell="1" allowOverlap="1" wp14:anchorId="4A6FB107" wp14:editId="7CD30041">
                <wp:simplePos x="0" y="0"/>
                <wp:positionH relativeFrom="column">
                  <wp:posOffset>3069590</wp:posOffset>
                </wp:positionH>
                <wp:positionV relativeFrom="paragraph">
                  <wp:posOffset>3173730</wp:posOffset>
                </wp:positionV>
                <wp:extent cx="0" cy="369570"/>
                <wp:effectExtent l="76200" t="38100" r="95250" b="49530"/>
                <wp:wrapNone/>
                <wp:docPr id="358395441"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957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E8FFA" id="Прямая со стрелкой 100" o:spid="_x0000_s1026" type="#_x0000_t32" style="position:absolute;margin-left:241.7pt;margin-top:249.9pt;width:0;height:29.1pt;z-index:25265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" strokecolor="#4579b8 [3044]">
                <v:stroke startarrow="block" endarrow="block"/>
                <o:lock v:ext="edit" shapetype="f"/>
              </v:shape>
            </w:pict>
          </mc:Fallback>
        </mc:AlternateContent>
      </w:r>
      <w:r>
        <w:rPr>
          <w:noProof/>
          <w:lang w:eastAsia="ru-RU"/>
        </w:rPr>
        <mc:AlternateContent>
          <mc:Choice Requires="wps">
            <w:drawing>
              <wp:anchor distT="4294967295" distB="4294967295" distL="114300" distR="114300" simplePos="0" relativeHeight="252651520" behindDoc="0" locked="0" layoutInCell="1" allowOverlap="1" wp14:anchorId="39E72718" wp14:editId="4EAA1C13">
                <wp:simplePos x="0" y="0"/>
                <wp:positionH relativeFrom="column">
                  <wp:posOffset>1460500</wp:posOffset>
                </wp:positionH>
                <wp:positionV relativeFrom="paragraph">
                  <wp:posOffset>2924810</wp:posOffset>
                </wp:positionV>
                <wp:extent cx="140970" cy="0"/>
                <wp:effectExtent l="0" t="76200" r="11430" b="95250"/>
                <wp:wrapNone/>
                <wp:docPr id="496582970"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C22F7" id="Прямая со стрелкой 99" o:spid="_x0000_s1026" type="#_x0000_t32" style="position:absolute;margin-left:115pt;margin-top:230.3pt;width:11.1pt;height:0;z-index:25265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52544" behindDoc="0" locked="0" layoutInCell="1" allowOverlap="1" wp14:anchorId="73D39D7B" wp14:editId="7BA59861">
                <wp:simplePos x="0" y="0"/>
                <wp:positionH relativeFrom="column">
                  <wp:posOffset>2524760</wp:posOffset>
                </wp:positionH>
                <wp:positionV relativeFrom="paragraph">
                  <wp:posOffset>2951480</wp:posOffset>
                </wp:positionV>
                <wp:extent cx="140970" cy="8890"/>
                <wp:effectExtent l="0" t="57150" r="30480" b="86360"/>
                <wp:wrapNone/>
                <wp:docPr id="144307995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 cy="8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4EC96" id="Прямая со стрелкой 98" o:spid="_x0000_s1026" type="#_x0000_t32" style="position:absolute;margin-left:198.8pt;margin-top:232.4pt;width:11.1pt;height:.7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53568" behindDoc="0" locked="0" layoutInCell="1" allowOverlap="1" wp14:anchorId="184D68C1" wp14:editId="7FA982E9">
                <wp:simplePos x="0" y="0"/>
                <wp:positionH relativeFrom="column">
                  <wp:posOffset>3544570</wp:posOffset>
                </wp:positionH>
                <wp:positionV relativeFrom="paragraph">
                  <wp:posOffset>2933700</wp:posOffset>
                </wp:positionV>
                <wp:extent cx="114300" cy="13335"/>
                <wp:effectExtent l="0" t="57150" r="38100" b="81915"/>
                <wp:wrapNone/>
                <wp:docPr id="1190608132"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78CC2" id="Прямая со стрелкой 97" o:spid="_x0000_s1026" type="#_x0000_t32" style="position:absolute;margin-left:279.1pt;margin-top:231pt;width:9pt;height:1.05pt;flip:y;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" strokecolor="#4579b8 [3044]">
                <v:stroke endarrow="block"/>
                <o:lock v:ext="edit" shapetype="f"/>
              </v:shape>
            </w:pict>
          </mc:Fallback>
        </mc:AlternateContent>
      </w:r>
      <w:r>
        <w:rPr>
          <w:noProof/>
          <w:lang w:eastAsia="ru-RU"/>
        </w:rPr>
        <mc:AlternateContent>
          <mc:Choice Requires="wps">
            <w:drawing>
              <wp:anchor distT="0" distB="0" distL="114299" distR="114299" simplePos="0" relativeHeight="252654592" behindDoc="0" locked="0" layoutInCell="1" allowOverlap="1" wp14:anchorId="6CB86B55" wp14:editId="6199D6CD">
                <wp:simplePos x="0" y="0"/>
                <wp:positionH relativeFrom="column">
                  <wp:posOffset>282575</wp:posOffset>
                </wp:positionH>
                <wp:positionV relativeFrom="paragraph">
                  <wp:posOffset>2593340</wp:posOffset>
                </wp:positionV>
                <wp:extent cx="0" cy="322580"/>
                <wp:effectExtent l="0" t="0" r="38100" b="20320"/>
                <wp:wrapNone/>
                <wp:docPr id="1144508687"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2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2446A" id="Прямая соединительная линия 96" o:spid="_x0000_s1026" style="position:absolute;z-index:25265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5pt,204.2pt" to="22.25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" strokecolor="#4579b8 [3044]">
                <o:lock v:ext="edit" shapetype="f"/>
              </v:line>
            </w:pict>
          </mc:Fallback>
        </mc:AlternateContent>
      </w:r>
      <w:r>
        <w:rPr>
          <w:noProof/>
          <w:lang w:eastAsia="ru-RU"/>
        </w:rPr>
        <mc:AlternateContent>
          <mc:Choice Requires="wps">
            <w:drawing>
              <wp:anchor distT="4294967295" distB="4294967295" distL="114300" distR="114300" simplePos="0" relativeHeight="252655616" behindDoc="0" locked="0" layoutInCell="1" allowOverlap="1" wp14:anchorId="79FA970F" wp14:editId="34410652">
                <wp:simplePos x="0" y="0"/>
                <wp:positionH relativeFrom="column">
                  <wp:posOffset>281940</wp:posOffset>
                </wp:positionH>
                <wp:positionV relativeFrom="paragraph">
                  <wp:posOffset>2924175</wp:posOffset>
                </wp:positionV>
                <wp:extent cx="272415" cy="0"/>
                <wp:effectExtent l="0" t="76200" r="13335" b="95250"/>
                <wp:wrapNone/>
                <wp:docPr id="119026791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304D3" id="Прямая со стрелкой 95" o:spid="_x0000_s1026" type="#_x0000_t32" style="position:absolute;margin-left:22.2pt;margin-top:230.25pt;width:21.45pt;height:0;z-index:25265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656640" behindDoc="0" locked="0" layoutInCell="1" allowOverlap="1" wp14:anchorId="1D820BF8" wp14:editId="2A4B2E64">
                <wp:simplePos x="0" y="0"/>
                <wp:positionH relativeFrom="column">
                  <wp:posOffset>4634865</wp:posOffset>
                </wp:positionH>
                <wp:positionV relativeFrom="paragraph">
                  <wp:posOffset>2955290</wp:posOffset>
                </wp:positionV>
                <wp:extent cx="325755" cy="0"/>
                <wp:effectExtent l="0" t="0" r="0" b="0"/>
                <wp:wrapNone/>
                <wp:docPr id="1574977436"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AAE6C5" id="Прямая соединительная линия 94" o:spid="_x0000_s1026" style="position:absolute;z-index:25265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4.95pt,232.7pt" to="390.6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" strokecolor="#4579b8 [3044]">
                <o:lock v:ext="edit" shapetype="f"/>
              </v:line>
            </w:pict>
          </mc:Fallback>
        </mc:AlternateContent>
      </w:r>
      <w:r>
        <w:rPr>
          <w:noProof/>
          <w:lang w:eastAsia="ru-RU"/>
        </w:rPr>
        <mc:AlternateContent>
          <mc:Choice Requires="wps">
            <w:drawing>
              <wp:anchor distT="0" distB="0" distL="114299" distR="114299" simplePos="0" relativeHeight="252657664" behindDoc="0" locked="0" layoutInCell="1" allowOverlap="1" wp14:anchorId="2111E3C4" wp14:editId="5761F6B5">
                <wp:simplePos x="0" y="0"/>
                <wp:positionH relativeFrom="column">
                  <wp:posOffset>4962525</wp:posOffset>
                </wp:positionH>
                <wp:positionV relativeFrom="paragraph">
                  <wp:posOffset>2621280</wp:posOffset>
                </wp:positionV>
                <wp:extent cx="0" cy="325120"/>
                <wp:effectExtent l="76200" t="38100" r="57150" b="17780"/>
                <wp:wrapNone/>
                <wp:docPr id="988605638"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8B8C2" id="Прямая со стрелкой 93" o:spid="_x0000_s1026" type="#_x0000_t32" style="position:absolute;margin-left:390.75pt;margin-top:206.4pt;width:0;height:25.6pt;flip:y;z-index:25265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58688" behindDoc="0" locked="0" layoutInCell="1" allowOverlap="1" wp14:anchorId="465B924C" wp14:editId="310F9D97">
                <wp:simplePos x="0" y="0"/>
                <wp:positionH relativeFrom="column">
                  <wp:posOffset>215900</wp:posOffset>
                </wp:positionH>
                <wp:positionV relativeFrom="paragraph">
                  <wp:posOffset>3510915</wp:posOffset>
                </wp:positionV>
                <wp:extent cx="959485" cy="386715"/>
                <wp:effectExtent l="0" t="0" r="12065" b="13335"/>
                <wp:wrapNone/>
                <wp:docPr id="1210043366"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9485" cy="3867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4466F6"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 xml:space="preserve">Өзектілік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B924C" id="Прямоугольник 92" o:spid="_x0000_s1240" style="position:absolute;left:0;text-align:left;margin-left:17pt;margin-top:276.45pt;width:75.55pt;height:30.4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" fillcolor="white [3201]" strokecolor="black [3200]" strokeweight=".25pt">
                <v:path arrowok="t"/>
                <v:textbox>
                  <w:txbxContent>
                    <w:p w14:paraId="084466F6"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 xml:space="preserve">Өзектілік </w:t>
                      </w:r>
                    </w:p>
                  </w:txbxContent>
                </v:textbox>
              </v:rect>
            </w:pict>
          </mc:Fallback>
        </mc:AlternateContent>
      </w:r>
      <w:r>
        <w:rPr>
          <w:noProof/>
          <w:lang w:eastAsia="ru-RU"/>
        </w:rPr>
        <mc:AlternateContent>
          <mc:Choice Requires="wps">
            <w:drawing>
              <wp:anchor distT="0" distB="0" distL="114299" distR="114299" simplePos="0" relativeHeight="252659712" behindDoc="0" locked="0" layoutInCell="1" allowOverlap="1" wp14:anchorId="42083B03" wp14:editId="57E545A4">
                <wp:simplePos x="0" y="0"/>
                <wp:positionH relativeFrom="column">
                  <wp:posOffset>229870</wp:posOffset>
                </wp:positionH>
                <wp:positionV relativeFrom="paragraph">
                  <wp:posOffset>2583815</wp:posOffset>
                </wp:positionV>
                <wp:extent cx="0" cy="906145"/>
                <wp:effectExtent l="76200" t="38100" r="57150" b="27305"/>
                <wp:wrapNone/>
                <wp:docPr id="1510659676"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06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3A063" id="Прямая со стрелкой 91" o:spid="_x0000_s1026" type="#_x0000_t32" style="position:absolute;margin-left:18.1pt;margin-top:203.45pt;width:0;height:71.35pt;flip:y;z-index:25265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" strokecolor="#4579b8 [3044]">
                <v:stroke endarrow="block"/>
                <o:lock v:ext="edit" shapetype="f"/>
              </v:shape>
            </w:pict>
          </mc:Fallback>
        </mc:AlternateContent>
      </w:r>
      <w:r>
        <w:rPr>
          <w:noProof/>
          <w:lang w:eastAsia="ru-RU"/>
        </w:rPr>
        <mc:AlternateContent>
          <mc:Choice Requires="wps">
            <w:drawing>
              <wp:anchor distT="0" distB="0" distL="114299" distR="114299" simplePos="0" relativeHeight="252660736" behindDoc="0" locked="0" layoutInCell="1" allowOverlap="1" wp14:anchorId="50CCADEB" wp14:editId="3975FB44">
                <wp:simplePos x="0" y="0"/>
                <wp:positionH relativeFrom="column">
                  <wp:posOffset>906780</wp:posOffset>
                </wp:positionH>
                <wp:positionV relativeFrom="paragraph">
                  <wp:posOffset>3173730</wp:posOffset>
                </wp:positionV>
                <wp:extent cx="0" cy="334645"/>
                <wp:effectExtent l="76200" t="38100" r="57150" b="27305"/>
                <wp:wrapNone/>
                <wp:docPr id="1270822434"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0C1DB" id="Прямая со стрелкой 90" o:spid="_x0000_s1026" type="#_x0000_t32" style="position:absolute;margin-left:71.4pt;margin-top:249.9pt;width:0;height:26.35pt;flip:y;z-index:25266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" strokecolor="#4579b8 [3044]">
                <v:stroke endarrow="block"/>
                <o:lock v:ext="edit" shapetype="f"/>
              </v:shape>
            </w:pict>
          </mc:Fallback>
        </mc:AlternateContent>
      </w:r>
      <w:r>
        <w:rPr>
          <w:noProof/>
          <w:lang w:eastAsia="ru-RU"/>
        </w:rPr>
        <mc:AlternateContent>
          <mc:Choice Requires="wps">
            <w:drawing>
              <wp:anchor distT="0" distB="0" distL="114299" distR="114299" simplePos="0" relativeHeight="252661760" behindDoc="0" locked="0" layoutInCell="1" allowOverlap="1" wp14:anchorId="5738E351" wp14:editId="53C5756A">
                <wp:simplePos x="0" y="0"/>
                <wp:positionH relativeFrom="column">
                  <wp:posOffset>660400</wp:posOffset>
                </wp:positionH>
                <wp:positionV relativeFrom="paragraph">
                  <wp:posOffset>3912870</wp:posOffset>
                </wp:positionV>
                <wp:extent cx="0" cy="334010"/>
                <wp:effectExtent l="0" t="0" r="38100" b="27940"/>
                <wp:wrapNone/>
                <wp:docPr id="123946488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32D70" id="Прямая соединительная линия 89" o:spid="_x0000_s1026" style="position:absolute;z-index:25266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pt,308.1pt" to="52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" strokecolor="#4579b8 [3044]">
                <o:lock v:ext="edit" shapetype="f"/>
              </v:line>
            </w:pict>
          </mc:Fallback>
        </mc:AlternateContent>
      </w:r>
      <w:r>
        <w:rPr>
          <w:noProof/>
          <w:lang w:eastAsia="ru-RU"/>
        </w:rPr>
        <mc:AlternateContent>
          <mc:Choice Requires="wps">
            <w:drawing>
              <wp:anchor distT="4294967295" distB="4294967295" distL="114300" distR="114300" simplePos="0" relativeHeight="252662784" behindDoc="0" locked="0" layoutInCell="1" allowOverlap="1" wp14:anchorId="3C757730" wp14:editId="3610F69E">
                <wp:simplePos x="0" y="0"/>
                <wp:positionH relativeFrom="column">
                  <wp:posOffset>660400</wp:posOffset>
                </wp:positionH>
                <wp:positionV relativeFrom="paragraph">
                  <wp:posOffset>4252595</wp:posOffset>
                </wp:positionV>
                <wp:extent cx="3481705" cy="0"/>
                <wp:effectExtent l="0" t="0" r="0" b="0"/>
                <wp:wrapNone/>
                <wp:docPr id="1279462049"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1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BFC00" id="Прямая соединительная линия 88" o:spid="_x0000_s1026" style="position:absolute;z-index:25266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34.85pt" to="326.15pt,3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" strokecolor="#4579b8 [3044]">
                <o:lock v:ext="edit" shapetype="f"/>
              </v:line>
            </w:pict>
          </mc:Fallback>
        </mc:AlternateContent>
      </w:r>
      <w:r>
        <w:rPr>
          <w:noProof/>
          <w:lang w:eastAsia="ru-RU"/>
        </w:rPr>
        <mc:AlternateContent>
          <mc:Choice Requires="wps">
            <w:drawing>
              <wp:anchor distT="0" distB="0" distL="114299" distR="114299" simplePos="0" relativeHeight="252663808" behindDoc="0" locked="0" layoutInCell="1" allowOverlap="1" wp14:anchorId="016A4156" wp14:editId="53DC52DC">
                <wp:simplePos x="0" y="0"/>
                <wp:positionH relativeFrom="column">
                  <wp:posOffset>4145915</wp:posOffset>
                </wp:positionH>
                <wp:positionV relativeFrom="paragraph">
                  <wp:posOffset>3893185</wp:posOffset>
                </wp:positionV>
                <wp:extent cx="0" cy="368935"/>
                <wp:effectExtent l="76200" t="38100" r="57150" b="12065"/>
                <wp:wrapNone/>
                <wp:docPr id="1614896863"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8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B8F7E" id="Прямая со стрелкой 87" o:spid="_x0000_s1026" type="#_x0000_t32" style="position:absolute;margin-left:326.45pt;margin-top:306.55pt;width:0;height:29.05pt;flip:y;z-index:25266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64832" behindDoc="0" locked="0" layoutInCell="1" allowOverlap="1" wp14:anchorId="64592C00" wp14:editId="3D4E6B80">
                <wp:simplePos x="0" y="0"/>
                <wp:positionH relativeFrom="margin">
                  <wp:posOffset>4777740</wp:posOffset>
                </wp:positionH>
                <wp:positionV relativeFrom="paragraph">
                  <wp:posOffset>3340100</wp:posOffset>
                </wp:positionV>
                <wp:extent cx="874395" cy="918845"/>
                <wp:effectExtent l="0" t="0" r="20955" b="14605"/>
                <wp:wrapNone/>
                <wp:docPr id="1450319759"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9188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C75F31"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Тиімділік аудиті қорытындысы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92C00" id="Прямоугольник 86" o:spid="_x0000_s1241" style="position:absolute;left:0;text-align:left;margin-left:376.2pt;margin-top:263pt;width:68.85pt;height:72.35pt;z-index:2526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" fillcolor="white [3201]" strokecolor="black [3200]" strokeweight=".25pt">
                <v:path arrowok="t"/>
                <v:textbox>
                  <w:txbxContent>
                    <w:p w14:paraId="6DC75F31"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r>
                        <w:rPr>
                          <w:rFonts w:ascii="Times New Roman" w:hAnsi="Times New Roman" w:cs="Times New Roman"/>
                          <w:color w:val="548DD4" w:themeColor="text2" w:themeTint="99"/>
                          <w:sz w:val="24"/>
                          <w:szCs w:val="24"/>
                          <w:lang w:val="kk-KZ"/>
                        </w:rPr>
                        <w:t>Тиімділік аудиті қорытындысы</w:t>
                      </w:r>
                    </w:p>
                  </w:txbxContent>
                </v:textbox>
                <w10:wrap anchorx="margin"/>
              </v:rect>
            </w:pict>
          </mc:Fallback>
        </mc:AlternateContent>
      </w:r>
      <w:r>
        <w:rPr>
          <w:noProof/>
          <w:lang w:eastAsia="ru-RU"/>
        </w:rPr>
        <mc:AlternateContent>
          <mc:Choice Requires="wps">
            <w:drawing>
              <wp:anchor distT="0" distB="0" distL="114299" distR="114299" simplePos="0" relativeHeight="252665856" behindDoc="0" locked="0" layoutInCell="1" allowOverlap="1" wp14:anchorId="4BF9D8D6" wp14:editId="630B4CB1">
                <wp:simplePos x="0" y="0"/>
                <wp:positionH relativeFrom="column">
                  <wp:posOffset>5147945</wp:posOffset>
                </wp:positionH>
                <wp:positionV relativeFrom="paragraph">
                  <wp:posOffset>2634615</wp:posOffset>
                </wp:positionV>
                <wp:extent cx="0" cy="655320"/>
                <wp:effectExtent l="76200" t="0" r="76200" b="49530"/>
                <wp:wrapNone/>
                <wp:docPr id="102849584"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5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64A65" id="Прямая со стрелкой 85" o:spid="_x0000_s1026" type="#_x0000_t32" style="position:absolute;margin-left:405.35pt;margin-top:207.45pt;width:0;height:51.6pt;z-index:25266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" strokecolor="#4579b8 [3044]">
                <v:stroke endarrow="block"/>
                <o:lock v:ext="edit" shapetype="f"/>
              </v:shape>
            </w:pict>
          </mc:Fallback>
        </mc:AlternateContent>
      </w:r>
      <w:r>
        <w:rPr>
          <w:noProof/>
          <w:lang w:eastAsia="ru-RU"/>
        </w:rPr>
        <mc:AlternateContent>
          <mc:Choice Requires="wps">
            <w:drawing>
              <wp:anchor distT="4294967295" distB="4294967295" distL="114300" distR="114300" simplePos="0" relativeHeight="252666880" behindDoc="0" locked="0" layoutInCell="1" allowOverlap="1" wp14:anchorId="4B007111" wp14:editId="521C9DE8">
                <wp:simplePos x="0" y="0"/>
                <wp:positionH relativeFrom="column">
                  <wp:posOffset>4144010</wp:posOffset>
                </wp:positionH>
                <wp:positionV relativeFrom="paragraph">
                  <wp:posOffset>4141470</wp:posOffset>
                </wp:positionV>
                <wp:extent cx="636905" cy="0"/>
                <wp:effectExtent l="0" t="76200" r="10795" b="95250"/>
                <wp:wrapNone/>
                <wp:docPr id="177009219"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9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692BF" id="Прямая со стрелкой 84" o:spid="_x0000_s1026" type="#_x0000_t32" style="position:absolute;margin-left:326.3pt;margin-top:326.1pt;width:50.15pt;height:0;z-index:25266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" strokecolor="#4579b8 [3044]">
                <v:stroke endarrow="block"/>
                <o:lock v:ext="edit" shapetype="f"/>
              </v:shape>
            </w:pict>
          </mc:Fallback>
        </mc:AlternateContent>
      </w:r>
      <w:r>
        <w:rPr>
          <w:noProof/>
          <w:lang w:eastAsia="ru-RU"/>
        </w:rPr>
        <mc:AlternateContent>
          <mc:Choice Requires="wps">
            <w:drawing>
              <wp:anchor distT="0" distB="0" distL="114300" distR="114300" simplePos="0" relativeHeight="252667904" behindDoc="0" locked="0" layoutInCell="1" allowOverlap="1" wp14:anchorId="6AFE8585" wp14:editId="152DD4DF">
                <wp:simplePos x="0" y="0"/>
                <wp:positionH relativeFrom="margin">
                  <wp:align>left</wp:align>
                </wp:positionH>
                <wp:positionV relativeFrom="paragraph">
                  <wp:posOffset>3175</wp:posOffset>
                </wp:positionV>
                <wp:extent cx="1738630" cy="1165860"/>
                <wp:effectExtent l="0" t="0" r="13970" b="15240"/>
                <wp:wrapNone/>
                <wp:docPr id="974951392"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995" cy="1165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5927B3"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rPr>
                            </w:pPr>
                            <w:r>
                              <w:rPr>
                                <w:rFonts w:ascii="Times New Roman" w:hAnsi="Times New Roman" w:cs="Times New Roman"/>
                                <w:color w:val="00B050"/>
                                <w:sz w:val="24"/>
                                <w:szCs w:val="24"/>
                                <w:lang w:val="kk-KZ"/>
                              </w:rPr>
                              <w:t xml:space="preserve">АӨК қатысты өзекті сұрақтары бойынша дамытуды жоспарлау, </w:t>
                            </w:r>
                            <w:r>
                              <w:rPr>
                                <w:rFonts w:ascii="Times New Roman" w:hAnsi="Times New Roman" w:cs="Times New Roman"/>
                                <w:color w:val="00B050"/>
                                <w:sz w:val="24"/>
                                <w:szCs w:val="24"/>
                                <w:lang w:val="en-US"/>
                              </w:rPr>
                              <w:t>SMART</w:t>
                            </w:r>
                            <w:r>
                              <w:rPr>
                                <w:rFonts w:ascii="Times New Roman" w:hAnsi="Times New Roman" w:cs="Times New Roman"/>
                                <w:color w:val="00B050"/>
                                <w:sz w:val="24"/>
                                <w:szCs w:val="24"/>
                                <w:lang w:val="kk-KZ"/>
                              </w:rPr>
                              <w:t xml:space="preserve"> </w:t>
                            </w:r>
                            <w:r>
                              <w:rPr>
                                <w:rFonts w:ascii="Times New Roman" w:hAnsi="Times New Roman" w:cs="Times New Roman"/>
                                <w:color w:val="00B050"/>
                                <w:sz w:val="24"/>
                                <w:szCs w:val="24"/>
                                <w:lang w:val="en-US"/>
                              </w:rPr>
                              <w:t xml:space="preserve">(Specific, Measurable, Attainable, Relevant, Time bound) </w:t>
                            </w:r>
                            <w:r>
                              <w:rPr>
                                <w:rFonts w:ascii="Times New Roman" w:hAnsi="Times New Roman" w:cs="Times New Roman"/>
                                <w:color w:val="548DD4" w:themeColor="text2" w:themeTint="99"/>
                                <w:sz w:val="24"/>
                                <w:szCs w:val="24"/>
                                <w:lang w:val="kk-KZ"/>
                              </w:rPr>
                              <w:t>технологиясын ендіру</w:t>
                            </w:r>
                          </w:p>
                          <w:p w14:paraId="7254E114"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E8585" id="Прямоугольник 83" o:spid="_x0000_s1242" style="position:absolute;left:0;text-align:left;margin-left:0;margin-top:.25pt;width:136.9pt;height:91.8pt;z-index:25266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" fillcolor="white [3201]" strokecolor="black [3200]" strokeweight=".25pt">
                <v:path arrowok="t"/>
                <v:textbox>
                  <w:txbxContent>
                    <w:p w14:paraId="375927B3"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rPr>
                      </w:pPr>
                      <w:r>
                        <w:rPr>
                          <w:rFonts w:ascii="Times New Roman" w:hAnsi="Times New Roman" w:cs="Times New Roman"/>
                          <w:color w:val="00B050"/>
                          <w:sz w:val="24"/>
                          <w:szCs w:val="24"/>
                          <w:lang w:val="kk-KZ"/>
                        </w:rPr>
                        <w:t xml:space="preserve">АӨК қатысты өзекті сұрақтары бойынша дамытуды жоспарлау, </w:t>
                      </w:r>
                      <w:r>
                        <w:rPr>
                          <w:rFonts w:ascii="Times New Roman" w:hAnsi="Times New Roman" w:cs="Times New Roman"/>
                          <w:color w:val="00B050"/>
                          <w:sz w:val="24"/>
                          <w:szCs w:val="24"/>
                          <w:lang w:val="en-US"/>
                        </w:rPr>
                        <w:t>SMART</w:t>
                      </w:r>
                      <w:r>
                        <w:rPr>
                          <w:rFonts w:ascii="Times New Roman" w:hAnsi="Times New Roman" w:cs="Times New Roman"/>
                          <w:color w:val="00B050"/>
                          <w:sz w:val="24"/>
                          <w:szCs w:val="24"/>
                          <w:lang w:val="kk-KZ"/>
                        </w:rPr>
                        <w:t xml:space="preserve"> </w:t>
                      </w:r>
                      <w:r>
                        <w:rPr>
                          <w:rFonts w:ascii="Times New Roman" w:hAnsi="Times New Roman" w:cs="Times New Roman"/>
                          <w:color w:val="00B050"/>
                          <w:sz w:val="24"/>
                          <w:szCs w:val="24"/>
                          <w:lang w:val="en-US"/>
                        </w:rPr>
                        <w:t xml:space="preserve">(Specific, Measurable, Attainable, Relevant, Time bound) </w:t>
                      </w:r>
                      <w:r>
                        <w:rPr>
                          <w:rFonts w:ascii="Times New Roman" w:hAnsi="Times New Roman" w:cs="Times New Roman"/>
                          <w:color w:val="548DD4" w:themeColor="text2" w:themeTint="99"/>
                          <w:sz w:val="24"/>
                          <w:szCs w:val="24"/>
                          <w:lang w:val="kk-KZ"/>
                        </w:rPr>
                        <w:t>технологиясын ендіру</w:t>
                      </w:r>
                    </w:p>
                    <w:p w14:paraId="7254E114" w14:textId="77777777" w:rsidR="009C58C8" w:rsidRDefault="009C58C8" w:rsidP="009C58C8">
                      <w:pPr>
                        <w:spacing w:after="0" w:line="240" w:lineRule="auto"/>
                        <w:jc w:val="center"/>
                        <w:rPr>
                          <w:rFonts w:ascii="Times New Roman" w:hAnsi="Times New Roman" w:cs="Times New Roman"/>
                          <w:color w:val="548DD4" w:themeColor="text2" w:themeTint="99"/>
                          <w:sz w:val="24"/>
                          <w:szCs w:val="24"/>
                          <w:lang w:val="kk-KZ"/>
                        </w:rPr>
                      </w:pPr>
                    </w:p>
                  </w:txbxContent>
                </v:textbox>
                <w10:wrap anchorx="margin"/>
              </v:rect>
            </w:pict>
          </mc:Fallback>
        </mc:AlternateContent>
      </w:r>
      <w:r>
        <w:rPr>
          <w:noProof/>
          <w:lang w:eastAsia="ru-RU"/>
        </w:rPr>
        <mc:AlternateContent>
          <mc:Choice Requires="wps">
            <w:drawing>
              <wp:anchor distT="0" distB="0" distL="114300" distR="114300" simplePos="0" relativeHeight="252668928" behindDoc="0" locked="0" layoutInCell="1" allowOverlap="1" wp14:anchorId="4155322F" wp14:editId="6A30747B">
                <wp:simplePos x="0" y="0"/>
                <wp:positionH relativeFrom="column">
                  <wp:posOffset>487680</wp:posOffset>
                </wp:positionH>
                <wp:positionV relativeFrom="paragraph">
                  <wp:posOffset>1184275</wp:posOffset>
                </wp:positionV>
                <wp:extent cx="0" cy="784225"/>
                <wp:effectExtent l="57150" t="38100" r="57150" b="15875"/>
                <wp:wrapNone/>
                <wp:docPr id="1387151176" name="Прямая со стрелкой 82"/>
                <wp:cNvGraphicFramePr/>
                <a:graphic xmlns:a="http://schemas.openxmlformats.org/drawingml/2006/main">
                  <a:graphicData uri="http://schemas.microsoft.com/office/word/2010/wordprocessingShape">
                    <wps:wsp>
                      <wps:cNvCnPr/>
                      <wps:spPr>
                        <a:xfrm flipV="1">
                          <a:off x="0" y="0"/>
                          <a:ext cx="0" cy="783590"/>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D2989" id="Прямая со стрелкой 82" o:spid="_x0000_s1026" type="#_x0000_t32" style="position:absolute;margin-left:38.4pt;margin-top:93.25pt;width:0;height:61.75pt;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" strokecolor="#94b64e [3046]" strokeweight="2.25pt">
                <v:stroke endarrow="block"/>
              </v:shape>
            </w:pict>
          </mc:Fallback>
        </mc:AlternateContent>
      </w:r>
      <w:r>
        <w:rPr>
          <w:noProof/>
          <w:lang w:eastAsia="ru-RU"/>
        </w:rPr>
        <mc:AlternateContent>
          <mc:Choice Requires="wps">
            <w:drawing>
              <wp:anchor distT="0" distB="0" distL="114300" distR="114300" simplePos="0" relativeHeight="252669952" behindDoc="0" locked="0" layoutInCell="1" allowOverlap="1" wp14:anchorId="7C72FA14" wp14:editId="39FE2601">
                <wp:simplePos x="0" y="0"/>
                <wp:positionH relativeFrom="page">
                  <wp:posOffset>3245485</wp:posOffset>
                </wp:positionH>
                <wp:positionV relativeFrom="paragraph">
                  <wp:posOffset>-6350</wp:posOffset>
                </wp:positionV>
                <wp:extent cx="2019935" cy="803910"/>
                <wp:effectExtent l="0" t="0" r="18415" b="15240"/>
                <wp:wrapNone/>
                <wp:docPr id="442069899"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8032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E47D0CF"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Жобаны іске асыруға жауаптыларды нақты анықтау, жауапкершіліктерін бекіту</w:t>
                            </w:r>
                          </w:p>
                          <w:p w14:paraId="44224BBF" w14:textId="77777777" w:rsidR="009C58C8" w:rsidRDefault="009C58C8" w:rsidP="009C58C8">
                            <w:pPr>
                              <w:spacing w:after="0" w:line="240" w:lineRule="auto"/>
                              <w:jc w:val="center"/>
                              <w:rPr>
                                <w:rFonts w:ascii="Times New Roman" w:hAnsi="Times New Roman" w:cs="Times New Roman"/>
                                <w:color w:val="00B050"/>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2FA14" id="Прямоугольник 81" o:spid="_x0000_s1243" style="position:absolute;left:0;text-align:left;margin-left:255.55pt;margin-top:-.5pt;width:159.05pt;height:63.3pt;z-index:2526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" fillcolor="white [3201]" strokecolor="black [3200]" strokeweight=".25pt">
                <v:path arrowok="t"/>
                <v:textbox>
                  <w:txbxContent>
                    <w:p w14:paraId="1E47D0CF"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Жобаны іске асыруға жауаптыларды нақты анықтау, жауапкершіліктерін бекіту</w:t>
                      </w:r>
                    </w:p>
                    <w:p w14:paraId="44224BBF" w14:textId="77777777" w:rsidR="009C58C8" w:rsidRDefault="009C58C8" w:rsidP="009C58C8">
                      <w:pPr>
                        <w:spacing w:after="0" w:line="240" w:lineRule="auto"/>
                        <w:jc w:val="center"/>
                        <w:rPr>
                          <w:rFonts w:ascii="Times New Roman" w:hAnsi="Times New Roman" w:cs="Times New Roman"/>
                          <w:color w:val="00B050"/>
                          <w:sz w:val="24"/>
                          <w:szCs w:val="24"/>
                          <w:lang w:val="kk-KZ"/>
                        </w:rPr>
                      </w:pPr>
                    </w:p>
                  </w:txbxContent>
                </v:textbox>
                <w10:wrap anchorx="page"/>
              </v:rect>
            </w:pict>
          </mc:Fallback>
        </mc:AlternateContent>
      </w:r>
      <w:r>
        <w:rPr>
          <w:noProof/>
          <w:lang w:eastAsia="ru-RU"/>
        </w:rPr>
        <mc:AlternateContent>
          <mc:Choice Requires="wps">
            <w:drawing>
              <wp:anchor distT="0" distB="0" distL="114300" distR="114300" simplePos="0" relativeHeight="252672000" behindDoc="0" locked="0" layoutInCell="1" allowOverlap="1" wp14:anchorId="704D06FE" wp14:editId="232E27CD">
                <wp:simplePos x="0" y="0"/>
                <wp:positionH relativeFrom="column">
                  <wp:posOffset>1750060</wp:posOffset>
                </wp:positionH>
                <wp:positionV relativeFrom="paragraph">
                  <wp:posOffset>316230</wp:posOffset>
                </wp:positionV>
                <wp:extent cx="432435" cy="253365"/>
                <wp:effectExtent l="57150" t="38100" r="0" b="70485"/>
                <wp:wrapNone/>
                <wp:docPr id="433610869" name="Стрелка: вправо 79"/>
                <wp:cNvGraphicFramePr/>
                <a:graphic xmlns:a="http://schemas.openxmlformats.org/drawingml/2006/main">
                  <a:graphicData uri="http://schemas.microsoft.com/office/word/2010/wordprocessingShape">
                    <wps:wsp>
                      <wps:cNvSpPr/>
                      <wps:spPr>
                        <a:xfrm>
                          <a:off x="0" y="0"/>
                          <a:ext cx="432435" cy="252730"/>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B5F06" id="Стрелка: вправо 79" o:spid="_x0000_s1026" type="#_x0000_t13" style="position:absolute;margin-left:137.8pt;margin-top:24.9pt;width:34.05pt;height:19.9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" adj="15288" fillcolor="#9bbb59 [3206]" stroked="f"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2674048" behindDoc="0" locked="0" layoutInCell="1" allowOverlap="1" wp14:anchorId="14D9C14F" wp14:editId="4AA452D2">
                <wp:simplePos x="0" y="0"/>
                <wp:positionH relativeFrom="margin">
                  <wp:align>left</wp:align>
                </wp:positionH>
                <wp:positionV relativeFrom="paragraph">
                  <wp:posOffset>4358005</wp:posOffset>
                </wp:positionV>
                <wp:extent cx="2059940" cy="1155700"/>
                <wp:effectExtent l="0" t="0" r="16510" b="25400"/>
                <wp:wrapNone/>
                <wp:docPr id="803592519"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305" cy="115506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FBD442"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Тиімділік аудиті бойынша аудиторлық есептер негізінде бюджетік үрдістер мен рәсімдер жетілдіру резервтерін анықтау, қаржылық тәртіпті күшейту</w:t>
                            </w:r>
                          </w:p>
                          <w:p w14:paraId="090AD7A0" w14:textId="77777777" w:rsidR="009C58C8" w:rsidRDefault="009C58C8" w:rsidP="009C58C8">
                            <w:pPr>
                              <w:spacing w:after="0" w:line="240" w:lineRule="auto"/>
                              <w:jc w:val="center"/>
                              <w:rPr>
                                <w:rFonts w:ascii="Times New Roman" w:hAnsi="Times New Roman" w:cs="Times New Roman"/>
                                <w:color w:val="00B050"/>
                                <w:sz w:val="24"/>
                                <w:szCs w:val="24"/>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9C14F" id="Прямоугольник 77" o:spid="_x0000_s1244" style="position:absolute;left:0;text-align:left;margin-left:0;margin-top:343.15pt;width:162.2pt;height:91pt;z-index:25267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" fillcolor="white [3201]" strokecolor="black [3200]" strokeweight=".25pt">
                <v:path arrowok="t"/>
                <v:textbox>
                  <w:txbxContent>
                    <w:p w14:paraId="65FBD442"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Тиімділік аудиті бойынша аудиторлық есептер негізінде бюджетік үрдістер мен рәсімдер жетілдіру резервтерін анықтау, қаржылық тәртіпті күшейту</w:t>
                      </w:r>
                    </w:p>
                    <w:p w14:paraId="090AD7A0" w14:textId="77777777" w:rsidR="009C58C8" w:rsidRDefault="009C58C8" w:rsidP="009C58C8">
                      <w:pPr>
                        <w:spacing w:after="0" w:line="240" w:lineRule="auto"/>
                        <w:jc w:val="center"/>
                        <w:rPr>
                          <w:rFonts w:ascii="Times New Roman" w:hAnsi="Times New Roman" w:cs="Times New Roman"/>
                          <w:color w:val="00B050"/>
                          <w:sz w:val="24"/>
                          <w:szCs w:val="24"/>
                          <w:lang w:val="kk-KZ"/>
                        </w:rPr>
                      </w:pPr>
                    </w:p>
                  </w:txbxContent>
                </v:textbox>
                <w10:wrap anchorx="margin"/>
              </v:rect>
            </w:pict>
          </mc:Fallback>
        </mc:AlternateContent>
      </w:r>
      <w:r>
        <w:rPr>
          <w:noProof/>
          <w:lang w:eastAsia="ru-RU"/>
        </w:rPr>
        <mc:AlternateContent>
          <mc:Choice Requires="wps">
            <w:drawing>
              <wp:anchor distT="0" distB="0" distL="114300" distR="114300" simplePos="0" relativeHeight="252675072" behindDoc="0" locked="0" layoutInCell="1" allowOverlap="1" wp14:anchorId="00D9B364" wp14:editId="52DAC3FF">
                <wp:simplePos x="0" y="0"/>
                <wp:positionH relativeFrom="margin">
                  <wp:posOffset>2506980</wp:posOffset>
                </wp:positionH>
                <wp:positionV relativeFrom="paragraph">
                  <wp:posOffset>4358005</wp:posOffset>
                </wp:positionV>
                <wp:extent cx="899795" cy="1154430"/>
                <wp:effectExtent l="0" t="0" r="14605" b="26670"/>
                <wp:wrapNone/>
                <wp:docPr id="834639230"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1154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A576527"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Тиімділік аудитінің сапасын үздіксіз жақсарту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D9B364" id="Прямоугольник 76" o:spid="_x0000_s1245" style="position:absolute;left:0;text-align:left;margin-left:197.4pt;margin-top:343.15pt;width:70.85pt;height:90.9pt;z-index:25267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" fillcolor="white [3201]" strokecolor="black [3200]" strokeweight=".25pt">
                <v:path arrowok="t"/>
                <v:textbox>
                  <w:txbxContent>
                    <w:p w14:paraId="6A576527"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Тиімділік аудитінің сапасын үздіксіз жақсарту</w:t>
                      </w:r>
                    </w:p>
                  </w:txbxContent>
                </v:textbox>
                <w10:wrap anchorx="margin"/>
              </v:rect>
            </w:pict>
          </mc:Fallback>
        </mc:AlternateContent>
      </w:r>
      <w:r>
        <w:rPr>
          <w:noProof/>
          <w:lang w:eastAsia="ru-RU"/>
        </w:rPr>
        <mc:AlternateContent>
          <mc:Choice Requires="wps">
            <w:drawing>
              <wp:anchor distT="0" distB="0" distL="114300" distR="114300" simplePos="0" relativeHeight="252676096" behindDoc="0" locked="0" layoutInCell="1" allowOverlap="1" wp14:anchorId="3AC3C5F1" wp14:editId="1DAFDF7B">
                <wp:simplePos x="0" y="0"/>
                <wp:positionH relativeFrom="column">
                  <wp:posOffset>3853815</wp:posOffset>
                </wp:positionH>
                <wp:positionV relativeFrom="paragraph">
                  <wp:posOffset>4381500</wp:posOffset>
                </wp:positionV>
                <wp:extent cx="2058035" cy="1134745"/>
                <wp:effectExtent l="0" t="0" r="18415" b="27305"/>
                <wp:wrapNone/>
                <wp:docPr id="1852434186"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11347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98C71B5"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 xml:space="preserve">Әр түрлі пайдаланушыларға АӨК жұмсалған бюджет қаражатының тиімділігі туралы ашық есептілікті дер кезінде жариялау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3C5F1" id="Прямоугольник 75" o:spid="_x0000_s1246" style="position:absolute;left:0;text-align:left;margin-left:303.45pt;margin-top:345pt;width:162.05pt;height:89.3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" fillcolor="white [3201]" strokecolor="black [3200]" strokeweight=".25pt">
                <v:path arrowok="t"/>
                <v:textbox>
                  <w:txbxContent>
                    <w:p w14:paraId="198C71B5" w14:textId="77777777" w:rsidR="009C58C8" w:rsidRDefault="009C58C8" w:rsidP="009C58C8">
                      <w:pPr>
                        <w:spacing w:after="0" w:line="240" w:lineRule="auto"/>
                        <w:jc w:val="center"/>
                        <w:rPr>
                          <w:rFonts w:ascii="Times New Roman" w:hAnsi="Times New Roman" w:cs="Times New Roman"/>
                          <w:color w:val="00B050"/>
                          <w:sz w:val="24"/>
                          <w:szCs w:val="24"/>
                        </w:rPr>
                      </w:pPr>
                      <w:r>
                        <w:rPr>
                          <w:rFonts w:ascii="Times New Roman" w:hAnsi="Times New Roman" w:cs="Times New Roman"/>
                          <w:color w:val="00B050"/>
                          <w:sz w:val="24"/>
                          <w:szCs w:val="24"/>
                          <w:lang w:val="kk-KZ"/>
                        </w:rPr>
                        <w:t xml:space="preserve">Әр түрлі пайдаланушыларға АӨК жұмсалған бюджет қаражатының тиімділігі туралы ашық есептілікті дер кезінде жариялау </w:t>
                      </w:r>
                    </w:p>
                  </w:txbxContent>
                </v:textbox>
              </v:rect>
            </w:pict>
          </mc:Fallback>
        </mc:AlternateContent>
      </w:r>
      <w:r>
        <w:rPr>
          <w:noProof/>
          <w:lang w:eastAsia="ru-RU"/>
        </w:rPr>
        <mc:AlternateContent>
          <mc:Choice Requires="wps">
            <w:drawing>
              <wp:anchor distT="0" distB="0" distL="114300" distR="114300" simplePos="0" relativeHeight="252677120" behindDoc="0" locked="0" layoutInCell="1" allowOverlap="1" wp14:anchorId="038D7464" wp14:editId="79D0AF64">
                <wp:simplePos x="0" y="0"/>
                <wp:positionH relativeFrom="column">
                  <wp:posOffset>55245</wp:posOffset>
                </wp:positionH>
                <wp:positionV relativeFrom="paragraph">
                  <wp:posOffset>1205230</wp:posOffset>
                </wp:positionV>
                <wp:extent cx="0" cy="3105150"/>
                <wp:effectExtent l="57150" t="38100" r="57150" b="0"/>
                <wp:wrapNone/>
                <wp:docPr id="1161941963" name="Прямая со стрелкой 74"/>
                <wp:cNvGraphicFramePr/>
                <a:graphic xmlns:a="http://schemas.openxmlformats.org/drawingml/2006/main">
                  <a:graphicData uri="http://schemas.microsoft.com/office/word/2010/wordprocessingShape">
                    <wps:wsp>
                      <wps:cNvCnPr/>
                      <wps:spPr>
                        <a:xfrm flipV="1">
                          <a:off x="0" y="0"/>
                          <a:ext cx="0" cy="3104515"/>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C3C9E" id="Прямая со стрелкой 74" o:spid="_x0000_s1026" type="#_x0000_t32" style="position:absolute;margin-left:4.35pt;margin-top:94.9pt;width:0;height:244.5pt;flip:y;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" strokecolor="#94b64e [3046]" strokeweight="2.25pt">
                <v:stroke endarrow="block"/>
              </v:shape>
            </w:pict>
          </mc:Fallback>
        </mc:AlternateContent>
      </w:r>
      <w:r>
        <w:rPr>
          <w:noProof/>
          <w:lang w:eastAsia="ru-RU"/>
        </w:rPr>
        <mc:AlternateContent>
          <mc:Choice Requires="wps">
            <w:drawing>
              <wp:anchor distT="0" distB="0" distL="114300" distR="114300" simplePos="0" relativeHeight="252678144" behindDoc="0" locked="0" layoutInCell="1" allowOverlap="1" wp14:anchorId="64B6C3FE" wp14:editId="28389CD4">
                <wp:simplePos x="0" y="0"/>
                <wp:positionH relativeFrom="column">
                  <wp:posOffset>5772785</wp:posOffset>
                </wp:positionH>
                <wp:positionV relativeFrom="paragraph">
                  <wp:posOffset>1214755</wp:posOffset>
                </wp:positionV>
                <wp:extent cx="0" cy="3105150"/>
                <wp:effectExtent l="57150" t="0" r="57150" b="38100"/>
                <wp:wrapNone/>
                <wp:docPr id="1644290633" name="Прямая со стрелкой 73"/>
                <wp:cNvGraphicFramePr/>
                <a:graphic xmlns:a="http://schemas.openxmlformats.org/drawingml/2006/main">
                  <a:graphicData uri="http://schemas.microsoft.com/office/word/2010/wordprocessingShape">
                    <wps:wsp>
                      <wps:cNvCnPr/>
                      <wps:spPr>
                        <a:xfrm>
                          <a:off x="0" y="0"/>
                          <a:ext cx="0" cy="3104515"/>
                        </a:xfrm>
                        <a:prstGeom prst="straightConnector1">
                          <a:avLst/>
                        </a:prstGeom>
                        <a:ln w="28575">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77B95" id="Прямая со стрелкой 73" o:spid="_x0000_s1026" type="#_x0000_t32" style="position:absolute;margin-left:454.55pt;margin-top:95.65pt;width:0;height:244.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" strokecolor="#94b64e [3046]" strokeweight="2.25pt">
                <v:stroke endarrow="block"/>
              </v:shape>
            </w:pict>
          </mc:Fallback>
        </mc:AlternateContent>
      </w:r>
      <w:r>
        <w:rPr>
          <w:noProof/>
          <w:lang w:eastAsia="ru-RU"/>
        </w:rPr>
        <mc:AlternateContent>
          <mc:Choice Requires="wps">
            <w:drawing>
              <wp:anchor distT="0" distB="0" distL="114300" distR="114300" simplePos="0" relativeHeight="252679168" behindDoc="0" locked="0" layoutInCell="1" allowOverlap="1" wp14:anchorId="5289D2CB" wp14:editId="4B2822CF">
                <wp:simplePos x="0" y="0"/>
                <wp:positionH relativeFrom="column">
                  <wp:posOffset>3418840</wp:posOffset>
                </wp:positionH>
                <wp:positionV relativeFrom="paragraph">
                  <wp:posOffset>4799965</wp:posOffset>
                </wp:positionV>
                <wp:extent cx="438150" cy="271145"/>
                <wp:effectExtent l="0" t="0" r="0" b="0"/>
                <wp:wrapNone/>
                <wp:docPr id="1732358831" name="Стрелка: влево 72"/>
                <wp:cNvGraphicFramePr/>
                <a:graphic xmlns:a="http://schemas.openxmlformats.org/drawingml/2006/main">
                  <a:graphicData uri="http://schemas.microsoft.com/office/word/2010/wordprocessingShape">
                    <wps:wsp>
                      <wps:cNvSpPr/>
                      <wps:spPr>
                        <a:xfrm>
                          <a:off x="0" y="0"/>
                          <a:ext cx="438150" cy="271145"/>
                        </a:xfrm>
                        <a:prstGeom prst="leftArrow">
                          <a:avLst/>
                        </a:prstGeom>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DE4BB" id="Стрелка: влево 72" o:spid="_x0000_s1026" type="#_x0000_t66" style="position:absolute;margin-left:269.2pt;margin-top:377.95pt;width:34.5pt;height:21.3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" adj="6683" fillcolor="#9bbb59 [3206]" stroked="f" strokeweight="2pt"/>
            </w:pict>
          </mc:Fallback>
        </mc:AlternateContent>
      </w:r>
      <w:r>
        <w:rPr>
          <w:noProof/>
          <w:lang w:eastAsia="ru-RU"/>
        </w:rPr>
        <mc:AlternateContent>
          <mc:Choice Requires="wps">
            <w:drawing>
              <wp:anchor distT="0" distB="0" distL="114300" distR="114300" simplePos="0" relativeHeight="252680192" behindDoc="0" locked="0" layoutInCell="1" allowOverlap="1" wp14:anchorId="0C68A8B1" wp14:editId="18E1D9A9">
                <wp:simplePos x="0" y="0"/>
                <wp:positionH relativeFrom="column">
                  <wp:posOffset>2054860</wp:posOffset>
                </wp:positionH>
                <wp:positionV relativeFrom="paragraph">
                  <wp:posOffset>4789805</wp:posOffset>
                </wp:positionV>
                <wp:extent cx="457835" cy="281305"/>
                <wp:effectExtent l="0" t="0" r="0" b="4445"/>
                <wp:wrapNone/>
                <wp:docPr id="1492687703" name="Стрелка: влево 71"/>
                <wp:cNvGraphicFramePr/>
                <a:graphic xmlns:a="http://schemas.openxmlformats.org/drawingml/2006/main">
                  <a:graphicData uri="http://schemas.microsoft.com/office/word/2010/wordprocessingShape">
                    <wps:wsp>
                      <wps:cNvSpPr/>
                      <wps:spPr>
                        <a:xfrm>
                          <a:off x="0" y="0"/>
                          <a:ext cx="457200" cy="280670"/>
                        </a:xfrm>
                        <a:prstGeom prst="leftArrow">
                          <a:avLst/>
                        </a:prstGeom>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98B80" id="Стрелка: влево 71" o:spid="_x0000_s1026" type="#_x0000_t66" style="position:absolute;margin-left:161.8pt;margin-top:377.15pt;width:36.05pt;height:22.1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" adj="6630" fillcolor="#9bbb59 [3206]" stroked="f" strokeweight="2pt"/>
            </w:pict>
          </mc:Fallback>
        </mc:AlternateContent>
      </w:r>
    </w:p>
    <w:p w14:paraId="1399381D" w14:textId="03F51E0A" w:rsidR="009C58C8" w:rsidRDefault="00AF6490" w:rsidP="009C58C8">
      <w:pPr>
        <w:tabs>
          <w:tab w:val="left" w:pos="1605"/>
        </w:tabs>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673024" behindDoc="0" locked="0" layoutInCell="1" allowOverlap="1" wp14:anchorId="56123DCD" wp14:editId="21A02481">
                <wp:simplePos x="0" y="0"/>
                <wp:positionH relativeFrom="column">
                  <wp:posOffset>4189095</wp:posOffset>
                </wp:positionH>
                <wp:positionV relativeFrom="paragraph">
                  <wp:posOffset>96520</wp:posOffset>
                </wp:positionV>
                <wp:extent cx="429895" cy="251460"/>
                <wp:effectExtent l="57150" t="38100" r="0" b="72390"/>
                <wp:wrapNone/>
                <wp:docPr id="1164221266" name="Стрелка: вправо 78"/>
                <wp:cNvGraphicFramePr/>
                <a:graphic xmlns:a="http://schemas.openxmlformats.org/drawingml/2006/main">
                  <a:graphicData uri="http://schemas.microsoft.com/office/word/2010/wordprocessingShape">
                    <wps:wsp>
                      <wps:cNvSpPr/>
                      <wps:spPr>
                        <a:xfrm>
                          <a:off x="0" y="0"/>
                          <a:ext cx="429895" cy="251460"/>
                        </a:xfrm>
                        <a:prstGeom prst="rightArrow">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336FE" id="Стрелка: вправо 78" o:spid="_x0000_s1026" type="#_x0000_t13" style="position:absolute;margin-left:329.85pt;margin-top:7.6pt;width:33.85pt;height:19.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" adj="15283" fillcolor="#9bbb59 [3206]" stroked="f" strokeweight="3pt">
                <v:shadow on="t" color="black" opacity="24903f" origin=",.5" offset="0,.55556mm"/>
              </v:shape>
            </w:pict>
          </mc:Fallback>
        </mc:AlternateContent>
      </w:r>
    </w:p>
    <w:p w14:paraId="780A5DF0"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40C2C33D"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0AC8C92A"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53DA071B"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6E4F6F26"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7867E48F"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44B8478C"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6C9D9A9A"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7540F07E"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5756F700"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3E4EA420"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69FB3365"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64EF8660"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5403052A"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12E9F281"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3408F4F6"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56AA60C0"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614E885B"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1CD1E666" w14:textId="77777777" w:rsidR="009C58C8" w:rsidRDefault="009C58C8" w:rsidP="009C58C8">
      <w:pPr>
        <w:tabs>
          <w:tab w:val="left" w:pos="1605"/>
        </w:tabs>
        <w:spacing w:after="0" w:line="240" w:lineRule="auto"/>
        <w:ind w:firstLine="567"/>
        <w:jc w:val="both"/>
        <w:rPr>
          <w:rFonts w:ascii="Times New Roman" w:hAnsi="Times New Roman" w:cs="Times New Roman"/>
          <w:sz w:val="28"/>
          <w:szCs w:val="28"/>
          <w:lang w:val="kk-KZ"/>
        </w:rPr>
      </w:pPr>
    </w:p>
    <w:p w14:paraId="3B809AA4"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4FB95946"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14A2A827"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3F198BDA"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52170010"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576A45CB"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62A10614" w14:textId="77777777"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p>
    <w:p w14:paraId="230470BD" w14:textId="1C71A46F" w:rsidR="009C58C8" w:rsidRDefault="009C58C8" w:rsidP="009C58C8">
      <w:pPr>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A23F7A">
        <w:rPr>
          <w:rFonts w:ascii="Times New Roman" w:hAnsi="Times New Roman" w:cs="Times New Roman"/>
          <w:sz w:val="28"/>
          <w:szCs w:val="28"/>
          <w:lang w:val="kk-KZ"/>
        </w:rPr>
        <w:t>2</w:t>
      </w:r>
      <w:r>
        <w:rPr>
          <w:rFonts w:ascii="Times New Roman" w:hAnsi="Times New Roman" w:cs="Times New Roman"/>
          <w:sz w:val="28"/>
          <w:szCs w:val="28"/>
          <w:lang w:val="kk-KZ"/>
        </w:rPr>
        <w:t>. ҚР АӨК дамытуға бағытталған бюджет қаражатын</w:t>
      </w:r>
      <w:r w:rsidR="00FE4779">
        <w:rPr>
          <w:rFonts w:ascii="Times New Roman" w:hAnsi="Times New Roman" w:cs="Times New Roman"/>
          <w:sz w:val="28"/>
          <w:szCs w:val="28"/>
          <w:lang w:val="kk-KZ"/>
        </w:rPr>
        <w:t xml:space="preserve"> пайдалану</w:t>
      </w:r>
      <w:r>
        <w:rPr>
          <w:rFonts w:ascii="Times New Roman" w:hAnsi="Times New Roman" w:cs="Times New Roman"/>
          <w:sz w:val="28"/>
          <w:szCs w:val="28"/>
          <w:lang w:val="kk-KZ"/>
        </w:rPr>
        <w:t xml:space="preserve"> тиімділі</w:t>
      </w:r>
      <w:r w:rsidR="00FE4779">
        <w:rPr>
          <w:rFonts w:ascii="Times New Roman" w:hAnsi="Times New Roman" w:cs="Times New Roman"/>
          <w:sz w:val="28"/>
          <w:szCs w:val="28"/>
          <w:lang w:val="kk-KZ"/>
        </w:rPr>
        <w:t>гінің</w:t>
      </w:r>
      <w:r>
        <w:rPr>
          <w:rFonts w:ascii="Times New Roman" w:hAnsi="Times New Roman" w:cs="Times New Roman"/>
          <w:sz w:val="28"/>
          <w:szCs w:val="28"/>
          <w:lang w:val="kk-KZ"/>
        </w:rPr>
        <w:t xml:space="preserve"> аудиті кезінде бағалау үрдісі</w:t>
      </w:r>
    </w:p>
    <w:p w14:paraId="7946FD81" w14:textId="7000C09C" w:rsidR="00E9348E" w:rsidRPr="00457CE9" w:rsidRDefault="00463D68" w:rsidP="00457CE9">
      <w:pPr>
        <w:tabs>
          <w:tab w:val="left" w:pos="1605"/>
        </w:tabs>
        <w:spacing w:after="0" w:line="240" w:lineRule="auto"/>
        <w:ind w:firstLine="709"/>
        <w:jc w:val="both"/>
        <w:rPr>
          <w:rFonts w:ascii="Times New Roman" w:hAnsi="Times New Roman" w:cs="Times New Roman"/>
          <w:sz w:val="24"/>
          <w:szCs w:val="24"/>
          <w:lang w:val="kk-KZ"/>
        </w:rPr>
      </w:pPr>
      <w:r w:rsidRPr="00B54645">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B5119" w:rsidRPr="00457CE9">
        <w:rPr>
          <w:rFonts w:ascii="Times New Roman" w:hAnsi="Times New Roman" w:cs="Times New Roman"/>
          <w:sz w:val="24"/>
          <w:szCs w:val="24"/>
          <w:lang w:val="kk-KZ"/>
        </w:rPr>
        <w:t>[1</w:t>
      </w:r>
      <w:r w:rsidR="00962214">
        <w:rPr>
          <w:rFonts w:ascii="Times New Roman" w:hAnsi="Times New Roman" w:cs="Times New Roman"/>
          <w:sz w:val="24"/>
          <w:szCs w:val="24"/>
          <w:lang w:val="kk-KZ"/>
        </w:rPr>
        <w:t>7</w:t>
      </w:r>
      <w:r w:rsidR="00AB5119" w:rsidRPr="00457CE9">
        <w:rPr>
          <w:rFonts w:ascii="Times New Roman" w:hAnsi="Times New Roman" w:cs="Times New Roman"/>
          <w:sz w:val="24"/>
          <w:szCs w:val="24"/>
          <w:lang w:val="kk-KZ"/>
        </w:rPr>
        <w:t xml:space="preserve">] </w:t>
      </w:r>
    </w:p>
    <w:p w14:paraId="2AB7B6B5" w14:textId="77777777" w:rsidR="005D05DC" w:rsidRDefault="005D05DC" w:rsidP="00457CE9">
      <w:pPr>
        <w:tabs>
          <w:tab w:val="left" w:pos="1605"/>
        </w:tabs>
        <w:spacing w:after="0" w:line="240" w:lineRule="auto"/>
        <w:ind w:firstLine="709"/>
        <w:jc w:val="both"/>
        <w:rPr>
          <w:rFonts w:ascii="Times New Roman" w:hAnsi="Times New Roman" w:cs="Times New Roman"/>
          <w:sz w:val="28"/>
          <w:szCs w:val="28"/>
          <w:lang w:val="kk-KZ"/>
        </w:rPr>
      </w:pPr>
    </w:p>
    <w:p w14:paraId="045DB3AA" w14:textId="77777777" w:rsidR="008A317A" w:rsidRDefault="008A317A" w:rsidP="008A317A">
      <w:pPr>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ҚР АӨК дамытудың нәтижеге бағытталған ұлттық жобасының бюджеті оны жоспарлау мен басқарудың әдістер жүйесі деуге болады, және ол келесі элементтерді қамтуы тиіс:</w:t>
      </w:r>
    </w:p>
    <w:p w14:paraId="19C2209B" w14:textId="77777777" w:rsidR="008A317A" w:rsidRDefault="008A317A" w:rsidP="0097172E">
      <w:pPr>
        <w:pStyle w:val="a5"/>
        <w:numPr>
          <w:ilvl w:val="0"/>
          <w:numId w:val="53"/>
        </w:numPr>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жобаны өткізуге бағытталған мәселелерді анықтау және бағалау;</w:t>
      </w:r>
    </w:p>
    <w:p w14:paraId="4769955A" w14:textId="77777777" w:rsidR="008A317A" w:rsidRDefault="008A317A" w:rsidP="0097172E">
      <w:pPr>
        <w:pStyle w:val="a5"/>
        <w:numPr>
          <w:ilvl w:val="0"/>
          <w:numId w:val="53"/>
        </w:numPr>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жобаны құру және оңтайлау;</w:t>
      </w:r>
    </w:p>
    <w:p w14:paraId="38937CA1" w14:textId="77777777" w:rsidR="008A317A" w:rsidRDefault="008A317A" w:rsidP="0097172E">
      <w:pPr>
        <w:pStyle w:val="a5"/>
        <w:numPr>
          <w:ilvl w:val="0"/>
          <w:numId w:val="53"/>
        </w:numPr>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жобаны іске асыру тапсырмаларына қажетті ресурстарды анықтау және құру;</w:t>
      </w:r>
    </w:p>
    <w:p w14:paraId="0D210BA7" w14:textId="77777777" w:rsidR="008A317A" w:rsidRDefault="008A317A" w:rsidP="0097172E">
      <w:pPr>
        <w:pStyle w:val="a5"/>
        <w:numPr>
          <w:ilvl w:val="0"/>
          <w:numId w:val="53"/>
        </w:numPr>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нәтижеге жету кезінде туындайтын тәуекелдерді жүйелеу;</w:t>
      </w:r>
    </w:p>
    <w:p w14:paraId="47C8AD01" w14:textId="77777777" w:rsidR="008A317A" w:rsidRDefault="008A317A" w:rsidP="0097172E">
      <w:pPr>
        <w:pStyle w:val="a5"/>
        <w:numPr>
          <w:ilvl w:val="0"/>
          <w:numId w:val="53"/>
        </w:numPr>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жобаны іске асыруды басқару жүйесін және есептілік жүйесін қалыптастыру;</w:t>
      </w:r>
    </w:p>
    <w:p w14:paraId="78A1E710" w14:textId="77777777" w:rsidR="008A317A" w:rsidRDefault="008A317A" w:rsidP="0097172E">
      <w:pPr>
        <w:pStyle w:val="a5"/>
        <w:numPr>
          <w:ilvl w:val="0"/>
          <w:numId w:val="53"/>
        </w:numPr>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жобаны іске асыруды бақылауды ұйымдастыру.</w:t>
      </w:r>
    </w:p>
    <w:p w14:paraId="4F55758A" w14:textId="1299DFE1" w:rsidR="008A317A" w:rsidRDefault="009B76D2" w:rsidP="008A317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45</w:t>
      </w:r>
      <w:r w:rsidR="008A317A">
        <w:rPr>
          <w:rFonts w:ascii="Times New Roman" w:hAnsi="Times New Roman" w:cs="Times New Roman"/>
          <w:sz w:val="28"/>
          <w:szCs w:val="28"/>
          <w:lang w:val="kk-KZ"/>
        </w:rPr>
        <w:t>-кестеде, ҚР АӨК дамыту</w:t>
      </w:r>
      <w:r w:rsidR="00420DC5">
        <w:rPr>
          <w:rFonts w:ascii="Times New Roman" w:hAnsi="Times New Roman" w:cs="Times New Roman"/>
          <w:sz w:val="28"/>
          <w:szCs w:val="28"/>
          <w:lang w:val="kk-KZ"/>
        </w:rPr>
        <w:t>дың</w:t>
      </w:r>
      <w:r w:rsidR="008A317A">
        <w:rPr>
          <w:rFonts w:ascii="Times New Roman" w:hAnsi="Times New Roman" w:cs="Times New Roman"/>
          <w:sz w:val="28"/>
          <w:szCs w:val="28"/>
          <w:lang w:val="kk-KZ"/>
        </w:rPr>
        <w:t xml:space="preserve"> </w:t>
      </w:r>
      <w:r w:rsidR="00420DC5">
        <w:rPr>
          <w:rFonts w:ascii="Times New Roman" w:hAnsi="Times New Roman" w:cs="Times New Roman"/>
          <w:sz w:val="28"/>
          <w:szCs w:val="28"/>
          <w:lang w:val="kk-KZ"/>
        </w:rPr>
        <w:t>ұлттық жобасын іске асыруды бақылау</w:t>
      </w:r>
      <w:r w:rsidR="008A317A">
        <w:rPr>
          <w:rFonts w:ascii="Times New Roman" w:hAnsi="Times New Roman" w:cs="Times New Roman"/>
          <w:sz w:val="28"/>
          <w:szCs w:val="28"/>
          <w:lang w:val="kk-KZ"/>
        </w:rPr>
        <w:t>, ішкі аудит қызметі тарапынан тиімділік аудиті тәжірибесіндегі кемшіліктер және оның сапасын жақсарту шаралары келтірілген.</w:t>
      </w:r>
    </w:p>
    <w:p w14:paraId="7C206B01" w14:textId="77777777" w:rsidR="008A317A" w:rsidRDefault="008A317A" w:rsidP="00457CE9">
      <w:pPr>
        <w:tabs>
          <w:tab w:val="left" w:pos="1605"/>
        </w:tabs>
        <w:spacing w:after="0" w:line="240" w:lineRule="auto"/>
        <w:ind w:firstLine="709"/>
        <w:jc w:val="both"/>
        <w:rPr>
          <w:rFonts w:ascii="Times New Roman" w:hAnsi="Times New Roman" w:cs="Times New Roman"/>
          <w:sz w:val="28"/>
          <w:szCs w:val="28"/>
          <w:lang w:val="kk-KZ"/>
        </w:rPr>
      </w:pPr>
    </w:p>
    <w:p w14:paraId="34E54126" w14:textId="461C7D16" w:rsidR="009E1C37" w:rsidRDefault="009E1C37" w:rsidP="00457CE9">
      <w:pPr>
        <w:tabs>
          <w:tab w:val="left" w:pos="1605"/>
        </w:tabs>
        <w:spacing w:after="0" w:line="240" w:lineRule="auto"/>
        <w:jc w:val="both"/>
        <w:rPr>
          <w:rFonts w:ascii="Times New Roman" w:hAnsi="Times New Roman" w:cs="Times New Roman"/>
          <w:sz w:val="28"/>
          <w:szCs w:val="28"/>
          <w:lang w:val="kk-KZ"/>
        </w:rPr>
      </w:pPr>
      <w:r w:rsidRPr="005D05DC">
        <w:rPr>
          <w:rFonts w:ascii="Times New Roman" w:hAnsi="Times New Roman" w:cs="Times New Roman"/>
          <w:sz w:val="28"/>
          <w:szCs w:val="28"/>
          <w:lang w:val="kk-KZ"/>
        </w:rPr>
        <w:t xml:space="preserve">Кесте </w:t>
      </w:r>
      <w:r w:rsidR="009B76D2">
        <w:rPr>
          <w:rFonts w:ascii="Times New Roman" w:hAnsi="Times New Roman" w:cs="Times New Roman"/>
          <w:sz w:val="28"/>
          <w:szCs w:val="28"/>
          <w:lang w:val="kk-KZ"/>
        </w:rPr>
        <w:t>45</w:t>
      </w:r>
      <w:r w:rsidRPr="005D05DC">
        <w:rPr>
          <w:rFonts w:ascii="Times New Roman" w:hAnsi="Times New Roman" w:cs="Times New Roman"/>
          <w:sz w:val="28"/>
          <w:szCs w:val="28"/>
          <w:lang w:val="kk-KZ"/>
        </w:rPr>
        <w:t xml:space="preserve"> – ҚР АӨК дамыту</w:t>
      </w:r>
      <w:r w:rsidR="00420DC5">
        <w:rPr>
          <w:rFonts w:ascii="Times New Roman" w:hAnsi="Times New Roman" w:cs="Times New Roman"/>
          <w:sz w:val="28"/>
          <w:szCs w:val="28"/>
          <w:lang w:val="kk-KZ"/>
        </w:rPr>
        <w:t>дың ұлттық жобасын іске асыруды бақылау</w:t>
      </w:r>
      <w:r w:rsidRPr="005D05DC">
        <w:rPr>
          <w:rFonts w:ascii="Times New Roman" w:hAnsi="Times New Roman" w:cs="Times New Roman"/>
          <w:sz w:val="28"/>
          <w:szCs w:val="28"/>
          <w:lang w:val="kk-KZ"/>
        </w:rPr>
        <w:t xml:space="preserve"> тәжірибесіндегі кемшіліктер және оның сапасын жақсарту шаралары  </w:t>
      </w:r>
    </w:p>
    <w:p w14:paraId="493CCD77" w14:textId="77777777" w:rsidR="00B331C6" w:rsidRPr="00B331C6" w:rsidRDefault="00B331C6" w:rsidP="00457CE9">
      <w:pPr>
        <w:tabs>
          <w:tab w:val="left" w:pos="1605"/>
        </w:tabs>
        <w:spacing w:after="0" w:line="240" w:lineRule="auto"/>
        <w:jc w:val="both"/>
        <w:rPr>
          <w:rFonts w:ascii="Times New Roman" w:hAnsi="Times New Roman" w:cs="Times New Roman"/>
          <w:sz w:val="16"/>
          <w:szCs w:val="16"/>
          <w:lang w:val="kk-KZ"/>
        </w:rPr>
      </w:pPr>
    </w:p>
    <w:tbl>
      <w:tblPr>
        <w:tblStyle w:val="a3"/>
        <w:tblW w:w="9536" w:type="dxa"/>
        <w:jc w:val="center"/>
        <w:tblLook w:val="04A0" w:firstRow="1" w:lastRow="0" w:firstColumn="1" w:lastColumn="0" w:noHBand="0" w:noVBand="1"/>
      </w:tblPr>
      <w:tblGrid>
        <w:gridCol w:w="5142"/>
        <w:gridCol w:w="4394"/>
      </w:tblGrid>
      <w:tr w:rsidR="00BB2991" w:rsidRPr="005D05DC" w14:paraId="3B52B711" w14:textId="77777777" w:rsidTr="00B331C6">
        <w:trPr>
          <w:jc w:val="center"/>
        </w:trPr>
        <w:tc>
          <w:tcPr>
            <w:tcW w:w="5142" w:type="dxa"/>
            <w:tcBorders>
              <w:top w:val="single" w:sz="4" w:space="0" w:color="auto"/>
              <w:left w:val="single" w:sz="4" w:space="0" w:color="auto"/>
              <w:bottom w:val="single" w:sz="4" w:space="0" w:color="auto"/>
              <w:right w:val="single" w:sz="4" w:space="0" w:color="auto"/>
            </w:tcBorders>
          </w:tcPr>
          <w:p w14:paraId="7910F8A7" w14:textId="77777777"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cs="Times New Roman"/>
                <w:sz w:val="24"/>
                <w:szCs w:val="24"/>
                <w:lang w:val="kk-KZ"/>
              </w:rPr>
              <w:t>Тәжірибедегі кемшіліктер</w:t>
            </w:r>
          </w:p>
        </w:tc>
        <w:tc>
          <w:tcPr>
            <w:tcW w:w="4394" w:type="dxa"/>
            <w:tcBorders>
              <w:top w:val="single" w:sz="4" w:space="0" w:color="auto"/>
              <w:left w:val="single" w:sz="4" w:space="0" w:color="auto"/>
              <w:bottom w:val="single" w:sz="4" w:space="0" w:color="auto"/>
              <w:right w:val="single" w:sz="4" w:space="0" w:color="auto"/>
            </w:tcBorders>
            <w:hideMark/>
          </w:tcPr>
          <w:p w14:paraId="1B2025B1" w14:textId="1DAAC8E0" w:rsidR="00BB2991" w:rsidRPr="005D05DC" w:rsidRDefault="00420DC5" w:rsidP="00457CE9">
            <w:pPr>
              <w:tabs>
                <w:tab w:val="left" w:pos="1605"/>
              </w:tabs>
              <w:rPr>
                <w:rFonts w:ascii="Times New Roman" w:hAnsi="Times New Roman" w:cs="Times New Roman"/>
                <w:sz w:val="24"/>
                <w:szCs w:val="24"/>
                <w:lang w:val="kk-KZ"/>
              </w:rPr>
            </w:pPr>
            <w:r>
              <w:rPr>
                <w:rFonts w:ascii="Times New Roman" w:hAnsi="Times New Roman" w:cs="Times New Roman"/>
                <w:sz w:val="24"/>
                <w:szCs w:val="24"/>
                <w:lang w:val="kk-KZ"/>
              </w:rPr>
              <w:t>Бақылауды</w:t>
            </w:r>
            <w:r w:rsidR="00BB2991" w:rsidRPr="005D05DC">
              <w:rPr>
                <w:rFonts w:ascii="Times New Roman" w:hAnsi="Times New Roman" w:cs="Times New Roman"/>
                <w:sz w:val="24"/>
                <w:szCs w:val="24"/>
                <w:lang w:val="kk-KZ"/>
              </w:rPr>
              <w:t xml:space="preserve"> жақсарту шаралары</w:t>
            </w:r>
          </w:p>
        </w:tc>
      </w:tr>
      <w:tr w:rsidR="00BB2991" w:rsidRPr="00805B3E" w14:paraId="74F4A48C" w14:textId="77777777" w:rsidTr="00B331C6">
        <w:trPr>
          <w:jc w:val="center"/>
        </w:trPr>
        <w:tc>
          <w:tcPr>
            <w:tcW w:w="5142" w:type="dxa"/>
            <w:tcBorders>
              <w:top w:val="single" w:sz="4" w:space="0" w:color="auto"/>
              <w:left w:val="single" w:sz="4" w:space="0" w:color="auto"/>
              <w:bottom w:val="single" w:sz="4" w:space="0" w:color="auto"/>
              <w:right w:val="single" w:sz="4" w:space="0" w:color="auto"/>
            </w:tcBorders>
          </w:tcPr>
          <w:p w14:paraId="64666430" w14:textId="2EE0CFD2"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cs="Times New Roman"/>
                <w:sz w:val="24"/>
                <w:szCs w:val="24"/>
                <w:lang w:val="kk-KZ"/>
              </w:rPr>
              <w:t>ҚР Ауыл шаруашылығы министрлігінің ІАҚ-і тиімділік аудитін жүргізбейді</w:t>
            </w:r>
          </w:p>
        </w:tc>
        <w:tc>
          <w:tcPr>
            <w:tcW w:w="4394" w:type="dxa"/>
            <w:tcBorders>
              <w:top w:val="single" w:sz="4" w:space="0" w:color="auto"/>
              <w:left w:val="single" w:sz="4" w:space="0" w:color="auto"/>
              <w:bottom w:val="single" w:sz="4" w:space="0" w:color="auto"/>
              <w:right w:val="single" w:sz="4" w:space="0" w:color="auto"/>
            </w:tcBorders>
            <w:hideMark/>
          </w:tcPr>
          <w:p w14:paraId="471E6AD1" w14:textId="77777777"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cs="Times New Roman"/>
                <w:sz w:val="24"/>
                <w:szCs w:val="24"/>
                <w:lang w:val="kk-KZ"/>
              </w:rPr>
              <w:t>ҚР АӨК дамыту ұлттық жобасын алдын ала бағалау жүргізу әдістемесін әзірлеу</w:t>
            </w:r>
          </w:p>
        </w:tc>
      </w:tr>
      <w:tr w:rsidR="00BB2991" w:rsidRPr="00805B3E" w14:paraId="477EF738" w14:textId="77777777" w:rsidTr="00B331C6">
        <w:trPr>
          <w:jc w:val="center"/>
        </w:trPr>
        <w:tc>
          <w:tcPr>
            <w:tcW w:w="5142" w:type="dxa"/>
            <w:tcBorders>
              <w:top w:val="single" w:sz="4" w:space="0" w:color="auto"/>
              <w:left w:val="single" w:sz="4" w:space="0" w:color="auto"/>
              <w:bottom w:val="single" w:sz="4" w:space="0" w:color="auto"/>
              <w:right w:val="single" w:sz="4" w:space="0" w:color="auto"/>
            </w:tcBorders>
          </w:tcPr>
          <w:p w14:paraId="4BA1CF4A" w14:textId="5E267A11"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cs="Times New Roman"/>
                <w:sz w:val="24"/>
                <w:szCs w:val="24"/>
                <w:lang w:val="kk-KZ"/>
              </w:rPr>
              <w:t>Стратегиялық жоспарлау басқармасы Мемле</w:t>
            </w:r>
            <w:r w:rsidR="00B331C6">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кеттік жоспарлау жүйесімен, Стратегиялық жоспарларға сәйкес АӨК дамыту бағыттары толық  қамтылмайды</w:t>
            </w:r>
          </w:p>
        </w:tc>
        <w:tc>
          <w:tcPr>
            <w:tcW w:w="4394" w:type="dxa"/>
            <w:tcBorders>
              <w:top w:val="single" w:sz="4" w:space="0" w:color="auto"/>
              <w:left w:val="single" w:sz="4" w:space="0" w:color="auto"/>
              <w:bottom w:val="single" w:sz="4" w:space="0" w:color="auto"/>
              <w:right w:val="single" w:sz="4" w:space="0" w:color="auto"/>
            </w:tcBorders>
            <w:hideMark/>
          </w:tcPr>
          <w:p w14:paraId="199A175D" w14:textId="17EDEB21"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sz w:val="24"/>
                <w:szCs w:val="24"/>
                <w:lang w:val="kk-KZ"/>
              </w:rPr>
              <w:t>Іске асырылатын ұлттық жобаның (бағдарламаның) стратегиялық құжат</w:t>
            </w:r>
            <w:r w:rsidR="00B331C6">
              <w:rPr>
                <w:rFonts w:ascii="Times New Roman" w:hAnsi="Times New Roman"/>
                <w:sz w:val="24"/>
                <w:szCs w:val="24"/>
                <w:lang w:val="kk-KZ"/>
              </w:rPr>
              <w:t xml:space="preserve"> </w:t>
            </w:r>
            <w:r w:rsidRPr="005D05DC">
              <w:rPr>
                <w:rFonts w:ascii="Times New Roman" w:hAnsi="Times New Roman"/>
                <w:sz w:val="24"/>
                <w:szCs w:val="24"/>
                <w:lang w:val="kk-KZ"/>
              </w:rPr>
              <w:t>тарда анықталған мақсаттар мен міндет</w:t>
            </w:r>
            <w:r w:rsidR="00B331C6">
              <w:rPr>
                <w:rFonts w:ascii="Times New Roman" w:hAnsi="Times New Roman"/>
                <w:sz w:val="24"/>
                <w:szCs w:val="24"/>
                <w:lang w:val="kk-KZ"/>
              </w:rPr>
              <w:t xml:space="preserve"> </w:t>
            </w:r>
            <w:r w:rsidRPr="005D05DC">
              <w:rPr>
                <w:rFonts w:ascii="Times New Roman" w:hAnsi="Times New Roman"/>
                <w:sz w:val="24"/>
                <w:szCs w:val="24"/>
                <w:lang w:val="kk-KZ"/>
              </w:rPr>
              <w:t>терін орындаумен үйлесімділігін анықтау</w:t>
            </w:r>
          </w:p>
        </w:tc>
      </w:tr>
      <w:tr w:rsidR="00BB2991" w:rsidRPr="00805B3E" w14:paraId="5A22A395" w14:textId="77777777" w:rsidTr="00B331C6">
        <w:trPr>
          <w:jc w:val="center"/>
        </w:trPr>
        <w:tc>
          <w:tcPr>
            <w:tcW w:w="5142" w:type="dxa"/>
            <w:tcBorders>
              <w:top w:val="single" w:sz="4" w:space="0" w:color="auto"/>
              <w:left w:val="single" w:sz="4" w:space="0" w:color="auto"/>
              <w:bottom w:val="single" w:sz="4" w:space="0" w:color="auto"/>
              <w:right w:val="single" w:sz="4" w:space="0" w:color="auto"/>
            </w:tcBorders>
          </w:tcPr>
          <w:p w14:paraId="3F63C4C2" w14:textId="5B2E28F0"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cs="Times New Roman"/>
                <w:sz w:val="24"/>
                <w:szCs w:val="24"/>
                <w:lang w:val="kk-KZ"/>
              </w:rPr>
              <w:t xml:space="preserve">Ауыл шаруашылығы министрлігінің ІАҚ-мен </w:t>
            </w:r>
            <w:r w:rsidR="00FE4779">
              <w:rPr>
                <w:rFonts w:ascii="Times New Roman" w:hAnsi="Times New Roman" w:cs="Times New Roman"/>
                <w:sz w:val="24"/>
                <w:szCs w:val="24"/>
                <w:lang w:val="kk-KZ"/>
              </w:rPr>
              <w:t xml:space="preserve">көрсеткіштерге қол жеткізу іс-шараларының кешенді талдауы </w:t>
            </w:r>
            <w:r w:rsidRPr="005D05DC">
              <w:rPr>
                <w:rFonts w:ascii="Times New Roman" w:hAnsi="Times New Roman" w:cs="Times New Roman"/>
                <w:sz w:val="24"/>
                <w:szCs w:val="24"/>
                <w:lang w:val="kk-KZ"/>
              </w:rPr>
              <w:t>жүргізілмейді</w:t>
            </w:r>
          </w:p>
        </w:tc>
        <w:tc>
          <w:tcPr>
            <w:tcW w:w="4394" w:type="dxa"/>
            <w:tcBorders>
              <w:top w:val="single" w:sz="4" w:space="0" w:color="auto"/>
              <w:left w:val="single" w:sz="4" w:space="0" w:color="auto"/>
              <w:bottom w:val="single" w:sz="4" w:space="0" w:color="auto"/>
              <w:right w:val="single" w:sz="4" w:space="0" w:color="auto"/>
            </w:tcBorders>
            <w:hideMark/>
          </w:tcPr>
          <w:p w14:paraId="718017EC" w14:textId="1D6216AD"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sz w:val="24"/>
                <w:szCs w:val="24"/>
                <w:lang w:val="kk-KZ"/>
              </w:rPr>
              <w:t>Ұлттық жобаның мақсатына жету үшін анықталған міндеттері мен оларды іске асырудың іс-шараларының жеткілікті</w:t>
            </w:r>
            <w:r w:rsidR="00B331C6">
              <w:rPr>
                <w:rFonts w:ascii="Times New Roman" w:hAnsi="Times New Roman"/>
                <w:sz w:val="24"/>
                <w:szCs w:val="24"/>
                <w:lang w:val="kk-KZ"/>
              </w:rPr>
              <w:t xml:space="preserve"> </w:t>
            </w:r>
            <w:r w:rsidRPr="005D05DC">
              <w:rPr>
                <w:rFonts w:ascii="Times New Roman" w:hAnsi="Times New Roman"/>
                <w:sz w:val="24"/>
                <w:szCs w:val="24"/>
                <w:lang w:val="kk-KZ"/>
              </w:rPr>
              <w:t>лігін бағалау</w:t>
            </w:r>
          </w:p>
        </w:tc>
      </w:tr>
      <w:tr w:rsidR="00BB2991" w:rsidRPr="00805B3E" w14:paraId="6AA4769E" w14:textId="77777777" w:rsidTr="00B331C6">
        <w:trPr>
          <w:jc w:val="center"/>
        </w:trPr>
        <w:tc>
          <w:tcPr>
            <w:tcW w:w="5142" w:type="dxa"/>
            <w:tcBorders>
              <w:top w:val="single" w:sz="4" w:space="0" w:color="auto"/>
              <w:left w:val="single" w:sz="4" w:space="0" w:color="auto"/>
              <w:bottom w:val="single" w:sz="4" w:space="0" w:color="auto"/>
              <w:right w:val="single" w:sz="4" w:space="0" w:color="auto"/>
            </w:tcBorders>
          </w:tcPr>
          <w:p w14:paraId="2452CE37" w14:textId="19B56CBE"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cs="Times New Roman"/>
                <w:sz w:val="24"/>
                <w:szCs w:val="24"/>
                <w:lang w:val="kk-KZ"/>
              </w:rPr>
              <w:t>Салалық департаменттер АӨК бағыты бойын</w:t>
            </w:r>
            <w:r w:rsidR="00B331C6">
              <w:rPr>
                <w:rFonts w:ascii="Times New Roman" w:hAnsi="Times New Roman" w:cs="Times New Roman"/>
                <w:sz w:val="24"/>
                <w:szCs w:val="24"/>
                <w:lang w:val="kk-KZ"/>
              </w:rPr>
              <w:t xml:space="preserve"> </w:t>
            </w:r>
            <w:r w:rsidRPr="005D05DC">
              <w:rPr>
                <w:rFonts w:ascii="Times New Roman" w:hAnsi="Times New Roman" w:cs="Times New Roman"/>
                <w:sz w:val="24"/>
                <w:szCs w:val="24"/>
                <w:lang w:val="kk-KZ"/>
              </w:rPr>
              <w:t>ша негізгі көрсеткіштер мен іс-шараларды белгілейді, мониторингі жоқ</w:t>
            </w:r>
          </w:p>
        </w:tc>
        <w:tc>
          <w:tcPr>
            <w:tcW w:w="4394" w:type="dxa"/>
            <w:tcBorders>
              <w:top w:val="single" w:sz="4" w:space="0" w:color="auto"/>
              <w:left w:val="single" w:sz="4" w:space="0" w:color="auto"/>
              <w:bottom w:val="single" w:sz="4" w:space="0" w:color="auto"/>
              <w:right w:val="single" w:sz="4" w:space="0" w:color="auto"/>
            </w:tcBorders>
            <w:hideMark/>
          </w:tcPr>
          <w:p w14:paraId="17BDE26F" w14:textId="174F85A0" w:rsidR="00BB2991" w:rsidRPr="005D05DC" w:rsidRDefault="00BB2991" w:rsidP="00457CE9">
            <w:pPr>
              <w:tabs>
                <w:tab w:val="left" w:pos="1605"/>
              </w:tabs>
              <w:rPr>
                <w:rFonts w:ascii="Times New Roman" w:hAnsi="Times New Roman" w:cs="Times New Roman"/>
                <w:sz w:val="24"/>
                <w:szCs w:val="24"/>
                <w:lang w:val="kk-KZ"/>
              </w:rPr>
            </w:pPr>
            <w:r w:rsidRPr="005D05DC">
              <w:rPr>
                <w:rFonts w:ascii="Times New Roman" w:hAnsi="Times New Roman"/>
                <w:sz w:val="24"/>
                <w:szCs w:val="24"/>
                <w:lang w:val="kk-KZ"/>
              </w:rPr>
              <w:t>Ұлттық жоба көрсеткіштері</w:t>
            </w:r>
            <w:r w:rsidR="00FE4779">
              <w:rPr>
                <w:rFonts w:ascii="Times New Roman" w:hAnsi="Times New Roman"/>
                <w:sz w:val="24"/>
                <w:szCs w:val="24"/>
                <w:lang w:val="kk-KZ"/>
              </w:rPr>
              <w:t>н</w:t>
            </w:r>
            <w:r w:rsidRPr="005D05DC">
              <w:rPr>
                <w:rFonts w:ascii="Times New Roman" w:hAnsi="Times New Roman"/>
                <w:sz w:val="24"/>
                <w:szCs w:val="24"/>
                <w:lang w:val="kk-KZ"/>
              </w:rPr>
              <w:t xml:space="preserve"> жоспарлау және болжау әдістемесін әзірлеу</w:t>
            </w:r>
          </w:p>
        </w:tc>
      </w:tr>
      <w:tr w:rsidR="009E1C37" w:rsidRPr="00457CE9" w14:paraId="157551E2" w14:textId="77777777" w:rsidTr="00B331C6">
        <w:trPr>
          <w:jc w:val="center"/>
        </w:trPr>
        <w:tc>
          <w:tcPr>
            <w:tcW w:w="9536" w:type="dxa"/>
            <w:gridSpan w:val="2"/>
            <w:tcBorders>
              <w:top w:val="single" w:sz="4" w:space="0" w:color="auto"/>
              <w:left w:val="single" w:sz="4" w:space="0" w:color="auto"/>
              <w:bottom w:val="single" w:sz="4" w:space="0" w:color="auto"/>
              <w:right w:val="single" w:sz="4" w:space="0" w:color="auto"/>
            </w:tcBorders>
            <w:hideMark/>
          </w:tcPr>
          <w:p w14:paraId="42677160" w14:textId="60717B92" w:rsidR="009E1C37" w:rsidRPr="00457CE9" w:rsidRDefault="009E1C37" w:rsidP="00B331C6">
            <w:pPr>
              <w:tabs>
                <w:tab w:val="left" w:pos="1605"/>
              </w:tabs>
              <w:ind w:firstLine="714"/>
              <w:rPr>
                <w:rFonts w:ascii="Times New Roman" w:hAnsi="Times New Roman" w:cs="Times New Roman"/>
                <w:sz w:val="24"/>
                <w:szCs w:val="24"/>
                <w:lang w:val="kk-KZ"/>
              </w:rPr>
            </w:pPr>
            <w:r w:rsidRPr="00457CE9">
              <w:rPr>
                <w:rFonts w:ascii="Times New Roman" w:hAnsi="Times New Roman" w:cs="Times New Roman"/>
                <w:sz w:val="24"/>
                <w:szCs w:val="24"/>
                <w:lang w:val="kk-KZ"/>
              </w:rPr>
              <w:t xml:space="preserve">Ескерту – </w:t>
            </w:r>
            <w:r w:rsidR="005D05DC" w:rsidRPr="00457CE9">
              <w:rPr>
                <w:rFonts w:ascii="Times New Roman" w:hAnsi="Times New Roman" w:cs="Times New Roman"/>
                <w:sz w:val="24"/>
                <w:szCs w:val="24"/>
                <w:lang w:val="kk-KZ"/>
              </w:rPr>
              <w:t>З</w:t>
            </w:r>
            <w:r w:rsidRPr="00457CE9">
              <w:rPr>
                <w:rFonts w:ascii="Times New Roman" w:hAnsi="Times New Roman" w:cs="Times New Roman"/>
                <w:sz w:val="24"/>
                <w:szCs w:val="24"/>
                <w:lang w:val="kk-KZ"/>
              </w:rPr>
              <w:t>ерттеу негізінде автормен құрастырылған</w:t>
            </w:r>
          </w:p>
        </w:tc>
      </w:tr>
    </w:tbl>
    <w:p w14:paraId="7A910621" w14:textId="77777777" w:rsidR="00BE3507" w:rsidRDefault="00BE3507" w:rsidP="00B331C6">
      <w:pPr>
        <w:spacing w:after="0" w:line="240" w:lineRule="auto"/>
        <w:ind w:firstLine="709"/>
        <w:jc w:val="both"/>
        <w:rPr>
          <w:rFonts w:ascii="Times New Roman" w:hAnsi="Times New Roman" w:cs="Times New Roman"/>
          <w:sz w:val="28"/>
          <w:szCs w:val="28"/>
          <w:lang w:val="kk-KZ"/>
        </w:rPr>
      </w:pPr>
    </w:p>
    <w:p w14:paraId="17989837" w14:textId="77777777" w:rsidR="009E1C37" w:rsidRPr="00457CE9" w:rsidRDefault="009E1C37"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Біздің ойымызша АӨК дамытуға жауапты аудит объектісі қызметіне қатысты келесі жағдайларда ескерілуге тиіс:</w:t>
      </w:r>
    </w:p>
    <w:p w14:paraId="54143080" w14:textId="77777777" w:rsidR="009E1C37" w:rsidRPr="00457CE9" w:rsidRDefault="009E1C37" w:rsidP="0097172E">
      <w:pPr>
        <w:pStyle w:val="a5"/>
        <w:numPr>
          <w:ilvl w:val="0"/>
          <w:numId w:val="38"/>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саладағы қызметтің барлық аспектілерін қамтитын құқықтық базасының болуы;</w:t>
      </w:r>
    </w:p>
    <w:p w14:paraId="25957305" w14:textId="77777777" w:rsidR="009E1C37" w:rsidRPr="00457CE9" w:rsidRDefault="009E1C37" w:rsidP="0097172E">
      <w:pPr>
        <w:pStyle w:val="a5"/>
        <w:numPr>
          <w:ilvl w:val="0"/>
          <w:numId w:val="38"/>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саланың мемлекеттік саясатқа сәйкес стратегиялық мақсаттары мен нысаналы индикаторларының белгіленуі;</w:t>
      </w:r>
    </w:p>
    <w:p w14:paraId="716A5C75" w14:textId="660BBCD7" w:rsidR="009E1C37" w:rsidRPr="00457CE9" w:rsidRDefault="009E1C37" w:rsidP="0097172E">
      <w:pPr>
        <w:pStyle w:val="a5"/>
        <w:numPr>
          <w:ilvl w:val="0"/>
          <w:numId w:val="38"/>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мақсаттар мен міндеттерді іске асыру үшін бөлінген қаржы және еңбек ресурстары</w:t>
      </w:r>
      <w:r w:rsidR="00FE4779">
        <w:rPr>
          <w:rFonts w:ascii="Times New Roman" w:hAnsi="Times New Roman"/>
          <w:sz w:val="28"/>
          <w:szCs w:val="28"/>
          <w:lang w:val="kk-KZ"/>
        </w:rPr>
        <w:t>ның жеткіліктілігі</w:t>
      </w:r>
      <w:r w:rsidRPr="00457CE9">
        <w:rPr>
          <w:rFonts w:ascii="Times New Roman" w:hAnsi="Times New Roman"/>
          <w:sz w:val="28"/>
          <w:szCs w:val="28"/>
          <w:lang w:val="kk-KZ"/>
        </w:rPr>
        <w:t>;</w:t>
      </w:r>
    </w:p>
    <w:p w14:paraId="1869E5F3" w14:textId="77777777" w:rsidR="009E1C37" w:rsidRPr="00457CE9" w:rsidRDefault="009E1C37" w:rsidP="0097172E">
      <w:pPr>
        <w:pStyle w:val="a5"/>
        <w:numPr>
          <w:ilvl w:val="0"/>
          <w:numId w:val="38"/>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жоспарланған көрсеткіштердің мониторингі;</w:t>
      </w:r>
    </w:p>
    <w:p w14:paraId="31A74F0E" w14:textId="77777777" w:rsidR="009E1C37" w:rsidRPr="00457CE9" w:rsidRDefault="009E1C37" w:rsidP="0097172E">
      <w:pPr>
        <w:pStyle w:val="a5"/>
        <w:numPr>
          <w:ilvl w:val="0"/>
          <w:numId w:val="38"/>
        </w:numPr>
        <w:tabs>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басқа елдермен салыстырмалы түрдегі негізгі ұлттық көрсеткіштер. </w:t>
      </w:r>
    </w:p>
    <w:p w14:paraId="497A1BCC" w14:textId="77777777" w:rsidR="00FE4779" w:rsidRDefault="004704A7"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ҚР АӨК-н дамытуға бағытталған бюджет қаражаты</w:t>
      </w:r>
      <w:r w:rsidR="00FE4779">
        <w:rPr>
          <w:rFonts w:ascii="Times New Roman" w:hAnsi="Times New Roman" w:cs="Times New Roman"/>
          <w:sz w:val="28"/>
          <w:szCs w:val="28"/>
          <w:lang w:val="kk-KZ"/>
        </w:rPr>
        <w:t>н пайдалану</w:t>
      </w:r>
      <w:r w:rsidRPr="00457CE9">
        <w:rPr>
          <w:rFonts w:ascii="Times New Roman" w:hAnsi="Times New Roman" w:cs="Times New Roman"/>
          <w:sz w:val="28"/>
          <w:szCs w:val="28"/>
          <w:lang w:val="kk-KZ"/>
        </w:rPr>
        <w:t xml:space="preserve"> тиімділігі аудитінің қорытындылары бойынша ҚР Ұлттық қордан нысаналы трансферттердің, жергілікті бюджеттен бөлінген қаражатқа тиімділік аудиті дер кезінде жүргізілмейтінін, АШМ ішкі аудит қызметінің аудиторлық есептері ресми сайтта жарияланбайтыны анықталды. </w:t>
      </w:r>
    </w:p>
    <w:p w14:paraId="2D5E7974" w14:textId="238890F4" w:rsidR="004704A7" w:rsidRPr="00457CE9" w:rsidRDefault="00FE4779" w:rsidP="00457CE9">
      <w:pPr>
        <w:tabs>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Диссертациялық жұмыста </w:t>
      </w:r>
      <w:r w:rsidR="004704A7" w:rsidRPr="00457CE9">
        <w:rPr>
          <w:rFonts w:ascii="Times New Roman" w:hAnsi="Times New Roman" w:cs="Times New Roman"/>
          <w:sz w:val="28"/>
          <w:szCs w:val="28"/>
          <w:lang w:val="kk-KZ"/>
        </w:rPr>
        <w:t>АӨК дамытудың ұлттық жобасы бойынша бюджет қаражатын</w:t>
      </w:r>
      <w:r>
        <w:rPr>
          <w:rFonts w:ascii="Times New Roman" w:hAnsi="Times New Roman" w:cs="Times New Roman"/>
          <w:sz w:val="28"/>
          <w:szCs w:val="28"/>
          <w:lang w:val="kk-KZ"/>
        </w:rPr>
        <w:t xml:space="preserve"> пайдалану</w:t>
      </w:r>
      <w:r w:rsidR="004704A7" w:rsidRPr="00457CE9">
        <w:rPr>
          <w:rFonts w:ascii="Times New Roman" w:hAnsi="Times New Roman" w:cs="Times New Roman"/>
          <w:sz w:val="28"/>
          <w:szCs w:val="28"/>
          <w:lang w:val="kk-KZ"/>
        </w:rPr>
        <w:t xml:space="preserve"> тиімділі</w:t>
      </w:r>
      <w:r>
        <w:rPr>
          <w:rFonts w:ascii="Times New Roman" w:hAnsi="Times New Roman" w:cs="Times New Roman"/>
          <w:sz w:val="28"/>
          <w:szCs w:val="28"/>
          <w:lang w:val="kk-KZ"/>
        </w:rPr>
        <w:t>гінің</w:t>
      </w:r>
      <w:r w:rsidR="004704A7" w:rsidRPr="00457CE9">
        <w:rPr>
          <w:rFonts w:ascii="Times New Roman" w:hAnsi="Times New Roman" w:cs="Times New Roman"/>
          <w:sz w:val="28"/>
          <w:szCs w:val="28"/>
          <w:lang w:val="kk-KZ"/>
        </w:rPr>
        <w:t xml:space="preserve"> аудитін ұйымдастыру және жүргізу кезінде сапасын қамтамасыз ету мақсатында басшылыққа алынатын негізгі бағыттары мен критерийлері жасалып ұсынылды. </w:t>
      </w:r>
    </w:p>
    <w:p w14:paraId="62DBE997" w14:textId="6BDFFB95" w:rsidR="00A726B6" w:rsidRPr="00457CE9" w:rsidRDefault="00647B71" w:rsidP="00457CE9">
      <w:pPr>
        <w:tabs>
          <w:tab w:val="left" w:pos="993"/>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w:t>
      </w:r>
      <w:r w:rsidR="00A726B6" w:rsidRPr="00457CE9">
        <w:rPr>
          <w:rFonts w:ascii="Times New Roman" w:hAnsi="Times New Roman" w:cs="Times New Roman"/>
          <w:sz w:val="28"/>
          <w:szCs w:val="28"/>
          <w:lang w:val="kk-KZ"/>
        </w:rPr>
        <w:t>АӨК дамытуға бағытталған бюджет қаражатын</w:t>
      </w:r>
      <w:r w:rsidR="00833075" w:rsidRPr="00457CE9">
        <w:rPr>
          <w:rFonts w:ascii="Times New Roman" w:hAnsi="Times New Roman" w:cs="Times New Roman"/>
          <w:sz w:val="28"/>
          <w:szCs w:val="28"/>
          <w:lang w:val="kk-KZ"/>
        </w:rPr>
        <w:t xml:space="preserve"> пайдалану</w:t>
      </w:r>
      <w:r w:rsidR="00A726B6" w:rsidRPr="00457CE9">
        <w:rPr>
          <w:rFonts w:ascii="Times New Roman" w:hAnsi="Times New Roman" w:cs="Times New Roman"/>
          <w:sz w:val="28"/>
          <w:szCs w:val="28"/>
          <w:lang w:val="kk-KZ"/>
        </w:rPr>
        <w:t xml:space="preserve"> тиімділі</w:t>
      </w:r>
      <w:r w:rsidR="00FE4779">
        <w:rPr>
          <w:rFonts w:ascii="Times New Roman" w:hAnsi="Times New Roman" w:cs="Times New Roman"/>
          <w:sz w:val="28"/>
          <w:szCs w:val="28"/>
          <w:lang w:val="kk-KZ"/>
        </w:rPr>
        <w:t>гінің</w:t>
      </w:r>
      <w:r w:rsidR="00833075" w:rsidRPr="00457CE9">
        <w:rPr>
          <w:rFonts w:ascii="Times New Roman" w:hAnsi="Times New Roman" w:cs="Times New Roman"/>
          <w:sz w:val="28"/>
          <w:szCs w:val="28"/>
          <w:lang w:val="kk-KZ"/>
        </w:rPr>
        <w:t xml:space="preserve"> аудиті кезінде</w:t>
      </w:r>
      <w:r w:rsidR="00A726B6" w:rsidRPr="00457CE9">
        <w:rPr>
          <w:rFonts w:ascii="Times New Roman" w:hAnsi="Times New Roman" w:cs="Times New Roman"/>
          <w:sz w:val="28"/>
          <w:szCs w:val="28"/>
          <w:lang w:val="kk-KZ"/>
        </w:rPr>
        <w:t xml:space="preserve"> бағалау критерийлерін келесідей деп анықтау</w:t>
      </w:r>
      <w:r w:rsidR="00833075" w:rsidRPr="00457CE9">
        <w:rPr>
          <w:rFonts w:ascii="Times New Roman" w:hAnsi="Times New Roman" w:cs="Times New Roman"/>
          <w:sz w:val="28"/>
          <w:szCs w:val="28"/>
          <w:lang w:val="kk-KZ"/>
        </w:rPr>
        <w:t xml:space="preserve"> ұсыныла</w:t>
      </w:r>
      <w:r w:rsidR="00A726B6" w:rsidRPr="00457CE9">
        <w:rPr>
          <w:rFonts w:ascii="Times New Roman" w:hAnsi="Times New Roman" w:cs="Times New Roman"/>
          <w:sz w:val="28"/>
          <w:szCs w:val="28"/>
          <w:lang w:val="kk-KZ"/>
        </w:rPr>
        <w:t>ды:</w:t>
      </w:r>
    </w:p>
    <w:p w14:paraId="299D1EDF" w14:textId="2F47167F" w:rsidR="00A726B6" w:rsidRPr="00457CE9" w:rsidRDefault="00426E6A" w:rsidP="0097172E">
      <w:pPr>
        <w:pStyle w:val="a5"/>
        <w:numPr>
          <w:ilvl w:val="0"/>
          <w:numId w:val="28"/>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АӨК-дегі </w:t>
      </w:r>
      <w:r w:rsidR="00A726B6" w:rsidRPr="00457CE9">
        <w:rPr>
          <w:rFonts w:ascii="Times New Roman" w:hAnsi="Times New Roman"/>
          <w:sz w:val="28"/>
          <w:szCs w:val="28"/>
          <w:lang w:val="kk-KZ"/>
        </w:rPr>
        <w:t>еңбек өнімділігінің көрсеткіштері;</w:t>
      </w:r>
    </w:p>
    <w:p w14:paraId="0BB622C3" w14:textId="77777777" w:rsidR="00A726B6" w:rsidRPr="00457CE9" w:rsidRDefault="00A726B6" w:rsidP="0097172E">
      <w:pPr>
        <w:pStyle w:val="a5"/>
        <w:numPr>
          <w:ilvl w:val="0"/>
          <w:numId w:val="28"/>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шаруашылық өнімдерінің өнімділігі (өсімдік және мал шаруашылығы бағыттары бойынша);</w:t>
      </w:r>
    </w:p>
    <w:p w14:paraId="65604CD5" w14:textId="77777777" w:rsidR="00A726B6" w:rsidRPr="00457CE9" w:rsidRDefault="00A726B6" w:rsidP="0097172E">
      <w:pPr>
        <w:pStyle w:val="a5"/>
        <w:numPr>
          <w:ilvl w:val="0"/>
          <w:numId w:val="28"/>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ауылдағы өмір сапасының жақсаруы;</w:t>
      </w:r>
    </w:p>
    <w:p w14:paraId="3A7077D9" w14:textId="2C8F5281" w:rsidR="00A726B6" w:rsidRPr="00457CE9" w:rsidRDefault="00A726B6" w:rsidP="0097172E">
      <w:pPr>
        <w:pStyle w:val="a5"/>
        <w:numPr>
          <w:ilvl w:val="0"/>
          <w:numId w:val="28"/>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азық</w:t>
      </w:r>
      <w:r w:rsidR="004A78EB" w:rsidRPr="00457CE9">
        <w:rPr>
          <w:rFonts w:ascii="Times New Roman" w:hAnsi="Times New Roman"/>
          <w:sz w:val="28"/>
          <w:szCs w:val="28"/>
          <w:lang w:val="kk-KZ"/>
        </w:rPr>
        <w:t>-</w:t>
      </w:r>
      <w:r w:rsidRPr="00457CE9">
        <w:rPr>
          <w:rFonts w:ascii="Times New Roman" w:hAnsi="Times New Roman"/>
          <w:sz w:val="28"/>
          <w:szCs w:val="28"/>
          <w:lang w:val="kk-KZ"/>
        </w:rPr>
        <w:t xml:space="preserve">түліктік қауіпсіздік картасын облыстар, республикалық маңызы бар қалалар, астана бойынша </w:t>
      </w:r>
      <w:r w:rsidR="00426E6A" w:rsidRPr="00457CE9">
        <w:rPr>
          <w:rFonts w:ascii="Times New Roman" w:hAnsi="Times New Roman"/>
          <w:sz w:val="28"/>
          <w:szCs w:val="28"/>
          <w:lang w:val="kk-KZ"/>
        </w:rPr>
        <w:t xml:space="preserve">дайындау және оның қамтамасыз етілуін </w:t>
      </w:r>
      <w:r w:rsidRPr="00457CE9">
        <w:rPr>
          <w:rFonts w:ascii="Times New Roman" w:hAnsi="Times New Roman"/>
          <w:sz w:val="28"/>
          <w:szCs w:val="28"/>
          <w:lang w:val="kk-KZ"/>
        </w:rPr>
        <w:t>анықтау;</w:t>
      </w:r>
    </w:p>
    <w:p w14:paraId="07B28BF7" w14:textId="7CAF4175" w:rsidR="00A726B6" w:rsidRPr="00457CE9" w:rsidRDefault="004A78EB" w:rsidP="0097172E">
      <w:pPr>
        <w:pStyle w:val="a5"/>
        <w:numPr>
          <w:ilvl w:val="0"/>
          <w:numId w:val="28"/>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шаруашылық өнімдердің экспортын ұлғайту және қайта өңделген ауыл шаруашылық өнімдерінің импортын төмендету.</w:t>
      </w:r>
      <w:r w:rsidR="00A726B6" w:rsidRPr="00457CE9">
        <w:rPr>
          <w:rFonts w:ascii="Times New Roman" w:hAnsi="Times New Roman"/>
          <w:sz w:val="28"/>
          <w:szCs w:val="28"/>
          <w:lang w:val="kk-KZ"/>
        </w:rPr>
        <w:t xml:space="preserve"> </w:t>
      </w:r>
    </w:p>
    <w:p w14:paraId="6A04A2B7" w14:textId="1A8E7F28" w:rsidR="00FA553E" w:rsidRPr="00457CE9" w:rsidRDefault="00FA553E" w:rsidP="00457CE9">
      <w:pPr>
        <w:spacing w:after="0" w:line="240" w:lineRule="auto"/>
        <w:ind w:firstLine="709"/>
        <w:jc w:val="both"/>
        <w:rPr>
          <w:rFonts w:ascii="Times New Roman" w:hAnsi="Times New Roman" w:cs="Times New Roman"/>
          <w:sz w:val="28"/>
          <w:szCs w:val="28"/>
          <w:lang w:val="kk-KZ"/>
        </w:rPr>
      </w:pPr>
      <w:r w:rsidRPr="00B331C6">
        <w:rPr>
          <w:rFonts w:ascii="Times New Roman" w:hAnsi="Times New Roman" w:cs="Times New Roman"/>
          <w:sz w:val="28"/>
          <w:szCs w:val="28"/>
          <w:lang w:val="kk-KZ"/>
        </w:rPr>
        <w:t>ҚР АӨК дамытуға бағытталған бюджет қаражаты</w:t>
      </w:r>
      <w:r w:rsidR="004F4597">
        <w:rPr>
          <w:rFonts w:ascii="Times New Roman" w:hAnsi="Times New Roman" w:cs="Times New Roman"/>
          <w:sz w:val="28"/>
          <w:szCs w:val="28"/>
          <w:lang w:val="kk-KZ"/>
        </w:rPr>
        <w:t>н пайдалану</w:t>
      </w:r>
      <w:r w:rsidRPr="00B331C6">
        <w:rPr>
          <w:rFonts w:ascii="Times New Roman" w:hAnsi="Times New Roman" w:cs="Times New Roman"/>
          <w:sz w:val="28"/>
          <w:szCs w:val="28"/>
          <w:lang w:val="kk-KZ"/>
        </w:rPr>
        <w:t xml:space="preserve"> тиімділігінің аудитін жүргізу ҚР АШМ-нің ішкі аудит қызметіне де жүктелген. Жоғарыда талдау барысында АӨК дамыту бойынша іс-шаралар жеткіліксіздігі, яғни жоспарлау, өткізу, мониторинг</w:t>
      </w:r>
      <w:r w:rsidR="00561ECA" w:rsidRPr="00B331C6">
        <w:rPr>
          <w:rFonts w:ascii="Times New Roman" w:hAnsi="Times New Roman" w:cs="Times New Roman"/>
          <w:sz w:val="28"/>
          <w:szCs w:val="28"/>
          <w:lang w:val="kk-KZ"/>
        </w:rPr>
        <w:t xml:space="preserve"> жасалмауы тағы басқа жүйелі кемшіліктерді дер кезінде анықтайтын ІАҚ болып табылады. Дегенмен орталық мемлекеттік органның, жергілікті атқарушы органдарының ІАҚ-не жыл сайын ІМАД-ті баға беретінін ресми сайттағы ақпараттардан көруге болады. Сол мәліметтерден АШМ ІАҚ-не 2020-2021, 2023 жылдары тиімді деген баға берілген, тек 2022 жылы ғана қанағаттанарлық деп анықталған</w:t>
      </w:r>
      <w:r w:rsidR="00AB5119" w:rsidRPr="00B331C6">
        <w:rPr>
          <w:rFonts w:ascii="Times New Roman" w:hAnsi="Times New Roman" w:cs="Times New Roman"/>
          <w:sz w:val="28"/>
          <w:szCs w:val="28"/>
          <w:lang w:val="kk-KZ"/>
        </w:rPr>
        <w:t xml:space="preserve"> [1</w:t>
      </w:r>
      <w:r w:rsidR="00420DC5">
        <w:rPr>
          <w:rFonts w:ascii="Times New Roman" w:hAnsi="Times New Roman" w:cs="Times New Roman"/>
          <w:sz w:val="28"/>
          <w:szCs w:val="28"/>
          <w:lang w:val="kk-KZ"/>
        </w:rPr>
        <w:t>40</w:t>
      </w:r>
      <w:r w:rsidR="00E87E51">
        <w:rPr>
          <w:rFonts w:ascii="Times New Roman" w:hAnsi="Times New Roman" w:cs="Times New Roman"/>
          <w:sz w:val="28"/>
          <w:szCs w:val="28"/>
          <w:lang w:val="kk-KZ"/>
        </w:rPr>
        <w:t>-1</w:t>
      </w:r>
      <w:r w:rsidR="00420DC5">
        <w:rPr>
          <w:rFonts w:ascii="Times New Roman" w:hAnsi="Times New Roman" w:cs="Times New Roman"/>
          <w:sz w:val="28"/>
          <w:szCs w:val="28"/>
          <w:lang w:val="kk-KZ"/>
        </w:rPr>
        <w:t>41</w:t>
      </w:r>
      <w:r w:rsidR="00AB5119" w:rsidRPr="00B331C6">
        <w:rPr>
          <w:rFonts w:ascii="Times New Roman" w:hAnsi="Times New Roman" w:cs="Times New Roman"/>
          <w:sz w:val="28"/>
          <w:szCs w:val="28"/>
          <w:lang w:val="kk-KZ"/>
        </w:rPr>
        <w:t>]</w:t>
      </w:r>
      <w:r w:rsidR="00561ECA" w:rsidRPr="00B331C6">
        <w:rPr>
          <w:rFonts w:ascii="Times New Roman" w:hAnsi="Times New Roman" w:cs="Times New Roman"/>
          <w:sz w:val="28"/>
          <w:szCs w:val="28"/>
          <w:lang w:val="kk-KZ"/>
        </w:rPr>
        <w:t xml:space="preserve">. </w:t>
      </w:r>
      <w:r w:rsidR="00E529A9">
        <w:rPr>
          <w:rFonts w:ascii="Times New Roman" w:hAnsi="Times New Roman" w:cs="Times New Roman"/>
          <w:sz w:val="28"/>
          <w:szCs w:val="28"/>
          <w:lang w:val="kk-KZ"/>
        </w:rPr>
        <w:t xml:space="preserve">АШМ-нің </w:t>
      </w:r>
      <w:r w:rsidR="00561ECA" w:rsidRPr="00B331C6">
        <w:rPr>
          <w:rFonts w:ascii="Times New Roman" w:hAnsi="Times New Roman" w:cs="Times New Roman"/>
          <w:sz w:val="28"/>
          <w:szCs w:val="28"/>
          <w:lang w:val="kk-KZ"/>
        </w:rPr>
        <w:t>ІАҚ-не осындай</w:t>
      </w:r>
      <w:r w:rsidR="00E529A9">
        <w:rPr>
          <w:rFonts w:ascii="Times New Roman" w:hAnsi="Times New Roman" w:cs="Times New Roman"/>
          <w:sz w:val="28"/>
          <w:szCs w:val="28"/>
          <w:lang w:val="kk-KZ"/>
        </w:rPr>
        <w:t xml:space="preserve"> жоғары</w:t>
      </w:r>
      <w:r w:rsidR="00561ECA" w:rsidRPr="00B331C6">
        <w:rPr>
          <w:rFonts w:ascii="Times New Roman" w:hAnsi="Times New Roman" w:cs="Times New Roman"/>
          <w:sz w:val="28"/>
          <w:szCs w:val="28"/>
          <w:lang w:val="kk-KZ"/>
        </w:rPr>
        <w:t xml:space="preserve"> баға беруі </w:t>
      </w:r>
      <w:r w:rsidR="00E529A9">
        <w:rPr>
          <w:rFonts w:ascii="Times New Roman" w:hAnsi="Times New Roman" w:cs="Times New Roman"/>
          <w:sz w:val="28"/>
          <w:szCs w:val="28"/>
          <w:lang w:val="kk-KZ"/>
        </w:rPr>
        <w:t xml:space="preserve">орталық мемлекеттік органдар қызметіне баға беру әдістемесінде бағалау критерийлері жеткілікті деңгейде объективті баға беруге мүмкіндік бермейді деген </w:t>
      </w:r>
      <w:r w:rsidR="00561ECA" w:rsidRPr="00B331C6">
        <w:rPr>
          <w:rFonts w:ascii="Times New Roman" w:hAnsi="Times New Roman" w:cs="Times New Roman"/>
          <w:sz w:val="28"/>
          <w:szCs w:val="28"/>
          <w:lang w:val="kk-KZ"/>
        </w:rPr>
        <w:t>қорытындыға келіп отырмыз.</w:t>
      </w:r>
      <w:r w:rsidR="00561ECA" w:rsidRPr="00457CE9">
        <w:rPr>
          <w:rFonts w:ascii="Times New Roman" w:hAnsi="Times New Roman" w:cs="Times New Roman"/>
          <w:sz w:val="28"/>
          <w:szCs w:val="28"/>
          <w:lang w:val="kk-KZ"/>
        </w:rPr>
        <w:t xml:space="preserve">  </w:t>
      </w:r>
    </w:p>
    <w:p w14:paraId="4B518FDB" w14:textId="1DE70810" w:rsidR="005275A1" w:rsidRPr="00FA7615" w:rsidRDefault="00FA2A53" w:rsidP="00457CE9">
      <w:pPr>
        <w:spacing w:after="0" w:line="240" w:lineRule="auto"/>
        <w:ind w:firstLine="709"/>
        <w:jc w:val="both"/>
        <w:rPr>
          <w:rFonts w:ascii="Times New Roman" w:hAnsi="Times New Roman" w:cs="Times New Roman"/>
          <w:i/>
          <w:iCs/>
          <w:sz w:val="28"/>
          <w:szCs w:val="28"/>
          <w:lang w:val="kk-KZ"/>
        </w:rPr>
      </w:pPr>
      <w:r w:rsidRPr="00457CE9">
        <w:rPr>
          <w:rFonts w:ascii="Times New Roman" w:hAnsi="Times New Roman" w:cs="Times New Roman"/>
          <w:sz w:val="28"/>
          <w:szCs w:val="28"/>
          <w:lang w:val="kk-KZ"/>
        </w:rPr>
        <w:t xml:space="preserve">Аталған тиімділік аудиті бойынша аудиторлық қорытындыларды зерттеу кезінде, нақты аудиторлық пікір келтірілмеген, мәселен, АӨК дамытуға бағытталған бюджет қаражатын пайдалану тиімділігі жоғары, орташа, төмен </w:t>
      </w:r>
      <w:r w:rsidRPr="00B331C6">
        <w:rPr>
          <w:rFonts w:ascii="Times New Roman" w:hAnsi="Times New Roman" w:cs="Times New Roman"/>
          <w:sz w:val="28"/>
          <w:szCs w:val="28"/>
          <w:lang w:val="kk-KZ"/>
        </w:rPr>
        <w:t xml:space="preserve">немесе тиімсіз деген қорытынды жоқ. </w:t>
      </w:r>
      <w:r w:rsidRPr="00FA7615">
        <w:rPr>
          <w:rFonts w:ascii="Times New Roman" w:hAnsi="Times New Roman" w:cs="Times New Roman"/>
          <w:i/>
          <w:iCs/>
          <w:sz w:val="28"/>
          <w:szCs w:val="28"/>
          <w:lang w:val="kk-KZ"/>
        </w:rPr>
        <w:t xml:space="preserve">Осы тұста біздің ойымызша АӨК дамытуға бағытталған бюджет қаражаты тиімділігінің аудиті бойынша стандартты аудиторлық қорытындыда стандартты аудиторлық пікір жазуды ұсыну дұрыс деп ойлаймыз. </w:t>
      </w:r>
      <w:r w:rsidR="00DD355B" w:rsidRPr="00FA7615">
        <w:rPr>
          <w:rFonts w:ascii="Times New Roman" w:hAnsi="Times New Roman" w:cs="Times New Roman"/>
          <w:i/>
          <w:iCs/>
          <w:sz w:val="28"/>
          <w:szCs w:val="28"/>
          <w:lang w:val="kk-KZ"/>
        </w:rPr>
        <w:t>Сонымен қатар, аудиторлық тексерісті жүргізу барысында аудиторлық пікір беру үшін аудиторлық дәлелдемелер жеткіліксіз болған жағдайда пікір беруден бас тарту</w:t>
      </w:r>
      <w:r w:rsidR="00800439" w:rsidRPr="00FA7615">
        <w:rPr>
          <w:rFonts w:ascii="Times New Roman" w:hAnsi="Times New Roman" w:cs="Times New Roman"/>
          <w:i/>
          <w:iCs/>
          <w:sz w:val="28"/>
          <w:szCs w:val="28"/>
          <w:lang w:val="kk-KZ"/>
        </w:rPr>
        <w:t>, немесе теріс пікір беру</w:t>
      </w:r>
      <w:r w:rsidR="00DD355B" w:rsidRPr="00FA7615">
        <w:rPr>
          <w:rFonts w:ascii="Times New Roman" w:hAnsi="Times New Roman" w:cs="Times New Roman"/>
          <w:i/>
          <w:iCs/>
          <w:sz w:val="28"/>
          <w:szCs w:val="28"/>
          <w:lang w:val="kk-KZ"/>
        </w:rPr>
        <w:t xml:space="preserve"> тәжірибесін енгізген жөн деп санаймыз. Себебі, бірнеше аудиторлық қорытындыларда пікір беру үшін статистикалық мәліметтер жоқ деп жазылған. Шетелдік аудиторлық қорытынды</w:t>
      </w:r>
      <w:r w:rsidR="005717F9" w:rsidRPr="00FA7615">
        <w:rPr>
          <w:rFonts w:ascii="Times New Roman" w:hAnsi="Times New Roman" w:cs="Times New Roman"/>
          <w:i/>
          <w:iCs/>
          <w:sz w:val="28"/>
          <w:szCs w:val="28"/>
          <w:lang w:val="kk-KZ"/>
        </w:rPr>
        <w:t>ларда аудиторлық пікір қорытындысы нақты жазылған.</w:t>
      </w:r>
      <w:r w:rsidR="00DD355B" w:rsidRPr="00FA7615">
        <w:rPr>
          <w:rFonts w:ascii="Times New Roman" w:hAnsi="Times New Roman" w:cs="Times New Roman"/>
          <w:i/>
          <w:iCs/>
          <w:sz w:val="28"/>
          <w:szCs w:val="28"/>
          <w:lang w:val="kk-KZ"/>
        </w:rPr>
        <w:t xml:space="preserve"> </w:t>
      </w:r>
    </w:p>
    <w:p w14:paraId="4B818363" w14:textId="350E4928" w:rsidR="00DD355B" w:rsidRPr="00457CE9" w:rsidRDefault="00DD355B" w:rsidP="00457CE9">
      <w:pPr>
        <w:pStyle w:val="a5"/>
        <w:tabs>
          <w:tab w:val="left" w:pos="851"/>
          <w:tab w:val="left" w:pos="993"/>
          <w:tab w:val="left" w:pos="1605"/>
        </w:tabs>
        <w:spacing w:after="0" w:line="240" w:lineRule="auto"/>
        <w:ind w:left="0" w:firstLine="709"/>
        <w:jc w:val="both"/>
        <w:rPr>
          <w:rFonts w:ascii="Times New Roman" w:hAnsi="Times New Roman"/>
          <w:sz w:val="28"/>
          <w:szCs w:val="28"/>
          <w:lang w:val="kk-KZ"/>
        </w:rPr>
      </w:pPr>
      <w:r w:rsidRPr="00B331C6">
        <w:rPr>
          <w:rFonts w:ascii="Times New Roman" w:hAnsi="Times New Roman"/>
          <w:sz w:val="28"/>
          <w:szCs w:val="28"/>
          <w:lang w:val="kk-KZ"/>
        </w:rPr>
        <w:t>ҚР АӨК дамытуға бағытталған бюджет қаражаты</w:t>
      </w:r>
      <w:r w:rsidR="004F4597">
        <w:rPr>
          <w:rFonts w:ascii="Times New Roman" w:hAnsi="Times New Roman"/>
          <w:sz w:val="28"/>
          <w:szCs w:val="28"/>
          <w:lang w:val="kk-KZ"/>
        </w:rPr>
        <w:t>н пайдалану</w:t>
      </w:r>
      <w:r w:rsidRPr="00B331C6">
        <w:rPr>
          <w:rFonts w:ascii="Times New Roman" w:hAnsi="Times New Roman"/>
          <w:sz w:val="28"/>
          <w:szCs w:val="28"/>
          <w:lang w:val="kk-KZ"/>
        </w:rPr>
        <w:t xml:space="preserve"> тиімділігін</w:t>
      </w:r>
      <w:r w:rsidR="00C83DD2">
        <w:rPr>
          <w:rFonts w:ascii="Times New Roman" w:hAnsi="Times New Roman"/>
          <w:sz w:val="28"/>
          <w:szCs w:val="28"/>
          <w:lang w:val="kk-KZ"/>
        </w:rPr>
        <w:t>ің төмен болуы</w:t>
      </w:r>
      <w:r w:rsidRPr="00B331C6">
        <w:rPr>
          <w:rFonts w:ascii="Times New Roman" w:hAnsi="Times New Roman"/>
          <w:sz w:val="28"/>
          <w:szCs w:val="28"/>
          <w:lang w:val="kk-KZ"/>
        </w:rPr>
        <w:t xml:space="preserve"> ҚР АШМ ішкі аудит қызметі </w:t>
      </w:r>
      <w:r w:rsidR="00C83DD2">
        <w:rPr>
          <w:rFonts w:ascii="Times New Roman" w:hAnsi="Times New Roman"/>
          <w:sz w:val="28"/>
          <w:szCs w:val="28"/>
          <w:lang w:val="kk-KZ"/>
        </w:rPr>
        <w:t xml:space="preserve">дер кезінде жүйелі кемшіліктерді алып тастамау бойынша </w:t>
      </w:r>
      <w:r w:rsidRPr="00B331C6">
        <w:rPr>
          <w:rFonts w:ascii="Times New Roman" w:hAnsi="Times New Roman"/>
          <w:sz w:val="28"/>
          <w:szCs w:val="28"/>
          <w:lang w:val="kk-KZ"/>
        </w:rPr>
        <w:t>жіберіп отырған олқылықтар</w:t>
      </w:r>
      <w:r w:rsidR="00C83DD2">
        <w:rPr>
          <w:rFonts w:ascii="Times New Roman" w:hAnsi="Times New Roman"/>
          <w:sz w:val="28"/>
          <w:szCs w:val="28"/>
          <w:lang w:val="kk-KZ"/>
        </w:rPr>
        <w:t>ы</w:t>
      </w:r>
      <w:r w:rsidRPr="00B331C6">
        <w:rPr>
          <w:rFonts w:ascii="Times New Roman" w:hAnsi="Times New Roman"/>
          <w:sz w:val="28"/>
          <w:szCs w:val="28"/>
          <w:lang w:val="kk-KZ"/>
        </w:rPr>
        <w:t xml:space="preserve"> деп санаймыз, сондықтан ішкі аудит қызметі</w:t>
      </w:r>
      <w:r w:rsidR="00C83DD2">
        <w:rPr>
          <w:rFonts w:ascii="Times New Roman" w:hAnsi="Times New Roman"/>
          <w:sz w:val="28"/>
          <w:szCs w:val="28"/>
          <w:lang w:val="kk-KZ"/>
        </w:rPr>
        <w:t xml:space="preserve"> тарапынан бақылауды күшейту бағытында жұмыс істеу қажет.</w:t>
      </w:r>
      <w:r w:rsidRPr="00B331C6">
        <w:rPr>
          <w:rFonts w:ascii="Times New Roman" w:hAnsi="Times New Roman"/>
          <w:sz w:val="28"/>
          <w:szCs w:val="28"/>
          <w:lang w:val="kk-KZ"/>
        </w:rPr>
        <w:t xml:space="preserve"> </w:t>
      </w:r>
    </w:p>
    <w:p w14:paraId="6A02E935" w14:textId="11E9B974" w:rsidR="00DA4DD2" w:rsidRDefault="00532D20" w:rsidP="00457CE9">
      <w:pPr>
        <w:pStyle w:val="a5"/>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ҚР АӨК-н дамытуды мемлекеттік қолдауға жұмсалған бюджет қаражатын пайдалану </w:t>
      </w:r>
      <w:r w:rsidRPr="00F4114C">
        <w:rPr>
          <w:rFonts w:ascii="Times New Roman" w:hAnsi="Times New Roman"/>
          <w:sz w:val="28"/>
          <w:szCs w:val="28"/>
          <w:lang w:val="kk-KZ"/>
        </w:rPr>
        <w:t>тиімділігінің аудитін жүргізу мақсаты объективті бағалау жүргізу болып табылады.</w:t>
      </w:r>
      <w:r w:rsidR="00B95A12" w:rsidRPr="00F4114C">
        <w:rPr>
          <w:rFonts w:ascii="Times New Roman" w:hAnsi="Times New Roman"/>
          <w:sz w:val="28"/>
          <w:szCs w:val="28"/>
          <w:lang w:val="kk-KZ"/>
        </w:rPr>
        <w:t xml:space="preserve"> </w:t>
      </w:r>
      <w:r w:rsidR="00F4114C" w:rsidRPr="00F4114C">
        <w:rPr>
          <w:rFonts w:ascii="Times New Roman" w:hAnsi="Times New Roman"/>
          <w:color w:val="000000"/>
          <w:sz w:val="28"/>
          <w:szCs w:val="28"/>
          <w:lang w:val="kk-KZ"/>
        </w:rPr>
        <w:t xml:space="preserve">Тиімділік аудитінде физикалық, құжаттық, куәлік және </w:t>
      </w:r>
      <w:r w:rsidR="00F4114C">
        <w:rPr>
          <w:rFonts w:ascii="Times New Roman" w:hAnsi="Times New Roman"/>
          <w:color w:val="000000"/>
          <w:sz w:val="28"/>
          <w:szCs w:val="28"/>
          <w:lang w:val="kk-KZ"/>
        </w:rPr>
        <w:t>талдам</w:t>
      </w:r>
      <w:r w:rsidR="00F4114C" w:rsidRPr="00F4114C">
        <w:rPr>
          <w:rFonts w:ascii="Times New Roman" w:hAnsi="Times New Roman"/>
          <w:color w:val="000000"/>
          <w:sz w:val="28"/>
          <w:szCs w:val="28"/>
          <w:lang w:val="kk-KZ"/>
        </w:rPr>
        <w:t xml:space="preserve">алық дәлелдер жиналады және қолданылады. </w:t>
      </w:r>
      <w:r w:rsidR="00F4114C">
        <w:rPr>
          <w:rFonts w:ascii="Times New Roman" w:hAnsi="Times New Roman"/>
          <w:color w:val="000000"/>
          <w:sz w:val="28"/>
          <w:szCs w:val="28"/>
          <w:lang w:val="kk-KZ"/>
        </w:rPr>
        <w:t>Тиімділік аудиті бойынша дәлелдеме базасы құжатталған болуға тиіс</w:t>
      </w:r>
      <w:r w:rsidR="00F4114C" w:rsidRPr="00F4114C">
        <w:rPr>
          <w:rFonts w:ascii="Times New Roman" w:hAnsi="Times New Roman"/>
          <w:color w:val="000000"/>
          <w:sz w:val="28"/>
          <w:szCs w:val="28"/>
          <w:lang w:val="kk-KZ"/>
        </w:rPr>
        <w:t>. Тиісті құжаттаманың нысаны мен мазмұнын мемлекеттік аудиторлар кәсіби пайымдауды пайдалана отырып айқындауға тиіс. Бақылау мемлекеттік активтерді пайдалану тиімділігі аудитінің мақсаттары үшін аудиторлық дәлелдемелерді жинаудың ең тиімді әдістерінің бірі болып табылады, ол тексерілетін мемлекеттік активті пайдалану кезінде орын алған белгілі бір оқиғаларды, әрекеттерді немесе мінез-құлықтарды көзбен шолып жазуды қамтиды [</w:t>
      </w:r>
      <w:r w:rsidR="009D4A99" w:rsidRPr="009D4A99">
        <w:rPr>
          <w:rFonts w:ascii="Times New Roman" w:hAnsi="Times New Roman"/>
          <w:color w:val="000000"/>
          <w:sz w:val="28"/>
          <w:szCs w:val="28"/>
          <w:lang w:val="kk-KZ"/>
        </w:rPr>
        <w:t>111</w:t>
      </w:r>
      <w:r w:rsidR="00F32059" w:rsidRPr="00F32059">
        <w:rPr>
          <w:rFonts w:ascii="Times New Roman" w:hAnsi="Times New Roman"/>
          <w:color w:val="000000"/>
          <w:sz w:val="28"/>
          <w:szCs w:val="28"/>
          <w:lang w:val="kk-KZ"/>
        </w:rPr>
        <w:t>, p. 603</w:t>
      </w:r>
      <w:r w:rsidR="00F4114C" w:rsidRPr="00F4114C">
        <w:rPr>
          <w:rFonts w:ascii="Times New Roman" w:hAnsi="Times New Roman"/>
          <w:color w:val="000000"/>
          <w:sz w:val="28"/>
          <w:szCs w:val="28"/>
          <w:lang w:val="kk-KZ"/>
        </w:rPr>
        <w:t xml:space="preserve">]. </w:t>
      </w:r>
      <w:r w:rsidRPr="00F4114C">
        <w:rPr>
          <w:rFonts w:ascii="Times New Roman" w:hAnsi="Times New Roman"/>
          <w:sz w:val="28"/>
          <w:szCs w:val="28"/>
          <w:lang w:val="kk-KZ"/>
        </w:rPr>
        <w:t xml:space="preserve">Сондықтан </w:t>
      </w:r>
      <w:r w:rsidR="00DD355B" w:rsidRPr="00F4114C">
        <w:rPr>
          <w:rFonts w:ascii="Times New Roman" w:hAnsi="Times New Roman"/>
          <w:sz w:val="28"/>
          <w:szCs w:val="28"/>
          <w:lang w:val="kk-KZ"/>
        </w:rPr>
        <w:t xml:space="preserve">мемлекеттік аудиторлар тиімділік аудитін жүргізу барысында аудиторлық дәлелдемелер жеткілікті және </w:t>
      </w:r>
      <w:r w:rsidR="005717F9" w:rsidRPr="00F4114C">
        <w:rPr>
          <w:rFonts w:ascii="Times New Roman" w:hAnsi="Times New Roman"/>
          <w:sz w:val="28"/>
          <w:szCs w:val="28"/>
          <w:lang w:val="kk-KZ"/>
        </w:rPr>
        <w:t>сапалы болуын қамтамасыз</w:t>
      </w:r>
      <w:r w:rsidR="005717F9" w:rsidRPr="00457CE9">
        <w:rPr>
          <w:rFonts w:ascii="Times New Roman" w:hAnsi="Times New Roman"/>
          <w:sz w:val="28"/>
          <w:szCs w:val="28"/>
          <w:lang w:val="kk-KZ"/>
        </w:rPr>
        <w:t xml:space="preserve"> ету мақсатында </w:t>
      </w:r>
      <w:r w:rsidR="00EE3C33" w:rsidRPr="00457CE9">
        <w:rPr>
          <w:rFonts w:ascii="Times New Roman" w:hAnsi="Times New Roman"/>
          <w:sz w:val="28"/>
          <w:szCs w:val="28"/>
          <w:lang w:val="kk-KZ"/>
        </w:rPr>
        <w:t>4</w:t>
      </w:r>
      <w:r w:rsidR="009B76D2">
        <w:rPr>
          <w:rFonts w:ascii="Times New Roman" w:hAnsi="Times New Roman"/>
          <w:sz w:val="28"/>
          <w:szCs w:val="28"/>
          <w:lang w:val="kk-KZ"/>
        </w:rPr>
        <w:t>6</w:t>
      </w:r>
      <w:r w:rsidRPr="00457CE9">
        <w:rPr>
          <w:rFonts w:ascii="Times New Roman" w:hAnsi="Times New Roman"/>
          <w:sz w:val="28"/>
          <w:szCs w:val="28"/>
          <w:lang w:val="kk-KZ"/>
        </w:rPr>
        <w:t xml:space="preserve">-кестедегі </w:t>
      </w:r>
      <w:r w:rsidR="001576FB">
        <w:rPr>
          <w:rFonts w:ascii="Times New Roman" w:hAnsi="Times New Roman"/>
          <w:sz w:val="28"/>
          <w:szCs w:val="28"/>
          <w:lang w:val="kk-KZ"/>
        </w:rPr>
        <w:t xml:space="preserve">тиімділік жүйелері және оның </w:t>
      </w:r>
      <w:r w:rsidRPr="00457CE9">
        <w:rPr>
          <w:rFonts w:ascii="Times New Roman" w:hAnsi="Times New Roman"/>
          <w:sz w:val="28"/>
          <w:szCs w:val="28"/>
          <w:lang w:val="kk-KZ"/>
        </w:rPr>
        <w:t>көрсеткіштер динамикасын талдау арқылы жүзеге асыру ұсынылады.</w:t>
      </w:r>
      <w:r w:rsidR="00EE3C33" w:rsidRPr="00457CE9">
        <w:rPr>
          <w:rFonts w:ascii="Times New Roman" w:hAnsi="Times New Roman"/>
          <w:sz w:val="28"/>
          <w:szCs w:val="28"/>
          <w:lang w:val="kk-KZ"/>
        </w:rPr>
        <w:t xml:space="preserve"> </w:t>
      </w:r>
    </w:p>
    <w:p w14:paraId="46661927" w14:textId="77777777" w:rsidR="00F4114C" w:rsidRPr="0055710E" w:rsidRDefault="00F4114C" w:rsidP="00457CE9">
      <w:pPr>
        <w:pStyle w:val="a5"/>
        <w:tabs>
          <w:tab w:val="left" w:pos="851"/>
          <w:tab w:val="left" w:pos="993"/>
          <w:tab w:val="left" w:pos="1605"/>
        </w:tabs>
        <w:spacing w:after="0" w:line="240" w:lineRule="auto"/>
        <w:ind w:left="0" w:firstLine="709"/>
        <w:jc w:val="both"/>
        <w:rPr>
          <w:rFonts w:ascii="Times New Roman" w:hAnsi="Times New Roman"/>
          <w:sz w:val="16"/>
          <w:szCs w:val="16"/>
          <w:lang w:val="kk-KZ"/>
        </w:rPr>
      </w:pPr>
    </w:p>
    <w:p w14:paraId="267CC386" w14:textId="2D3525B5" w:rsidR="00647B71" w:rsidRDefault="00532D20" w:rsidP="00457CE9">
      <w:pPr>
        <w:spacing w:after="0" w:line="240" w:lineRule="auto"/>
        <w:jc w:val="both"/>
        <w:textAlignment w:val="baseline"/>
        <w:outlineLvl w:val="0"/>
        <w:rPr>
          <w:rFonts w:ascii="Times New Roman" w:hAnsi="Times New Roman"/>
          <w:sz w:val="28"/>
          <w:szCs w:val="28"/>
          <w:lang w:val="kk-KZ"/>
        </w:rPr>
      </w:pPr>
      <w:r w:rsidRPr="00457CE9">
        <w:rPr>
          <w:rFonts w:ascii="Times New Roman" w:eastAsia="Times New Roman" w:hAnsi="Times New Roman" w:cs="Times New Roman"/>
          <w:kern w:val="36"/>
          <w:sz w:val="28"/>
          <w:szCs w:val="28"/>
          <w:lang w:val="kk-KZ" w:eastAsia="ru-RU"/>
        </w:rPr>
        <w:t xml:space="preserve">Кесте </w:t>
      </w:r>
      <w:r w:rsidR="00EE3C33" w:rsidRPr="00457CE9">
        <w:rPr>
          <w:rFonts w:ascii="Times New Roman" w:eastAsia="Times New Roman" w:hAnsi="Times New Roman" w:cs="Times New Roman"/>
          <w:kern w:val="36"/>
          <w:sz w:val="28"/>
          <w:szCs w:val="28"/>
          <w:lang w:val="kk-KZ" w:eastAsia="ru-RU"/>
        </w:rPr>
        <w:t>4</w:t>
      </w:r>
      <w:r w:rsidR="009B76D2">
        <w:rPr>
          <w:rFonts w:ascii="Times New Roman" w:eastAsia="Times New Roman" w:hAnsi="Times New Roman" w:cs="Times New Roman"/>
          <w:kern w:val="36"/>
          <w:sz w:val="28"/>
          <w:szCs w:val="28"/>
          <w:lang w:val="kk-KZ" w:eastAsia="ru-RU"/>
        </w:rPr>
        <w:t>6</w:t>
      </w:r>
      <w:r w:rsidRPr="00457CE9">
        <w:rPr>
          <w:rFonts w:ascii="Times New Roman" w:eastAsia="Times New Roman" w:hAnsi="Times New Roman" w:cs="Times New Roman"/>
          <w:kern w:val="36"/>
          <w:sz w:val="28"/>
          <w:szCs w:val="28"/>
          <w:lang w:val="kk-KZ" w:eastAsia="ru-RU"/>
        </w:rPr>
        <w:t xml:space="preserve"> – </w:t>
      </w:r>
      <w:r w:rsidRPr="00457CE9">
        <w:rPr>
          <w:rFonts w:ascii="Times New Roman" w:hAnsi="Times New Roman"/>
          <w:sz w:val="28"/>
          <w:szCs w:val="28"/>
          <w:lang w:val="kk-KZ"/>
        </w:rPr>
        <w:t xml:space="preserve">ҚР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жұмсалған бюджет қаражаты</w:t>
      </w:r>
      <w:r w:rsidR="00A00215" w:rsidRPr="00457CE9">
        <w:rPr>
          <w:rFonts w:ascii="Times New Roman" w:hAnsi="Times New Roman"/>
          <w:sz w:val="28"/>
          <w:szCs w:val="28"/>
          <w:lang w:val="kk-KZ"/>
        </w:rPr>
        <w:t>н</w:t>
      </w:r>
      <w:r w:rsidRPr="00457CE9">
        <w:rPr>
          <w:rFonts w:ascii="Times New Roman" w:hAnsi="Times New Roman"/>
          <w:sz w:val="28"/>
          <w:szCs w:val="28"/>
          <w:lang w:val="kk-KZ"/>
        </w:rPr>
        <w:t xml:space="preserve"> пайдалану</w:t>
      </w:r>
      <w:r w:rsidR="00A00215" w:rsidRPr="00457CE9">
        <w:rPr>
          <w:rFonts w:ascii="Times New Roman" w:hAnsi="Times New Roman"/>
          <w:sz w:val="28"/>
          <w:szCs w:val="28"/>
          <w:lang w:val="kk-KZ"/>
        </w:rPr>
        <w:t>дың</w:t>
      </w:r>
      <w:r w:rsidRPr="00457CE9">
        <w:rPr>
          <w:rFonts w:ascii="Times New Roman" w:hAnsi="Times New Roman"/>
          <w:sz w:val="28"/>
          <w:szCs w:val="28"/>
          <w:lang w:val="kk-KZ"/>
        </w:rPr>
        <w:t xml:space="preserve"> </w:t>
      </w:r>
      <w:r w:rsidR="00A00215" w:rsidRPr="00457CE9">
        <w:rPr>
          <w:rFonts w:ascii="Times New Roman" w:hAnsi="Times New Roman"/>
          <w:sz w:val="28"/>
          <w:szCs w:val="28"/>
          <w:lang w:val="kk-KZ"/>
        </w:rPr>
        <w:t xml:space="preserve">тиімділік аудиті кезінде қолданылатын </w:t>
      </w:r>
      <w:r w:rsidR="00BF050E" w:rsidRPr="00457CE9">
        <w:rPr>
          <w:rFonts w:ascii="Times New Roman" w:hAnsi="Times New Roman"/>
          <w:sz w:val="28"/>
          <w:szCs w:val="28"/>
          <w:lang w:val="kk-KZ"/>
        </w:rPr>
        <w:t>тиімділік жүйелері мен көрсеткіштері</w:t>
      </w:r>
    </w:p>
    <w:p w14:paraId="73817540" w14:textId="77777777" w:rsidR="00B331C6" w:rsidRPr="00B331C6" w:rsidRDefault="00B331C6" w:rsidP="00457CE9">
      <w:pPr>
        <w:spacing w:after="0" w:line="240" w:lineRule="auto"/>
        <w:jc w:val="both"/>
        <w:textAlignment w:val="baseline"/>
        <w:outlineLvl w:val="0"/>
        <w:rPr>
          <w:rFonts w:ascii="Times New Roman" w:hAnsi="Times New Roman" w:cs="Times New Roman"/>
          <w:sz w:val="16"/>
          <w:szCs w:val="16"/>
          <w:lang w:val="kk-KZ"/>
        </w:rPr>
      </w:pPr>
    </w:p>
    <w:tbl>
      <w:tblPr>
        <w:tblStyle w:val="a3"/>
        <w:tblW w:w="9566" w:type="dxa"/>
        <w:jc w:val="center"/>
        <w:tblLook w:val="04A0" w:firstRow="1" w:lastRow="0" w:firstColumn="1" w:lastColumn="0" w:noHBand="0" w:noVBand="1"/>
      </w:tblPr>
      <w:tblGrid>
        <w:gridCol w:w="2232"/>
        <w:gridCol w:w="4431"/>
        <w:gridCol w:w="2903"/>
      </w:tblGrid>
      <w:tr w:rsidR="00BB2991" w:rsidRPr="00BB2991" w14:paraId="1C864AC7" w14:textId="77777777" w:rsidTr="00BE3507">
        <w:trPr>
          <w:trHeight w:val="553"/>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092339CD" w14:textId="0F9930B6" w:rsidR="00BB2991" w:rsidRPr="00BB2991" w:rsidRDefault="00BB2991" w:rsidP="00B331C6">
            <w:pPr>
              <w:tabs>
                <w:tab w:val="left" w:pos="1605"/>
              </w:tabs>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Тиімділік жүйелері</w:t>
            </w:r>
          </w:p>
        </w:tc>
        <w:tc>
          <w:tcPr>
            <w:tcW w:w="4431" w:type="dxa"/>
            <w:tcBorders>
              <w:top w:val="single" w:sz="4" w:space="0" w:color="auto"/>
              <w:left w:val="single" w:sz="4" w:space="0" w:color="auto"/>
              <w:bottom w:val="single" w:sz="4" w:space="0" w:color="auto"/>
              <w:right w:val="single" w:sz="4" w:space="0" w:color="auto"/>
            </w:tcBorders>
            <w:vAlign w:val="center"/>
            <w:hideMark/>
          </w:tcPr>
          <w:p w14:paraId="29321E2E" w14:textId="30DC2925" w:rsidR="00BB2991" w:rsidRPr="00BB2991" w:rsidRDefault="00BB2991" w:rsidP="00B331C6">
            <w:pPr>
              <w:tabs>
                <w:tab w:val="left" w:pos="1605"/>
              </w:tabs>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Тиімділік көрсеткіштері</w:t>
            </w:r>
          </w:p>
        </w:tc>
        <w:tc>
          <w:tcPr>
            <w:tcW w:w="2903" w:type="dxa"/>
            <w:tcBorders>
              <w:top w:val="single" w:sz="4" w:space="0" w:color="auto"/>
              <w:left w:val="single" w:sz="4" w:space="0" w:color="auto"/>
              <w:bottom w:val="single" w:sz="4" w:space="0" w:color="auto"/>
              <w:right w:val="single" w:sz="4" w:space="0" w:color="auto"/>
            </w:tcBorders>
            <w:vAlign w:val="center"/>
          </w:tcPr>
          <w:p w14:paraId="02BCA275" w14:textId="1B434B4E" w:rsidR="00BB2991" w:rsidRPr="00BB2991" w:rsidRDefault="00BB2991" w:rsidP="00B331C6">
            <w:pPr>
              <w:tabs>
                <w:tab w:val="left" w:pos="1605"/>
              </w:tabs>
              <w:jc w:val="center"/>
              <w:rPr>
                <w:rFonts w:ascii="Times New Roman" w:hAnsi="Times New Roman" w:cs="Times New Roman"/>
                <w:sz w:val="24"/>
                <w:szCs w:val="24"/>
                <w:lang w:val="kk-KZ"/>
              </w:rPr>
            </w:pPr>
            <w:r w:rsidRPr="00BB2991">
              <w:rPr>
                <w:rFonts w:ascii="Times New Roman" w:hAnsi="Times New Roman" w:cs="Times New Roman"/>
                <w:sz w:val="24"/>
                <w:szCs w:val="24"/>
                <w:lang w:val="kk-KZ"/>
              </w:rPr>
              <w:t>Сипаттамасы</w:t>
            </w:r>
          </w:p>
        </w:tc>
      </w:tr>
      <w:tr w:rsidR="000E6F97" w:rsidRPr="00BB2991" w14:paraId="56A47E8D" w14:textId="77777777" w:rsidTr="00B331C6">
        <w:trPr>
          <w:jc w:val="center"/>
        </w:trPr>
        <w:tc>
          <w:tcPr>
            <w:tcW w:w="2232" w:type="dxa"/>
            <w:vMerge w:val="restart"/>
            <w:tcBorders>
              <w:top w:val="single" w:sz="4" w:space="0" w:color="auto"/>
              <w:left w:val="single" w:sz="4" w:space="0" w:color="auto"/>
              <w:right w:val="single" w:sz="4" w:space="0" w:color="auto"/>
            </w:tcBorders>
          </w:tcPr>
          <w:p w14:paraId="43CDD64D" w14:textId="2EA817EA" w:rsidR="000E6F97" w:rsidRPr="00BB2991" w:rsidRDefault="000E6F97" w:rsidP="00B331C6">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 xml:space="preserve">Экономикалық </w:t>
            </w:r>
          </w:p>
        </w:tc>
        <w:tc>
          <w:tcPr>
            <w:tcW w:w="4431" w:type="dxa"/>
            <w:tcBorders>
              <w:top w:val="single" w:sz="4" w:space="0" w:color="auto"/>
              <w:left w:val="single" w:sz="4" w:space="0" w:color="auto"/>
              <w:bottom w:val="single" w:sz="4" w:space="0" w:color="auto"/>
              <w:right w:val="single" w:sz="4" w:space="0" w:color="auto"/>
            </w:tcBorders>
          </w:tcPr>
          <w:p w14:paraId="61976859" w14:textId="04737199"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Ауыл шаруашылығы өнімінің өндірілген көлемі</w:t>
            </w:r>
          </w:p>
        </w:tc>
        <w:tc>
          <w:tcPr>
            <w:tcW w:w="2903" w:type="dxa"/>
            <w:tcBorders>
              <w:top w:val="single" w:sz="4" w:space="0" w:color="auto"/>
              <w:left w:val="single" w:sz="4" w:space="0" w:color="auto"/>
              <w:bottom w:val="single" w:sz="4" w:space="0" w:color="auto"/>
              <w:right w:val="single" w:sz="4" w:space="0" w:color="auto"/>
            </w:tcBorders>
          </w:tcPr>
          <w:p w14:paraId="088AF9F9" w14:textId="269FEC58" w:rsidR="000E6F97" w:rsidRPr="00BB2991" w:rsidRDefault="000E6F97"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Статистикалық мәліметтер</w:t>
            </w:r>
          </w:p>
        </w:tc>
      </w:tr>
      <w:tr w:rsidR="000E6F97" w:rsidRPr="00BB2991" w14:paraId="65188979" w14:textId="77777777" w:rsidTr="00B331C6">
        <w:trPr>
          <w:jc w:val="center"/>
        </w:trPr>
        <w:tc>
          <w:tcPr>
            <w:tcW w:w="2232" w:type="dxa"/>
            <w:vMerge/>
            <w:tcBorders>
              <w:left w:val="single" w:sz="4" w:space="0" w:color="auto"/>
              <w:right w:val="single" w:sz="4" w:space="0" w:color="auto"/>
            </w:tcBorders>
          </w:tcPr>
          <w:p w14:paraId="5E2F066D" w14:textId="77777777" w:rsidR="000E6F97" w:rsidRPr="00BB2991" w:rsidRDefault="000E6F97" w:rsidP="00457CE9">
            <w:pPr>
              <w:tabs>
                <w:tab w:val="left" w:pos="1605"/>
              </w:tabs>
              <w:jc w:val="center"/>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4D166B5F" w14:textId="7116531A" w:rsidR="000E6F97" w:rsidRPr="00BB2991" w:rsidRDefault="000E6F97"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Ауыл шаруашылық өткізілген өнімінің өзіндік құны</w:t>
            </w:r>
          </w:p>
        </w:tc>
        <w:tc>
          <w:tcPr>
            <w:tcW w:w="2903" w:type="dxa"/>
            <w:tcBorders>
              <w:top w:val="single" w:sz="4" w:space="0" w:color="auto"/>
              <w:left w:val="single" w:sz="4" w:space="0" w:color="auto"/>
              <w:bottom w:val="single" w:sz="4" w:space="0" w:color="auto"/>
              <w:right w:val="single" w:sz="4" w:space="0" w:color="auto"/>
            </w:tcBorders>
          </w:tcPr>
          <w:p w14:paraId="70220B4D" w14:textId="26B22E21" w:rsidR="000E6F97" w:rsidRPr="00BB2991" w:rsidRDefault="000E6F97"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Статистикалық мәліметтер</w:t>
            </w:r>
          </w:p>
        </w:tc>
      </w:tr>
      <w:tr w:rsidR="000E6F97" w:rsidRPr="00BB2991" w14:paraId="5F1F408A" w14:textId="77777777" w:rsidTr="008C6416">
        <w:trPr>
          <w:jc w:val="center"/>
        </w:trPr>
        <w:tc>
          <w:tcPr>
            <w:tcW w:w="2232" w:type="dxa"/>
            <w:vMerge/>
            <w:tcBorders>
              <w:left w:val="single" w:sz="4" w:space="0" w:color="auto"/>
              <w:right w:val="single" w:sz="4" w:space="0" w:color="auto"/>
            </w:tcBorders>
          </w:tcPr>
          <w:p w14:paraId="3F10DD56" w14:textId="77777777" w:rsidR="000E6F97" w:rsidRPr="00BB2991" w:rsidRDefault="000E6F97" w:rsidP="00457CE9">
            <w:pPr>
              <w:tabs>
                <w:tab w:val="left" w:pos="1605"/>
              </w:tabs>
              <w:jc w:val="center"/>
              <w:rPr>
                <w:rFonts w:ascii="Times New Roman" w:hAnsi="Times New Roman" w:cs="Times New Roman"/>
                <w:sz w:val="24"/>
                <w:szCs w:val="24"/>
                <w:lang w:val="kk-KZ"/>
              </w:rPr>
            </w:pPr>
          </w:p>
        </w:tc>
        <w:tc>
          <w:tcPr>
            <w:tcW w:w="4431" w:type="dxa"/>
            <w:tcBorders>
              <w:top w:val="single" w:sz="4" w:space="0" w:color="auto"/>
              <w:left w:val="single" w:sz="4" w:space="0" w:color="auto"/>
              <w:bottom w:val="nil"/>
              <w:right w:val="single" w:sz="4" w:space="0" w:color="auto"/>
            </w:tcBorders>
          </w:tcPr>
          <w:p w14:paraId="0508124C" w14:textId="2DC93BA8" w:rsidR="000E6F97" w:rsidRPr="00BB2991" w:rsidRDefault="000E6F97"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Ауыл шаруашылығы өнімін сатудан түскен түсім</w:t>
            </w:r>
          </w:p>
        </w:tc>
        <w:tc>
          <w:tcPr>
            <w:tcW w:w="2903" w:type="dxa"/>
            <w:tcBorders>
              <w:top w:val="single" w:sz="4" w:space="0" w:color="auto"/>
              <w:left w:val="single" w:sz="4" w:space="0" w:color="auto"/>
              <w:bottom w:val="nil"/>
              <w:right w:val="single" w:sz="4" w:space="0" w:color="auto"/>
            </w:tcBorders>
          </w:tcPr>
          <w:p w14:paraId="21B2B039" w14:textId="1CA063EF" w:rsidR="000E6F97" w:rsidRPr="00BB2991" w:rsidRDefault="000E6F97"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Статистикалық мәліметтер</w:t>
            </w:r>
          </w:p>
        </w:tc>
      </w:tr>
      <w:tr w:rsidR="000E6F97" w:rsidRPr="00805B3E" w14:paraId="0A0010F6" w14:textId="77777777" w:rsidTr="008C6416">
        <w:trPr>
          <w:jc w:val="center"/>
        </w:trPr>
        <w:tc>
          <w:tcPr>
            <w:tcW w:w="2232" w:type="dxa"/>
            <w:vMerge/>
            <w:tcBorders>
              <w:left w:val="single" w:sz="4" w:space="0" w:color="auto"/>
              <w:right w:val="single" w:sz="4" w:space="0" w:color="auto"/>
            </w:tcBorders>
          </w:tcPr>
          <w:p w14:paraId="6EEC3EC2" w14:textId="77777777" w:rsidR="000E6F97" w:rsidRPr="00BB2991" w:rsidRDefault="000E6F97" w:rsidP="00457CE9">
            <w:pPr>
              <w:tabs>
                <w:tab w:val="left" w:pos="1605"/>
              </w:tabs>
              <w:jc w:val="center"/>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7830965A" w14:textId="6774F634"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Ауыл шаруашылығындағы еңбек өнімділігі</w:t>
            </w:r>
          </w:p>
        </w:tc>
        <w:tc>
          <w:tcPr>
            <w:tcW w:w="2903" w:type="dxa"/>
            <w:tcBorders>
              <w:top w:val="single" w:sz="4" w:space="0" w:color="auto"/>
              <w:left w:val="single" w:sz="4" w:space="0" w:color="auto"/>
              <w:right w:val="single" w:sz="4" w:space="0" w:color="auto"/>
            </w:tcBorders>
          </w:tcPr>
          <w:p w14:paraId="7B0500E3" w14:textId="0F04314F"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Өнім көлемі/Жұмыскер</w:t>
            </w:r>
            <w:r>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лер саны</w:t>
            </w:r>
          </w:p>
        </w:tc>
      </w:tr>
      <w:tr w:rsidR="000E6F97" w:rsidRPr="00EB67B8" w14:paraId="1E31D9CD" w14:textId="77777777" w:rsidTr="00B331C6">
        <w:trPr>
          <w:jc w:val="center"/>
        </w:trPr>
        <w:tc>
          <w:tcPr>
            <w:tcW w:w="2232" w:type="dxa"/>
            <w:vMerge/>
            <w:tcBorders>
              <w:left w:val="single" w:sz="4" w:space="0" w:color="auto"/>
              <w:right w:val="single" w:sz="4" w:space="0" w:color="auto"/>
            </w:tcBorders>
          </w:tcPr>
          <w:p w14:paraId="1DA836E8" w14:textId="77777777" w:rsidR="000E6F97" w:rsidRPr="00BB2991" w:rsidRDefault="000E6F97" w:rsidP="00457CE9">
            <w:pPr>
              <w:tabs>
                <w:tab w:val="left" w:pos="1605"/>
              </w:tabs>
              <w:jc w:val="center"/>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594F2A96" w14:textId="0FA90E38"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Өсімдік шаруашылығындағы өнімділігі</w:t>
            </w:r>
          </w:p>
        </w:tc>
        <w:tc>
          <w:tcPr>
            <w:tcW w:w="2903" w:type="dxa"/>
            <w:tcBorders>
              <w:top w:val="single" w:sz="4" w:space="0" w:color="auto"/>
              <w:left w:val="single" w:sz="4" w:space="0" w:color="auto"/>
              <w:right w:val="single" w:sz="4" w:space="0" w:color="auto"/>
            </w:tcBorders>
          </w:tcPr>
          <w:p w14:paraId="4D21A132" w14:textId="6FA0C7FF"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Өнім көлемі / Егіс алқабы</w:t>
            </w:r>
          </w:p>
        </w:tc>
      </w:tr>
      <w:tr w:rsidR="000E6F97" w:rsidRPr="00EB67B8" w14:paraId="7700E77A" w14:textId="77777777" w:rsidTr="00B331C6">
        <w:trPr>
          <w:jc w:val="center"/>
        </w:trPr>
        <w:tc>
          <w:tcPr>
            <w:tcW w:w="2232" w:type="dxa"/>
            <w:vMerge/>
            <w:tcBorders>
              <w:left w:val="single" w:sz="4" w:space="0" w:color="auto"/>
              <w:right w:val="single" w:sz="4" w:space="0" w:color="auto"/>
            </w:tcBorders>
          </w:tcPr>
          <w:p w14:paraId="016F3407" w14:textId="77777777" w:rsidR="000E6F97" w:rsidRPr="00BB2991" w:rsidRDefault="000E6F97" w:rsidP="00457CE9">
            <w:pPr>
              <w:tabs>
                <w:tab w:val="left" w:pos="1605"/>
              </w:tabs>
              <w:jc w:val="center"/>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222B8F57" w14:textId="333B1A30"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Ауыл шаруашылық өндірісіндегі қор қайтарымы</w:t>
            </w:r>
          </w:p>
        </w:tc>
        <w:tc>
          <w:tcPr>
            <w:tcW w:w="2903" w:type="dxa"/>
            <w:tcBorders>
              <w:top w:val="single" w:sz="4" w:space="0" w:color="auto"/>
              <w:left w:val="single" w:sz="4" w:space="0" w:color="auto"/>
              <w:right w:val="single" w:sz="4" w:space="0" w:color="auto"/>
            </w:tcBorders>
          </w:tcPr>
          <w:p w14:paraId="7C26C92E" w14:textId="5421BF91" w:rsidR="000E6F97" w:rsidRPr="00BB2991" w:rsidRDefault="000E6F97"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Өнім көлемі / Қорлар құны</w:t>
            </w:r>
          </w:p>
        </w:tc>
      </w:tr>
      <w:tr w:rsidR="00BB2991" w:rsidRPr="00805B3E" w14:paraId="06309FA9" w14:textId="77777777" w:rsidTr="00B331C6">
        <w:trPr>
          <w:jc w:val="center"/>
        </w:trPr>
        <w:tc>
          <w:tcPr>
            <w:tcW w:w="2232" w:type="dxa"/>
            <w:vMerge w:val="restart"/>
            <w:tcBorders>
              <w:top w:val="single" w:sz="4" w:space="0" w:color="auto"/>
              <w:left w:val="single" w:sz="4" w:space="0" w:color="auto"/>
              <w:right w:val="single" w:sz="4" w:space="0" w:color="auto"/>
            </w:tcBorders>
          </w:tcPr>
          <w:p w14:paraId="565FE192" w14:textId="61AB71D8" w:rsidR="00BB2991" w:rsidRPr="00BB2991" w:rsidRDefault="00BB2991" w:rsidP="00B331C6">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 xml:space="preserve">Технологиялық </w:t>
            </w:r>
          </w:p>
        </w:tc>
        <w:tc>
          <w:tcPr>
            <w:tcW w:w="4431" w:type="dxa"/>
            <w:tcBorders>
              <w:top w:val="single" w:sz="4" w:space="0" w:color="auto"/>
              <w:left w:val="single" w:sz="4" w:space="0" w:color="auto"/>
              <w:bottom w:val="single" w:sz="4" w:space="0" w:color="auto"/>
              <w:right w:val="single" w:sz="4" w:space="0" w:color="auto"/>
            </w:tcBorders>
          </w:tcPr>
          <w:p w14:paraId="375D73AF" w14:textId="579607A5"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АӨК саласындағы алынған патенттер саны</w:t>
            </w:r>
          </w:p>
        </w:tc>
        <w:tc>
          <w:tcPr>
            <w:tcW w:w="2903" w:type="dxa"/>
            <w:vMerge w:val="restart"/>
            <w:tcBorders>
              <w:top w:val="single" w:sz="4" w:space="0" w:color="auto"/>
              <w:left w:val="single" w:sz="4" w:space="0" w:color="auto"/>
              <w:right w:val="single" w:sz="4" w:space="0" w:color="auto"/>
            </w:tcBorders>
          </w:tcPr>
          <w:p w14:paraId="172BCBA8" w14:textId="139A1E0F"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100 га шаққандағы өнім көлемі, тамшылап суару технологиясы, асыл тұ</w:t>
            </w:r>
            <w:r w:rsidR="00B331C6">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 xml:space="preserve">қымды ет, сүт бағытындағы ІҚМ, </w:t>
            </w:r>
          </w:p>
        </w:tc>
      </w:tr>
      <w:tr w:rsidR="00BB2991" w:rsidRPr="00805B3E" w14:paraId="4C7916CC" w14:textId="77777777" w:rsidTr="00B331C6">
        <w:trPr>
          <w:jc w:val="center"/>
        </w:trPr>
        <w:tc>
          <w:tcPr>
            <w:tcW w:w="2232" w:type="dxa"/>
            <w:vMerge/>
            <w:tcBorders>
              <w:left w:val="single" w:sz="4" w:space="0" w:color="auto"/>
              <w:bottom w:val="single" w:sz="4" w:space="0" w:color="auto"/>
              <w:right w:val="single" w:sz="4" w:space="0" w:color="auto"/>
            </w:tcBorders>
          </w:tcPr>
          <w:p w14:paraId="78C6C96F" w14:textId="77777777" w:rsidR="00BB2991" w:rsidRPr="00BB2991" w:rsidRDefault="00BB2991" w:rsidP="00457CE9">
            <w:pPr>
              <w:tabs>
                <w:tab w:val="left" w:pos="1605"/>
              </w:tabs>
              <w:jc w:val="center"/>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7D2AA773" w14:textId="16DCA095"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Өндіріс үрдісі кезінде пайдаланылатын жер, су, еңбек, материалдық ресурстар</w:t>
            </w:r>
            <w:r w:rsidR="00B331C6">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 xml:space="preserve">ды </w:t>
            </w:r>
            <w:r w:rsidR="001576FB">
              <w:rPr>
                <w:rFonts w:ascii="Times New Roman" w:hAnsi="Times New Roman" w:cs="Times New Roman"/>
                <w:sz w:val="24"/>
                <w:szCs w:val="24"/>
                <w:lang w:val="kk-KZ"/>
              </w:rPr>
              <w:t xml:space="preserve">үнемді </w:t>
            </w:r>
            <w:r w:rsidRPr="00BB2991">
              <w:rPr>
                <w:rFonts w:ascii="Times New Roman" w:hAnsi="Times New Roman" w:cs="Times New Roman"/>
                <w:sz w:val="24"/>
                <w:szCs w:val="24"/>
                <w:lang w:val="kk-KZ"/>
              </w:rPr>
              <w:t>пайдалану деңгейі</w:t>
            </w:r>
          </w:p>
        </w:tc>
        <w:tc>
          <w:tcPr>
            <w:tcW w:w="2903" w:type="dxa"/>
            <w:vMerge/>
            <w:tcBorders>
              <w:left w:val="single" w:sz="4" w:space="0" w:color="auto"/>
              <w:bottom w:val="single" w:sz="4" w:space="0" w:color="auto"/>
              <w:right w:val="single" w:sz="4" w:space="0" w:color="auto"/>
            </w:tcBorders>
          </w:tcPr>
          <w:p w14:paraId="6866D7FE" w14:textId="62B0A6B2" w:rsidR="00BB2991" w:rsidRPr="00BB2991" w:rsidRDefault="00BB2991" w:rsidP="00457CE9">
            <w:pPr>
              <w:tabs>
                <w:tab w:val="left" w:pos="1605"/>
              </w:tabs>
              <w:rPr>
                <w:rFonts w:ascii="Times New Roman" w:hAnsi="Times New Roman" w:cs="Times New Roman"/>
                <w:sz w:val="24"/>
                <w:szCs w:val="24"/>
                <w:lang w:val="kk-KZ"/>
              </w:rPr>
            </w:pPr>
          </w:p>
        </w:tc>
      </w:tr>
      <w:tr w:rsidR="00B331C6" w:rsidRPr="00BB2991" w14:paraId="713CA4E5" w14:textId="77777777" w:rsidTr="00B331C6">
        <w:trPr>
          <w:jc w:val="center"/>
        </w:trPr>
        <w:tc>
          <w:tcPr>
            <w:tcW w:w="2232" w:type="dxa"/>
            <w:vMerge w:val="restart"/>
            <w:tcBorders>
              <w:top w:val="single" w:sz="4" w:space="0" w:color="auto"/>
              <w:left w:val="single" w:sz="4" w:space="0" w:color="auto"/>
              <w:right w:val="single" w:sz="4" w:space="0" w:color="auto"/>
            </w:tcBorders>
          </w:tcPr>
          <w:p w14:paraId="66C35150" w14:textId="3E616B74" w:rsidR="00B331C6" w:rsidRPr="00BB2991" w:rsidRDefault="00B331C6"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 xml:space="preserve">Әлеуметтік </w:t>
            </w:r>
          </w:p>
        </w:tc>
        <w:tc>
          <w:tcPr>
            <w:tcW w:w="4431" w:type="dxa"/>
            <w:tcBorders>
              <w:top w:val="single" w:sz="4" w:space="0" w:color="auto"/>
              <w:left w:val="single" w:sz="4" w:space="0" w:color="auto"/>
              <w:bottom w:val="single" w:sz="4" w:space="0" w:color="auto"/>
              <w:right w:val="single" w:sz="4" w:space="0" w:color="auto"/>
            </w:tcBorders>
          </w:tcPr>
          <w:p w14:paraId="6E13464C" w14:textId="372E4354" w:rsidR="00B331C6" w:rsidRPr="00BB2991" w:rsidRDefault="00B331C6"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Ауыл аймақтарындағы тұрғындар табысының өсімі</w:t>
            </w:r>
          </w:p>
        </w:tc>
        <w:tc>
          <w:tcPr>
            <w:tcW w:w="2903" w:type="dxa"/>
            <w:tcBorders>
              <w:top w:val="single" w:sz="4" w:space="0" w:color="auto"/>
              <w:left w:val="single" w:sz="4" w:space="0" w:color="auto"/>
              <w:bottom w:val="single" w:sz="4" w:space="0" w:color="auto"/>
              <w:right w:val="single" w:sz="4" w:space="0" w:color="auto"/>
            </w:tcBorders>
          </w:tcPr>
          <w:p w14:paraId="747CC273" w14:textId="6990D5E2" w:rsidR="00B331C6" w:rsidRPr="00BB2991" w:rsidRDefault="00B331C6"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Орташа еңбек ақы</w:t>
            </w:r>
          </w:p>
        </w:tc>
      </w:tr>
      <w:tr w:rsidR="00B331C6" w:rsidRPr="00BB2991" w14:paraId="76D27A0F" w14:textId="77777777" w:rsidTr="00B331C6">
        <w:trPr>
          <w:jc w:val="center"/>
        </w:trPr>
        <w:tc>
          <w:tcPr>
            <w:tcW w:w="2232" w:type="dxa"/>
            <w:vMerge/>
            <w:tcBorders>
              <w:left w:val="single" w:sz="4" w:space="0" w:color="auto"/>
              <w:right w:val="single" w:sz="4" w:space="0" w:color="auto"/>
            </w:tcBorders>
          </w:tcPr>
          <w:p w14:paraId="6A097D60" w14:textId="77777777" w:rsidR="00B331C6" w:rsidRPr="00BB2991" w:rsidRDefault="00B331C6" w:rsidP="00457CE9">
            <w:pPr>
              <w:tabs>
                <w:tab w:val="left" w:pos="1605"/>
              </w:tabs>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091BACE9" w14:textId="73010B09" w:rsidR="00B331C6" w:rsidRPr="00BB2991" w:rsidRDefault="00B331C6"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Орташа өмір сүру жасының ұзақтығы</w:t>
            </w:r>
          </w:p>
        </w:tc>
        <w:tc>
          <w:tcPr>
            <w:tcW w:w="2903" w:type="dxa"/>
            <w:tcBorders>
              <w:top w:val="single" w:sz="4" w:space="0" w:color="auto"/>
              <w:left w:val="single" w:sz="4" w:space="0" w:color="auto"/>
              <w:bottom w:val="single" w:sz="4" w:space="0" w:color="auto"/>
              <w:right w:val="single" w:sz="4" w:space="0" w:color="auto"/>
            </w:tcBorders>
          </w:tcPr>
          <w:p w14:paraId="05C522BE" w14:textId="6C94C683" w:rsidR="00B331C6" w:rsidRPr="00BB2991" w:rsidRDefault="00B331C6" w:rsidP="00B331C6">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Туу,</w:t>
            </w:r>
            <w:r>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өлім индекстері</w:t>
            </w:r>
          </w:p>
        </w:tc>
      </w:tr>
      <w:tr w:rsidR="00B331C6" w:rsidRPr="00BB2991" w14:paraId="3C0B40F6" w14:textId="77777777" w:rsidTr="00B331C6">
        <w:trPr>
          <w:jc w:val="center"/>
        </w:trPr>
        <w:tc>
          <w:tcPr>
            <w:tcW w:w="2232" w:type="dxa"/>
            <w:vMerge/>
            <w:tcBorders>
              <w:left w:val="single" w:sz="4" w:space="0" w:color="auto"/>
              <w:bottom w:val="single" w:sz="4" w:space="0" w:color="auto"/>
              <w:right w:val="single" w:sz="4" w:space="0" w:color="auto"/>
            </w:tcBorders>
          </w:tcPr>
          <w:p w14:paraId="4C4DC159" w14:textId="77777777" w:rsidR="00B331C6" w:rsidRPr="00BB2991" w:rsidRDefault="00B331C6" w:rsidP="00457CE9">
            <w:pPr>
              <w:tabs>
                <w:tab w:val="left" w:pos="1605"/>
              </w:tabs>
              <w:rPr>
                <w:rFonts w:ascii="Times New Roman" w:hAnsi="Times New Roman" w:cs="Times New Roman"/>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5DFF5A82" w14:textId="398EA148" w:rsidR="00B331C6" w:rsidRPr="00BB2991" w:rsidRDefault="00B331C6"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АӨК саласында жұмыспен қамтыл</w:t>
            </w:r>
            <w:r>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ғандар саны</w:t>
            </w:r>
          </w:p>
        </w:tc>
        <w:tc>
          <w:tcPr>
            <w:tcW w:w="2903" w:type="dxa"/>
            <w:tcBorders>
              <w:top w:val="single" w:sz="4" w:space="0" w:color="auto"/>
              <w:left w:val="single" w:sz="4" w:space="0" w:color="auto"/>
              <w:bottom w:val="single" w:sz="4" w:space="0" w:color="auto"/>
              <w:right w:val="single" w:sz="4" w:space="0" w:color="auto"/>
            </w:tcBorders>
          </w:tcPr>
          <w:p w14:paraId="28400BA3" w14:textId="6F5283D9" w:rsidR="00B331C6" w:rsidRPr="00BB2991" w:rsidRDefault="00B331C6"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Жұмыспен қамтылу көрсеткіштері</w:t>
            </w:r>
          </w:p>
        </w:tc>
      </w:tr>
      <w:tr w:rsidR="00BB2991" w:rsidRPr="00805B3E" w14:paraId="61D3F47C" w14:textId="77777777" w:rsidTr="00B331C6">
        <w:trPr>
          <w:jc w:val="center"/>
        </w:trPr>
        <w:tc>
          <w:tcPr>
            <w:tcW w:w="2232" w:type="dxa"/>
            <w:vMerge w:val="restart"/>
            <w:tcBorders>
              <w:top w:val="single" w:sz="4" w:space="0" w:color="auto"/>
              <w:left w:val="single" w:sz="4" w:space="0" w:color="auto"/>
              <w:right w:val="single" w:sz="4" w:space="0" w:color="auto"/>
            </w:tcBorders>
          </w:tcPr>
          <w:p w14:paraId="1253B1D2" w14:textId="4140FF14"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color w:val="000000"/>
                <w:sz w:val="24"/>
                <w:szCs w:val="24"/>
                <w:lang w:val="kk-KZ"/>
              </w:rPr>
              <w:t xml:space="preserve">Экологиялық </w:t>
            </w:r>
          </w:p>
        </w:tc>
        <w:tc>
          <w:tcPr>
            <w:tcW w:w="4431" w:type="dxa"/>
            <w:tcBorders>
              <w:top w:val="single" w:sz="4" w:space="0" w:color="auto"/>
              <w:left w:val="single" w:sz="4" w:space="0" w:color="auto"/>
              <w:bottom w:val="single" w:sz="4" w:space="0" w:color="auto"/>
              <w:right w:val="single" w:sz="4" w:space="0" w:color="auto"/>
            </w:tcBorders>
          </w:tcPr>
          <w:p w14:paraId="2FD97FCF" w14:textId="532830A0"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АӨК саласындағы өнімдер сапасы</w:t>
            </w:r>
          </w:p>
        </w:tc>
        <w:tc>
          <w:tcPr>
            <w:tcW w:w="2903" w:type="dxa"/>
            <w:vMerge w:val="restart"/>
            <w:tcBorders>
              <w:top w:val="single" w:sz="4" w:space="0" w:color="auto"/>
              <w:left w:val="single" w:sz="4" w:space="0" w:color="auto"/>
              <w:right w:val="single" w:sz="4" w:space="0" w:color="auto"/>
            </w:tcBorders>
          </w:tcPr>
          <w:p w14:paraId="4608FCB8" w14:textId="120865FC" w:rsidR="00BB2991" w:rsidRPr="00BB2991" w:rsidRDefault="00BB2991"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Экспорт көлемі, қолда</w:t>
            </w:r>
            <w:r w:rsidR="00B331C6">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нылған пестицидтер, ми</w:t>
            </w:r>
            <w:r w:rsidR="00B331C6">
              <w:rPr>
                <w:rFonts w:ascii="Times New Roman" w:hAnsi="Times New Roman" w:cs="Times New Roman"/>
                <w:sz w:val="24"/>
                <w:szCs w:val="24"/>
                <w:lang w:val="kk-KZ"/>
              </w:rPr>
              <w:t xml:space="preserve"> </w:t>
            </w:r>
            <w:r w:rsidRPr="00BB2991">
              <w:rPr>
                <w:rFonts w:ascii="Times New Roman" w:hAnsi="Times New Roman" w:cs="Times New Roman"/>
                <w:sz w:val="24"/>
                <w:szCs w:val="24"/>
                <w:lang w:val="kk-KZ"/>
              </w:rPr>
              <w:t>нералды тыңайтқыштар көлемі</w:t>
            </w:r>
          </w:p>
        </w:tc>
      </w:tr>
      <w:tr w:rsidR="00BB2991" w:rsidRPr="00BB2991" w14:paraId="7123BC61" w14:textId="77777777" w:rsidTr="00B331C6">
        <w:trPr>
          <w:jc w:val="center"/>
        </w:trPr>
        <w:tc>
          <w:tcPr>
            <w:tcW w:w="2232" w:type="dxa"/>
            <w:vMerge/>
            <w:tcBorders>
              <w:left w:val="single" w:sz="4" w:space="0" w:color="auto"/>
              <w:bottom w:val="single" w:sz="4" w:space="0" w:color="auto"/>
              <w:right w:val="single" w:sz="4" w:space="0" w:color="auto"/>
            </w:tcBorders>
          </w:tcPr>
          <w:p w14:paraId="45BA2D6C" w14:textId="77777777" w:rsidR="00BB2991" w:rsidRPr="00BB2991" w:rsidRDefault="00BB2991" w:rsidP="00457CE9">
            <w:pPr>
              <w:tabs>
                <w:tab w:val="left" w:pos="1605"/>
              </w:tabs>
              <w:rPr>
                <w:rFonts w:ascii="Times New Roman" w:hAnsi="Times New Roman" w:cs="Times New Roman"/>
                <w:color w:val="000000"/>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126D5A22" w14:textId="0A21503D"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Қоршаған ортаға эмиссиялар көлемі</w:t>
            </w:r>
          </w:p>
        </w:tc>
        <w:tc>
          <w:tcPr>
            <w:tcW w:w="2903" w:type="dxa"/>
            <w:vMerge/>
            <w:tcBorders>
              <w:left w:val="single" w:sz="4" w:space="0" w:color="auto"/>
              <w:bottom w:val="single" w:sz="4" w:space="0" w:color="auto"/>
              <w:right w:val="single" w:sz="4" w:space="0" w:color="auto"/>
            </w:tcBorders>
          </w:tcPr>
          <w:p w14:paraId="08279249" w14:textId="77777777" w:rsidR="00BB2991" w:rsidRPr="00BB2991" w:rsidRDefault="00BB2991" w:rsidP="00457CE9">
            <w:pPr>
              <w:tabs>
                <w:tab w:val="left" w:pos="1605"/>
              </w:tabs>
              <w:jc w:val="center"/>
              <w:rPr>
                <w:rFonts w:ascii="Times New Roman" w:hAnsi="Times New Roman" w:cs="Times New Roman"/>
                <w:sz w:val="24"/>
                <w:szCs w:val="24"/>
                <w:lang w:val="kk-KZ"/>
              </w:rPr>
            </w:pPr>
          </w:p>
        </w:tc>
      </w:tr>
      <w:tr w:rsidR="00BB2991" w:rsidRPr="00805B3E" w14:paraId="1C3706A6" w14:textId="77777777" w:rsidTr="00B331C6">
        <w:trPr>
          <w:jc w:val="center"/>
        </w:trPr>
        <w:tc>
          <w:tcPr>
            <w:tcW w:w="2232" w:type="dxa"/>
            <w:vMerge w:val="restart"/>
            <w:tcBorders>
              <w:top w:val="single" w:sz="4" w:space="0" w:color="auto"/>
              <w:left w:val="single" w:sz="4" w:space="0" w:color="auto"/>
              <w:right w:val="single" w:sz="4" w:space="0" w:color="auto"/>
            </w:tcBorders>
          </w:tcPr>
          <w:p w14:paraId="6F350A60" w14:textId="5BAC5D52" w:rsidR="00BB2991" w:rsidRPr="00BB2991" w:rsidRDefault="00BB2991" w:rsidP="00457CE9">
            <w:pPr>
              <w:tabs>
                <w:tab w:val="left" w:pos="1605"/>
              </w:tabs>
              <w:rPr>
                <w:rFonts w:ascii="Times New Roman" w:hAnsi="Times New Roman" w:cs="Times New Roman"/>
                <w:color w:val="000000"/>
                <w:sz w:val="24"/>
                <w:szCs w:val="24"/>
                <w:lang w:val="kk-KZ"/>
              </w:rPr>
            </w:pPr>
            <w:r w:rsidRPr="00BB2991">
              <w:rPr>
                <w:rFonts w:ascii="Times New Roman" w:hAnsi="Times New Roman" w:cs="Times New Roman"/>
                <w:color w:val="000000"/>
                <w:sz w:val="24"/>
                <w:szCs w:val="24"/>
                <w:lang w:val="kk-KZ"/>
              </w:rPr>
              <w:t xml:space="preserve">Бюджеттік </w:t>
            </w:r>
          </w:p>
        </w:tc>
        <w:tc>
          <w:tcPr>
            <w:tcW w:w="4431" w:type="dxa"/>
            <w:tcBorders>
              <w:top w:val="single" w:sz="4" w:space="0" w:color="auto"/>
              <w:left w:val="single" w:sz="4" w:space="0" w:color="auto"/>
              <w:bottom w:val="single" w:sz="4" w:space="0" w:color="auto"/>
              <w:right w:val="single" w:sz="4" w:space="0" w:color="auto"/>
            </w:tcBorders>
          </w:tcPr>
          <w:p w14:paraId="60DBF544" w14:textId="63BA0F2F"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color w:val="000000"/>
                <w:sz w:val="24"/>
                <w:szCs w:val="24"/>
                <w:lang w:val="kk-KZ"/>
              </w:rPr>
              <w:t>Бюджет қаражатының қайтарымдылық коэффициенті</w:t>
            </w:r>
          </w:p>
        </w:tc>
        <w:tc>
          <w:tcPr>
            <w:tcW w:w="2903" w:type="dxa"/>
            <w:tcBorders>
              <w:top w:val="single" w:sz="4" w:space="0" w:color="auto"/>
              <w:left w:val="single" w:sz="4" w:space="0" w:color="auto"/>
              <w:bottom w:val="single" w:sz="4" w:space="0" w:color="auto"/>
              <w:right w:val="single" w:sz="4" w:space="0" w:color="auto"/>
            </w:tcBorders>
          </w:tcPr>
          <w:p w14:paraId="715D1D39" w14:textId="73E571E9" w:rsidR="00BB2991" w:rsidRPr="00BB2991" w:rsidRDefault="00BB2991" w:rsidP="00457CE9">
            <w:pPr>
              <w:tabs>
                <w:tab w:val="left" w:pos="1605"/>
              </w:tabs>
              <w:jc w:val="left"/>
              <w:rPr>
                <w:rFonts w:ascii="Times New Roman" w:hAnsi="Times New Roman" w:cs="Times New Roman"/>
                <w:sz w:val="24"/>
                <w:szCs w:val="24"/>
                <w:lang w:val="kk-KZ"/>
              </w:rPr>
            </w:pPr>
            <w:r w:rsidRPr="00BB2991">
              <w:rPr>
                <w:rFonts w:ascii="Times New Roman" w:hAnsi="Times New Roman" w:cs="Times New Roman"/>
                <w:sz w:val="24"/>
                <w:szCs w:val="24"/>
                <w:lang w:val="kk-KZ"/>
              </w:rPr>
              <w:t>АӨК өнімін өндіру көлемі/ Бюджет қаражаты көлемі</w:t>
            </w:r>
          </w:p>
        </w:tc>
      </w:tr>
      <w:tr w:rsidR="00BB2991" w:rsidRPr="00BB2991" w14:paraId="41E1F1C8" w14:textId="77777777" w:rsidTr="00B331C6">
        <w:trPr>
          <w:jc w:val="center"/>
        </w:trPr>
        <w:tc>
          <w:tcPr>
            <w:tcW w:w="2232" w:type="dxa"/>
            <w:vMerge/>
            <w:tcBorders>
              <w:left w:val="single" w:sz="4" w:space="0" w:color="auto"/>
              <w:right w:val="single" w:sz="4" w:space="0" w:color="auto"/>
            </w:tcBorders>
          </w:tcPr>
          <w:p w14:paraId="6E32A74B" w14:textId="571AD78D" w:rsidR="00BB2991" w:rsidRPr="00BB2991" w:rsidRDefault="00BB2991" w:rsidP="00457CE9">
            <w:pPr>
              <w:tabs>
                <w:tab w:val="left" w:pos="1605"/>
              </w:tabs>
              <w:rPr>
                <w:rFonts w:ascii="Times New Roman" w:hAnsi="Times New Roman" w:cs="Times New Roman"/>
                <w:color w:val="000000"/>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0D71D3F1" w14:textId="2FC9ACCD"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Субсидиялар қайтарымы</w:t>
            </w:r>
          </w:p>
        </w:tc>
        <w:tc>
          <w:tcPr>
            <w:tcW w:w="2903" w:type="dxa"/>
            <w:tcBorders>
              <w:top w:val="single" w:sz="4" w:space="0" w:color="auto"/>
              <w:left w:val="single" w:sz="4" w:space="0" w:color="auto"/>
              <w:bottom w:val="single" w:sz="4" w:space="0" w:color="auto"/>
              <w:right w:val="single" w:sz="4" w:space="0" w:color="auto"/>
            </w:tcBorders>
          </w:tcPr>
          <w:p w14:paraId="62DC8C68" w14:textId="6E7FDADD"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Нәтижелі көрсеткіштер</w:t>
            </w:r>
          </w:p>
        </w:tc>
      </w:tr>
      <w:tr w:rsidR="00BB2991" w:rsidRPr="00BB2991" w14:paraId="4908A7A9" w14:textId="77777777" w:rsidTr="00B331C6">
        <w:trPr>
          <w:jc w:val="center"/>
        </w:trPr>
        <w:tc>
          <w:tcPr>
            <w:tcW w:w="2232" w:type="dxa"/>
            <w:vMerge/>
            <w:tcBorders>
              <w:left w:val="single" w:sz="4" w:space="0" w:color="auto"/>
              <w:bottom w:val="single" w:sz="4" w:space="0" w:color="auto"/>
              <w:right w:val="single" w:sz="4" w:space="0" w:color="auto"/>
            </w:tcBorders>
          </w:tcPr>
          <w:p w14:paraId="0F1BC030" w14:textId="77777777" w:rsidR="00BB2991" w:rsidRPr="00BB2991" w:rsidRDefault="00BB2991" w:rsidP="00457CE9">
            <w:pPr>
              <w:tabs>
                <w:tab w:val="left" w:pos="1605"/>
              </w:tabs>
              <w:rPr>
                <w:rFonts w:ascii="Times New Roman" w:hAnsi="Times New Roman" w:cs="Times New Roman"/>
                <w:color w:val="000000"/>
                <w:sz w:val="24"/>
                <w:szCs w:val="24"/>
                <w:lang w:val="kk-KZ"/>
              </w:rPr>
            </w:pPr>
          </w:p>
        </w:tc>
        <w:tc>
          <w:tcPr>
            <w:tcW w:w="4431" w:type="dxa"/>
            <w:tcBorders>
              <w:top w:val="single" w:sz="4" w:space="0" w:color="auto"/>
              <w:left w:val="single" w:sz="4" w:space="0" w:color="auto"/>
              <w:bottom w:val="single" w:sz="4" w:space="0" w:color="auto"/>
              <w:right w:val="single" w:sz="4" w:space="0" w:color="auto"/>
            </w:tcBorders>
          </w:tcPr>
          <w:p w14:paraId="2A8F9AF1" w14:textId="2CE98EB3" w:rsidR="00BB2991" w:rsidRPr="00BB2991" w:rsidRDefault="00BB2991" w:rsidP="00457CE9">
            <w:pPr>
              <w:tabs>
                <w:tab w:val="left" w:pos="1605"/>
              </w:tabs>
              <w:rPr>
                <w:rFonts w:ascii="Times New Roman" w:hAnsi="Times New Roman" w:cs="Times New Roman"/>
                <w:color w:val="000000"/>
                <w:sz w:val="24"/>
                <w:szCs w:val="24"/>
                <w:lang w:val="kk-KZ"/>
              </w:rPr>
            </w:pPr>
            <w:r w:rsidRPr="00BB2991">
              <w:rPr>
                <w:rFonts w:ascii="Times New Roman" w:hAnsi="Times New Roman" w:cs="Times New Roman"/>
                <w:sz w:val="24"/>
                <w:szCs w:val="24"/>
                <w:lang w:val="kk-KZ"/>
              </w:rPr>
              <w:t>АӨК субъектілерінен салықтық түсімдер көлемі</w:t>
            </w:r>
          </w:p>
        </w:tc>
        <w:tc>
          <w:tcPr>
            <w:tcW w:w="2903" w:type="dxa"/>
            <w:tcBorders>
              <w:top w:val="single" w:sz="4" w:space="0" w:color="auto"/>
              <w:left w:val="single" w:sz="4" w:space="0" w:color="auto"/>
              <w:bottom w:val="single" w:sz="4" w:space="0" w:color="auto"/>
              <w:right w:val="single" w:sz="4" w:space="0" w:color="auto"/>
            </w:tcBorders>
          </w:tcPr>
          <w:p w14:paraId="6237EA10" w14:textId="17143AB4" w:rsidR="00BB2991" w:rsidRPr="00BB2991" w:rsidRDefault="00BB2991" w:rsidP="00457CE9">
            <w:pPr>
              <w:tabs>
                <w:tab w:val="left" w:pos="1605"/>
              </w:tabs>
              <w:rPr>
                <w:rFonts w:ascii="Times New Roman" w:hAnsi="Times New Roman" w:cs="Times New Roman"/>
                <w:sz w:val="24"/>
                <w:szCs w:val="24"/>
                <w:lang w:val="kk-KZ"/>
              </w:rPr>
            </w:pPr>
            <w:r w:rsidRPr="00BB2991">
              <w:rPr>
                <w:rFonts w:ascii="Times New Roman" w:hAnsi="Times New Roman" w:cs="Times New Roman"/>
                <w:sz w:val="24"/>
                <w:szCs w:val="24"/>
                <w:lang w:val="kk-KZ"/>
              </w:rPr>
              <w:t>ҚР Статистика агенттігі мәліметтері</w:t>
            </w:r>
          </w:p>
        </w:tc>
      </w:tr>
      <w:tr w:rsidR="00162048" w:rsidRPr="00BB2991" w14:paraId="0FC9D3E7" w14:textId="77777777" w:rsidTr="00B331C6">
        <w:trPr>
          <w:jc w:val="center"/>
        </w:trPr>
        <w:tc>
          <w:tcPr>
            <w:tcW w:w="9566" w:type="dxa"/>
            <w:gridSpan w:val="3"/>
            <w:tcBorders>
              <w:top w:val="single" w:sz="4" w:space="0" w:color="auto"/>
              <w:left w:val="single" w:sz="4" w:space="0" w:color="auto"/>
              <w:bottom w:val="single" w:sz="4" w:space="0" w:color="auto"/>
              <w:right w:val="single" w:sz="4" w:space="0" w:color="auto"/>
            </w:tcBorders>
          </w:tcPr>
          <w:p w14:paraId="2AC2D749" w14:textId="3085BC3B" w:rsidR="00162048" w:rsidRPr="00BB2991" w:rsidRDefault="00162048" w:rsidP="00B331C6">
            <w:pPr>
              <w:tabs>
                <w:tab w:val="left" w:pos="1605"/>
              </w:tabs>
              <w:ind w:firstLine="570"/>
              <w:rPr>
                <w:rFonts w:ascii="Times New Roman" w:hAnsi="Times New Roman" w:cs="Times New Roman"/>
                <w:sz w:val="24"/>
                <w:szCs w:val="24"/>
                <w:lang w:val="kk-KZ"/>
              </w:rPr>
            </w:pPr>
            <w:r w:rsidRPr="00BB2991">
              <w:rPr>
                <w:rFonts w:ascii="Times New Roman" w:hAnsi="Times New Roman" w:cs="Times New Roman"/>
                <w:sz w:val="24"/>
                <w:szCs w:val="24"/>
                <w:lang w:val="kk-KZ"/>
              </w:rPr>
              <w:t xml:space="preserve">Ескерту – </w:t>
            </w:r>
            <w:r w:rsidR="00B331C6" w:rsidRPr="00BB2991">
              <w:rPr>
                <w:rFonts w:ascii="Times New Roman" w:hAnsi="Times New Roman" w:cs="Times New Roman"/>
                <w:sz w:val="24"/>
                <w:szCs w:val="24"/>
                <w:lang w:val="kk-KZ"/>
              </w:rPr>
              <w:t xml:space="preserve">Автормен </w:t>
            </w:r>
            <w:r w:rsidRPr="00BB2991">
              <w:rPr>
                <w:rFonts w:ascii="Times New Roman" w:hAnsi="Times New Roman" w:cs="Times New Roman"/>
                <w:sz w:val="24"/>
                <w:szCs w:val="24"/>
                <w:lang w:val="kk-KZ"/>
              </w:rPr>
              <w:t>құрастырылған</w:t>
            </w:r>
          </w:p>
        </w:tc>
      </w:tr>
    </w:tbl>
    <w:p w14:paraId="1A228843" w14:textId="77777777" w:rsidR="00B95A12" w:rsidRPr="0055710E" w:rsidRDefault="00B95A12" w:rsidP="00457CE9">
      <w:pPr>
        <w:pStyle w:val="a5"/>
        <w:widowControl w:val="0"/>
        <w:tabs>
          <w:tab w:val="left" w:pos="851"/>
          <w:tab w:val="left" w:pos="993"/>
          <w:tab w:val="left" w:pos="1605"/>
        </w:tabs>
        <w:spacing w:after="0" w:line="240" w:lineRule="auto"/>
        <w:ind w:left="0" w:firstLine="709"/>
        <w:jc w:val="both"/>
        <w:rPr>
          <w:rFonts w:ascii="Times New Roman" w:hAnsi="Times New Roman"/>
          <w:sz w:val="16"/>
          <w:szCs w:val="16"/>
          <w:highlight w:val="green"/>
          <w:lang w:val="kk-KZ"/>
        </w:rPr>
      </w:pPr>
    </w:p>
    <w:p w14:paraId="0A1CDC13" w14:textId="77777777" w:rsidR="001576FB" w:rsidRDefault="00420DC5" w:rsidP="0055710E">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Келтірілген көрсеткіштердің динамикасын бақылау арқылы </w:t>
      </w:r>
      <w:r w:rsidR="001576FB">
        <w:rPr>
          <w:rFonts w:ascii="Times New Roman" w:hAnsi="Times New Roman"/>
          <w:sz w:val="28"/>
          <w:szCs w:val="28"/>
          <w:lang w:val="kk-KZ"/>
        </w:rPr>
        <w:t xml:space="preserve">кешенді талдау, мазмұнды талдау және салыстырмалы-талдау әдістерін пайдалана отырып, </w:t>
      </w:r>
      <w:r>
        <w:rPr>
          <w:rFonts w:ascii="Times New Roman" w:hAnsi="Times New Roman"/>
          <w:sz w:val="28"/>
          <w:szCs w:val="28"/>
          <w:lang w:val="kk-KZ"/>
        </w:rPr>
        <w:t>аудитордың кәсіби пікірі негізінде аудиторлық дәлелдемелер базасын қалыптастыру жүзеге асыр</w:t>
      </w:r>
      <w:r w:rsidR="001576FB">
        <w:rPr>
          <w:rFonts w:ascii="Times New Roman" w:hAnsi="Times New Roman"/>
          <w:sz w:val="28"/>
          <w:szCs w:val="28"/>
          <w:lang w:val="kk-KZ"/>
        </w:rPr>
        <w:t>у ұсынылады</w:t>
      </w:r>
      <w:r>
        <w:rPr>
          <w:rFonts w:ascii="Times New Roman" w:hAnsi="Times New Roman"/>
          <w:sz w:val="28"/>
          <w:szCs w:val="28"/>
          <w:lang w:val="kk-KZ"/>
        </w:rPr>
        <w:t xml:space="preserve">. </w:t>
      </w:r>
    </w:p>
    <w:p w14:paraId="4338C8F2" w14:textId="2458737C" w:rsidR="00B95A12" w:rsidRPr="00457CE9" w:rsidRDefault="00B95A12" w:rsidP="0055710E">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Біздің ойымызша тиімділік аудиті аясында ҚР АӨК-н дамытудың негізгі ұсыныстарын келесідей деп анықтаған жөн:</w:t>
      </w:r>
    </w:p>
    <w:p w14:paraId="7481B68A" w14:textId="77777777" w:rsidR="00B95A12" w:rsidRPr="00457CE9" w:rsidRDefault="00B95A12" w:rsidP="0097172E">
      <w:pPr>
        <w:pStyle w:val="a5"/>
        <w:widowControl w:val="0"/>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ғылыми-зерттеу тәжірибелік конструкторлық жұмыстарды дамытуға қаржы бөлу;</w:t>
      </w:r>
    </w:p>
    <w:p w14:paraId="2F44C90A" w14:textId="77777777" w:rsidR="00B95A12" w:rsidRPr="00457CE9" w:rsidRDefault="00B95A12" w:rsidP="0097172E">
      <w:pPr>
        <w:pStyle w:val="a5"/>
        <w:widowControl w:val="0"/>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аурулар мен зиянкестермен күресу шаралары;</w:t>
      </w:r>
    </w:p>
    <w:p w14:paraId="7CE156AD" w14:textId="77777777" w:rsidR="00B95A12" w:rsidRPr="00457CE9" w:rsidRDefault="00B95A12" w:rsidP="0097172E">
      <w:pPr>
        <w:pStyle w:val="a5"/>
        <w:widowControl w:val="0"/>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табиғи апаттар, ауа-райы және нарықтық тәуекелдерге дайындықты қамтамасыз етуге инвестицияларды ынталандыруға жеңілдік несиелеу сызбасын қолдану;</w:t>
      </w:r>
    </w:p>
    <w:p w14:paraId="6BC72714" w14:textId="77777777" w:rsidR="00B95A12" w:rsidRPr="00457CE9" w:rsidRDefault="00B95A12" w:rsidP="0097172E">
      <w:pPr>
        <w:pStyle w:val="a5"/>
        <w:widowControl w:val="0"/>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ішкішаруашылық инфрақұрылымды жаңартуға тікелей қолдау:</w:t>
      </w:r>
    </w:p>
    <w:p w14:paraId="52330A66" w14:textId="77777777" w:rsidR="00B95A12" w:rsidRPr="00457CE9" w:rsidRDefault="00B95A12" w:rsidP="0097172E">
      <w:pPr>
        <w:pStyle w:val="a5"/>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шаруа қожалықтарын сапалы қаржылық кеңестермен қамтамасыз ету;</w:t>
      </w:r>
    </w:p>
    <w:p w14:paraId="0B22C6B2" w14:textId="77777777" w:rsidR="00B95A12" w:rsidRPr="00457CE9" w:rsidRDefault="00B95A12" w:rsidP="0097172E">
      <w:pPr>
        <w:pStyle w:val="a5"/>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ауыл шаруашылық өндірушілерді экологиялық тұрақты басқарудың тиімділігін арттыруға бағытталған қолдаулар;</w:t>
      </w:r>
    </w:p>
    <w:p w14:paraId="502D53C2" w14:textId="429D7EC4" w:rsidR="00B95A12" w:rsidRPr="00457CE9" w:rsidRDefault="00B95A12" w:rsidP="0097172E">
      <w:pPr>
        <w:pStyle w:val="a5"/>
        <w:widowControl w:val="0"/>
        <w:numPr>
          <w:ilvl w:val="0"/>
          <w:numId w:val="36"/>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ҚР АӨК-н дамыту үшін мемлекеттік қолдау ауыл шаруашылығы саласындағы инфрақұрылымды дамыту, ауыл шаруашылығы саласындағы ғы</w:t>
      </w:r>
      <w:r w:rsidR="00952A90" w:rsidRPr="00457CE9">
        <w:rPr>
          <w:rFonts w:ascii="Times New Roman" w:hAnsi="Times New Roman"/>
          <w:sz w:val="28"/>
          <w:szCs w:val="28"/>
          <w:lang w:val="kk-KZ"/>
        </w:rPr>
        <w:t>л</w:t>
      </w:r>
      <w:r w:rsidRPr="00457CE9">
        <w:rPr>
          <w:rFonts w:ascii="Times New Roman" w:hAnsi="Times New Roman"/>
          <w:sz w:val="28"/>
          <w:szCs w:val="28"/>
          <w:lang w:val="kk-KZ"/>
        </w:rPr>
        <w:t xml:space="preserve">ымды дамытуды, бақылау және инспекциялау жүйесін қаржыландыруды жүзеге асыру.  </w:t>
      </w:r>
    </w:p>
    <w:p w14:paraId="15E83288" w14:textId="3C26F964" w:rsidR="00135965" w:rsidRDefault="00B95A12" w:rsidP="00457CE9">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ҚР АӨК дамытуға жұмсалған бюджет қаражаты тиімділігінің аудиті бойынша аудиторлық тексеру туралы есептер, шын мәнінде, мемлекеттік сектор жұмысының тиімділігін арттыру және есеп беру құралы болып табылады. Бұдан тиімділік аудитінің нәтижелеріндегі ұсыныстарды орындау арқылы қол жеткізуге болады. </w:t>
      </w:r>
      <w:r w:rsidR="00981D38" w:rsidRPr="00B331C6">
        <w:rPr>
          <w:rFonts w:ascii="Times New Roman" w:hAnsi="Times New Roman"/>
          <w:sz w:val="28"/>
          <w:szCs w:val="28"/>
          <w:lang w:val="kk-KZ"/>
        </w:rPr>
        <w:t>Біздің ойымызша м</w:t>
      </w:r>
      <w:r w:rsidRPr="00B331C6">
        <w:rPr>
          <w:rFonts w:ascii="Times New Roman" w:hAnsi="Times New Roman"/>
          <w:sz w:val="28"/>
          <w:szCs w:val="28"/>
          <w:lang w:val="kk-KZ"/>
        </w:rPr>
        <w:t>емлекеттік аудит және қаржылық  бақылаудың дәйекті және жүйелі процес</w:t>
      </w:r>
      <w:r w:rsidR="00981D38" w:rsidRPr="00B331C6">
        <w:rPr>
          <w:rFonts w:ascii="Times New Roman" w:hAnsi="Times New Roman"/>
          <w:sz w:val="28"/>
          <w:szCs w:val="28"/>
          <w:lang w:val="kk-KZ"/>
        </w:rPr>
        <w:t>і ұлттық жоб</w:t>
      </w:r>
      <w:r w:rsidRPr="00B331C6">
        <w:rPr>
          <w:rFonts w:ascii="Times New Roman" w:hAnsi="Times New Roman"/>
          <w:sz w:val="28"/>
          <w:szCs w:val="28"/>
          <w:lang w:val="kk-KZ"/>
        </w:rPr>
        <w:t>аларды бас</w:t>
      </w:r>
      <w:r w:rsidR="00981D38" w:rsidRPr="00B331C6">
        <w:rPr>
          <w:rFonts w:ascii="Times New Roman" w:hAnsi="Times New Roman"/>
          <w:sz w:val="28"/>
          <w:szCs w:val="28"/>
          <w:lang w:val="kk-KZ"/>
        </w:rPr>
        <w:t>қ</w:t>
      </w:r>
      <w:r w:rsidRPr="00B331C6">
        <w:rPr>
          <w:rFonts w:ascii="Times New Roman" w:hAnsi="Times New Roman"/>
          <w:sz w:val="28"/>
          <w:szCs w:val="28"/>
          <w:lang w:val="kk-KZ"/>
        </w:rPr>
        <w:t>аруды жа</w:t>
      </w:r>
      <w:r w:rsidR="00981D38" w:rsidRPr="00B331C6">
        <w:rPr>
          <w:rFonts w:ascii="Times New Roman" w:hAnsi="Times New Roman"/>
          <w:sz w:val="28"/>
          <w:szCs w:val="28"/>
          <w:lang w:val="kk-KZ"/>
        </w:rPr>
        <w:t>қ</w:t>
      </w:r>
      <w:r w:rsidRPr="00B331C6">
        <w:rPr>
          <w:rFonts w:ascii="Times New Roman" w:hAnsi="Times New Roman"/>
          <w:sz w:val="28"/>
          <w:szCs w:val="28"/>
          <w:lang w:val="kk-KZ"/>
        </w:rPr>
        <w:t>сарту т</w:t>
      </w:r>
      <w:r w:rsidR="00981D38" w:rsidRPr="00B331C6">
        <w:rPr>
          <w:rFonts w:ascii="Times New Roman" w:hAnsi="Times New Roman"/>
          <w:sz w:val="28"/>
          <w:szCs w:val="28"/>
          <w:lang w:val="kk-KZ"/>
        </w:rPr>
        <w:t>ұ</w:t>
      </w:r>
      <w:r w:rsidRPr="00B331C6">
        <w:rPr>
          <w:rFonts w:ascii="Times New Roman" w:hAnsi="Times New Roman"/>
          <w:sz w:val="28"/>
          <w:szCs w:val="28"/>
          <w:lang w:val="kk-KZ"/>
        </w:rPr>
        <w:t>р</w:t>
      </w:r>
      <w:r w:rsidR="00981D38" w:rsidRPr="00B331C6">
        <w:rPr>
          <w:rFonts w:ascii="Times New Roman" w:hAnsi="Times New Roman"/>
          <w:sz w:val="28"/>
          <w:szCs w:val="28"/>
          <w:lang w:val="kk-KZ"/>
        </w:rPr>
        <w:t>ғ</w:t>
      </w:r>
      <w:r w:rsidRPr="00B331C6">
        <w:rPr>
          <w:rFonts w:ascii="Times New Roman" w:hAnsi="Times New Roman"/>
          <w:sz w:val="28"/>
          <w:szCs w:val="28"/>
          <w:lang w:val="kk-KZ"/>
        </w:rPr>
        <w:t xml:space="preserve">ысынан </w:t>
      </w:r>
      <w:r w:rsidR="00981D38" w:rsidRPr="00B331C6">
        <w:rPr>
          <w:rFonts w:ascii="Times New Roman" w:hAnsi="Times New Roman"/>
          <w:sz w:val="28"/>
          <w:szCs w:val="28"/>
          <w:lang w:val="kk-KZ"/>
        </w:rPr>
        <w:t>қ</w:t>
      </w:r>
      <w:r w:rsidRPr="00B331C6">
        <w:rPr>
          <w:rFonts w:ascii="Times New Roman" w:hAnsi="Times New Roman"/>
          <w:sz w:val="28"/>
          <w:szCs w:val="28"/>
          <w:lang w:val="kk-KZ"/>
        </w:rPr>
        <w:t>ызметтік тексеруді</w:t>
      </w:r>
      <w:r w:rsidR="00981D38" w:rsidRPr="00B331C6">
        <w:rPr>
          <w:rFonts w:ascii="Times New Roman" w:hAnsi="Times New Roman"/>
          <w:sz w:val="28"/>
          <w:szCs w:val="28"/>
          <w:lang w:val="kk-KZ"/>
        </w:rPr>
        <w:t>ң</w:t>
      </w:r>
      <w:r w:rsidRPr="00B331C6">
        <w:rPr>
          <w:rFonts w:ascii="Times New Roman" w:hAnsi="Times New Roman"/>
          <w:sz w:val="28"/>
          <w:szCs w:val="28"/>
          <w:lang w:val="kk-KZ"/>
        </w:rPr>
        <w:t xml:space="preserve"> тиімділігін арттыру</w:t>
      </w:r>
      <w:r w:rsidR="00981D38" w:rsidRPr="00B331C6">
        <w:rPr>
          <w:rFonts w:ascii="Times New Roman" w:hAnsi="Times New Roman"/>
          <w:sz w:val="28"/>
          <w:szCs w:val="28"/>
          <w:lang w:val="kk-KZ"/>
        </w:rPr>
        <w:t>ғ</w:t>
      </w:r>
      <w:r w:rsidRPr="00B331C6">
        <w:rPr>
          <w:rFonts w:ascii="Times New Roman" w:hAnsi="Times New Roman"/>
          <w:sz w:val="28"/>
          <w:szCs w:val="28"/>
          <w:lang w:val="kk-KZ"/>
        </w:rPr>
        <w:t>а айтарлы</w:t>
      </w:r>
      <w:r w:rsidR="00981D38" w:rsidRPr="00B331C6">
        <w:rPr>
          <w:rFonts w:ascii="Times New Roman" w:hAnsi="Times New Roman"/>
          <w:sz w:val="28"/>
          <w:szCs w:val="28"/>
          <w:lang w:val="kk-KZ"/>
        </w:rPr>
        <w:t>қ</w:t>
      </w:r>
      <w:r w:rsidRPr="00B331C6">
        <w:rPr>
          <w:rFonts w:ascii="Times New Roman" w:hAnsi="Times New Roman"/>
          <w:sz w:val="28"/>
          <w:szCs w:val="28"/>
          <w:lang w:val="kk-KZ"/>
        </w:rPr>
        <w:t xml:space="preserve">тай </w:t>
      </w:r>
      <w:r w:rsidR="00981D38" w:rsidRPr="00B331C6">
        <w:rPr>
          <w:rFonts w:ascii="Times New Roman" w:hAnsi="Times New Roman"/>
          <w:sz w:val="28"/>
          <w:szCs w:val="28"/>
          <w:lang w:val="kk-KZ"/>
        </w:rPr>
        <w:t>ү</w:t>
      </w:r>
      <w:r w:rsidRPr="00B331C6">
        <w:rPr>
          <w:rFonts w:ascii="Times New Roman" w:hAnsi="Times New Roman"/>
          <w:sz w:val="28"/>
          <w:szCs w:val="28"/>
          <w:lang w:val="kk-KZ"/>
        </w:rPr>
        <w:t xml:space="preserve">лес </w:t>
      </w:r>
      <w:r w:rsidR="00981D38" w:rsidRPr="00B331C6">
        <w:rPr>
          <w:rFonts w:ascii="Times New Roman" w:hAnsi="Times New Roman"/>
          <w:sz w:val="28"/>
          <w:szCs w:val="28"/>
          <w:lang w:val="kk-KZ"/>
        </w:rPr>
        <w:t>қ</w:t>
      </w:r>
      <w:r w:rsidRPr="00B331C6">
        <w:rPr>
          <w:rFonts w:ascii="Times New Roman" w:hAnsi="Times New Roman"/>
          <w:sz w:val="28"/>
          <w:szCs w:val="28"/>
          <w:lang w:val="kk-KZ"/>
        </w:rPr>
        <w:t>оса</w:t>
      </w:r>
      <w:r w:rsidR="00981D38" w:rsidRPr="00B331C6">
        <w:rPr>
          <w:rFonts w:ascii="Times New Roman" w:hAnsi="Times New Roman"/>
          <w:sz w:val="28"/>
          <w:szCs w:val="28"/>
          <w:lang w:val="kk-KZ"/>
        </w:rPr>
        <w:t>ды.</w:t>
      </w:r>
      <w:r w:rsidR="00E64E79" w:rsidRPr="00B331C6">
        <w:rPr>
          <w:rFonts w:ascii="Times New Roman" w:hAnsi="Times New Roman"/>
          <w:sz w:val="28"/>
          <w:szCs w:val="28"/>
          <w:lang w:val="kk-KZ"/>
        </w:rPr>
        <w:t xml:space="preserve"> </w:t>
      </w:r>
      <w:r w:rsidR="00E64E79" w:rsidRPr="00457CE9">
        <w:rPr>
          <w:rFonts w:ascii="Times New Roman" w:hAnsi="Times New Roman"/>
          <w:sz w:val="28"/>
          <w:szCs w:val="28"/>
          <w:lang w:val="kk-KZ"/>
        </w:rPr>
        <w:t>ҚР АӨК-н дамыту</w:t>
      </w:r>
      <w:r w:rsidR="001576FB">
        <w:rPr>
          <w:rFonts w:ascii="Times New Roman" w:hAnsi="Times New Roman"/>
          <w:sz w:val="28"/>
          <w:szCs w:val="28"/>
          <w:lang w:val="kk-KZ"/>
        </w:rPr>
        <w:t xml:space="preserve"> </w:t>
      </w:r>
      <w:r w:rsidR="00E64E79" w:rsidRPr="00457CE9">
        <w:rPr>
          <w:rFonts w:ascii="Times New Roman" w:hAnsi="Times New Roman"/>
          <w:sz w:val="28"/>
          <w:szCs w:val="28"/>
          <w:lang w:val="kk-KZ"/>
        </w:rPr>
        <w:t>бойынша бюджет қаражаты тиімділігі аудитін ұйымдастыру мен өткізуге ұсынылған қадамдар</w:t>
      </w:r>
      <w:r w:rsidR="00420DC5">
        <w:rPr>
          <w:rFonts w:ascii="Times New Roman" w:hAnsi="Times New Roman"/>
          <w:sz w:val="28"/>
          <w:szCs w:val="28"/>
          <w:lang w:val="kk-KZ"/>
        </w:rPr>
        <w:t xml:space="preserve"> моделі</w:t>
      </w:r>
      <w:r w:rsidR="00E64E79" w:rsidRPr="00457CE9">
        <w:rPr>
          <w:rFonts w:ascii="Times New Roman" w:hAnsi="Times New Roman"/>
          <w:sz w:val="28"/>
          <w:szCs w:val="28"/>
          <w:lang w:val="kk-KZ"/>
        </w:rPr>
        <w:t xml:space="preserve"> </w:t>
      </w:r>
      <w:r w:rsidR="00EE3C33" w:rsidRPr="00457CE9">
        <w:rPr>
          <w:rFonts w:ascii="Times New Roman" w:hAnsi="Times New Roman"/>
          <w:sz w:val="28"/>
          <w:szCs w:val="28"/>
          <w:lang w:val="kk-KZ"/>
        </w:rPr>
        <w:t>4</w:t>
      </w:r>
      <w:r w:rsidR="009B76D2">
        <w:rPr>
          <w:rFonts w:ascii="Times New Roman" w:hAnsi="Times New Roman"/>
          <w:sz w:val="28"/>
          <w:szCs w:val="28"/>
          <w:lang w:val="kk-KZ"/>
        </w:rPr>
        <w:t>7</w:t>
      </w:r>
      <w:r w:rsidR="00135965" w:rsidRPr="00457CE9">
        <w:rPr>
          <w:rFonts w:ascii="Times New Roman" w:hAnsi="Times New Roman"/>
          <w:sz w:val="28"/>
          <w:szCs w:val="28"/>
          <w:lang w:val="kk-KZ"/>
        </w:rPr>
        <w:t>-кестеде келтірілген.</w:t>
      </w:r>
    </w:p>
    <w:p w14:paraId="1F36FF15" w14:textId="77777777" w:rsidR="00B331C6" w:rsidRPr="00457CE9" w:rsidRDefault="00B331C6" w:rsidP="00457CE9">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p>
    <w:p w14:paraId="260E352C" w14:textId="39BC0828" w:rsidR="00135965" w:rsidRDefault="00135965" w:rsidP="00457CE9">
      <w:pPr>
        <w:widowControl w:val="0"/>
        <w:tabs>
          <w:tab w:val="left" w:pos="851"/>
          <w:tab w:val="left" w:pos="993"/>
          <w:tab w:val="left" w:pos="1605"/>
        </w:tabs>
        <w:spacing w:after="0" w:line="240" w:lineRule="auto"/>
        <w:jc w:val="both"/>
        <w:rPr>
          <w:rFonts w:ascii="Times New Roman" w:hAnsi="Times New Roman"/>
          <w:sz w:val="28"/>
          <w:szCs w:val="28"/>
          <w:lang w:val="kk-KZ"/>
        </w:rPr>
      </w:pPr>
      <w:r w:rsidRPr="00457CE9">
        <w:rPr>
          <w:rFonts w:ascii="Times New Roman" w:hAnsi="Times New Roman"/>
          <w:sz w:val="28"/>
          <w:szCs w:val="28"/>
          <w:lang w:val="kk-KZ"/>
        </w:rPr>
        <w:t xml:space="preserve">Кесте </w:t>
      </w:r>
      <w:r w:rsidR="00EE3C33" w:rsidRPr="00457CE9">
        <w:rPr>
          <w:rFonts w:ascii="Times New Roman" w:hAnsi="Times New Roman"/>
          <w:sz w:val="28"/>
          <w:szCs w:val="28"/>
          <w:lang w:val="kk-KZ"/>
        </w:rPr>
        <w:t>4</w:t>
      </w:r>
      <w:r w:rsidR="009B76D2">
        <w:rPr>
          <w:rFonts w:ascii="Times New Roman" w:hAnsi="Times New Roman"/>
          <w:sz w:val="28"/>
          <w:szCs w:val="28"/>
          <w:lang w:val="kk-KZ"/>
        </w:rPr>
        <w:t>7</w:t>
      </w:r>
      <w:r w:rsidRPr="00457CE9">
        <w:rPr>
          <w:rFonts w:ascii="Times New Roman" w:hAnsi="Times New Roman"/>
          <w:sz w:val="28"/>
          <w:szCs w:val="28"/>
          <w:lang w:val="kk-KZ"/>
        </w:rPr>
        <w:t xml:space="preserve"> –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w:t>
      </w:r>
      <w:r w:rsidR="00A257E7" w:rsidRPr="00457CE9">
        <w:rPr>
          <w:rFonts w:ascii="Times New Roman" w:hAnsi="Times New Roman"/>
          <w:sz w:val="28"/>
          <w:szCs w:val="28"/>
          <w:lang w:val="kk-KZ"/>
        </w:rPr>
        <w:t>жұмс</w:t>
      </w:r>
      <w:r w:rsidRPr="00457CE9">
        <w:rPr>
          <w:rFonts w:ascii="Times New Roman" w:hAnsi="Times New Roman"/>
          <w:sz w:val="28"/>
          <w:szCs w:val="28"/>
          <w:lang w:val="kk-KZ"/>
        </w:rPr>
        <w:t>алған бюджет қаражаты</w:t>
      </w:r>
      <w:r w:rsidR="00A257E7" w:rsidRPr="00457CE9">
        <w:rPr>
          <w:rFonts w:ascii="Times New Roman" w:hAnsi="Times New Roman"/>
          <w:sz w:val="28"/>
          <w:szCs w:val="28"/>
          <w:lang w:val="kk-KZ"/>
        </w:rPr>
        <w:t xml:space="preserve"> </w:t>
      </w:r>
      <w:r w:rsidRPr="00457CE9">
        <w:rPr>
          <w:rFonts w:ascii="Times New Roman" w:hAnsi="Times New Roman"/>
          <w:sz w:val="28"/>
          <w:szCs w:val="28"/>
          <w:lang w:val="kk-KZ"/>
        </w:rPr>
        <w:t>тиімділі</w:t>
      </w:r>
      <w:r w:rsidR="00A257E7" w:rsidRPr="00457CE9">
        <w:rPr>
          <w:rFonts w:ascii="Times New Roman" w:hAnsi="Times New Roman"/>
          <w:sz w:val="28"/>
          <w:szCs w:val="28"/>
          <w:lang w:val="kk-KZ"/>
        </w:rPr>
        <w:t>гі</w:t>
      </w:r>
      <w:r w:rsidRPr="00457CE9">
        <w:rPr>
          <w:rFonts w:ascii="Times New Roman" w:hAnsi="Times New Roman"/>
          <w:sz w:val="28"/>
          <w:szCs w:val="28"/>
          <w:lang w:val="kk-KZ"/>
        </w:rPr>
        <w:t xml:space="preserve"> аудитін ұйымдастыру </w:t>
      </w:r>
      <w:r w:rsidR="00A257E7" w:rsidRPr="00457CE9">
        <w:rPr>
          <w:rFonts w:ascii="Times New Roman" w:hAnsi="Times New Roman"/>
          <w:sz w:val="28"/>
          <w:szCs w:val="28"/>
          <w:lang w:val="kk-KZ"/>
        </w:rPr>
        <w:t>мен өткізу</w:t>
      </w:r>
      <w:r w:rsidR="00E64E79" w:rsidRPr="00457CE9">
        <w:rPr>
          <w:rFonts w:ascii="Times New Roman" w:hAnsi="Times New Roman"/>
          <w:sz w:val="28"/>
          <w:szCs w:val="28"/>
          <w:lang w:val="kk-KZ"/>
        </w:rPr>
        <w:t xml:space="preserve">ге ұсынылған </w:t>
      </w:r>
      <w:r w:rsidR="00A257E7" w:rsidRPr="00457CE9">
        <w:rPr>
          <w:rFonts w:ascii="Times New Roman" w:hAnsi="Times New Roman"/>
          <w:sz w:val="28"/>
          <w:szCs w:val="28"/>
          <w:lang w:val="kk-KZ"/>
        </w:rPr>
        <w:t>қадамдар</w:t>
      </w:r>
      <w:r w:rsidR="00420DC5">
        <w:rPr>
          <w:rFonts w:ascii="Times New Roman" w:hAnsi="Times New Roman"/>
          <w:sz w:val="28"/>
          <w:szCs w:val="28"/>
          <w:lang w:val="kk-KZ"/>
        </w:rPr>
        <w:t xml:space="preserve"> моделі</w:t>
      </w:r>
    </w:p>
    <w:p w14:paraId="10FB4A23" w14:textId="77777777" w:rsidR="00B331C6" w:rsidRPr="00B331C6" w:rsidRDefault="00B331C6" w:rsidP="00457CE9">
      <w:pPr>
        <w:widowControl w:val="0"/>
        <w:tabs>
          <w:tab w:val="left" w:pos="851"/>
          <w:tab w:val="left" w:pos="993"/>
          <w:tab w:val="left" w:pos="1605"/>
        </w:tabs>
        <w:spacing w:after="0" w:line="240" w:lineRule="auto"/>
        <w:jc w:val="both"/>
        <w:rPr>
          <w:rFonts w:ascii="Times New Roman" w:hAnsi="Times New Roman"/>
          <w:sz w:val="16"/>
          <w:szCs w:val="16"/>
          <w:lang w:val="kk-KZ"/>
        </w:rPr>
      </w:pPr>
    </w:p>
    <w:tbl>
      <w:tblPr>
        <w:tblStyle w:val="a3"/>
        <w:tblW w:w="0" w:type="auto"/>
        <w:jc w:val="center"/>
        <w:tblLook w:val="04A0" w:firstRow="1" w:lastRow="0" w:firstColumn="1" w:lastColumn="0" w:noHBand="0" w:noVBand="1"/>
      </w:tblPr>
      <w:tblGrid>
        <w:gridCol w:w="2524"/>
        <w:gridCol w:w="7048"/>
      </w:tblGrid>
      <w:tr w:rsidR="00BB2991" w:rsidRPr="00BB2991" w14:paraId="28329C05" w14:textId="77777777" w:rsidTr="0073314F">
        <w:trPr>
          <w:jc w:val="center"/>
        </w:trPr>
        <w:tc>
          <w:tcPr>
            <w:tcW w:w="2524" w:type="dxa"/>
            <w:vAlign w:val="center"/>
          </w:tcPr>
          <w:p w14:paraId="31A00500" w14:textId="427A9C79" w:rsidR="00BB2991" w:rsidRPr="00BB2991" w:rsidRDefault="00BB2991" w:rsidP="00B331C6">
            <w:pPr>
              <w:widowControl w:val="0"/>
              <w:tabs>
                <w:tab w:val="left" w:pos="851"/>
                <w:tab w:val="left" w:pos="993"/>
                <w:tab w:val="left" w:pos="1605"/>
              </w:tabs>
              <w:jc w:val="center"/>
              <w:rPr>
                <w:rFonts w:ascii="Times New Roman" w:hAnsi="Times New Roman"/>
                <w:sz w:val="24"/>
                <w:szCs w:val="24"/>
                <w:lang w:val="kk-KZ"/>
              </w:rPr>
            </w:pPr>
            <w:r w:rsidRPr="00BB2991">
              <w:rPr>
                <w:rFonts w:ascii="Times New Roman" w:hAnsi="Times New Roman"/>
                <w:sz w:val="24"/>
                <w:szCs w:val="24"/>
                <w:lang w:val="kk-KZ"/>
              </w:rPr>
              <w:t>Аудитті ұйымдастыру</w:t>
            </w:r>
          </w:p>
        </w:tc>
        <w:tc>
          <w:tcPr>
            <w:tcW w:w="7048" w:type="dxa"/>
            <w:vAlign w:val="center"/>
          </w:tcPr>
          <w:p w14:paraId="62EC8EE4" w14:textId="2D6412F7" w:rsidR="00BB2991" w:rsidRPr="00BB2991" w:rsidRDefault="00BB2991" w:rsidP="00B331C6">
            <w:pPr>
              <w:widowControl w:val="0"/>
              <w:tabs>
                <w:tab w:val="left" w:pos="851"/>
                <w:tab w:val="left" w:pos="993"/>
                <w:tab w:val="left" w:pos="1605"/>
              </w:tabs>
              <w:jc w:val="center"/>
              <w:rPr>
                <w:rFonts w:ascii="Times New Roman" w:hAnsi="Times New Roman"/>
                <w:sz w:val="24"/>
                <w:szCs w:val="24"/>
                <w:lang w:val="kk-KZ"/>
              </w:rPr>
            </w:pPr>
            <w:r w:rsidRPr="00BB2991">
              <w:rPr>
                <w:rFonts w:ascii="Times New Roman" w:hAnsi="Times New Roman"/>
                <w:sz w:val="24"/>
                <w:szCs w:val="24"/>
                <w:lang w:val="kk-KZ"/>
              </w:rPr>
              <w:t>Тиімділік аудитін ұйымдастыру қадамдары</w:t>
            </w:r>
          </w:p>
        </w:tc>
      </w:tr>
      <w:tr w:rsidR="00B331C6" w:rsidRPr="00BB2991" w14:paraId="3923A033" w14:textId="77777777" w:rsidTr="0073314F">
        <w:trPr>
          <w:jc w:val="center"/>
        </w:trPr>
        <w:tc>
          <w:tcPr>
            <w:tcW w:w="2524" w:type="dxa"/>
            <w:vAlign w:val="center"/>
          </w:tcPr>
          <w:p w14:paraId="27BACD7E" w14:textId="26C59A19" w:rsidR="00B331C6" w:rsidRPr="00BB2991" w:rsidRDefault="00B331C6" w:rsidP="00B331C6">
            <w:pPr>
              <w:widowControl w:val="0"/>
              <w:tabs>
                <w:tab w:val="left" w:pos="851"/>
                <w:tab w:val="left" w:pos="993"/>
                <w:tab w:val="left" w:pos="1605"/>
              </w:tabs>
              <w:jc w:val="center"/>
              <w:rPr>
                <w:rFonts w:ascii="Times New Roman" w:hAnsi="Times New Roman"/>
                <w:sz w:val="24"/>
                <w:szCs w:val="24"/>
                <w:lang w:val="kk-KZ"/>
              </w:rPr>
            </w:pPr>
            <w:r>
              <w:rPr>
                <w:rFonts w:ascii="Times New Roman" w:hAnsi="Times New Roman"/>
                <w:sz w:val="24"/>
                <w:szCs w:val="24"/>
                <w:lang w:val="kk-KZ"/>
              </w:rPr>
              <w:t>1</w:t>
            </w:r>
          </w:p>
        </w:tc>
        <w:tc>
          <w:tcPr>
            <w:tcW w:w="7048" w:type="dxa"/>
            <w:vAlign w:val="center"/>
          </w:tcPr>
          <w:p w14:paraId="446A3297" w14:textId="05B57532" w:rsidR="00B331C6" w:rsidRPr="00BB2991" w:rsidRDefault="00B331C6" w:rsidP="00B331C6">
            <w:pPr>
              <w:widowControl w:val="0"/>
              <w:tabs>
                <w:tab w:val="left" w:pos="851"/>
                <w:tab w:val="left" w:pos="993"/>
                <w:tab w:val="left" w:pos="1605"/>
              </w:tabs>
              <w:jc w:val="center"/>
              <w:rPr>
                <w:rFonts w:ascii="Times New Roman" w:hAnsi="Times New Roman"/>
                <w:sz w:val="24"/>
                <w:szCs w:val="24"/>
                <w:lang w:val="kk-KZ"/>
              </w:rPr>
            </w:pPr>
            <w:r>
              <w:rPr>
                <w:rFonts w:ascii="Times New Roman" w:hAnsi="Times New Roman"/>
                <w:sz w:val="24"/>
                <w:szCs w:val="24"/>
                <w:lang w:val="kk-KZ"/>
              </w:rPr>
              <w:t>2</w:t>
            </w:r>
          </w:p>
        </w:tc>
      </w:tr>
      <w:tr w:rsidR="00BB2991" w:rsidRPr="00805B3E" w14:paraId="1193BCEE" w14:textId="77777777" w:rsidTr="0073314F">
        <w:trPr>
          <w:jc w:val="center"/>
        </w:trPr>
        <w:tc>
          <w:tcPr>
            <w:tcW w:w="2524" w:type="dxa"/>
          </w:tcPr>
          <w:p w14:paraId="1024E8FF" w14:textId="608778CD"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 xml:space="preserve">Аудит бағыты/ тақырыбы </w:t>
            </w:r>
          </w:p>
        </w:tc>
        <w:tc>
          <w:tcPr>
            <w:tcW w:w="7048" w:type="dxa"/>
          </w:tcPr>
          <w:p w14:paraId="730B3F99" w14:textId="2048B0E7" w:rsidR="00BB2991" w:rsidRPr="00BB2991" w:rsidRDefault="001576FB" w:rsidP="00457CE9">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АӨК дамытуға бағытталған</w:t>
            </w:r>
            <w:r w:rsidR="00BB2991" w:rsidRPr="00BB2991">
              <w:rPr>
                <w:rFonts w:ascii="Times New Roman" w:hAnsi="Times New Roman"/>
                <w:sz w:val="24"/>
                <w:szCs w:val="24"/>
                <w:lang w:val="kk-KZ"/>
              </w:rPr>
              <w:t xml:space="preserve"> </w:t>
            </w:r>
            <w:r>
              <w:rPr>
                <w:rFonts w:ascii="Times New Roman" w:hAnsi="Times New Roman"/>
                <w:sz w:val="24"/>
                <w:szCs w:val="24"/>
                <w:lang w:val="kk-KZ"/>
              </w:rPr>
              <w:t xml:space="preserve">бюджет қаражатын пайдалану </w:t>
            </w:r>
            <w:r w:rsidR="00BB2991" w:rsidRPr="00BB2991">
              <w:rPr>
                <w:rFonts w:ascii="Times New Roman" w:hAnsi="Times New Roman"/>
                <w:sz w:val="24"/>
                <w:szCs w:val="24"/>
                <w:lang w:val="kk-KZ"/>
              </w:rPr>
              <w:t>тиімділі</w:t>
            </w:r>
            <w:r>
              <w:rPr>
                <w:rFonts w:ascii="Times New Roman" w:hAnsi="Times New Roman"/>
                <w:sz w:val="24"/>
                <w:szCs w:val="24"/>
                <w:lang w:val="kk-KZ"/>
              </w:rPr>
              <w:t>гінің</w:t>
            </w:r>
            <w:r w:rsidR="00BB2991" w:rsidRPr="00BB2991">
              <w:rPr>
                <w:rFonts w:ascii="Times New Roman" w:hAnsi="Times New Roman"/>
                <w:sz w:val="24"/>
                <w:szCs w:val="24"/>
                <w:lang w:val="kk-KZ"/>
              </w:rPr>
              <w:t xml:space="preserve"> аудиті</w:t>
            </w:r>
          </w:p>
        </w:tc>
      </w:tr>
      <w:tr w:rsidR="00BB2991" w:rsidRPr="00805B3E" w14:paraId="780E85F1" w14:textId="77777777" w:rsidTr="0073314F">
        <w:trPr>
          <w:jc w:val="center"/>
        </w:trPr>
        <w:tc>
          <w:tcPr>
            <w:tcW w:w="2524" w:type="dxa"/>
          </w:tcPr>
          <w:p w14:paraId="3F48AE2B" w14:textId="2865876B"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Аудит мақсаты</w:t>
            </w:r>
          </w:p>
        </w:tc>
        <w:tc>
          <w:tcPr>
            <w:tcW w:w="7048" w:type="dxa"/>
          </w:tcPr>
          <w:p w14:paraId="624E7C97" w14:textId="6B89A8BA" w:rsidR="00BB2991" w:rsidRPr="00BB2991" w:rsidRDefault="001576FB" w:rsidP="00457CE9">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 xml:space="preserve">АӨК дамытуға </w:t>
            </w:r>
            <w:r w:rsidR="00BB2991" w:rsidRPr="00BB2991">
              <w:rPr>
                <w:rFonts w:ascii="Times New Roman" w:hAnsi="Times New Roman"/>
                <w:sz w:val="24"/>
                <w:szCs w:val="24"/>
                <w:lang w:val="kk-KZ"/>
              </w:rPr>
              <w:t>пайдаланылған бюджет қаражатын пайдалану заңдылығын, үнемділігін, нәтижелілігін, өнімділігін тәуелсіз объективті бағалау</w:t>
            </w:r>
          </w:p>
        </w:tc>
      </w:tr>
      <w:tr w:rsidR="00BB2991" w:rsidRPr="00805B3E" w14:paraId="19597A7B" w14:textId="77777777" w:rsidTr="0073314F">
        <w:trPr>
          <w:jc w:val="center"/>
        </w:trPr>
        <w:tc>
          <w:tcPr>
            <w:tcW w:w="2524" w:type="dxa"/>
          </w:tcPr>
          <w:p w14:paraId="7CBB95B9" w14:textId="048CB08C"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Аудит пәні</w:t>
            </w:r>
          </w:p>
        </w:tc>
        <w:tc>
          <w:tcPr>
            <w:tcW w:w="7048" w:type="dxa"/>
          </w:tcPr>
          <w:p w14:paraId="436BCB0D" w14:textId="55C32FA9" w:rsidR="00BB2991" w:rsidRPr="00BB2991" w:rsidRDefault="001576FB" w:rsidP="00457CE9">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АӨК дамытудың б</w:t>
            </w:r>
            <w:r w:rsidR="00BB2991" w:rsidRPr="00BB2991">
              <w:rPr>
                <w:rFonts w:ascii="Times New Roman" w:hAnsi="Times New Roman"/>
                <w:sz w:val="24"/>
                <w:szCs w:val="24"/>
                <w:lang w:val="kk-KZ"/>
              </w:rPr>
              <w:t>юджеттік, салалық бағдарламалар</w:t>
            </w:r>
            <w:r>
              <w:rPr>
                <w:rFonts w:ascii="Times New Roman" w:hAnsi="Times New Roman"/>
                <w:sz w:val="24"/>
                <w:szCs w:val="24"/>
                <w:lang w:val="kk-KZ"/>
              </w:rPr>
              <w:t>ы</w:t>
            </w:r>
          </w:p>
        </w:tc>
      </w:tr>
      <w:tr w:rsidR="00BB2991" w:rsidRPr="00805B3E" w14:paraId="2C565F21" w14:textId="77777777" w:rsidTr="0073314F">
        <w:trPr>
          <w:jc w:val="center"/>
        </w:trPr>
        <w:tc>
          <w:tcPr>
            <w:tcW w:w="2524" w:type="dxa"/>
          </w:tcPr>
          <w:p w14:paraId="12E621DE" w14:textId="6C785585"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Аудит арнайы критерийлері</w:t>
            </w:r>
          </w:p>
        </w:tc>
        <w:tc>
          <w:tcPr>
            <w:tcW w:w="7048" w:type="dxa"/>
          </w:tcPr>
          <w:p w14:paraId="34A00DFA" w14:textId="6B190F40" w:rsidR="00BB2991" w:rsidRPr="00BB2991" w:rsidRDefault="00BB2991" w:rsidP="00457CE9">
            <w:pPr>
              <w:widowControl w:val="0"/>
              <w:tabs>
                <w:tab w:val="left" w:pos="851"/>
                <w:tab w:val="left" w:pos="993"/>
                <w:tab w:val="left" w:pos="1605"/>
              </w:tabs>
              <w:rPr>
                <w:rFonts w:ascii="Times New Roman" w:hAnsi="Times New Roman" w:cs="Times New Roman"/>
                <w:sz w:val="24"/>
                <w:szCs w:val="24"/>
                <w:lang w:val="kk-KZ"/>
              </w:rPr>
            </w:pPr>
            <w:r w:rsidRPr="00BB2991">
              <w:rPr>
                <w:rFonts w:ascii="Times New Roman" w:hAnsi="Times New Roman"/>
                <w:sz w:val="24"/>
                <w:szCs w:val="24"/>
                <w:lang w:val="kk-KZ"/>
              </w:rPr>
              <w:t xml:space="preserve">- </w:t>
            </w:r>
            <w:r w:rsidRPr="00BB2991">
              <w:rPr>
                <w:rFonts w:ascii="Times New Roman" w:hAnsi="Times New Roman" w:cs="Times New Roman"/>
                <w:sz w:val="24"/>
                <w:szCs w:val="24"/>
                <w:lang w:val="kk-KZ"/>
              </w:rPr>
              <w:t>АӨК өнімдері экспортының жалпы көлеміндегі өңделген өнімдердің үлесі;</w:t>
            </w:r>
          </w:p>
          <w:p w14:paraId="14857594" w14:textId="3C085464" w:rsidR="00BB2991" w:rsidRPr="00BB2991" w:rsidRDefault="00BB2991" w:rsidP="00457CE9">
            <w:pPr>
              <w:widowControl w:val="0"/>
              <w:tabs>
                <w:tab w:val="left" w:pos="851"/>
                <w:tab w:val="left" w:pos="993"/>
                <w:tab w:val="left" w:pos="1605"/>
              </w:tabs>
              <w:rPr>
                <w:rFonts w:ascii="Times New Roman" w:hAnsi="Times New Roman" w:cs="Times New Roman"/>
                <w:sz w:val="24"/>
                <w:szCs w:val="24"/>
                <w:lang w:val="kk-KZ"/>
              </w:rPr>
            </w:pPr>
            <w:r w:rsidRPr="00BB2991">
              <w:rPr>
                <w:rFonts w:ascii="Times New Roman" w:hAnsi="Times New Roman"/>
                <w:sz w:val="24"/>
                <w:szCs w:val="24"/>
                <w:lang w:val="kk-KZ"/>
              </w:rPr>
              <w:t>-</w:t>
            </w:r>
            <w:r w:rsidRPr="00BB2991">
              <w:rPr>
                <w:rFonts w:ascii="Times New Roman" w:hAnsi="Times New Roman" w:cs="Times New Roman"/>
                <w:sz w:val="24"/>
                <w:szCs w:val="24"/>
                <w:lang w:val="kk-KZ"/>
              </w:rPr>
              <w:t xml:space="preserve"> АӨК өнімдерінің экспортын 2 есе ұлғайту;</w:t>
            </w:r>
          </w:p>
          <w:p w14:paraId="3A657A15" w14:textId="492E113D"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w:t>
            </w:r>
            <w:r w:rsidRPr="00BB2991">
              <w:rPr>
                <w:rFonts w:ascii="Times New Roman" w:hAnsi="Times New Roman" w:cs="Times New Roman"/>
                <w:color w:val="000000"/>
                <w:sz w:val="24"/>
                <w:szCs w:val="24"/>
                <w:shd w:val="clear" w:color="auto" w:fill="FFFFFF"/>
                <w:lang w:val="kk-KZ"/>
              </w:rPr>
              <w:t xml:space="preserve"> </w:t>
            </w:r>
            <w:r w:rsidR="001576FB">
              <w:rPr>
                <w:rFonts w:ascii="Times New Roman" w:hAnsi="Times New Roman" w:cs="Times New Roman"/>
                <w:color w:val="000000"/>
                <w:sz w:val="24"/>
                <w:szCs w:val="24"/>
                <w:shd w:val="clear" w:color="auto" w:fill="FFFFFF"/>
                <w:lang w:val="kk-KZ"/>
              </w:rPr>
              <w:t>ауылшаруашылық өнімдерін</w:t>
            </w:r>
            <w:r w:rsidRPr="00BB2991">
              <w:rPr>
                <w:rFonts w:ascii="Times New Roman" w:hAnsi="Times New Roman" w:cs="Times New Roman"/>
                <w:color w:val="000000"/>
                <w:sz w:val="24"/>
                <w:szCs w:val="24"/>
                <w:shd w:val="clear" w:color="auto" w:fill="FFFFFF"/>
                <w:lang w:val="kk-KZ"/>
              </w:rPr>
              <w:t xml:space="preserve"> </w:t>
            </w:r>
            <w:r w:rsidR="001576FB">
              <w:rPr>
                <w:rFonts w:ascii="Times New Roman" w:hAnsi="Times New Roman" w:cs="Times New Roman"/>
                <w:color w:val="000000"/>
                <w:sz w:val="24"/>
                <w:szCs w:val="24"/>
                <w:shd w:val="clear" w:color="auto" w:fill="FFFFFF"/>
                <w:lang w:val="kk-KZ"/>
              </w:rPr>
              <w:t xml:space="preserve">қайта </w:t>
            </w:r>
            <w:r w:rsidRPr="00BB2991">
              <w:rPr>
                <w:rFonts w:ascii="Times New Roman" w:hAnsi="Times New Roman" w:cs="Times New Roman"/>
                <w:color w:val="000000"/>
                <w:sz w:val="24"/>
                <w:szCs w:val="24"/>
                <w:shd w:val="clear" w:color="auto" w:fill="FFFFFF"/>
                <w:lang w:val="kk-KZ"/>
              </w:rPr>
              <w:t>өңдеу өнімдерін экспортқа бағыттау</w:t>
            </w:r>
            <w:r w:rsidR="001576FB">
              <w:rPr>
                <w:rFonts w:ascii="Times New Roman" w:hAnsi="Times New Roman" w:cs="Times New Roman"/>
                <w:color w:val="000000"/>
                <w:sz w:val="24"/>
                <w:szCs w:val="24"/>
                <w:shd w:val="clear" w:color="auto" w:fill="FFFFFF"/>
                <w:lang w:val="kk-KZ"/>
              </w:rPr>
              <w:t xml:space="preserve">дағы </w:t>
            </w:r>
            <w:r w:rsidRPr="00BB2991">
              <w:rPr>
                <w:rFonts w:ascii="Times New Roman" w:hAnsi="Times New Roman" w:cs="Times New Roman"/>
                <w:color w:val="000000"/>
                <w:sz w:val="24"/>
                <w:szCs w:val="24"/>
                <w:shd w:val="clear" w:color="auto" w:fill="FFFFFF"/>
                <w:lang w:val="kk-KZ"/>
              </w:rPr>
              <w:t>инвестициялық жобалардың іске асырылған саны</w:t>
            </w:r>
            <w:r w:rsidR="001576FB">
              <w:rPr>
                <w:rFonts w:ascii="Times New Roman" w:hAnsi="Times New Roman" w:cs="Times New Roman"/>
                <w:color w:val="000000"/>
                <w:sz w:val="24"/>
                <w:szCs w:val="24"/>
                <w:shd w:val="clear" w:color="auto" w:fill="FFFFFF"/>
                <w:lang w:val="kk-KZ"/>
              </w:rPr>
              <w:t>;</w:t>
            </w:r>
          </w:p>
          <w:p w14:paraId="644600AA" w14:textId="52AB0A87"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w:t>
            </w:r>
            <w:r w:rsidR="00B331C6">
              <w:rPr>
                <w:rFonts w:ascii="Times New Roman" w:hAnsi="Times New Roman"/>
                <w:sz w:val="24"/>
                <w:szCs w:val="24"/>
                <w:lang w:val="kk-KZ"/>
              </w:rPr>
              <w:t xml:space="preserve"> </w:t>
            </w:r>
            <w:r w:rsidR="001576FB">
              <w:rPr>
                <w:rFonts w:ascii="Times New Roman" w:hAnsi="Times New Roman"/>
                <w:sz w:val="24"/>
                <w:szCs w:val="24"/>
                <w:lang w:val="kk-KZ"/>
              </w:rPr>
              <w:t xml:space="preserve">АӨК </w:t>
            </w:r>
            <w:r w:rsidRPr="00BB2991">
              <w:rPr>
                <w:rFonts w:ascii="Times New Roman" w:hAnsi="Times New Roman"/>
                <w:sz w:val="24"/>
                <w:szCs w:val="24"/>
                <w:lang w:val="kk-KZ"/>
              </w:rPr>
              <w:t>тікелей тартылған инвестиция көлемі;</w:t>
            </w:r>
          </w:p>
          <w:p w14:paraId="6EC79ED5" w14:textId="77777777" w:rsidR="0073314F" w:rsidRDefault="00BB2991" w:rsidP="001576FB">
            <w:pPr>
              <w:widowControl w:val="0"/>
              <w:tabs>
                <w:tab w:val="left" w:pos="851"/>
                <w:tab w:val="left" w:pos="993"/>
                <w:tab w:val="left" w:pos="1605"/>
              </w:tabs>
              <w:rPr>
                <w:rFonts w:ascii="Times New Roman" w:hAnsi="Times New Roman" w:cs="Times New Roman"/>
                <w:color w:val="000000"/>
                <w:sz w:val="24"/>
                <w:szCs w:val="24"/>
                <w:lang w:val="kk-KZ"/>
              </w:rPr>
            </w:pPr>
            <w:r w:rsidRPr="00BB2991">
              <w:rPr>
                <w:rFonts w:ascii="Times New Roman" w:hAnsi="Times New Roman" w:cs="Times New Roman"/>
                <w:color w:val="000000"/>
                <w:sz w:val="24"/>
                <w:szCs w:val="24"/>
                <w:lang w:val="kk-KZ"/>
              </w:rPr>
              <w:t>-</w:t>
            </w:r>
            <w:r w:rsidR="00B331C6">
              <w:rPr>
                <w:rFonts w:ascii="Times New Roman" w:hAnsi="Times New Roman" w:cs="Times New Roman"/>
                <w:color w:val="000000"/>
                <w:sz w:val="24"/>
                <w:szCs w:val="24"/>
                <w:lang w:val="kk-KZ"/>
              </w:rPr>
              <w:t xml:space="preserve"> </w:t>
            </w:r>
            <w:r w:rsidR="001576FB">
              <w:rPr>
                <w:rFonts w:ascii="Times New Roman" w:hAnsi="Times New Roman" w:cs="Times New Roman"/>
                <w:color w:val="000000"/>
                <w:sz w:val="24"/>
                <w:szCs w:val="24"/>
                <w:lang w:val="kk-KZ"/>
              </w:rPr>
              <w:t>қажетті азық-түліктерді ішкі тұтынудың 80</w:t>
            </w:r>
            <w:r w:rsidR="001576FB" w:rsidRPr="001576FB">
              <w:rPr>
                <w:rFonts w:ascii="Times New Roman" w:hAnsi="Times New Roman" w:cs="Times New Roman"/>
                <w:color w:val="000000"/>
                <w:sz w:val="24"/>
                <w:szCs w:val="24"/>
                <w:lang w:val="kk-KZ"/>
              </w:rPr>
              <w:t>%-на де</w:t>
            </w:r>
            <w:r w:rsidR="001576FB">
              <w:rPr>
                <w:rFonts w:ascii="Times New Roman" w:hAnsi="Times New Roman" w:cs="Times New Roman"/>
                <w:color w:val="000000"/>
                <w:sz w:val="24"/>
                <w:szCs w:val="24"/>
                <w:lang w:val="kk-KZ"/>
              </w:rPr>
              <w:t>йін өнім көлемін өндіру</w:t>
            </w:r>
            <w:r w:rsidR="0073314F">
              <w:rPr>
                <w:rFonts w:ascii="Times New Roman" w:hAnsi="Times New Roman" w:cs="Times New Roman"/>
                <w:color w:val="000000"/>
                <w:sz w:val="24"/>
                <w:szCs w:val="24"/>
                <w:lang w:val="kk-KZ"/>
              </w:rPr>
              <w:t>;</w:t>
            </w:r>
          </w:p>
          <w:p w14:paraId="6E3FB7F2" w14:textId="77777777" w:rsidR="0073314F" w:rsidRDefault="0073314F" w:rsidP="001576FB">
            <w:pPr>
              <w:widowControl w:val="0"/>
              <w:tabs>
                <w:tab w:val="left" w:pos="851"/>
                <w:tab w:val="left" w:pos="993"/>
                <w:tab w:val="left" w:pos="1605"/>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еңбек өнімділігін 2,5 есе ұлғайту;</w:t>
            </w:r>
          </w:p>
          <w:p w14:paraId="21AE072F" w14:textId="34A52F38" w:rsidR="00BB2991" w:rsidRPr="00BB2991" w:rsidRDefault="0073314F" w:rsidP="001576FB">
            <w:pPr>
              <w:widowControl w:val="0"/>
              <w:tabs>
                <w:tab w:val="left" w:pos="851"/>
                <w:tab w:val="left" w:pos="993"/>
                <w:tab w:val="left" w:pos="1605"/>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импорт көлемін азайту</w:t>
            </w:r>
            <w:r w:rsidR="00BB2991" w:rsidRPr="00BB2991">
              <w:rPr>
                <w:rFonts w:ascii="Times New Roman" w:hAnsi="Times New Roman" w:cs="Times New Roman"/>
                <w:color w:val="000000"/>
                <w:sz w:val="24"/>
                <w:szCs w:val="24"/>
                <w:lang w:val="kk-KZ"/>
              </w:rPr>
              <w:t xml:space="preserve"> </w:t>
            </w:r>
          </w:p>
        </w:tc>
      </w:tr>
      <w:tr w:rsidR="0073314F" w14:paraId="42B7E597" w14:textId="77777777" w:rsidTr="0073314F">
        <w:trPr>
          <w:jc w:val="center"/>
        </w:trPr>
        <w:tc>
          <w:tcPr>
            <w:tcW w:w="2524" w:type="dxa"/>
            <w:tcBorders>
              <w:top w:val="single" w:sz="4" w:space="0" w:color="auto"/>
              <w:left w:val="single" w:sz="4" w:space="0" w:color="auto"/>
              <w:bottom w:val="single" w:sz="4" w:space="0" w:color="auto"/>
              <w:right w:val="single" w:sz="4" w:space="0" w:color="auto"/>
            </w:tcBorders>
            <w:hideMark/>
          </w:tcPr>
          <w:p w14:paraId="24A4E786" w14:textId="1A85F5FB" w:rsidR="0073314F" w:rsidRDefault="0073314F">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 xml:space="preserve">Аудиторлық жұмыс көлемін анықтау және </w:t>
            </w:r>
          </w:p>
        </w:tc>
        <w:tc>
          <w:tcPr>
            <w:tcW w:w="7048" w:type="dxa"/>
            <w:tcBorders>
              <w:top w:val="single" w:sz="4" w:space="0" w:color="auto"/>
              <w:left w:val="single" w:sz="4" w:space="0" w:color="auto"/>
              <w:bottom w:val="single" w:sz="4" w:space="0" w:color="auto"/>
              <w:right w:val="single" w:sz="4" w:space="0" w:color="auto"/>
            </w:tcBorders>
            <w:hideMark/>
          </w:tcPr>
          <w:p w14:paraId="6552CE5A" w14:textId="77777777" w:rsidR="0073314F" w:rsidRDefault="0073314F">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 xml:space="preserve">Объектінің ішкі бақылау жүйесіне баға беру </w:t>
            </w:r>
          </w:p>
          <w:p w14:paraId="34C34842" w14:textId="77777777" w:rsidR="0073314F" w:rsidRDefault="0073314F">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Тәкекелдерді бағалау</w:t>
            </w:r>
          </w:p>
        </w:tc>
      </w:tr>
      <w:tr w:rsidR="0073314F" w14:paraId="3E9B41D7" w14:textId="77777777" w:rsidTr="0073314F">
        <w:trPr>
          <w:jc w:val="center"/>
        </w:trPr>
        <w:tc>
          <w:tcPr>
            <w:tcW w:w="9572" w:type="dxa"/>
            <w:gridSpan w:val="2"/>
            <w:tcBorders>
              <w:top w:val="nil"/>
              <w:left w:val="nil"/>
              <w:bottom w:val="single" w:sz="4" w:space="0" w:color="auto"/>
              <w:right w:val="nil"/>
            </w:tcBorders>
            <w:hideMark/>
          </w:tcPr>
          <w:p w14:paraId="41539581" w14:textId="77777777" w:rsidR="0073314F" w:rsidRDefault="0073314F">
            <w:pPr>
              <w:widowControl w:val="0"/>
              <w:tabs>
                <w:tab w:val="left" w:pos="851"/>
                <w:tab w:val="left" w:pos="993"/>
                <w:tab w:val="left" w:pos="1605"/>
              </w:tabs>
              <w:ind w:hanging="99"/>
              <w:rPr>
                <w:rFonts w:ascii="Times New Roman" w:hAnsi="Times New Roman"/>
                <w:sz w:val="28"/>
                <w:szCs w:val="28"/>
                <w:lang w:val="kk-KZ"/>
              </w:rPr>
            </w:pPr>
            <w:r>
              <w:rPr>
                <w:rFonts w:ascii="Times New Roman" w:hAnsi="Times New Roman"/>
                <w:sz w:val="28"/>
                <w:szCs w:val="28"/>
                <w:lang w:val="kk-KZ"/>
              </w:rPr>
              <w:t>47-кестенің жалғасы</w:t>
            </w:r>
          </w:p>
        </w:tc>
      </w:tr>
      <w:tr w:rsidR="0073314F" w14:paraId="24B0749B" w14:textId="77777777" w:rsidTr="0073314F">
        <w:trPr>
          <w:jc w:val="center"/>
        </w:trPr>
        <w:tc>
          <w:tcPr>
            <w:tcW w:w="2524" w:type="dxa"/>
            <w:tcBorders>
              <w:top w:val="single" w:sz="4" w:space="0" w:color="auto"/>
              <w:left w:val="single" w:sz="4" w:space="0" w:color="auto"/>
              <w:bottom w:val="single" w:sz="4" w:space="0" w:color="auto"/>
              <w:right w:val="single" w:sz="4" w:space="0" w:color="auto"/>
            </w:tcBorders>
            <w:hideMark/>
          </w:tcPr>
          <w:p w14:paraId="6539B5FC" w14:textId="77777777" w:rsidR="0073314F" w:rsidRDefault="0073314F">
            <w:pPr>
              <w:widowControl w:val="0"/>
              <w:tabs>
                <w:tab w:val="left" w:pos="851"/>
                <w:tab w:val="left" w:pos="993"/>
                <w:tab w:val="left" w:pos="1605"/>
              </w:tabs>
              <w:jc w:val="center"/>
              <w:rPr>
                <w:rFonts w:ascii="Times New Roman" w:hAnsi="Times New Roman"/>
                <w:sz w:val="24"/>
                <w:szCs w:val="24"/>
                <w:lang w:val="kk-KZ"/>
              </w:rPr>
            </w:pPr>
            <w:r>
              <w:rPr>
                <w:rFonts w:ascii="Times New Roman" w:hAnsi="Times New Roman"/>
                <w:sz w:val="24"/>
                <w:szCs w:val="24"/>
                <w:lang w:val="kk-KZ"/>
              </w:rPr>
              <w:t>1</w:t>
            </w:r>
          </w:p>
        </w:tc>
        <w:tc>
          <w:tcPr>
            <w:tcW w:w="7048" w:type="dxa"/>
            <w:tcBorders>
              <w:top w:val="single" w:sz="4" w:space="0" w:color="auto"/>
              <w:left w:val="single" w:sz="4" w:space="0" w:color="auto"/>
              <w:bottom w:val="single" w:sz="4" w:space="0" w:color="auto"/>
              <w:right w:val="single" w:sz="4" w:space="0" w:color="auto"/>
            </w:tcBorders>
            <w:hideMark/>
          </w:tcPr>
          <w:p w14:paraId="72077F6D" w14:textId="77777777" w:rsidR="0073314F" w:rsidRDefault="0073314F">
            <w:pPr>
              <w:widowControl w:val="0"/>
              <w:tabs>
                <w:tab w:val="left" w:pos="851"/>
                <w:tab w:val="left" w:pos="993"/>
                <w:tab w:val="left" w:pos="1605"/>
              </w:tabs>
              <w:jc w:val="center"/>
              <w:rPr>
                <w:rFonts w:ascii="Times New Roman" w:hAnsi="Times New Roman"/>
                <w:sz w:val="24"/>
                <w:szCs w:val="24"/>
                <w:lang w:val="kk-KZ"/>
              </w:rPr>
            </w:pPr>
            <w:r>
              <w:rPr>
                <w:rFonts w:ascii="Times New Roman" w:hAnsi="Times New Roman"/>
                <w:sz w:val="24"/>
                <w:szCs w:val="24"/>
                <w:lang w:val="kk-KZ"/>
              </w:rPr>
              <w:t>2</w:t>
            </w:r>
          </w:p>
        </w:tc>
      </w:tr>
      <w:tr w:rsidR="0073314F" w14:paraId="29286263" w14:textId="77777777" w:rsidTr="0073314F">
        <w:trPr>
          <w:jc w:val="center"/>
        </w:trPr>
        <w:tc>
          <w:tcPr>
            <w:tcW w:w="2524" w:type="dxa"/>
            <w:tcBorders>
              <w:top w:val="single" w:sz="4" w:space="0" w:color="auto"/>
              <w:left w:val="single" w:sz="4" w:space="0" w:color="auto"/>
              <w:bottom w:val="single" w:sz="4" w:space="0" w:color="auto"/>
              <w:right w:val="single" w:sz="4" w:space="0" w:color="auto"/>
            </w:tcBorders>
          </w:tcPr>
          <w:p w14:paraId="1150E4C5" w14:textId="203A6059" w:rsidR="0073314F" w:rsidRDefault="0073314F" w:rsidP="0073314F">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жоспарлау</w:t>
            </w:r>
          </w:p>
        </w:tc>
        <w:tc>
          <w:tcPr>
            <w:tcW w:w="7048" w:type="dxa"/>
            <w:tcBorders>
              <w:top w:val="single" w:sz="4" w:space="0" w:color="auto"/>
              <w:left w:val="single" w:sz="4" w:space="0" w:color="auto"/>
              <w:bottom w:val="single" w:sz="4" w:space="0" w:color="auto"/>
              <w:right w:val="single" w:sz="4" w:space="0" w:color="auto"/>
            </w:tcBorders>
          </w:tcPr>
          <w:p w14:paraId="676502C6" w14:textId="77777777" w:rsidR="0073314F" w:rsidRDefault="0073314F">
            <w:pPr>
              <w:widowControl w:val="0"/>
              <w:tabs>
                <w:tab w:val="left" w:pos="851"/>
                <w:tab w:val="left" w:pos="993"/>
                <w:tab w:val="left" w:pos="1605"/>
              </w:tabs>
              <w:jc w:val="center"/>
              <w:rPr>
                <w:rFonts w:ascii="Times New Roman" w:hAnsi="Times New Roman"/>
                <w:sz w:val="24"/>
                <w:szCs w:val="24"/>
                <w:lang w:val="kk-KZ"/>
              </w:rPr>
            </w:pPr>
          </w:p>
        </w:tc>
      </w:tr>
      <w:tr w:rsidR="0073314F" w:rsidRPr="00805B3E" w14:paraId="7CAE1012" w14:textId="77777777" w:rsidTr="00934DC0">
        <w:trPr>
          <w:jc w:val="center"/>
        </w:trPr>
        <w:tc>
          <w:tcPr>
            <w:tcW w:w="2524" w:type="dxa"/>
            <w:vMerge w:val="restart"/>
            <w:tcBorders>
              <w:top w:val="single" w:sz="4" w:space="0" w:color="auto"/>
              <w:left w:val="single" w:sz="4" w:space="0" w:color="auto"/>
              <w:right w:val="single" w:sz="4" w:space="0" w:color="auto"/>
            </w:tcBorders>
            <w:hideMark/>
          </w:tcPr>
          <w:p w14:paraId="23EFB4FD" w14:textId="77777777" w:rsidR="0073314F" w:rsidRDefault="0073314F">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Аудиторлық тапсырмалар</w:t>
            </w:r>
          </w:p>
        </w:tc>
        <w:tc>
          <w:tcPr>
            <w:tcW w:w="7048" w:type="dxa"/>
            <w:tcBorders>
              <w:top w:val="single" w:sz="4" w:space="0" w:color="auto"/>
              <w:left w:val="single" w:sz="4" w:space="0" w:color="auto"/>
              <w:bottom w:val="nil"/>
              <w:right w:val="single" w:sz="4" w:space="0" w:color="auto"/>
            </w:tcBorders>
            <w:hideMark/>
          </w:tcPr>
          <w:p w14:paraId="3DFF0D4D" w14:textId="592C6999" w:rsidR="0073314F" w:rsidRDefault="0073314F">
            <w:pPr>
              <w:widowControl w:val="0"/>
              <w:tabs>
                <w:tab w:val="left" w:pos="851"/>
                <w:tab w:val="left" w:pos="993"/>
                <w:tab w:val="left" w:pos="1605"/>
              </w:tabs>
              <w:rPr>
                <w:rFonts w:ascii="Times New Roman" w:hAnsi="Times New Roman"/>
                <w:sz w:val="24"/>
                <w:szCs w:val="24"/>
                <w:lang w:val="kk-KZ"/>
              </w:rPr>
            </w:pPr>
            <w:r>
              <w:rPr>
                <w:rFonts w:ascii="Times New Roman" w:hAnsi="Times New Roman"/>
                <w:sz w:val="24"/>
                <w:szCs w:val="24"/>
                <w:lang w:val="kk-KZ"/>
              </w:rPr>
              <w:t xml:space="preserve">Нысаналы индикаторлардың, </w:t>
            </w:r>
            <w:r w:rsidR="00575788">
              <w:rPr>
                <w:rFonts w:ascii="Times New Roman" w:hAnsi="Times New Roman"/>
                <w:sz w:val="24"/>
                <w:szCs w:val="24"/>
                <w:lang w:val="kk-KZ"/>
              </w:rPr>
              <w:t>АӨК-н</w:t>
            </w:r>
            <w:r>
              <w:rPr>
                <w:rFonts w:ascii="Times New Roman" w:hAnsi="Times New Roman"/>
                <w:sz w:val="24"/>
                <w:szCs w:val="24"/>
                <w:lang w:val="kk-KZ"/>
              </w:rPr>
              <w:t xml:space="preserve"> дамыту тапсырмаларын, іс-шараларын жүзеге асыруға қатысатын квазимемлекеттік субъектілердің міндеттерінің МЖЖ мен стратегиялық құжаттардағы мақсаттарына, міндеттеріне сәйкестігін тексеру</w:t>
            </w:r>
          </w:p>
        </w:tc>
      </w:tr>
      <w:tr w:rsidR="0073314F" w:rsidRPr="00805B3E" w14:paraId="1B79F729" w14:textId="77777777" w:rsidTr="00934DC0">
        <w:trPr>
          <w:jc w:val="center"/>
        </w:trPr>
        <w:tc>
          <w:tcPr>
            <w:tcW w:w="2524" w:type="dxa"/>
            <w:vMerge/>
            <w:tcBorders>
              <w:left w:val="single" w:sz="4" w:space="0" w:color="auto"/>
              <w:right w:val="single" w:sz="4" w:space="0" w:color="auto"/>
            </w:tcBorders>
          </w:tcPr>
          <w:p w14:paraId="1C4E265A"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7D21F9D2" w14:textId="1C5C2D91"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АШМ мен оның қарамағындағы ұйымдардың, жергілікті атқарушы органдар арасындағы жұмысына баға беру</w:t>
            </w:r>
          </w:p>
        </w:tc>
      </w:tr>
      <w:tr w:rsidR="0073314F" w:rsidRPr="00805B3E" w14:paraId="3FF5CA92" w14:textId="77777777" w:rsidTr="00934DC0">
        <w:trPr>
          <w:jc w:val="center"/>
        </w:trPr>
        <w:tc>
          <w:tcPr>
            <w:tcW w:w="2524" w:type="dxa"/>
            <w:vMerge/>
            <w:tcBorders>
              <w:left w:val="single" w:sz="4" w:space="0" w:color="auto"/>
              <w:right w:val="single" w:sz="4" w:space="0" w:color="auto"/>
            </w:tcBorders>
          </w:tcPr>
          <w:p w14:paraId="32F1A755"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7BAD3C78" w14:textId="0D81E9EC"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АШМ қызметкерлерінің мемлекеттік сатып алу туралы, бюджет ҚР заңнамасын қолдану фактілеріне баға беру</w:t>
            </w:r>
          </w:p>
        </w:tc>
      </w:tr>
      <w:tr w:rsidR="0073314F" w:rsidRPr="00805B3E" w14:paraId="4603991A" w14:textId="77777777" w:rsidTr="00934DC0">
        <w:trPr>
          <w:jc w:val="center"/>
        </w:trPr>
        <w:tc>
          <w:tcPr>
            <w:tcW w:w="2524" w:type="dxa"/>
            <w:vMerge/>
            <w:tcBorders>
              <w:left w:val="single" w:sz="4" w:space="0" w:color="auto"/>
              <w:right w:val="single" w:sz="4" w:space="0" w:color="auto"/>
            </w:tcBorders>
          </w:tcPr>
          <w:p w14:paraId="791F59EB"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42C977BE" w14:textId="46FCE4E0"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Бюджеттік тапсырыстар көлемін, жобаларды іске асыруда ТЭН, жобалық-сметалық құжаттаманың сапасына баға беру</w:t>
            </w:r>
          </w:p>
        </w:tc>
      </w:tr>
      <w:tr w:rsidR="0073314F" w:rsidRPr="00805B3E" w14:paraId="30723E07" w14:textId="77777777" w:rsidTr="00934DC0">
        <w:trPr>
          <w:jc w:val="center"/>
        </w:trPr>
        <w:tc>
          <w:tcPr>
            <w:tcW w:w="2524" w:type="dxa"/>
            <w:vMerge/>
            <w:tcBorders>
              <w:left w:val="single" w:sz="4" w:space="0" w:color="auto"/>
              <w:right w:val="single" w:sz="4" w:space="0" w:color="auto"/>
            </w:tcBorders>
          </w:tcPr>
          <w:p w14:paraId="3B78ACBD"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1F879BD7" w14:textId="31B67CB8"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Жоспарлы және нақты көрсеткіштерді салыстырмалы бағалау, ауытқу себептерін талдау</w:t>
            </w:r>
          </w:p>
        </w:tc>
      </w:tr>
      <w:tr w:rsidR="0073314F" w:rsidRPr="00805B3E" w14:paraId="0697D5D5" w14:textId="77777777" w:rsidTr="00934DC0">
        <w:trPr>
          <w:jc w:val="center"/>
        </w:trPr>
        <w:tc>
          <w:tcPr>
            <w:tcW w:w="2524" w:type="dxa"/>
            <w:vMerge/>
            <w:tcBorders>
              <w:left w:val="single" w:sz="4" w:space="0" w:color="auto"/>
              <w:right w:val="single" w:sz="4" w:space="0" w:color="auto"/>
            </w:tcBorders>
          </w:tcPr>
          <w:p w14:paraId="2B2AB137"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1FDD4474" w14:textId="40338012"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eastAsia="Times New Roman" w:hAnsi="Times New Roman"/>
                <w:kern w:val="36"/>
                <w:sz w:val="24"/>
                <w:szCs w:val="24"/>
                <w:lang w:val="kk-KZ" w:eastAsia="ru-RU"/>
              </w:rPr>
              <w:t>Субсидия алушылармен тікелей жеткізілген нәтижелері бойынша мониторинг жұмысына баға беру</w:t>
            </w:r>
          </w:p>
        </w:tc>
      </w:tr>
      <w:tr w:rsidR="0073314F" w:rsidRPr="00805B3E" w14:paraId="008E0D10" w14:textId="77777777" w:rsidTr="00934DC0">
        <w:trPr>
          <w:jc w:val="center"/>
        </w:trPr>
        <w:tc>
          <w:tcPr>
            <w:tcW w:w="2524" w:type="dxa"/>
            <w:vMerge/>
            <w:tcBorders>
              <w:left w:val="single" w:sz="4" w:space="0" w:color="auto"/>
              <w:right w:val="single" w:sz="4" w:space="0" w:color="auto"/>
            </w:tcBorders>
          </w:tcPr>
          <w:p w14:paraId="6C826325"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61226BCA" w14:textId="332C13AD"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Ұйымдастыру, үрдістер, бюджет қаражатын пайдалану нәтижелерінің аудиті кезінде мәселелер туындау белгілеріне, не мәселенің бар болуын анықтау</w:t>
            </w:r>
          </w:p>
        </w:tc>
      </w:tr>
      <w:tr w:rsidR="0073314F" w:rsidRPr="00805B3E" w14:paraId="612ED3A3" w14:textId="77777777" w:rsidTr="00934DC0">
        <w:trPr>
          <w:jc w:val="center"/>
        </w:trPr>
        <w:tc>
          <w:tcPr>
            <w:tcW w:w="2524" w:type="dxa"/>
            <w:vMerge/>
            <w:tcBorders>
              <w:left w:val="single" w:sz="4" w:space="0" w:color="auto"/>
              <w:right w:val="single" w:sz="4" w:space="0" w:color="auto"/>
            </w:tcBorders>
          </w:tcPr>
          <w:p w14:paraId="445148E6"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7D6685FA" w14:textId="5EE90AEF"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Ауыл шаруашылығы саласына тікелей инвестициялар тарту үшін қабылданған іс-шаралар мен нормативтік-құқықтық базаға баға беру</w:t>
            </w:r>
          </w:p>
        </w:tc>
      </w:tr>
      <w:tr w:rsidR="0073314F" w:rsidRPr="00805B3E" w14:paraId="7543A0EF" w14:textId="77777777" w:rsidTr="00934DC0">
        <w:trPr>
          <w:jc w:val="center"/>
        </w:trPr>
        <w:tc>
          <w:tcPr>
            <w:tcW w:w="2524" w:type="dxa"/>
            <w:vMerge/>
            <w:tcBorders>
              <w:left w:val="single" w:sz="4" w:space="0" w:color="auto"/>
              <w:right w:val="single" w:sz="4" w:space="0" w:color="auto"/>
            </w:tcBorders>
          </w:tcPr>
          <w:p w14:paraId="2F2D8CC9"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017EB71E" w14:textId="50526E0D"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Мемлекеттік қолдау түрлерін анықтау, көмек алушылар бойынша мониторинг жүйесіне баға беру</w:t>
            </w:r>
          </w:p>
        </w:tc>
      </w:tr>
      <w:tr w:rsidR="0073314F" w:rsidRPr="00805B3E" w14:paraId="34EF25CD" w14:textId="77777777" w:rsidTr="00934DC0">
        <w:trPr>
          <w:jc w:val="center"/>
        </w:trPr>
        <w:tc>
          <w:tcPr>
            <w:tcW w:w="2524" w:type="dxa"/>
            <w:vMerge/>
            <w:tcBorders>
              <w:left w:val="single" w:sz="4" w:space="0" w:color="auto"/>
              <w:right w:val="single" w:sz="4" w:space="0" w:color="auto"/>
            </w:tcBorders>
          </w:tcPr>
          <w:p w14:paraId="24E5418D"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0A107898" w14:textId="28655330"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Ресурстарды пайдалану тиімділігін сипаттайтын көрсеткіштерді талдау</w:t>
            </w:r>
          </w:p>
        </w:tc>
      </w:tr>
      <w:tr w:rsidR="0073314F" w:rsidRPr="00805B3E" w14:paraId="4EEC75DA" w14:textId="77777777" w:rsidTr="00934DC0">
        <w:trPr>
          <w:jc w:val="center"/>
        </w:trPr>
        <w:tc>
          <w:tcPr>
            <w:tcW w:w="2524" w:type="dxa"/>
            <w:vMerge/>
            <w:tcBorders>
              <w:left w:val="single" w:sz="4" w:space="0" w:color="auto"/>
              <w:right w:val="single" w:sz="4" w:space="0" w:color="auto"/>
            </w:tcBorders>
          </w:tcPr>
          <w:p w14:paraId="793DF179"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5865A80A" w14:textId="76759565"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Анықталған жүйелі кемшіліктердің тізімін анықтау және белгілеу</w:t>
            </w:r>
          </w:p>
        </w:tc>
      </w:tr>
      <w:tr w:rsidR="0073314F" w:rsidRPr="00805B3E" w14:paraId="24D0026A" w14:textId="77777777" w:rsidTr="00934DC0">
        <w:trPr>
          <w:jc w:val="center"/>
        </w:trPr>
        <w:tc>
          <w:tcPr>
            <w:tcW w:w="2524" w:type="dxa"/>
            <w:vMerge/>
            <w:tcBorders>
              <w:left w:val="single" w:sz="4" w:space="0" w:color="auto"/>
              <w:right w:val="single" w:sz="4" w:space="0" w:color="auto"/>
            </w:tcBorders>
          </w:tcPr>
          <w:p w14:paraId="6FBA3266"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552C6FF6" w14:textId="69E3713A"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Бюджеттік бағдарламаны іске асыруға жауапты тұлғалар тізімін анықтау</w:t>
            </w:r>
          </w:p>
        </w:tc>
      </w:tr>
      <w:tr w:rsidR="0073314F" w:rsidRPr="00805B3E" w14:paraId="6BAC2493" w14:textId="77777777" w:rsidTr="00934DC0">
        <w:trPr>
          <w:jc w:val="center"/>
        </w:trPr>
        <w:tc>
          <w:tcPr>
            <w:tcW w:w="2524" w:type="dxa"/>
            <w:vMerge/>
            <w:tcBorders>
              <w:left w:val="single" w:sz="4" w:space="0" w:color="auto"/>
              <w:right w:val="single" w:sz="4" w:space="0" w:color="auto"/>
            </w:tcBorders>
          </w:tcPr>
          <w:p w14:paraId="10C1E21E" w14:textId="77777777"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p>
        </w:tc>
        <w:tc>
          <w:tcPr>
            <w:tcW w:w="7048" w:type="dxa"/>
            <w:tcBorders>
              <w:left w:val="single" w:sz="4" w:space="0" w:color="auto"/>
            </w:tcBorders>
          </w:tcPr>
          <w:p w14:paraId="790C65D9" w14:textId="4F0F9D61" w:rsidR="0073314F" w:rsidRPr="00BB2991" w:rsidRDefault="0073314F"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Бюджеттік бағдарламаны іске асырудан әлеуметтік, технологиялық, экономикалық, экологиялық, бюджеттік ықпалына баға беру</w:t>
            </w:r>
          </w:p>
        </w:tc>
      </w:tr>
      <w:tr w:rsidR="00BB2991" w:rsidRPr="00805B3E" w14:paraId="6202DCA7" w14:textId="77777777" w:rsidTr="0073314F">
        <w:trPr>
          <w:jc w:val="center"/>
        </w:trPr>
        <w:tc>
          <w:tcPr>
            <w:tcW w:w="2524" w:type="dxa"/>
          </w:tcPr>
          <w:p w14:paraId="55CE001A" w14:textId="2C2A4DA3"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 xml:space="preserve">Қорытынды </w:t>
            </w:r>
          </w:p>
        </w:tc>
        <w:tc>
          <w:tcPr>
            <w:tcW w:w="7048" w:type="dxa"/>
          </w:tcPr>
          <w:p w14:paraId="5AE6C43A" w14:textId="3277C0F0" w:rsidR="00BB2991" w:rsidRPr="00BB2991" w:rsidRDefault="0073314F" w:rsidP="00457CE9">
            <w:pPr>
              <w:widowControl w:val="0"/>
              <w:tabs>
                <w:tab w:val="left" w:pos="851"/>
                <w:tab w:val="left" w:pos="993"/>
                <w:tab w:val="left" w:pos="1605"/>
              </w:tabs>
              <w:rPr>
                <w:rFonts w:ascii="Times New Roman" w:eastAsia="Times New Roman" w:hAnsi="Times New Roman"/>
                <w:kern w:val="36"/>
                <w:sz w:val="24"/>
                <w:szCs w:val="24"/>
                <w:lang w:val="kk-KZ" w:eastAsia="ru-RU"/>
              </w:rPr>
            </w:pPr>
            <w:r>
              <w:rPr>
                <w:rFonts w:ascii="Times New Roman" w:hAnsi="Times New Roman"/>
                <w:sz w:val="24"/>
                <w:szCs w:val="24"/>
                <w:lang w:val="kk-KZ"/>
              </w:rPr>
              <w:t>АӨК-</w:t>
            </w:r>
            <w:r w:rsidR="00BB2991" w:rsidRPr="00BB2991">
              <w:rPr>
                <w:rFonts w:ascii="Times New Roman" w:hAnsi="Times New Roman"/>
                <w:sz w:val="24"/>
                <w:szCs w:val="24"/>
                <w:lang w:val="kk-KZ"/>
              </w:rPr>
              <w:t>н мемлекеттік қолдауға мемлекеттік орган пайдаланылған бюджет қаражатын пайдалану</w:t>
            </w:r>
            <w:r w:rsidR="00BB2991" w:rsidRPr="00BB2991">
              <w:rPr>
                <w:rFonts w:ascii="Times New Roman" w:eastAsia="Times New Roman" w:hAnsi="Times New Roman"/>
                <w:kern w:val="36"/>
                <w:sz w:val="24"/>
                <w:szCs w:val="24"/>
                <w:lang w:val="kk-KZ" w:eastAsia="ru-RU"/>
              </w:rPr>
              <w:t xml:space="preserve"> тиімділігі жоғары (орташа, төмен, тиімсіз) </w:t>
            </w:r>
          </w:p>
        </w:tc>
      </w:tr>
      <w:tr w:rsidR="00BB2991" w:rsidRPr="00805B3E" w14:paraId="691F6056" w14:textId="77777777" w:rsidTr="0073314F">
        <w:trPr>
          <w:jc w:val="center"/>
        </w:trPr>
        <w:tc>
          <w:tcPr>
            <w:tcW w:w="2524" w:type="dxa"/>
          </w:tcPr>
          <w:p w14:paraId="3257A14D" w14:textId="0708966C"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Кемшіліктер мен ұсыныстар</w:t>
            </w:r>
          </w:p>
        </w:tc>
        <w:tc>
          <w:tcPr>
            <w:tcW w:w="7048" w:type="dxa"/>
          </w:tcPr>
          <w:p w14:paraId="66D3DF03" w14:textId="4CA91B94" w:rsidR="00BB2991" w:rsidRPr="00BB2991" w:rsidRDefault="00BB2991" w:rsidP="00457CE9">
            <w:pPr>
              <w:widowControl w:val="0"/>
              <w:tabs>
                <w:tab w:val="left" w:pos="851"/>
                <w:tab w:val="left" w:pos="993"/>
                <w:tab w:val="left" w:pos="1605"/>
              </w:tabs>
              <w:rPr>
                <w:rFonts w:ascii="Times New Roman" w:hAnsi="Times New Roman"/>
                <w:sz w:val="24"/>
                <w:szCs w:val="24"/>
                <w:lang w:val="kk-KZ"/>
              </w:rPr>
            </w:pPr>
            <w:r w:rsidRPr="00BB2991">
              <w:rPr>
                <w:rFonts w:ascii="Times New Roman" w:hAnsi="Times New Roman"/>
                <w:sz w:val="24"/>
                <w:szCs w:val="24"/>
                <w:lang w:val="kk-KZ"/>
              </w:rPr>
              <w:t>Аудиторлық дәлелдемелер құру, жинақтау, кемшіліктерін жүйелеу және ұсыныстар беру, бюджет үрдісі мен рәсімдерін жетілдіру резервтерін анықтау, қаржылық тәртіпті нығайту</w:t>
            </w:r>
          </w:p>
        </w:tc>
      </w:tr>
      <w:tr w:rsidR="00A257E7" w:rsidRPr="00BB2991" w14:paraId="6C0573BE" w14:textId="77777777" w:rsidTr="0073314F">
        <w:trPr>
          <w:jc w:val="center"/>
        </w:trPr>
        <w:tc>
          <w:tcPr>
            <w:tcW w:w="9572" w:type="dxa"/>
            <w:gridSpan w:val="2"/>
          </w:tcPr>
          <w:p w14:paraId="7FBC0B2B" w14:textId="64C93B9F" w:rsidR="00A257E7" w:rsidRPr="00BB2991" w:rsidRDefault="00A257E7" w:rsidP="00B331C6">
            <w:pPr>
              <w:widowControl w:val="0"/>
              <w:tabs>
                <w:tab w:val="left" w:pos="851"/>
                <w:tab w:val="left" w:pos="993"/>
                <w:tab w:val="left" w:pos="1605"/>
              </w:tabs>
              <w:ind w:firstLine="559"/>
              <w:rPr>
                <w:rFonts w:ascii="Times New Roman" w:hAnsi="Times New Roman"/>
                <w:sz w:val="24"/>
                <w:szCs w:val="24"/>
                <w:lang w:val="kk-KZ"/>
              </w:rPr>
            </w:pPr>
            <w:r w:rsidRPr="00BB2991">
              <w:rPr>
                <w:rFonts w:ascii="Times New Roman" w:hAnsi="Times New Roman" w:cs="Times New Roman"/>
                <w:sz w:val="24"/>
                <w:szCs w:val="24"/>
                <w:lang w:val="kk-KZ"/>
              </w:rPr>
              <w:t xml:space="preserve">Ескерту – </w:t>
            </w:r>
            <w:r w:rsidR="00B331C6" w:rsidRPr="00BB2991">
              <w:rPr>
                <w:rFonts w:ascii="Times New Roman" w:hAnsi="Times New Roman" w:cs="Times New Roman"/>
                <w:sz w:val="24"/>
                <w:szCs w:val="24"/>
                <w:lang w:val="kk-KZ"/>
              </w:rPr>
              <w:t>А</w:t>
            </w:r>
            <w:r w:rsidRPr="00BB2991">
              <w:rPr>
                <w:rFonts w:ascii="Times New Roman" w:hAnsi="Times New Roman" w:cs="Times New Roman"/>
                <w:sz w:val="24"/>
                <w:szCs w:val="24"/>
                <w:lang w:val="kk-KZ"/>
              </w:rPr>
              <w:t>втормен құрастырылған</w:t>
            </w:r>
          </w:p>
        </w:tc>
      </w:tr>
    </w:tbl>
    <w:p w14:paraId="17011FAD" w14:textId="77777777" w:rsidR="00B331C6" w:rsidRPr="0073314F" w:rsidRDefault="00B331C6" w:rsidP="00457CE9">
      <w:pPr>
        <w:widowControl w:val="0"/>
        <w:tabs>
          <w:tab w:val="left" w:pos="851"/>
          <w:tab w:val="left" w:pos="993"/>
          <w:tab w:val="left" w:pos="1605"/>
        </w:tabs>
        <w:spacing w:after="0" w:line="240" w:lineRule="auto"/>
        <w:ind w:firstLine="709"/>
        <w:jc w:val="both"/>
        <w:rPr>
          <w:rFonts w:ascii="Times New Roman" w:hAnsi="Times New Roman"/>
          <w:sz w:val="28"/>
          <w:szCs w:val="28"/>
          <w:lang w:val="kk-KZ"/>
        </w:rPr>
      </w:pPr>
    </w:p>
    <w:p w14:paraId="3662FDFF" w14:textId="0AB166AE" w:rsidR="00477842" w:rsidRPr="00457CE9" w:rsidRDefault="0025374D" w:rsidP="00457CE9">
      <w:pPr>
        <w:widowControl w:val="0"/>
        <w:tabs>
          <w:tab w:val="left" w:pos="851"/>
          <w:tab w:val="left" w:pos="993"/>
          <w:tab w:val="left" w:pos="1605"/>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Жоғарыдағы зерттеу нәтижелері, АӨК дамытуға жұмсалған бюджет қаражатын пайдалану тиімділігі деңгейінің төмен болуының себептері көп, дегенмен соның ішінде АШМ және оның қарамағындағы ұйымдардың, жергілікті атқарушы органдар қызметкерлерінің дұрыс жоспарламауынан, өл</w:t>
      </w:r>
      <w:r w:rsidR="00CB751C" w:rsidRPr="00457CE9">
        <w:rPr>
          <w:rFonts w:ascii="Times New Roman" w:hAnsi="Times New Roman"/>
          <w:sz w:val="28"/>
          <w:szCs w:val="28"/>
          <w:lang w:val="kk-KZ"/>
        </w:rPr>
        <w:t>ш</w:t>
      </w:r>
      <w:r w:rsidRPr="00457CE9">
        <w:rPr>
          <w:rFonts w:ascii="Times New Roman" w:hAnsi="Times New Roman"/>
          <w:sz w:val="28"/>
          <w:szCs w:val="28"/>
          <w:lang w:val="kk-KZ"/>
        </w:rPr>
        <w:t xml:space="preserve">еуге келмейтін көрсеткіштердің болуы, мониторинг </w:t>
      </w:r>
      <w:r w:rsidR="00CB751C" w:rsidRPr="00457CE9">
        <w:rPr>
          <w:rFonts w:ascii="Times New Roman" w:hAnsi="Times New Roman"/>
          <w:sz w:val="28"/>
          <w:szCs w:val="28"/>
          <w:lang w:val="kk-KZ"/>
        </w:rPr>
        <w:t>жасалмау фактілері жүйелі анықталған. Біздің ойымызша жауапты қызметкерлердің жауапкершілігін жоғарылату мақсатында бұзушылықтар сыныптауышына осындай жүйелі түрде жіберілетін кемшіліктерді енгізу арқылы қол жеткізуге болады</w:t>
      </w:r>
      <w:r w:rsidR="00D30BC2" w:rsidRPr="00D30BC2">
        <w:rPr>
          <w:rFonts w:ascii="Times New Roman" w:hAnsi="Times New Roman"/>
          <w:sz w:val="28"/>
          <w:szCs w:val="28"/>
          <w:lang w:val="kk-KZ"/>
        </w:rPr>
        <w:t xml:space="preserve"> [1</w:t>
      </w:r>
      <w:r w:rsidR="000314F9">
        <w:rPr>
          <w:rFonts w:ascii="Times New Roman" w:hAnsi="Times New Roman"/>
          <w:sz w:val="28"/>
          <w:szCs w:val="28"/>
          <w:lang w:val="kk-KZ"/>
        </w:rPr>
        <w:t>43</w:t>
      </w:r>
      <w:r w:rsidR="00D30BC2" w:rsidRPr="00D30BC2">
        <w:rPr>
          <w:rFonts w:ascii="Times New Roman" w:hAnsi="Times New Roman"/>
          <w:sz w:val="28"/>
          <w:szCs w:val="28"/>
          <w:lang w:val="kk-KZ"/>
        </w:rPr>
        <w:t>]</w:t>
      </w:r>
      <w:r w:rsidR="00CB751C" w:rsidRPr="00457CE9">
        <w:rPr>
          <w:rFonts w:ascii="Times New Roman" w:hAnsi="Times New Roman"/>
          <w:sz w:val="28"/>
          <w:szCs w:val="28"/>
          <w:lang w:val="kk-KZ"/>
        </w:rPr>
        <w:t>.</w:t>
      </w:r>
      <w:r w:rsidRPr="00457CE9">
        <w:rPr>
          <w:rFonts w:ascii="Times New Roman" w:hAnsi="Times New Roman"/>
          <w:sz w:val="28"/>
          <w:szCs w:val="28"/>
          <w:lang w:val="kk-KZ"/>
        </w:rPr>
        <w:t xml:space="preserve"> </w:t>
      </w:r>
      <w:r w:rsidR="00477842" w:rsidRPr="00457CE9">
        <w:rPr>
          <w:rFonts w:ascii="Times New Roman" w:hAnsi="Times New Roman"/>
          <w:sz w:val="28"/>
          <w:szCs w:val="28"/>
          <w:lang w:val="kk-KZ"/>
        </w:rPr>
        <w:t>ҚР АӨК дамытуға пайдаланылған бюджет қаражаты тиімділігінің аудиті нәтижесінде анықталған жүйелі кемшіліктер мен бұзушылықтарды бұзушылықтар сыныптауышына келесілерді енгізуді ұсынамыз</w:t>
      </w:r>
      <w:r w:rsidR="002839FE">
        <w:rPr>
          <w:rFonts w:ascii="Times New Roman" w:hAnsi="Times New Roman"/>
          <w:sz w:val="28"/>
          <w:szCs w:val="28"/>
          <w:lang w:val="kk-KZ"/>
        </w:rPr>
        <w:t xml:space="preserve"> (</w:t>
      </w:r>
      <w:r w:rsidR="00CB751C" w:rsidRPr="00457CE9">
        <w:rPr>
          <w:rFonts w:ascii="Times New Roman" w:hAnsi="Times New Roman"/>
          <w:sz w:val="28"/>
          <w:szCs w:val="28"/>
          <w:lang w:val="kk-KZ"/>
        </w:rPr>
        <w:t>4</w:t>
      </w:r>
      <w:r w:rsidR="009B76D2">
        <w:rPr>
          <w:rFonts w:ascii="Times New Roman" w:hAnsi="Times New Roman"/>
          <w:sz w:val="28"/>
          <w:szCs w:val="28"/>
          <w:lang w:val="kk-KZ"/>
        </w:rPr>
        <w:t>8</w:t>
      </w:r>
      <w:r w:rsidR="00CB751C" w:rsidRPr="00457CE9">
        <w:rPr>
          <w:rFonts w:ascii="Times New Roman" w:hAnsi="Times New Roman"/>
          <w:sz w:val="28"/>
          <w:szCs w:val="28"/>
          <w:lang w:val="kk-KZ"/>
        </w:rPr>
        <w:t>-кесте</w:t>
      </w:r>
      <w:r w:rsidR="002839FE">
        <w:rPr>
          <w:rFonts w:ascii="Times New Roman" w:hAnsi="Times New Roman"/>
          <w:sz w:val="28"/>
          <w:szCs w:val="28"/>
          <w:lang w:val="kk-KZ"/>
        </w:rPr>
        <w:t>)</w:t>
      </w:r>
      <w:r w:rsidR="00CB751C" w:rsidRPr="00457CE9">
        <w:rPr>
          <w:rFonts w:ascii="Times New Roman" w:hAnsi="Times New Roman"/>
          <w:sz w:val="28"/>
          <w:szCs w:val="28"/>
          <w:lang w:val="kk-KZ"/>
        </w:rPr>
        <w:t>.</w:t>
      </w:r>
    </w:p>
    <w:p w14:paraId="73582BA6" w14:textId="77777777" w:rsidR="00477842" w:rsidRDefault="00477842" w:rsidP="00457CE9">
      <w:pPr>
        <w:widowControl w:val="0"/>
        <w:tabs>
          <w:tab w:val="left" w:pos="851"/>
          <w:tab w:val="left" w:pos="993"/>
          <w:tab w:val="left" w:pos="1605"/>
        </w:tabs>
        <w:spacing w:after="0" w:line="240" w:lineRule="auto"/>
        <w:jc w:val="both"/>
        <w:rPr>
          <w:rFonts w:ascii="Times New Roman" w:hAnsi="Times New Roman"/>
          <w:sz w:val="16"/>
          <w:szCs w:val="16"/>
          <w:lang w:val="kk-KZ"/>
        </w:rPr>
      </w:pPr>
    </w:p>
    <w:p w14:paraId="48F67B5D" w14:textId="77777777" w:rsidR="002839FE" w:rsidRPr="00457CE9" w:rsidRDefault="002839FE" w:rsidP="00457CE9">
      <w:pPr>
        <w:widowControl w:val="0"/>
        <w:tabs>
          <w:tab w:val="left" w:pos="851"/>
          <w:tab w:val="left" w:pos="993"/>
          <w:tab w:val="left" w:pos="1605"/>
        </w:tabs>
        <w:spacing w:after="0" w:line="240" w:lineRule="auto"/>
        <w:jc w:val="both"/>
        <w:rPr>
          <w:rFonts w:ascii="Times New Roman" w:hAnsi="Times New Roman"/>
          <w:sz w:val="16"/>
          <w:szCs w:val="16"/>
          <w:lang w:val="kk-KZ"/>
        </w:rPr>
      </w:pPr>
    </w:p>
    <w:p w14:paraId="31F3B934" w14:textId="22D6D58C" w:rsidR="00CB751C" w:rsidRDefault="00CB751C" w:rsidP="00457CE9">
      <w:pPr>
        <w:widowControl w:val="0"/>
        <w:tabs>
          <w:tab w:val="left" w:pos="851"/>
          <w:tab w:val="left" w:pos="993"/>
          <w:tab w:val="left" w:pos="1605"/>
        </w:tabs>
        <w:spacing w:after="0" w:line="240" w:lineRule="auto"/>
        <w:jc w:val="both"/>
        <w:rPr>
          <w:rFonts w:ascii="Times New Roman" w:hAnsi="Times New Roman"/>
          <w:sz w:val="28"/>
          <w:szCs w:val="28"/>
          <w:lang w:val="kk-KZ"/>
        </w:rPr>
      </w:pPr>
      <w:r w:rsidRPr="00457CE9">
        <w:rPr>
          <w:rFonts w:ascii="Times New Roman" w:hAnsi="Times New Roman"/>
          <w:sz w:val="28"/>
          <w:szCs w:val="28"/>
          <w:lang w:val="kk-KZ"/>
        </w:rPr>
        <w:t>Кесте 4</w:t>
      </w:r>
      <w:r w:rsidR="009B76D2">
        <w:rPr>
          <w:rFonts w:ascii="Times New Roman" w:hAnsi="Times New Roman"/>
          <w:sz w:val="28"/>
          <w:szCs w:val="28"/>
          <w:lang w:val="kk-KZ"/>
        </w:rPr>
        <w:t>8</w:t>
      </w:r>
      <w:r w:rsidRPr="00457CE9">
        <w:rPr>
          <w:rFonts w:ascii="Times New Roman" w:hAnsi="Times New Roman"/>
          <w:sz w:val="28"/>
          <w:szCs w:val="28"/>
          <w:lang w:val="kk-KZ"/>
        </w:rPr>
        <w:t xml:space="preserve"> – АӨК дамытуға жұмсалған бюджет қаражатының тиімділігін жоғарылату үшін бұзушылықтар сыныптауышына енгізілетін бұзушылықтар</w:t>
      </w:r>
    </w:p>
    <w:p w14:paraId="6E9FC56B" w14:textId="77777777" w:rsidR="002839FE" w:rsidRPr="002839FE" w:rsidRDefault="002839FE" w:rsidP="00457CE9">
      <w:pPr>
        <w:widowControl w:val="0"/>
        <w:tabs>
          <w:tab w:val="left" w:pos="851"/>
          <w:tab w:val="left" w:pos="993"/>
          <w:tab w:val="left" w:pos="1605"/>
        </w:tabs>
        <w:spacing w:after="0" w:line="240" w:lineRule="auto"/>
        <w:jc w:val="both"/>
        <w:rPr>
          <w:rFonts w:ascii="Times New Roman" w:hAnsi="Times New Roman"/>
          <w:sz w:val="16"/>
          <w:szCs w:val="16"/>
          <w:lang w:val="kk-KZ"/>
        </w:rPr>
      </w:pPr>
    </w:p>
    <w:tbl>
      <w:tblPr>
        <w:tblStyle w:val="a3"/>
        <w:tblW w:w="9639" w:type="dxa"/>
        <w:tblInd w:w="-5" w:type="dxa"/>
        <w:tblLook w:val="04A0" w:firstRow="1" w:lastRow="0" w:firstColumn="1" w:lastColumn="0" w:noHBand="0" w:noVBand="1"/>
      </w:tblPr>
      <w:tblGrid>
        <w:gridCol w:w="6946"/>
        <w:gridCol w:w="2693"/>
      </w:tblGrid>
      <w:tr w:rsidR="00BB2991" w:rsidRPr="00457CE9" w14:paraId="4EA2ADAC" w14:textId="77777777" w:rsidTr="00AF6490">
        <w:tc>
          <w:tcPr>
            <w:tcW w:w="6946" w:type="dxa"/>
          </w:tcPr>
          <w:p w14:paraId="26044216" w14:textId="26E5F037"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Бұзушылық атауы</w:t>
            </w:r>
          </w:p>
        </w:tc>
        <w:tc>
          <w:tcPr>
            <w:tcW w:w="2693" w:type="dxa"/>
          </w:tcPr>
          <w:p w14:paraId="0C68180B" w14:textId="47EAD00F"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Бұзушылық түрі</w:t>
            </w:r>
          </w:p>
        </w:tc>
      </w:tr>
      <w:tr w:rsidR="00BB2991" w:rsidRPr="00457CE9" w14:paraId="2978463D" w14:textId="77777777" w:rsidTr="00AF6490">
        <w:tc>
          <w:tcPr>
            <w:tcW w:w="6946" w:type="dxa"/>
            <w:vAlign w:val="center"/>
          </w:tcPr>
          <w:p w14:paraId="1F5CAAEE" w14:textId="7DF0D6D6"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Бюджеттік тапсырыстарға бюджеттік жобалардың болмауы</w:t>
            </w:r>
          </w:p>
        </w:tc>
        <w:tc>
          <w:tcPr>
            <w:tcW w:w="2693" w:type="dxa"/>
            <w:vAlign w:val="center"/>
          </w:tcPr>
          <w:p w14:paraId="411623FC" w14:textId="2D3089CE"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Қаржылық</w:t>
            </w:r>
            <w:r w:rsidR="002839FE">
              <w:rPr>
                <w:rFonts w:ascii="Times New Roman" w:hAnsi="Times New Roman"/>
                <w:sz w:val="24"/>
                <w:szCs w:val="24"/>
                <w:lang w:val="kk-KZ"/>
              </w:rPr>
              <w:t xml:space="preserve"> бұзушылық</w:t>
            </w:r>
          </w:p>
        </w:tc>
      </w:tr>
      <w:tr w:rsidR="00BB2991" w:rsidRPr="00457CE9" w14:paraId="6C8F8E88" w14:textId="77777777" w:rsidTr="00AF6490">
        <w:tc>
          <w:tcPr>
            <w:tcW w:w="6946" w:type="dxa"/>
            <w:vAlign w:val="center"/>
          </w:tcPr>
          <w:p w14:paraId="48FDE324" w14:textId="6C8BA67E"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Жоғары және төмен бюджет әкімшілерімен бюджет бағдарламасының келісілмеуі</w:t>
            </w:r>
          </w:p>
        </w:tc>
        <w:tc>
          <w:tcPr>
            <w:tcW w:w="2693" w:type="dxa"/>
            <w:vAlign w:val="center"/>
          </w:tcPr>
          <w:p w14:paraId="4EFFAF06" w14:textId="1CEA045C"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Қаржылық бұзушылық</w:t>
            </w:r>
          </w:p>
        </w:tc>
      </w:tr>
      <w:tr w:rsidR="00BB2991" w:rsidRPr="00457CE9" w14:paraId="4CFA0C0D" w14:textId="77777777" w:rsidTr="00AF6490">
        <w:tc>
          <w:tcPr>
            <w:tcW w:w="6946" w:type="dxa"/>
            <w:vAlign w:val="center"/>
          </w:tcPr>
          <w:p w14:paraId="15A9E840" w14:textId="7BB8DBDA"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Жоғатқан пайда орнын толтыру</w:t>
            </w:r>
          </w:p>
        </w:tc>
        <w:tc>
          <w:tcPr>
            <w:tcW w:w="2693" w:type="dxa"/>
            <w:vAlign w:val="center"/>
          </w:tcPr>
          <w:p w14:paraId="323F8DDB" w14:textId="6E15B5DA"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Рәсімдік бұзушылық</w:t>
            </w:r>
          </w:p>
        </w:tc>
      </w:tr>
      <w:tr w:rsidR="00BB2991" w:rsidRPr="00457CE9" w14:paraId="1EF95E78" w14:textId="77777777" w:rsidTr="00AF6490">
        <w:tc>
          <w:tcPr>
            <w:tcW w:w="6946" w:type="dxa"/>
            <w:vAlign w:val="center"/>
          </w:tcPr>
          <w:p w14:paraId="246C6649" w14:textId="1497561D"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Мемлекеттік активтерді тиімсіз пайдалану</w:t>
            </w:r>
          </w:p>
        </w:tc>
        <w:tc>
          <w:tcPr>
            <w:tcW w:w="2693" w:type="dxa"/>
            <w:vAlign w:val="center"/>
          </w:tcPr>
          <w:p w14:paraId="6D9CB25E" w14:textId="3DFEF4D6"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Қаржылық бұзушылық</w:t>
            </w:r>
          </w:p>
        </w:tc>
      </w:tr>
      <w:tr w:rsidR="00BB2991" w:rsidRPr="00457CE9" w14:paraId="51C31933" w14:textId="77777777" w:rsidTr="00AF6490">
        <w:tc>
          <w:tcPr>
            <w:tcW w:w="6946" w:type="dxa"/>
            <w:vAlign w:val="center"/>
          </w:tcPr>
          <w:p w14:paraId="4F54A6E6" w14:textId="331DA611"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Негізсіз нысаналы индикаторларды, іс-шараларды алып тастау</w:t>
            </w:r>
          </w:p>
        </w:tc>
        <w:tc>
          <w:tcPr>
            <w:tcW w:w="2693" w:type="dxa"/>
            <w:vAlign w:val="center"/>
          </w:tcPr>
          <w:p w14:paraId="7D93AE73" w14:textId="3A23797B" w:rsidR="00BB2991" w:rsidRPr="00457CE9" w:rsidRDefault="002839FE" w:rsidP="002839FE">
            <w:pPr>
              <w:widowControl w:val="0"/>
              <w:tabs>
                <w:tab w:val="left" w:pos="851"/>
                <w:tab w:val="left" w:pos="993"/>
                <w:tab w:val="left" w:pos="1605"/>
              </w:tabs>
              <w:jc w:val="center"/>
              <w:rPr>
                <w:rFonts w:ascii="Times New Roman" w:hAnsi="Times New Roman"/>
                <w:sz w:val="24"/>
                <w:szCs w:val="24"/>
                <w:lang w:val="kk-KZ"/>
              </w:rPr>
            </w:pPr>
            <w:r>
              <w:rPr>
                <w:rFonts w:ascii="Times New Roman" w:hAnsi="Times New Roman"/>
                <w:sz w:val="24"/>
                <w:szCs w:val="24"/>
                <w:lang w:val="kk-KZ"/>
              </w:rPr>
              <w:t>Рәсімдік бұзушылық</w:t>
            </w:r>
          </w:p>
        </w:tc>
      </w:tr>
      <w:tr w:rsidR="00BB2991" w:rsidRPr="00457CE9" w14:paraId="2A22C869" w14:textId="77777777" w:rsidTr="00AF6490">
        <w:tc>
          <w:tcPr>
            <w:tcW w:w="6946" w:type="dxa"/>
            <w:vAlign w:val="center"/>
          </w:tcPr>
          <w:p w14:paraId="686D9C76" w14:textId="7167867F"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Көрсеткіштердің статистикасын қамтамасыз етпеу</w:t>
            </w:r>
          </w:p>
        </w:tc>
        <w:tc>
          <w:tcPr>
            <w:tcW w:w="2693" w:type="dxa"/>
            <w:vAlign w:val="center"/>
          </w:tcPr>
          <w:p w14:paraId="5018572C" w14:textId="420BCE5A"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Рәсімдік бұзушылық</w:t>
            </w:r>
          </w:p>
        </w:tc>
      </w:tr>
      <w:tr w:rsidR="00BB2991" w:rsidRPr="00457CE9" w14:paraId="3FE7F3A3" w14:textId="77777777" w:rsidTr="00AF6490">
        <w:tc>
          <w:tcPr>
            <w:tcW w:w="6946" w:type="dxa"/>
            <w:vAlign w:val="center"/>
          </w:tcPr>
          <w:p w14:paraId="0281EFE5" w14:textId="17661B50"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Мониторинг болмауы</w:t>
            </w:r>
          </w:p>
        </w:tc>
        <w:tc>
          <w:tcPr>
            <w:tcW w:w="2693" w:type="dxa"/>
            <w:vAlign w:val="center"/>
          </w:tcPr>
          <w:p w14:paraId="4DDCD246" w14:textId="5A0EB628"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Рәсімдік бұзушылық</w:t>
            </w:r>
          </w:p>
        </w:tc>
      </w:tr>
      <w:tr w:rsidR="00BB2991" w:rsidRPr="00457CE9" w14:paraId="5B59AF18" w14:textId="77777777" w:rsidTr="00AF6490">
        <w:tc>
          <w:tcPr>
            <w:tcW w:w="6946" w:type="dxa"/>
            <w:vAlign w:val="center"/>
          </w:tcPr>
          <w:p w14:paraId="095C6433" w14:textId="2BD3909D"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Субсидия алушыларға міндет нысанының бекітілмеуі</w:t>
            </w:r>
          </w:p>
        </w:tc>
        <w:tc>
          <w:tcPr>
            <w:tcW w:w="2693" w:type="dxa"/>
            <w:vAlign w:val="center"/>
          </w:tcPr>
          <w:p w14:paraId="387CABB4" w14:textId="72AB274C"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Рәсімдік бұзушылық</w:t>
            </w:r>
          </w:p>
        </w:tc>
      </w:tr>
      <w:tr w:rsidR="00BB2991" w:rsidRPr="00457CE9" w14:paraId="3F10E1B6" w14:textId="77777777" w:rsidTr="00AF6490">
        <w:tc>
          <w:tcPr>
            <w:tcW w:w="6946" w:type="dxa"/>
            <w:vAlign w:val="center"/>
          </w:tcPr>
          <w:p w14:paraId="0BCEF644" w14:textId="21B1D471"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Аймақтық дамыту бағдарламаларындағы көрсеткіштердің ОМО стратегиялық жоспарларына сәйкес келмеуі</w:t>
            </w:r>
          </w:p>
        </w:tc>
        <w:tc>
          <w:tcPr>
            <w:tcW w:w="2693" w:type="dxa"/>
            <w:vAlign w:val="center"/>
          </w:tcPr>
          <w:p w14:paraId="1DCA446E" w14:textId="7C3EF9EE"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Рәсімдік бұзушылық</w:t>
            </w:r>
          </w:p>
        </w:tc>
      </w:tr>
      <w:tr w:rsidR="00BB2991" w:rsidRPr="00457CE9" w14:paraId="00792BE7" w14:textId="77777777" w:rsidTr="00AF6490">
        <w:tc>
          <w:tcPr>
            <w:tcW w:w="6946" w:type="dxa"/>
            <w:vAlign w:val="center"/>
          </w:tcPr>
          <w:p w14:paraId="75849525" w14:textId="72F130F8" w:rsidR="00BB2991" w:rsidRPr="00457CE9" w:rsidRDefault="00BB2991" w:rsidP="002839FE">
            <w:pPr>
              <w:widowControl w:val="0"/>
              <w:tabs>
                <w:tab w:val="left" w:pos="851"/>
                <w:tab w:val="left" w:pos="993"/>
                <w:tab w:val="left" w:pos="1605"/>
              </w:tabs>
              <w:jc w:val="left"/>
              <w:rPr>
                <w:rFonts w:ascii="Times New Roman" w:hAnsi="Times New Roman"/>
                <w:sz w:val="24"/>
                <w:szCs w:val="24"/>
                <w:lang w:val="kk-KZ"/>
              </w:rPr>
            </w:pPr>
            <w:r w:rsidRPr="00457CE9">
              <w:rPr>
                <w:rFonts w:ascii="Times New Roman" w:hAnsi="Times New Roman"/>
                <w:sz w:val="24"/>
                <w:szCs w:val="24"/>
                <w:lang w:val="kk-KZ"/>
              </w:rPr>
              <w:t>Орталық мемлекеттік органның стратегиялық жоспарындағы көрсеткіштердің мемлекеттік жоспарлау жүйесі құжаттарына сәйкес келмеуі</w:t>
            </w:r>
          </w:p>
        </w:tc>
        <w:tc>
          <w:tcPr>
            <w:tcW w:w="2693" w:type="dxa"/>
            <w:vAlign w:val="center"/>
          </w:tcPr>
          <w:p w14:paraId="7A5A97A9" w14:textId="170706F1" w:rsidR="00BB2991" w:rsidRPr="00457CE9" w:rsidRDefault="00BB2991" w:rsidP="002839FE">
            <w:pPr>
              <w:widowControl w:val="0"/>
              <w:tabs>
                <w:tab w:val="left" w:pos="851"/>
                <w:tab w:val="left" w:pos="993"/>
                <w:tab w:val="left" w:pos="1605"/>
              </w:tabs>
              <w:jc w:val="center"/>
              <w:rPr>
                <w:rFonts w:ascii="Times New Roman" w:hAnsi="Times New Roman"/>
                <w:sz w:val="24"/>
                <w:szCs w:val="24"/>
                <w:lang w:val="kk-KZ"/>
              </w:rPr>
            </w:pPr>
            <w:r w:rsidRPr="00457CE9">
              <w:rPr>
                <w:rFonts w:ascii="Times New Roman" w:hAnsi="Times New Roman"/>
                <w:sz w:val="24"/>
                <w:szCs w:val="24"/>
                <w:lang w:val="kk-KZ"/>
              </w:rPr>
              <w:t>Рәсімдік бұзушылық</w:t>
            </w:r>
          </w:p>
        </w:tc>
      </w:tr>
      <w:tr w:rsidR="0049708C" w:rsidRPr="00457CE9" w14:paraId="7420F9CF" w14:textId="77777777" w:rsidTr="00AF6490">
        <w:tc>
          <w:tcPr>
            <w:tcW w:w="9639" w:type="dxa"/>
            <w:gridSpan w:val="2"/>
          </w:tcPr>
          <w:p w14:paraId="74B58E4C" w14:textId="0A46907C" w:rsidR="0049708C" w:rsidRPr="00E87E51" w:rsidRDefault="0049708C" w:rsidP="002839FE">
            <w:pPr>
              <w:widowControl w:val="0"/>
              <w:tabs>
                <w:tab w:val="left" w:pos="851"/>
                <w:tab w:val="left" w:pos="993"/>
                <w:tab w:val="left" w:pos="1605"/>
              </w:tabs>
              <w:ind w:firstLine="578"/>
              <w:rPr>
                <w:rFonts w:ascii="Times New Roman" w:hAnsi="Times New Roman"/>
                <w:sz w:val="24"/>
                <w:szCs w:val="24"/>
                <w:lang w:val="en-US"/>
              </w:rPr>
            </w:pPr>
            <w:r w:rsidRPr="00457CE9">
              <w:rPr>
                <w:rFonts w:ascii="Times New Roman" w:hAnsi="Times New Roman" w:cs="Times New Roman"/>
                <w:sz w:val="24"/>
                <w:szCs w:val="24"/>
                <w:lang w:val="kk-KZ"/>
              </w:rPr>
              <w:t xml:space="preserve">Ескерту – </w:t>
            </w:r>
            <w:r w:rsidR="002839FE" w:rsidRPr="00457CE9">
              <w:rPr>
                <w:rFonts w:ascii="Times New Roman" w:hAnsi="Times New Roman" w:cs="Times New Roman"/>
                <w:sz w:val="24"/>
                <w:szCs w:val="24"/>
                <w:lang w:val="kk-KZ"/>
              </w:rPr>
              <w:t xml:space="preserve">Автормен </w:t>
            </w:r>
            <w:r w:rsidRPr="00457CE9">
              <w:rPr>
                <w:rFonts w:ascii="Times New Roman" w:hAnsi="Times New Roman" w:cs="Times New Roman"/>
                <w:sz w:val="24"/>
                <w:szCs w:val="24"/>
                <w:lang w:val="kk-KZ"/>
              </w:rPr>
              <w:t>құрастырылған</w:t>
            </w:r>
            <w:r w:rsidR="00E87E51">
              <w:rPr>
                <w:rFonts w:ascii="Times New Roman" w:hAnsi="Times New Roman" w:cs="Times New Roman"/>
                <w:sz w:val="24"/>
                <w:szCs w:val="24"/>
                <w:lang w:val="kk-KZ"/>
              </w:rPr>
              <w:t xml:space="preserve"> </w:t>
            </w:r>
            <w:r w:rsidR="00E87E51">
              <w:rPr>
                <w:rFonts w:ascii="Times New Roman" w:hAnsi="Times New Roman" w:cs="Times New Roman"/>
                <w:sz w:val="24"/>
                <w:szCs w:val="24"/>
                <w:lang w:val="en-US"/>
              </w:rPr>
              <w:t>[</w:t>
            </w:r>
            <w:r w:rsidR="00010EEC">
              <w:rPr>
                <w:rFonts w:ascii="Times New Roman" w:hAnsi="Times New Roman" w:cs="Times New Roman"/>
                <w:sz w:val="24"/>
                <w:szCs w:val="24"/>
                <w:lang w:val="kk-KZ"/>
              </w:rPr>
              <w:t>1</w:t>
            </w:r>
            <w:r w:rsidR="00420DC5">
              <w:rPr>
                <w:rFonts w:ascii="Times New Roman" w:hAnsi="Times New Roman" w:cs="Times New Roman"/>
                <w:sz w:val="24"/>
                <w:szCs w:val="24"/>
                <w:lang w:val="kk-KZ"/>
              </w:rPr>
              <w:t>42</w:t>
            </w:r>
            <w:r w:rsidR="00E87E51">
              <w:rPr>
                <w:rFonts w:ascii="Times New Roman" w:hAnsi="Times New Roman" w:cs="Times New Roman"/>
                <w:sz w:val="24"/>
                <w:szCs w:val="24"/>
                <w:lang w:val="en-US"/>
              </w:rPr>
              <w:t>]</w:t>
            </w:r>
          </w:p>
        </w:tc>
      </w:tr>
    </w:tbl>
    <w:p w14:paraId="1912B0E7" w14:textId="77777777" w:rsidR="002839FE" w:rsidRDefault="002839FE" w:rsidP="00457CE9">
      <w:pPr>
        <w:spacing w:after="0" w:line="240" w:lineRule="auto"/>
        <w:ind w:firstLine="709"/>
        <w:jc w:val="both"/>
        <w:rPr>
          <w:rFonts w:ascii="Times New Roman" w:hAnsi="Times New Roman" w:cs="Times New Roman"/>
          <w:sz w:val="28"/>
          <w:szCs w:val="28"/>
          <w:highlight w:val="green"/>
          <w:lang w:val="kk-KZ"/>
        </w:rPr>
      </w:pPr>
    </w:p>
    <w:p w14:paraId="60366541" w14:textId="7F5D6647" w:rsidR="000314F9" w:rsidRDefault="004410F1" w:rsidP="0055710E">
      <w:pPr>
        <w:spacing w:after="0" w:line="240" w:lineRule="auto"/>
        <w:ind w:firstLine="709"/>
        <w:jc w:val="both"/>
        <w:rPr>
          <w:rFonts w:ascii="Times New Roman" w:hAnsi="Times New Roman" w:cs="Times New Roman"/>
          <w:sz w:val="28"/>
          <w:szCs w:val="28"/>
          <w:lang w:val="kk-KZ"/>
        </w:rPr>
      </w:pPr>
      <w:r w:rsidRPr="002839FE">
        <w:rPr>
          <w:rFonts w:ascii="Times New Roman" w:hAnsi="Times New Roman" w:cs="Times New Roman"/>
          <w:sz w:val="28"/>
          <w:szCs w:val="28"/>
          <w:lang w:val="kk-KZ"/>
        </w:rPr>
        <w:t>АӨК дамытуға жұмсалған бюджет қаражаты</w:t>
      </w:r>
      <w:r w:rsidR="006F3E7F">
        <w:rPr>
          <w:rFonts w:ascii="Times New Roman" w:hAnsi="Times New Roman" w:cs="Times New Roman"/>
          <w:sz w:val="28"/>
          <w:szCs w:val="28"/>
          <w:lang w:val="kk-KZ"/>
        </w:rPr>
        <w:t>н пайдалану</w:t>
      </w:r>
      <w:r w:rsidRPr="002839FE">
        <w:rPr>
          <w:rFonts w:ascii="Times New Roman" w:hAnsi="Times New Roman" w:cs="Times New Roman"/>
          <w:sz w:val="28"/>
          <w:szCs w:val="28"/>
          <w:lang w:val="kk-KZ"/>
        </w:rPr>
        <w:t xml:space="preserve"> тиімділігінің аудиті бойынша аудиторлық қорытынды ISSAI 3000 талаптарына сәйкес аудитор жан-жақты, сенімді, уақтылы, оқуға ыңғайлы және теңдестірілген аудиторлық есептерді ұсынуға тиіс. Аудитор аудит критерийлерін және олардың көздерін аудиторлық есепте анықтауы керек. Аудитор қоры</w:t>
      </w:r>
      <w:r w:rsidR="002839FE">
        <w:rPr>
          <w:rFonts w:ascii="Times New Roman" w:hAnsi="Times New Roman" w:cs="Times New Roman"/>
          <w:sz w:val="28"/>
          <w:szCs w:val="28"/>
          <w:lang w:val="kk-KZ"/>
        </w:rPr>
        <w:t xml:space="preserve">тындылардың аудиттің мақсатына </w:t>
      </w:r>
      <w:r w:rsidRPr="002839FE">
        <w:rPr>
          <w:rFonts w:ascii="Times New Roman" w:hAnsi="Times New Roman" w:cs="Times New Roman"/>
          <w:sz w:val="28"/>
          <w:szCs w:val="28"/>
          <w:lang w:val="kk-KZ"/>
        </w:rPr>
        <w:t>нақты сәйкес келуін қамтамасыз етуі немесе оның неге мүмкін еместігін түсіндіруі керек [</w:t>
      </w:r>
      <w:r w:rsidR="00AB5119" w:rsidRPr="002839FE">
        <w:rPr>
          <w:rFonts w:ascii="Times New Roman" w:hAnsi="Times New Roman" w:cs="Times New Roman"/>
          <w:sz w:val="28"/>
          <w:szCs w:val="28"/>
          <w:lang w:val="kk-KZ"/>
        </w:rPr>
        <w:t>1</w:t>
      </w:r>
      <w:r w:rsidR="00420DC5">
        <w:rPr>
          <w:rFonts w:ascii="Times New Roman" w:hAnsi="Times New Roman" w:cs="Times New Roman"/>
          <w:sz w:val="28"/>
          <w:szCs w:val="28"/>
          <w:lang w:val="kk-KZ"/>
        </w:rPr>
        <w:t>2</w:t>
      </w:r>
      <w:r w:rsidRPr="002839FE">
        <w:rPr>
          <w:rFonts w:ascii="Times New Roman" w:hAnsi="Times New Roman" w:cs="Times New Roman"/>
          <w:sz w:val="28"/>
          <w:szCs w:val="28"/>
          <w:lang w:val="kk-KZ"/>
        </w:rPr>
        <w:t>].</w:t>
      </w:r>
      <w:r w:rsidRPr="00457CE9">
        <w:rPr>
          <w:rFonts w:ascii="Times New Roman" w:hAnsi="Times New Roman" w:cs="Times New Roman"/>
          <w:sz w:val="28"/>
          <w:szCs w:val="28"/>
          <w:lang w:val="kk-KZ"/>
        </w:rPr>
        <w:t xml:space="preserve"> </w:t>
      </w:r>
    </w:p>
    <w:p w14:paraId="298DDF47" w14:textId="1CF438DE" w:rsidR="0055710E" w:rsidRDefault="00FC7891" w:rsidP="0055710E">
      <w:pPr>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Тиімділік аудиті туралы есептер білім деңгейін арттыруға және қажетті жақсартуларды анықтауға бағытталған. Тиімділік аудиті барысында аудитор пайдаланатын ресурстарды өнімділік және үнемділік, сондай-ақ қойылған мақсаттарға қол жеткізу, яғни нәтижелілік туралы есеп береді. Мұндай есептер ауқымы мен сипаты бойынша айтарлықтай өзгеруі мүмкін, мысалы бюджет қаражаты ұтымды пайдаланылады ма, саясат пен бағдарламалардың әсеріне түсініктеме беру және жетілдіруге әкелетін өзгерістерді ұсыну</w:t>
      </w:r>
      <w:r w:rsidR="006621F3">
        <w:rPr>
          <w:rFonts w:ascii="Times New Roman" w:hAnsi="Times New Roman"/>
          <w:sz w:val="28"/>
          <w:szCs w:val="28"/>
          <w:lang w:val="kk-KZ"/>
        </w:rPr>
        <w:t xml:space="preserve"> </w:t>
      </w:r>
      <w:r w:rsidR="006621F3" w:rsidRPr="006621F3">
        <w:rPr>
          <w:rFonts w:ascii="Times New Roman" w:hAnsi="Times New Roman"/>
          <w:sz w:val="28"/>
          <w:szCs w:val="28"/>
          <w:lang w:val="kk-KZ"/>
        </w:rPr>
        <w:t>[1</w:t>
      </w:r>
      <w:r w:rsidR="009D4A99" w:rsidRPr="009D4A99">
        <w:rPr>
          <w:rFonts w:ascii="Times New Roman" w:hAnsi="Times New Roman"/>
          <w:sz w:val="28"/>
          <w:szCs w:val="28"/>
          <w:lang w:val="kk-KZ"/>
        </w:rPr>
        <w:t>11</w:t>
      </w:r>
      <w:r w:rsidR="000314F9">
        <w:rPr>
          <w:rFonts w:ascii="Times New Roman" w:hAnsi="Times New Roman"/>
          <w:sz w:val="28"/>
          <w:szCs w:val="28"/>
          <w:lang w:val="kk-KZ"/>
        </w:rPr>
        <w:t>, р. 599</w:t>
      </w:r>
      <w:r w:rsidR="006621F3" w:rsidRPr="006621F3">
        <w:rPr>
          <w:rFonts w:ascii="Times New Roman" w:hAnsi="Times New Roman"/>
          <w:sz w:val="28"/>
          <w:szCs w:val="28"/>
          <w:lang w:val="kk-KZ"/>
        </w:rPr>
        <w:t>]</w:t>
      </w:r>
      <w:r w:rsidRPr="00457CE9">
        <w:rPr>
          <w:rFonts w:ascii="Times New Roman" w:hAnsi="Times New Roman"/>
          <w:sz w:val="28"/>
          <w:szCs w:val="28"/>
          <w:lang w:val="kk-KZ"/>
        </w:rPr>
        <w:t xml:space="preserve">. </w:t>
      </w:r>
    </w:p>
    <w:p w14:paraId="01C156A0" w14:textId="1ECC060F" w:rsidR="00FC7891" w:rsidRDefault="00420DC5" w:rsidP="0055710E">
      <w:pPr>
        <w:widowControl w:val="0"/>
        <w:tabs>
          <w:tab w:val="left" w:pos="851"/>
          <w:tab w:val="left" w:pos="993"/>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АӨК дамытуға жұмсалған бюджет қаражаты тиімділігінің аудиті бойынша есеп пайдаланушыларға толық, түсінікті, объективті және дер кезінде жеткізу аса маңызды. Аудиторлық </w:t>
      </w:r>
      <w:r>
        <w:rPr>
          <w:rFonts w:ascii="Times New Roman" w:hAnsi="Times New Roman" w:cs="Times New Roman"/>
          <w:color w:val="000000"/>
          <w:sz w:val="28"/>
          <w:szCs w:val="28"/>
          <w:lang w:val="kk-KZ"/>
        </w:rPr>
        <w:t xml:space="preserve">есепте үкімет, заң шығарушы билік және тексерілетін ұйымдар жақсарту үшін пайдалана алатын қолжетімді, қысқа және өзекті ақпарат болуы тиіс. </w:t>
      </w:r>
      <w:r w:rsidR="00627617">
        <w:rPr>
          <w:rFonts w:ascii="Times New Roman" w:hAnsi="Times New Roman" w:cs="Times New Roman"/>
          <w:color w:val="000000"/>
          <w:sz w:val="28"/>
          <w:szCs w:val="28"/>
          <w:lang w:val="kk-KZ"/>
        </w:rPr>
        <w:t xml:space="preserve">ҚР </w:t>
      </w:r>
      <w:r w:rsidR="00847107" w:rsidRPr="00457CE9">
        <w:rPr>
          <w:rFonts w:ascii="Times New Roman" w:hAnsi="Times New Roman" w:cs="Times New Roman"/>
          <w:sz w:val="28"/>
          <w:szCs w:val="28"/>
          <w:lang w:val="kk-KZ"/>
        </w:rPr>
        <w:t>АӨК дамытуға пайдаланылған бюджет қаражаты тиімділі</w:t>
      </w:r>
      <w:r w:rsidR="00627617">
        <w:rPr>
          <w:rFonts w:ascii="Times New Roman" w:hAnsi="Times New Roman" w:cs="Times New Roman"/>
          <w:sz w:val="28"/>
          <w:szCs w:val="28"/>
          <w:lang w:val="kk-KZ"/>
        </w:rPr>
        <w:t>гі</w:t>
      </w:r>
      <w:r w:rsidR="00847107" w:rsidRPr="00457CE9">
        <w:rPr>
          <w:rFonts w:ascii="Times New Roman" w:hAnsi="Times New Roman" w:cs="Times New Roman"/>
          <w:sz w:val="28"/>
          <w:szCs w:val="28"/>
          <w:lang w:val="kk-KZ"/>
        </w:rPr>
        <w:t xml:space="preserve"> аудитіндегі кемшіліктер, оны жетілдіру жолдары мен нәтижелері 4</w:t>
      </w:r>
      <w:r w:rsidR="009B76D2">
        <w:rPr>
          <w:rFonts w:ascii="Times New Roman" w:hAnsi="Times New Roman" w:cs="Times New Roman"/>
          <w:sz w:val="28"/>
          <w:szCs w:val="28"/>
          <w:lang w:val="kk-KZ"/>
        </w:rPr>
        <w:t>9</w:t>
      </w:r>
      <w:r w:rsidR="00847107" w:rsidRPr="00457CE9">
        <w:rPr>
          <w:rFonts w:ascii="Times New Roman" w:hAnsi="Times New Roman" w:cs="Times New Roman"/>
          <w:sz w:val="28"/>
          <w:szCs w:val="28"/>
          <w:lang w:val="kk-KZ"/>
        </w:rPr>
        <w:t>-кестеде келтірілген.</w:t>
      </w:r>
    </w:p>
    <w:p w14:paraId="29ACCD9C" w14:textId="77777777" w:rsidR="00627617" w:rsidRDefault="00627617" w:rsidP="0055710E">
      <w:pPr>
        <w:widowControl w:val="0"/>
        <w:tabs>
          <w:tab w:val="left" w:pos="851"/>
          <w:tab w:val="left" w:pos="993"/>
          <w:tab w:val="left" w:pos="1605"/>
        </w:tabs>
        <w:spacing w:after="0" w:line="240" w:lineRule="auto"/>
        <w:ind w:firstLine="709"/>
        <w:jc w:val="both"/>
        <w:rPr>
          <w:rFonts w:ascii="Times New Roman" w:hAnsi="Times New Roman" w:cs="Times New Roman"/>
          <w:sz w:val="28"/>
          <w:szCs w:val="28"/>
          <w:lang w:val="kk-KZ"/>
        </w:rPr>
      </w:pPr>
    </w:p>
    <w:p w14:paraId="2B383E8C" w14:textId="002D20DB" w:rsidR="008154A7" w:rsidRDefault="000537DF" w:rsidP="00457CE9">
      <w:pPr>
        <w:tabs>
          <w:tab w:val="left" w:pos="1605"/>
        </w:tabs>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AB5119" w:rsidRPr="00457CE9">
        <w:rPr>
          <w:rFonts w:ascii="Times New Roman" w:hAnsi="Times New Roman" w:cs="Times New Roman"/>
          <w:sz w:val="28"/>
          <w:szCs w:val="28"/>
          <w:lang w:val="kk-KZ"/>
        </w:rPr>
        <w:t>4</w:t>
      </w:r>
      <w:r w:rsidR="009B76D2">
        <w:rPr>
          <w:rFonts w:ascii="Times New Roman" w:hAnsi="Times New Roman" w:cs="Times New Roman"/>
          <w:sz w:val="28"/>
          <w:szCs w:val="28"/>
          <w:lang w:val="kk-KZ"/>
        </w:rPr>
        <w:t>9</w:t>
      </w:r>
      <w:r w:rsidRPr="00457CE9">
        <w:rPr>
          <w:rFonts w:ascii="Times New Roman" w:hAnsi="Times New Roman" w:cs="Times New Roman"/>
          <w:sz w:val="28"/>
          <w:szCs w:val="28"/>
          <w:lang w:val="kk-KZ"/>
        </w:rPr>
        <w:t xml:space="preserve"> – АӨК дамытуға пайдаланылған бюджет қаражаты тиімділік аудитін</w:t>
      </w:r>
      <w:r w:rsidR="008154A7" w:rsidRPr="00457CE9">
        <w:rPr>
          <w:rFonts w:ascii="Times New Roman" w:hAnsi="Times New Roman" w:cs="Times New Roman"/>
          <w:sz w:val="28"/>
          <w:szCs w:val="28"/>
          <w:lang w:val="kk-KZ"/>
        </w:rPr>
        <w:t xml:space="preserve"> ұйымдастыру мен жүргізудегі</w:t>
      </w:r>
      <w:r w:rsidRPr="00457CE9">
        <w:rPr>
          <w:rFonts w:ascii="Times New Roman" w:hAnsi="Times New Roman" w:cs="Times New Roman"/>
          <w:sz w:val="28"/>
          <w:szCs w:val="28"/>
          <w:lang w:val="kk-KZ"/>
        </w:rPr>
        <w:t xml:space="preserve"> кемшіліктер, оны жетілдіру жолдары мен нәтижелері</w:t>
      </w:r>
    </w:p>
    <w:p w14:paraId="496AC4C4" w14:textId="77777777" w:rsidR="002839FE" w:rsidRPr="002839FE" w:rsidRDefault="002839FE" w:rsidP="00457CE9">
      <w:pPr>
        <w:tabs>
          <w:tab w:val="left" w:pos="1605"/>
        </w:tabs>
        <w:spacing w:after="0" w:line="240" w:lineRule="auto"/>
        <w:jc w:val="both"/>
        <w:rPr>
          <w:rFonts w:ascii="Times New Roman" w:hAnsi="Times New Roman" w:cs="Times New Roman"/>
          <w:sz w:val="16"/>
          <w:szCs w:val="16"/>
          <w:lang w:val="kk-KZ"/>
        </w:rPr>
      </w:pPr>
    </w:p>
    <w:tbl>
      <w:tblPr>
        <w:tblStyle w:val="a3"/>
        <w:tblW w:w="9545" w:type="dxa"/>
        <w:jc w:val="center"/>
        <w:tblLook w:val="04A0" w:firstRow="1" w:lastRow="0" w:firstColumn="1" w:lastColumn="0" w:noHBand="0" w:noVBand="1"/>
      </w:tblPr>
      <w:tblGrid>
        <w:gridCol w:w="3733"/>
        <w:gridCol w:w="2835"/>
        <w:gridCol w:w="2977"/>
      </w:tblGrid>
      <w:tr w:rsidR="00BB2991" w:rsidRPr="00F15E51" w14:paraId="15C7A8A9" w14:textId="68016533" w:rsidTr="002839FE">
        <w:trPr>
          <w:jc w:val="center"/>
        </w:trPr>
        <w:tc>
          <w:tcPr>
            <w:tcW w:w="3733" w:type="dxa"/>
            <w:tcBorders>
              <w:top w:val="single" w:sz="4" w:space="0" w:color="auto"/>
              <w:left w:val="single" w:sz="4" w:space="0" w:color="auto"/>
              <w:bottom w:val="single" w:sz="4" w:space="0" w:color="auto"/>
              <w:right w:val="single" w:sz="4" w:space="0" w:color="auto"/>
            </w:tcBorders>
            <w:vAlign w:val="center"/>
          </w:tcPr>
          <w:p w14:paraId="03B7ECC8" w14:textId="37166815" w:rsidR="00BB2991" w:rsidRPr="00F15E51" w:rsidRDefault="00BB2991" w:rsidP="002839FE">
            <w:pPr>
              <w:tabs>
                <w:tab w:val="left" w:pos="1605"/>
              </w:tabs>
              <w:jc w:val="center"/>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аудитіндегі кемшіліктер</w:t>
            </w:r>
          </w:p>
        </w:tc>
        <w:tc>
          <w:tcPr>
            <w:tcW w:w="2835" w:type="dxa"/>
            <w:tcBorders>
              <w:top w:val="single" w:sz="4" w:space="0" w:color="auto"/>
              <w:left w:val="single" w:sz="4" w:space="0" w:color="auto"/>
              <w:bottom w:val="single" w:sz="4" w:space="0" w:color="auto"/>
              <w:right w:val="single" w:sz="4" w:space="0" w:color="auto"/>
            </w:tcBorders>
            <w:vAlign w:val="center"/>
          </w:tcPr>
          <w:p w14:paraId="42035B05" w14:textId="59C0AB4E" w:rsidR="00BB2991" w:rsidRPr="00F15E51" w:rsidRDefault="00BB2991" w:rsidP="002839FE">
            <w:pPr>
              <w:tabs>
                <w:tab w:val="left" w:pos="1605"/>
              </w:tabs>
              <w:jc w:val="center"/>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аудитінің сапасын жақсарту және жетілдіру жолдары</w:t>
            </w:r>
          </w:p>
        </w:tc>
        <w:tc>
          <w:tcPr>
            <w:tcW w:w="2977" w:type="dxa"/>
            <w:tcBorders>
              <w:top w:val="single" w:sz="4" w:space="0" w:color="auto"/>
              <w:left w:val="single" w:sz="4" w:space="0" w:color="auto"/>
              <w:bottom w:val="single" w:sz="4" w:space="0" w:color="auto"/>
              <w:right w:val="single" w:sz="4" w:space="0" w:color="auto"/>
            </w:tcBorders>
            <w:vAlign w:val="center"/>
          </w:tcPr>
          <w:p w14:paraId="18944553" w14:textId="750D8166" w:rsidR="00BB2991" w:rsidRPr="00F15E51" w:rsidRDefault="00BB2991" w:rsidP="002839FE">
            <w:pPr>
              <w:tabs>
                <w:tab w:val="left" w:pos="1605"/>
              </w:tabs>
              <w:jc w:val="center"/>
              <w:rPr>
                <w:rFonts w:ascii="Times New Roman" w:hAnsi="Times New Roman" w:cs="Times New Roman"/>
                <w:sz w:val="20"/>
                <w:szCs w:val="20"/>
                <w:lang w:val="kk-KZ"/>
              </w:rPr>
            </w:pPr>
            <w:r w:rsidRPr="00F15E51">
              <w:rPr>
                <w:rFonts w:ascii="Times New Roman" w:hAnsi="Times New Roman" w:cs="Times New Roman"/>
                <w:sz w:val="20"/>
                <w:szCs w:val="20"/>
                <w:lang w:val="kk-KZ"/>
              </w:rPr>
              <w:t>Алынатын нәтижелер</w:t>
            </w:r>
          </w:p>
        </w:tc>
      </w:tr>
      <w:tr w:rsidR="00E07FCE" w:rsidRPr="00805B3E" w14:paraId="53AC8D2F" w14:textId="77777777" w:rsidTr="002839FE">
        <w:trPr>
          <w:jc w:val="center"/>
        </w:trPr>
        <w:tc>
          <w:tcPr>
            <w:tcW w:w="3733" w:type="dxa"/>
            <w:tcBorders>
              <w:top w:val="single" w:sz="4" w:space="0" w:color="auto"/>
              <w:left w:val="single" w:sz="4" w:space="0" w:color="auto"/>
              <w:bottom w:val="single" w:sz="4" w:space="0" w:color="auto"/>
              <w:right w:val="single" w:sz="4" w:space="0" w:color="auto"/>
            </w:tcBorders>
            <w:vAlign w:val="center"/>
          </w:tcPr>
          <w:p w14:paraId="26FE46ED" w14:textId="28D6DFE9" w:rsidR="00E07FCE" w:rsidRPr="00F15E51" w:rsidRDefault="00E07FCE" w:rsidP="00E07FCE">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жүргізілу сапасы</w:t>
            </w:r>
            <w:r w:rsidR="00627617">
              <w:rPr>
                <w:rFonts w:ascii="Times New Roman" w:hAnsi="Times New Roman" w:cs="Times New Roman"/>
                <w:sz w:val="20"/>
                <w:szCs w:val="20"/>
                <w:lang w:val="kk-KZ"/>
              </w:rPr>
              <w:t>ның</w:t>
            </w:r>
            <w:r w:rsidRPr="00F15E51">
              <w:rPr>
                <w:rFonts w:ascii="Times New Roman" w:hAnsi="Times New Roman" w:cs="Times New Roman"/>
                <w:sz w:val="20"/>
                <w:szCs w:val="20"/>
                <w:lang w:val="kk-KZ"/>
              </w:rPr>
              <w:t xml:space="preserve"> төмендігі</w:t>
            </w:r>
          </w:p>
        </w:tc>
        <w:tc>
          <w:tcPr>
            <w:tcW w:w="2835" w:type="dxa"/>
            <w:tcBorders>
              <w:top w:val="single" w:sz="4" w:space="0" w:color="auto"/>
              <w:left w:val="single" w:sz="4" w:space="0" w:color="auto"/>
              <w:bottom w:val="single" w:sz="4" w:space="0" w:color="auto"/>
              <w:right w:val="single" w:sz="4" w:space="0" w:color="auto"/>
            </w:tcBorders>
            <w:vAlign w:val="center"/>
          </w:tcPr>
          <w:p w14:paraId="03F3CB57" w14:textId="4F522400" w:rsidR="00E07FCE" w:rsidRPr="00F15E51" w:rsidRDefault="00E07FCE" w:rsidP="00E07FCE">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бойынша департамент құру</w:t>
            </w:r>
          </w:p>
        </w:tc>
        <w:tc>
          <w:tcPr>
            <w:tcW w:w="2977" w:type="dxa"/>
            <w:tcBorders>
              <w:top w:val="single" w:sz="4" w:space="0" w:color="auto"/>
              <w:left w:val="single" w:sz="4" w:space="0" w:color="auto"/>
              <w:bottom w:val="single" w:sz="4" w:space="0" w:color="auto"/>
              <w:right w:val="single" w:sz="4" w:space="0" w:color="auto"/>
            </w:tcBorders>
            <w:vAlign w:val="center"/>
          </w:tcPr>
          <w:p w14:paraId="3ACC88E5" w14:textId="77B78216" w:rsidR="00E07FCE" w:rsidRPr="00F15E51" w:rsidRDefault="00E07FCE" w:rsidP="00E07FCE">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сапасын үздіксіз жақсартуға қол жеткізу</w:t>
            </w:r>
            <w:r w:rsidR="00C06E4A">
              <w:rPr>
                <w:rFonts w:ascii="Times New Roman" w:hAnsi="Times New Roman" w:cs="Times New Roman"/>
                <w:sz w:val="20"/>
                <w:szCs w:val="20"/>
                <w:lang w:val="kk-KZ"/>
              </w:rPr>
              <w:t>, тиімділік аудитінің АШМ қызметіне әсерін бағалау</w:t>
            </w:r>
          </w:p>
        </w:tc>
      </w:tr>
      <w:tr w:rsidR="00E07FCE" w:rsidRPr="00805B3E" w14:paraId="5041D310" w14:textId="77777777" w:rsidTr="002839FE">
        <w:trPr>
          <w:jc w:val="center"/>
        </w:trPr>
        <w:tc>
          <w:tcPr>
            <w:tcW w:w="3733" w:type="dxa"/>
            <w:tcBorders>
              <w:top w:val="single" w:sz="4" w:space="0" w:color="auto"/>
              <w:left w:val="single" w:sz="4" w:space="0" w:color="auto"/>
              <w:bottom w:val="single" w:sz="4" w:space="0" w:color="auto"/>
              <w:right w:val="single" w:sz="4" w:space="0" w:color="auto"/>
            </w:tcBorders>
            <w:vAlign w:val="center"/>
          </w:tcPr>
          <w:p w14:paraId="1B35DDF6" w14:textId="17350C0A" w:rsidR="00E07FCE" w:rsidRPr="00F15E51" w:rsidRDefault="00E07FCE" w:rsidP="00E07FCE">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Мемлекеттік аудиторлар құрамы сапасы</w:t>
            </w:r>
            <w:r w:rsidR="00627617">
              <w:rPr>
                <w:rFonts w:ascii="Times New Roman" w:hAnsi="Times New Roman" w:cs="Times New Roman"/>
                <w:sz w:val="20"/>
                <w:szCs w:val="20"/>
                <w:lang w:val="kk-KZ"/>
              </w:rPr>
              <w:t>ның</w:t>
            </w:r>
            <w:r w:rsidRPr="00F15E51">
              <w:rPr>
                <w:rFonts w:ascii="Times New Roman" w:hAnsi="Times New Roman" w:cs="Times New Roman"/>
                <w:sz w:val="20"/>
                <w:szCs w:val="20"/>
                <w:lang w:val="kk-KZ"/>
              </w:rPr>
              <w:t xml:space="preserve"> төмендігі</w:t>
            </w:r>
            <w:r w:rsidR="00706F70">
              <w:rPr>
                <w:rFonts w:ascii="Times New Roman" w:hAnsi="Times New Roman" w:cs="Times New Roman"/>
                <w:sz w:val="20"/>
                <w:szCs w:val="20"/>
                <w:lang w:val="kk-KZ"/>
              </w:rPr>
              <w:t xml:space="preserve"> (Павлодар облысының тексеру комиссиясының аппарат басшысы, бірінші білімі инженер-электрик)</w:t>
            </w:r>
          </w:p>
        </w:tc>
        <w:tc>
          <w:tcPr>
            <w:tcW w:w="2835" w:type="dxa"/>
            <w:tcBorders>
              <w:top w:val="single" w:sz="4" w:space="0" w:color="auto"/>
              <w:left w:val="single" w:sz="4" w:space="0" w:color="auto"/>
              <w:bottom w:val="single" w:sz="4" w:space="0" w:color="auto"/>
              <w:right w:val="single" w:sz="4" w:space="0" w:color="auto"/>
            </w:tcBorders>
            <w:vAlign w:val="center"/>
          </w:tcPr>
          <w:p w14:paraId="7C90E7ED" w14:textId="5A2F2C26" w:rsidR="00E07FCE" w:rsidRPr="00F15E51" w:rsidRDefault="00E07FCE" w:rsidP="00E07FCE">
            <w:pPr>
              <w:tabs>
                <w:tab w:val="left" w:pos="851"/>
                <w:tab w:val="left" w:pos="1134"/>
                <w:tab w:val="left" w:pos="1605"/>
              </w:tabs>
              <w:rPr>
                <w:rFonts w:ascii="Times New Roman" w:hAnsi="Times New Roman"/>
                <w:sz w:val="20"/>
                <w:szCs w:val="20"/>
                <w:lang w:val="kk-KZ"/>
              </w:rPr>
            </w:pPr>
            <w:r w:rsidRPr="00F15E51">
              <w:rPr>
                <w:rFonts w:ascii="Times New Roman" w:hAnsi="Times New Roman"/>
                <w:sz w:val="20"/>
                <w:szCs w:val="20"/>
                <w:lang w:val="kk-KZ"/>
              </w:rPr>
              <w:t>Тиімділік аудитін жүргізетін аудиторлар мемлекеттік аудит мамандығын тәмәмдаған түлектер</w:t>
            </w:r>
            <w:r w:rsidR="00F15E51" w:rsidRPr="00F15E51">
              <w:rPr>
                <w:rFonts w:ascii="Times New Roman" w:hAnsi="Times New Roman"/>
                <w:sz w:val="20"/>
                <w:szCs w:val="20"/>
                <w:lang w:val="kk-KZ"/>
              </w:rPr>
              <w:t>ді тарту</w:t>
            </w:r>
          </w:p>
        </w:tc>
        <w:tc>
          <w:tcPr>
            <w:tcW w:w="2977" w:type="dxa"/>
            <w:tcBorders>
              <w:top w:val="single" w:sz="4" w:space="0" w:color="auto"/>
              <w:left w:val="single" w:sz="4" w:space="0" w:color="auto"/>
              <w:bottom w:val="single" w:sz="4" w:space="0" w:color="auto"/>
              <w:right w:val="single" w:sz="4" w:space="0" w:color="auto"/>
            </w:tcBorders>
            <w:vAlign w:val="center"/>
          </w:tcPr>
          <w:p w14:paraId="5E1E6CD3" w14:textId="7CF1B4C5" w:rsidR="00E07FCE" w:rsidRPr="00F15E51" w:rsidRDefault="00F15E51" w:rsidP="00E07FCE">
            <w:pPr>
              <w:tabs>
                <w:tab w:val="left" w:pos="1605"/>
              </w:tabs>
              <w:rPr>
                <w:rFonts w:ascii="Times New Roman" w:hAnsi="Times New Roman" w:cs="Times New Roman"/>
                <w:sz w:val="20"/>
                <w:szCs w:val="20"/>
                <w:lang w:val="kk-KZ"/>
              </w:rPr>
            </w:pPr>
            <w:r w:rsidRPr="00F15E51">
              <w:rPr>
                <w:rFonts w:ascii="Times New Roman" w:hAnsi="Times New Roman"/>
                <w:sz w:val="20"/>
                <w:szCs w:val="20"/>
                <w:lang w:val="kk-KZ"/>
              </w:rPr>
              <w:t>АӨК саласының мамандарын эксперт ретінде қатысуды ұйымдастыру, бұл туралы ақпаратты аудиторлық есепте көрсету</w:t>
            </w:r>
          </w:p>
        </w:tc>
      </w:tr>
      <w:tr w:rsidR="00BB2991" w:rsidRPr="00805B3E" w14:paraId="7E43D937" w14:textId="77777777"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15791900" w14:textId="7764A197"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ҚР АӨК дамыту ұлттық жобаны алдын ала баға берілмеуі</w:t>
            </w:r>
          </w:p>
        </w:tc>
        <w:tc>
          <w:tcPr>
            <w:tcW w:w="2835" w:type="dxa"/>
            <w:tcBorders>
              <w:top w:val="single" w:sz="4" w:space="0" w:color="auto"/>
              <w:left w:val="single" w:sz="4" w:space="0" w:color="auto"/>
              <w:bottom w:val="single" w:sz="4" w:space="0" w:color="auto"/>
              <w:right w:val="single" w:sz="4" w:space="0" w:color="auto"/>
            </w:tcBorders>
          </w:tcPr>
          <w:p w14:paraId="61C0DB48" w14:textId="1FDD351F"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ҚР АШМ ІАҚ-не ұлттық жобаға алдын ала баға беру</w:t>
            </w:r>
            <w:r w:rsidR="00E07FCE" w:rsidRPr="00F15E51">
              <w:rPr>
                <w:rFonts w:ascii="Times New Roman" w:hAnsi="Times New Roman" w:cs="Times New Roman"/>
                <w:sz w:val="20"/>
                <w:szCs w:val="20"/>
                <w:lang w:val="kk-KZ"/>
              </w:rPr>
              <w:t>і</w:t>
            </w:r>
            <w:r w:rsidRPr="00F15E51">
              <w:rPr>
                <w:rFonts w:ascii="Times New Roman" w:hAnsi="Times New Roman" w:cs="Times New Roman"/>
                <w:sz w:val="20"/>
                <w:szCs w:val="20"/>
                <w:lang w:val="kk-KZ"/>
              </w:rPr>
              <w:t>н міндеттеу</w:t>
            </w:r>
          </w:p>
        </w:tc>
        <w:tc>
          <w:tcPr>
            <w:tcW w:w="2977" w:type="dxa"/>
            <w:tcBorders>
              <w:top w:val="single" w:sz="4" w:space="0" w:color="auto"/>
              <w:left w:val="single" w:sz="4" w:space="0" w:color="auto"/>
              <w:bottom w:val="single" w:sz="4" w:space="0" w:color="auto"/>
              <w:right w:val="single" w:sz="4" w:space="0" w:color="auto"/>
            </w:tcBorders>
          </w:tcPr>
          <w:p w14:paraId="3EA94188" w14:textId="479884CD"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АӨК дамыту ұлттық жобасы сапасын жақсарту</w:t>
            </w:r>
          </w:p>
        </w:tc>
      </w:tr>
      <w:tr w:rsidR="00BB2991" w:rsidRPr="00805B3E" w14:paraId="663097DA" w14:textId="0B3434EE"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747400C7" w14:textId="19185C4A"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 xml:space="preserve">Жұмсалған бюджет қаражатын пайдалану тиімділігі аудитімен 100 пайыз дер кезінде қамтылмауы </w:t>
            </w:r>
          </w:p>
        </w:tc>
        <w:tc>
          <w:tcPr>
            <w:tcW w:w="2835" w:type="dxa"/>
            <w:tcBorders>
              <w:top w:val="single" w:sz="4" w:space="0" w:color="auto"/>
              <w:left w:val="single" w:sz="4" w:space="0" w:color="auto"/>
              <w:bottom w:val="single" w:sz="4" w:space="0" w:color="auto"/>
              <w:right w:val="single" w:sz="4" w:space="0" w:color="auto"/>
            </w:tcBorders>
          </w:tcPr>
          <w:p w14:paraId="214EC6E2" w14:textId="1BAA327F"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АӨК жұмсалған бюджет қаражаты тиімділік ауди</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тімен қамтуды 100 пайызға жеткізу</w:t>
            </w:r>
          </w:p>
        </w:tc>
        <w:tc>
          <w:tcPr>
            <w:tcW w:w="2977" w:type="dxa"/>
            <w:tcBorders>
              <w:top w:val="single" w:sz="4" w:space="0" w:color="auto"/>
              <w:left w:val="single" w:sz="4" w:space="0" w:color="auto"/>
              <w:bottom w:val="single" w:sz="4" w:space="0" w:color="auto"/>
              <w:right w:val="single" w:sz="4" w:space="0" w:color="auto"/>
            </w:tcBorders>
          </w:tcPr>
          <w:p w14:paraId="6F36E70C" w14:textId="77777777"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АӨК жұмсалған бюджет қаражатының тиімділігіне толық баға беру</w:t>
            </w:r>
          </w:p>
          <w:p w14:paraId="6CDF55A4" w14:textId="77777777" w:rsidR="00BB2991" w:rsidRPr="00F15E51" w:rsidRDefault="00BB2991" w:rsidP="00457CE9">
            <w:pPr>
              <w:tabs>
                <w:tab w:val="left" w:pos="1605"/>
              </w:tabs>
              <w:rPr>
                <w:rFonts w:ascii="Times New Roman" w:hAnsi="Times New Roman" w:cs="Times New Roman"/>
                <w:sz w:val="20"/>
                <w:szCs w:val="20"/>
                <w:lang w:val="kk-KZ"/>
              </w:rPr>
            </w:pPr>
          </w:p>
        </w:tc>
      </w:tr>
      <w:tr w:rsidR="00BB2991" w:rsidRPr="00805B3E" w14:paraId="115475F4" w14:textId="4EE563D9"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04A300A8" w14:textId="4533BAF4"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ҚР АШМ жобаға жауапты қызметкерлерінің тікелей және нәтижелі көрсеткіштер мониторингісін жасамауы</w:t>
            </w:r>
          </w:p>
        </w:tc>
        <w:tc>
          <w:tcPr>
            <w:tcW w:w="2835" w:type="dxa"/>
            <w:tcBorders>
              <w:top w:val="single" w:sz="4" w:space="0" w:color="auto"/>
              <w:left w:val="single" w:sz="4" w:space="0" w:color="auto"/>
              <w:bottom w:val="single" w:sz="4" w:space="0" w:color="auto"/>
              <w:right w:val="single" w:sz="4" w:space="0" w:color="auto"/>
            </w:tcBorders>
          </w:tcPr>
          <w:p w14:paraId="7C5CDB42" w14:textId="2B30CAC2"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Бұзушылықтар сынып</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тауышын толықтыру, тиімділік аудиті кезінде анықталған жүйелі бұзушылықтарды енгізу</w:t>
            </w:r>
          </w:p>
        </w:tc>
        <w:tc>
          <w:tcPr>
            <w:tcW w:w="2977" w:type="dxa"/>
            <w:tcBorders>
              <w:top w:val="single" w:sz="4" w:space="0" w:color="auto"/>
              <w:left w:val="single" w:sz="4" w:space="0" w:color="auto"/>
              <w:bottom w:val="single" w:sz="4" w:space="0" w:color="auto"/>
              <w:right w:val="single" w:sz="4" w:space="0" w:color="auto"/>
            </w:tcBorders>
          </w:tcPr>
          <w:p w14:paraId="4F07B583" w14:textId="3999527B"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АӨК дамытуға бағыттал</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ған бюджеттік жобалар нәтижелілігін қамтамасыз ету</w:t>
            </w:r>
          </w:p>
          <w:p w14:paraId="51344BA1" w14:textId="77777777" w:rsidR="00BB2991" w:rsidRPr="00F15E51" w:rsidRDefault="00BB2991" w:rsidP="00457CE9">
            <w:pPr>
              <w:tabs>
                <w:tab w:val="left" w:pos="1605"/>
              </w:tabs>
              <w:rPr>
                <w:rFonts w:ascii="Times New Roman" w:hAnsi="Times New Roman" w:cs="Times New Roman"/>
                <w:sz w:val="20"/>
                <w:szCs w:val="20"/>
                <w:lang w:val="kk-KZ"/>
              </w:rPr>
            </w:pPr>
          </w:p>
        </w:tc>
      </w:tr>
      <w:tr w:rsidR="00BB2991" w:rsidRPr="00805B3E" w14:paraId="02A2B9A7" w14:textId="5E464A7C"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0FAB3FF3" w14:textId="0A997590"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 xml:space="preserve">Аудит объектілерінің ішкі бақылау жүйесіне баға берілмеуі, аудит мақсатының нақтыланбауы, сәйкестік аудитін бойынша тұжырымдары ұқсас болуы, МАХС </w:t>
            </w:r>
            <w:r w:rsidR="00F15E51" w:rsidRPr="00F15E51">
              <w:rPr>
                <w:rFonts w:ascii="Times New Roman" w:hAnsi="Times New Roman" w:cs="Times New Roman"/>
                <w:sz w:val="20"/>
                <w:szCs w:val="20"/>
                <w:lang w:val="kk-KZ"/>
              </w:rPr>
              <w:t xml:space="preserve">(INTOSAI, GUID) </w:t>
            </w:r>
            <w:r w:rsidRPr="00F15E51">
              <w:rPr>
                <w:rFonts w:ascii="Times New Roman" w:hAnsi="Times New Roman" w:cs="Times New Roman"/>
                <w:sz w:val="20"/>
                <w:szCs w:val="20"/>
                <w:lang w:val="kk-KZ"/>
              </w:rPr>
              <w:t>жағдайларын қолданбауы</w:t>
            </w:r>
          </w:p>
        </w:tc>
        <w:tc>
          <w:tcPr>
            <w:tcW w:w="2835" w:type="dxa"/>
            <w:tcBorders>
              <w:top w:val="single" w:sz="4" w:space="0" w:color="auto"/>
              <w:left w:val="single" w:sz="4" w:space="0" w:color="auto"/>
              <w:bottom w:val="single" w:sz="4" w:space="0" w:color="auto"/>
              <w:right w:val="single" w:sz="4" w:space="0" w:color="auto"/>
            </w:tcBorders>
          </w:tcPr>
          <w:p w14:paraId="44F5BE74" w14:textId="77777777"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Мемлекеттік аудиторлар біліктілігін жоғарылату, ISSAI жағдайлары мен оны тәжірибеде қолдану бойынша курстар әзірлеп дайындау</w:t>
            </w:r>
          </w:p>
          <w:p w14:paraId="37C10327" w14:textId="77777777" w:rsidR="00BB2991" w:rsidRPr="00F15E51" w:rsidRDefault="00BB2991" w:rsidP="00457CE9">
            <w:pPr>
              <w:tabs>
                <w:tab w:val="left" w:pos="1605"/>
              </w:tabs>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14:paraId="49A45F92" w14:textId="5F3AC3DD"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Пайдаланушыларды АӨК дамытуға жұмсалатын бюджет қаражаты бойынша объективті, толық, сапалы ақпаратпен қамта</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масыз ету, сапалы аудиторлық есеп дайындау</w:t>
            </w:r>
          </w:p>
        </w:tc>
      </w:tr>
      <w:tr w:rsidR="00BB2991" w:rsidRPr="00805B3E" w14:paraId="4C0038FC" w14:textId="41F34CCA"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4A260DDC" w14:textId="29C2D817"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бойынша кри</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терийлердің нақты белгіленіп, аудиторлық тексеріс нәтижесі бойынша критерийлер негізінде баға берілмеуі</w:t>
            </w:r>
          </w:p>
        </w:tc>
        <w:tc>
          <w:tcPr>
            <w:tcW w:w="2835" w:type="dxa"/>
            <w:tcBorders>
              <w:top w:val="single" w:sz="4" w:space="0" w:color="auto"/>
              <w:left w:val="single" w:sz="4" w:space="0" w:color="auto"/>
              <w:bottom w:val="single" w:sz="4" w:space="0" w:color="auto"/>
              <w:right w:val="single" w:sz="4" w:space="0" w:color="auto"/>
            </w:tcBorders>
          </w:tcPr>
          <w:p w14:paraId="089D10EB" w14:textId="5658C143"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аудитін жүргізу барысында нақты критерийлерді белгілеу</w:t>
            </w:r>
          </w:p>
          <w:p w14:paraId="30EE9614" w14:textId="77777777" w:rsidR="00BB2991" w:rsidRPr="00F15E51" w:rsidRDefault="00BB2991" w:rsidP="00457CE9">
            <w:pPr>
              <w:tabs>
                <w:tab w:val="left" w:pos="1605"/>
              </w:tabs>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14:paraId="2DD5B8AD" w14:textId="2F6A4A1E"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аудитінің бағыт</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тары мен нақты крите</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 xml:space="preserve">рийлері ұсынылды, аудит кезінде ресурстарды пайдалану тиімділігін сипаттайтын көрсеткіштер (дәлелдемелер) әзірленді </w:t>
            </w:r>
          </w:p>
        </w:tc>
      </w:tr>
      <w:tr w:rsidR="00BB2991" w:rsidRPr="00805B3E" w14:paraId="5FF51667" w14:textId="7B1A8FC6"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1BFA9807" w14:textId="00585582"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бойынша аудиторлық қорытынды есебі ақпарат пайдаланушыларға тиісті түрде түсінікті болмауы</w:t>
            </w:r>
          </w:p>
        </w:tc>
        <w:tc>
          <w:tcPr>
            <w:tcW w:w="2835" w:type="dxa"/>
            <w:tcBorders>
              <w:top w:val="single" w:sz="4" w:space="0" w:color="auto"/>
              <w:left w:val="single" w:sz="4" w:space="0" w:color="auto"/>
              <w:bottom w:val="single" w:sz="4" w:space="0" w:color="auto"/>
              <w:right w:val="single" w:sz="4" w:space="0" w:color="auto"/>
            </w:tcBorders>
          </w:tcPr>
          <w:p w14:paraId="77A7159D" w14:textId="57655E3C"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Бұзушылықтар сынып</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тауышын толықтыру, тиімділік аудиті кезінде анықталған жүйелі бұзушылықтарды енгізу</w:t>
            </w:r>
          </w:p>
        </w:tc>
        <w:tc>
          <w:tcPr>
            <w:tcW w:w="2977" w:type="dxa"/>
            <w:tcBorders>
              <w:top w:val="single" w:sz="4" w:space="0" w:color="auto"/>
              <w:left w:val="single" w:sz="4" w:space="0" w:color="auto"/>
              <w:bottom w:val="single" w:sz="4" w:space="0" w:color="auto"/>
              <w:right w:val="single" w:sz="4" w:space="0" w:color="auto"/>
            </w:tcBorders>
          </w:tcPr>
          <w:p w14:paraId="450A9158" w14:textId="66DCFA1D"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АӨК дамыту саясатын іске асырушы мемлекеттік қызметкерлердің жауап</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кершілігін жоғарылату</w:t>
            </w:r>
          </w:p>
        </w:tc>
      </w:tr>
      <w:tr w:rsidR="00BB2991" w:rsidRPr="00805B3E" w14:paraId="528EC9E1" w14:textId="4176C4E5"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5D159BA9" w14:textId="15168C35"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 xml:space="preserve">Тиімділік аудиті бойынша аудиторлық қорытындыда нақты пікір (тиімділігі жоғары, орташа, төмен, тиімсіз)  берілмеуі </w:t>
            </w:r>
          </w:p>
        </w:tc>
        <w:tc>
          <w:tcPr>
            <w:tcW w:w="2835" w:type="dxa"/>
            <w:tcBorders>
              <w:top w:val="single" w:sz="4" w:space="0" w:color="auto"/>
              <w:left w:val="single" w:sz="4" w:space="0" w:color="auto"/>
              <w:bottom w:val="single" w:sz="4" w:space="0" w:color="auto"/>
              <w:right w:val="single" w:sz="4" w:space="0" w:color="auto"/>
            </w:tcBorders>
          </w:tcPr>
          <w:p w14:paraId="2101866D" w14:textId="14FBCE42"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ша критерийлер бойын</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ша аудиторлық қоры</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тындыға аудиторлық пікір енгізу</w:t>
            </w:r>
          </w:p>
        </w:tc>
        <w:tc>
          <w:tcPr>
            <w:tcW w:w="2977" w:type="dxa"/>
            <w:tcBorders>
              <w:top w:val="single" w:sz="4" w:space="0" w:color="auto"/>
              <w:left w:val="single" w:sz="4" w:space="0" w:color="auto"/>
              <w:bottom w:val="single" w:sz="4" w:space="0" w:color="auto"/>
              <w:right w:val="single" w:sz="4" w:space="0" w:color="auto"/>
            </w:tcBorders>
          </w:tcPr>
          <w:p w14:paraId="046C5C90" w14:textId="1E66DB09" w:rsidR="00BB2991" w:rsidRPr="00F15E51" w:rsidRDefault="00BB299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Пайдаланушыларға тиімділік аудиті қорытындыла</w:t>
            </w:r>
            <w:r w:rsidR="002839FE" w:rsidRPr="00F15E51">
              <w:rPr>
                <w:rFonts w:ascii="Times New Roman" w:hAnsi="Times New Roman" w:cs="Times New Roman"/>
                <w:sz w:val="20"/>
                <w:szCs w:val="20"/>
                <w:lang w:val="kk-KZ"/>
              </w:rPr>
              <w:t xml:space="preserve"> </w:t>
            </w:r>
            <w:r w:rsidRPr="00F15E51">
              <w:rPr>
                <w:rFonts w:ascii="Times New Roman" w:hAnsi="Times New Roman" w:cs="Times New Roman"/>
                <w:sz w:val="20"/>
                <w:szCs w:val="20"/>
                <w:lang w:val="kk-KZ"/>
              </w:rPr>
              <w:t>рының нақтылығын, түсінікті</w:t>
            </w:r>
            <w:r w:rsidR="006621F3">
              <w:rPr>
                <w:rFonts w:ascii="Times New Roman" w:hAnsi="Times New Roman" w:cs="Times New Roman"/>
                <w:sz w:val="20"/>
                <w:szCs w:val="20"/>
                <w:lang w:val="kk-KZ"/>
              </w:rPr>
              <w:t>лі</w:t>
            </w:r>
            <w:r w:rsidRPr="00F15E51">
              <w:rPr>
                <w:rFonts w:ascii="Times New Roman" w:hAnsi="Times New Roman" w:cs="Times New Roman"/>
                <w:sz w:val="20"/>
                <w:szCs w:val="20"/>
                <w:lang w:val="kk-KZ"/>
              </w:rPr>
              <w:t>гін қамтамасыз ету</w:t>
            </w:r>
          </w:p>
        </w:tc>
      </w:tr>
      <w:tr w:rsidR="00E07FCE" w:rsidRPr="00805B3E" w14:paraId="0A54C792" w14:textId="77777777"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3732DDE1" w14:textId="5D8B4C5F" w:rsidR="00E07FCE" w:rsidRPr="00F15E51" w:rsidRDefault="00E07FCE"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бойынша қорытынды есепт</w:t>
            </w:r>
            <w:r w:rsidR="00F15E51" w:rsidRPr="00F15E51">
              <w:rPr>
                <w:rFonts w:ascii="Times New Roman" w:hAnsi="Times New Roman" w:cs="Times New Roman"/>
                <w:sz w:val="20"/>
                <w:szCs w:val="20"/>
                <w:lang w:val="kk-KZ"/>
              </w:rPr>
              <w:t>е</w:t>
            </w:r>
            <w:r w:rsidRPr="00F15E51">
              <w:rPr>
                <w:rFonts w:ascii="Times New Roman" w:hAnsi="Times New Roman" w:cs="Times New Roman"/>
                <w:sz w:val="20"/>
                <w:szCs w:val="20"/>
                <w:lang w:val="kk-KZ"/>
              </w:rPr>
              <w:t xml:space="preserve"> пікір беруден бас тарту</w:t>
            </w:r>
            <w:r w:rsidR="00F15E51" w:rsidRPr="00F15E51">
              <w:rPr>
                <w:rFonts w:ascii="Times New Roman" w:hAnsi="Times New Roman" w:cs="Times New Roman"/>
                <w:sz w:val="20"/>
                <w:szCs w:val="20"/>
                <w:lang w:val="kk-KZ"/>
              </w:rPr>
              <w:t>, теріс пікір беру жағдайларының қарастырылмауы</w:t>
            </w:r>
          </w:p>
        </w:tc>
        <w:tc>
          <w:tcPr>
            <w:tcW w:w="2835" w:type="dxa"/>
            <w:tcBorders>
              <w:top w:val="single" w:sz="4" w:space="0" w:color="auto"/>
              <w:left w:val="single" w:sz="4" w:space="0" w:color="auto"/>
              <w:bottom w:val="single" w:sz="4" w:space="0" w:color="auto"/>
              <w:right w:val="single" w:sz="4" w:space="0" w:color="auto"/>
            </w:tcBorders>
          </w:tcPr>
          <w:p w14:paraId="3576C9CB" w14:textId="77D52B2C" w:rsidR="00E07FCE" w:rsidRPr="00F15E51" w:rsidRDefault="00F15E5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бойынша қорытынды есепте пікір беруден бас тарту, теріс пікір беру жағдайларын енгізу</w:t>
            </w:r>
          </w:p>
        </w:tc>
        <w:tc>
          <w:tcPr>
            <w:tcW w:w="2977" w:type="dxa"/>
            <w:tcBorders>
              <w:top w:val="single" w:sz="4" w:space="0" w:color="auto"/>
              <w:left w:val="single" w:sz="4" w:space="0" w:color="auto"/>
              <w:bottom w:val="single" w:sz="4" w:space="0" w:color="auto"/>
              <w:right w:val="single" w:sz="4" w:space="0" w:color="auto"/>
            </w:tcBorders>
          </w:tcPr>
          <w:p w14:paraId="29284E68" w14:textId="48FF3CC3" w:rsidR="00E07FCE" w:rsidRPr="00F15E51" w:rsidRDefault="00F15E51" w:rsidP="00457CE9">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Пайдаланушыларға аудит нәтижесінің түсініктілігін қамтамасыз ету</w:t>
            </w:r>
          </w:p>
        </w:tc>
      </w:tr>
      <w:tr w:rsidR="00F15E51" w:rsidRPr="00805B3E" w14:paraId="13035FB9" w14:textId="77777777"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5D649985" w14:textId="3040DBED" w:rsidR="00F15E51" w:rsidRPr="00F15E51" w:rsidRDefault="00F15E51" w:rsidP="00F15E51">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Тиімділік аудиті бойынша аудиторлық есептердің орыс тілінде дайындалып ұсынылуы</w:t>
            </w:r>
          </w:p>
        </w:tc>
        <w:tc>
          <w:tcPr>
            <w:tcW w:w="2835" w:type="dxa"/>
            <w:tcBorders>
              <w:top w:val="single" w:sz="4" w:space="0" w:color="auto"/>
              <w:left w:val="single" w:sz="4" w:space="0" w:color="auto"/>
              <w:bottom w:val="single" w:sz="4" w:space="0" w:color="auto"/>
              <w:right w:val="single" w:sz="4" w:space="0" w:color="auto"/>
            </w:tcBorders>
          </w:tcPr>
          <w:p w14:paraId="776267DE" w14:textId="6CAB6ACE" w:rsidR="00F15E51" w:rsidRPr="00F15E51" w:rsidRDefault="00F15E51" w:rsidP="00F15E51">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Аудиторлық есептерді мемлекеттік тілде дайындау</w:t>
            </w:r>
          </w:p>
        </w:tc>
        <w:tc>
          <w:tcPr>
            <w:tcW w:w="2977" w:type="dxa"/>
            <w:tcBorders>
              <w:top w:val="single" w:sz="4" w:space="0" w:color="auto"/>
              <w:left w:val="single" w:sz="4" w:space="0" w:color="auto"/>
              <w:bottom w:val="single" w:sz="4" w:space="0" w:color="auto"/>
              <w:right w:val="single" w:sz="4" w:space="0" w:color="auto"/>
            </w:tcBorders>
          </w:tcPr>
          <w:p w14:paraId="1537A6B6" w14:textId="0CB7341B" w:rsidR="00F15E51" w:rsidRPr="00F15E51" w:rsidRDefault="00F15E51" w:rsidP="00F15E51">
            <w:pPr>
              <w:tabs>
                <w:tab w:val="left" w:pos="1605"/>
              </w:tabs>
              <w:rPr>
                <w:rFonts w:ascii="Times New Roman" w:hAnsi="Times New Roman" w:cs="Times New Roman"/>
                <w:sz w:val="20"/>
                <w:szCs w:val="20"/>
                <w:lang w:val="kk-KZ"/>
              </w:rPr>
            </w:pPr>
            <w:r w:rsidRPr="00F15E51">
              <w:rPr>
                <w:rFonts w:ascii="Times New Roman" w:hAnsi="Times New Roman" w:cs="Times New Roman"/>
                <w:sz w:val="20"/>
                <w:szCs w:val="20"/>
                <w:lang w:val="kk-KZ"/>
              </w:rPr>
              <w:t>Пайдаланушыларға аудит есептері бойынша ақпарат бірдей қолжетімдігі</w:t>
            </w:r>
          </w:p>
        </w:tc>
      </w:tr>
      <w:tr w:rsidR="006621F3" w:rsidRPr="00805B3E" w14:paraId="483BAFCF" w14:textId="77777777" w:rsidTr="002839FE">
        <w:trPr>
          <w:jc w:val="center"/>
        </w:trPr>
        <w:tc>
          <w:tcPr>
            <w:tcW w:w="3733" w:type="dxa"/>
            <w:tcBorders>
              <w:top w:val="single" w:sz="4" w:space="0" w:color="auto"/>
              <w:left w:val="single" w:sz="4" w:space="0" w:color="auto"/>
              <w:bottom w:val="single" w:sz="4" w:space="0" w:color="auto"/>
              <w:right w:val="single" w:sz="4" w:space="0" w:color="auto"/>
            </w:tcBorders>
          </w:tcPr>
          <w:p w14:paraId="5AEFCBFD" w14:textId="7E81B787" w:rsidR="006621F3" w:rsidRPr="006621F3" w:rsidRDefault="006621F3" w:rsidP="00F15E51">
            <w:pPr>
              <w:tabs>
                <w:tab w:val="left" w:pos="1605"/>
              </w:tabs>
              <w:rPr>
                <w:rFonts w:ascii="Times New Roman" w:hAnsi="Times New Roman" w:cs="Times New Roman"/>
                <w:sz w:val="20"/>
                <w:szCs w:val="20"/>
                <w:lang w:val="kk-KZ"/>
              </w:rPr>
            </w:pPr>
            <w:r>
              <w:rPr>
                <w:rFonts w:ascii="Times New Roman" w:hAnsi="Times New Roman" w:cs="Times New Roman"/>
                <w:sz w:val="20"/>
                <w:szCs w:val="20"/>
                <w:lang w:val="kk-KZ"/>
              </w:rPr>
              <w:t>Тиімділік аудитінің сапасына жеткілікті деңгейде баға берілмеуі</w:t>
            </w:r>
          </w:p>
        </w:tc>
        <w:tc>
          <w:tcPr>
            <w:tcW w:w="2835" w:type="dxa"/>
            <w:tcBorders>
              <w:top w:val="single" w:sz="4" w:space="0" w:color="auto"/>
              <w:left w:val="single" w:sz="4" w:space="0" w:color="auto"/>
              <w:bottom w:val="single" w:sz="4" w:space="0" w:color="auto"/>
              <w:right w:val="single" w:sz="4" w:space="0" w:color="auto"/>
            </w:tcBorders>
          </w:tcPr>
          <w:p w14:paraId="3C718140" w14:textId="4237AC4A" w:rsidR="006621F3" w:rsidRPr="00F15E51" w:rsidRDefault="006621F3" w:rsidP="00F15E51">
            <w:pPr>
              <w:tabs>
                <w:tab w:val="left" w:pos="1605"/>
              </w:tabs>
              <w:rPr>
                <w:rFonts w:ascii="Times New Roman" w:hAnsi="Times New Roman" w:cs="Times New Roman"/>
                <w:sz w:val="20"/>
                <w:szCs w:val="20"/>
                <w:lang w:val="kk-KZ"/>
              </w:rPr>
            </w:pPr>
            <w:r>
              <w:rPr>
                <w:rFonts w:ascii="Times New Roman" w:hAnsi="Times New Roman" w:cs="Times New Roman"/>
                <w:sz w:val="20"/>
                <w:szCs w:val="20"/>
                <w:lang w:val="kk-KZ"/>
              </w:rPr>
              <w:t>Тиімділік аудитінің нәтижелері бойынша берілген ұсыныстар әсерін бағалау</w:t>
            </w:r>
          </w:p>
        </w:tc>
        <w:tc>
          <w:tcPr>
            <w:tcW w:w="2977" w:type="dxa"/>
            <w:tcBorders>
              <w:top w:val="single" w:sz="4" w:space="0" w:color="auto"/>
              <w:left w:val="single" w:sz="4" w:space="0" w:color="auto"/>
              <w:bottom w:val="single" w:sz="4" w:space="0" w:color="auto"/>
              <w:right w:val="single" w:sz="4" w:space="0" w:color="auto"/>
            </w:tcBorders>
          </w:tcPr>
          <w:p w14:paraId="69785402" w14:textId="2161DBBD" w:rsidR="006621F3" w:rsidRPr="00F15E51" w:rsidRDefault="006621F3" w:rsidP="00F15E51">
            <w:pPr>
              <w:tabs>
                <w:tab w:val="left" w:pos="1605"/>
              </w:tabs>
              <w:rPr>
                <w:rFonts w:ascii="Times New Roman" w:hAnsi="Times New Roman" w:cs="Times New Roman"/>
                <w:sz w:val="20"/>
                <w:szCs w:val="20"/>
                <w:lang w:val="kk-KZ"/>
              </w:rPr>
            </w:pPr>
            <w:r>
              <w:rPr>
                <w:rFonts w:ascii="Times New Roman" w:hAnsi="Times New Roman" w:cs="Times New Roman"/>
                <w:sz w:val="20"/>
                <w:szCs w:val="20"/>
                <w:lang w:val="kk-KZ"/>
              </w:rPr>
              <w:t>Тиімділік аудитінің тиімділігін бағалау арқылы оның сапасын жақсартуды қамтамасыз ету</w:t>
            </w:r>
          </w:p>
        </w:tc>
      </w:tr>
      <w:tr w:rsidR="00F15E51" w:rsidRPr="00F15E51" w14:paraId="261393D4" w14:textId="4C27ABD8" w:rsidTr="002839FE">
        <w:trPr>
          <w:jc w:val="center"/>
        </w:trPr>
        <w:tc>
          <w:tcPr>
            <w:tcW w:w="9545" w:type="dxa"/>
            <w:gridSpan w:val="3"/>
            <w:tcBorders>
              <w:top w:val="single" w:sz="4" w:space="0" w:color="auto"/>
              <w:left w:val="single" w:sz="4" w:space="0" w:color="auto"/>
              <w:bottom w:val="single" w:sz="4" w:space="0" w:color="auto"/>
              <w:right w:val="single" w:sz="4" w:space="0" w:color="auto"/>
            </w:tcBorders>
          </w:tcPr>
          <w:p w14:paraId="28F86BC4" w14:textId="0D4576CF" w:rsidR="00F15E51" w:rsidRPr="00F15E51" w:rsidRDefault="00F15E51" w:rsidP="00F15E51">
            <w:pPr>
              <w:tabs>
                <w:tab w:val="left" w:pos="1605"/>
              </w:tabs>
              <w:ind w:firstLine="588"/>
              <w:rPr>
                <w:rFonts w:ascii="Times New Roman" w:hAnsi="Times New Roman" w:cs="Times New Roman"/>
                <w:sz w:val="20"/>
                <w:szCs w:val="20"/>
                <w:lang w:val="kk-KZ"/>
              </w:rPr>
            </w:pPr>
            <w:r w:rsidRPr="00F15E51">
              <w:rPr>
                <w:rFonts w:ascii="Times New Roman" w:hAnsi="Times New Roman" w:cs="Times New Roman"/>
                <w:sz w:val="20"/>
                <w:szCs w:val="20"/>
                <w:lang w:val="kk-KZ"/>
              </w:rPr>
              <w:t>Ескерту – Автормен құрастырылған</w:t>
            </w:r>
          </w:p>
        </w:tc>
      </w:tr>
    </w:tbl>
    <w:p w14:paraId="1D5F8B2B" w14:textId="51C3A03E" w:rsidR="00010EEC" w:rsidRDefault="00010EEC" w:rsidP="00457CE9">
      <w:pPr>
        <w:widowControl w:val="0"/>
        <w:tabs>
          <w:tab w:val="left" w:pos="851"/>
          <w:tab w:val="left" w:pos="993"/>
          <w:tab w:val="left" w:pos="1605"/>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Максималды пайданы қамтамасыз ету үшін аудитордың мақсаты болжамды пайдаланушылардың заңды қажеттіліктерін қанағаттандыру үшін тиісті дәлелдерді уақтылы ұсыну болып табылады. Сол сияқты, есепте келтірілген дәлелдер, егер олар ағымдағы мәселелерге қатысты болса, пайдалы болады. Сондықтан есепті уақтылы шығару өте маңызды.</w:t>
      </w:r>
    </w:p>
    <w:p w14:paraId="1798AE1B" w14:textId="25392C27" w:rsidR="00CD7DBB" w:rsidRPr="00457CE9" w:rsidRDefault="00CD7DBB" w:rsidP="00457CE9">
      <w:pPr>
        <w:widowControl w:val="0"/>
        <w:tabs>
          <w:tab w:val="left" w:pos="851"/>
          <w:tab w:val="left" w:pos="993"/>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Аудиторлық есепті жазу кезінде аудиторлық топтың, сапаны бақылау жөніндегі басшылар мен мамандардың аудит нәтижелеріне, дәлелдемелерге, деректерге және аудит критерийлеріне байланысты қорытындыларды</w:t>
      </w:r>
      <w:r w:rsidRPr="00457CE9">
        <w:rPr>
          <w:rFonts w:ascii="Times New Roman" w:hAnsi="Times New Roman"/>
          <w:sz w:val="28"/>
          <w:szCs w:val="28"/>
          <w:lang w:val="kk-KZ"/>
        </w:rPr>
        <w:t xml:space="preserve"> сыни </w:t>
      </w:r>
      <w:r w:rsidRPr="00457CE9">
        <w:rPr>
          <w:rFonts w:ascii="Times New Roman" w:hAnsi="Times New Roman" w:cs="Times New Roman"/>
          <w:sz w:val="28"/>
          <w:szCs w:val="28"/>
          <w:lang w:val="kk-KZ"/>
        </w:rPr>
        <w:t>тұрғыдан қарауы өте маңызды. Қорытындылар жеткілікті және тиісті дәлелдермен расталуы керек. Тексерілетін субъектілермен фактілерді келісу мен растаудың тиісті рәсімдері де маңызды болады.</w:t>
      </w:r>
    </w:p>
    <w:p w14:paraId="20E71932" w14:textId="77777777" w:rsidR="00FA3531" w:rsidRPr="00457CE9" w:rsidRDefault="00FA3531" w:rsidP="00457CE9">
      <w:pPr>
        <w:widowControl w:val="0"/>
        <w:tabs>
          <w:tab w:val="left" w:pos="851"/>
          <w:tab w:val="left" w:pos="993"/>
          <w:tab w:val="left" w:pos="1605"/>
        </w:tabs>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Тиімділік аудиті туралы есептерді жариялау мемлекеттік секторды басқарудың ашықтығына ықпал етеді және тиімділік аудиті мемлекеттік басқаруды жақсартуға қалай ықпал ететінін көрсетеді.</w:t>
      </w:r>
    </w:p>
    <w:p w14:paraId="11F2BC49" w14:textId="5BAC7F59" w:rsidR="00FA3531" w:rsidRPr="00457CE9" w:rsidRDefault="00FA3531" w:rsidP="00457CE9">
      <w:pPr>
        <w:widowControl w:val="0"/>
        <w:tabs>
          <w:tab w:val="left" w:pos="851"/>
          <w:tab w:val="left" w:pos="993"/>
          <w:tab w:val="left" w:pos="1605"/>
        </w:tabs>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Тиімділік аудиті бойынша есеп берудің артындағы жұмыс әділ болуы керек және максималды нәтижеге жету үшін жалпы тұжырымдар мен ұсыныстарды күшейтуі керек. Аудитор аудиторлық есептегі мәселелердің салдарын түсіндіруі керек, өйткені бұл оқырманға мәселенің маңыздылығын жақсы түсінуге мүмкіндік береді. Бұл өз кезегінде түзету әрекеттеріне ықпал етеді және тексерілетін субъектінің жақсаруына әкеледі</w:t>
      </w:r>
      <w:r w:rsidR="00092839" w:rsidRPr="00457CE9">
        <w:rPr>
          <w:rFonts w:ascii="Times New Roman" w:hAnsi="Times New Roman" w:cs="Times New Roman"/>
          <w:color w:val="000000"/>
          <w:sz w:val="28"/>
          <w:szCs w:val="28"/>
          <w:lang w:val="kk-KZ"/>
        </w:rPr>
        <w:t>.</w:t>
      </w:r>
    </w:p>
    <w:p w14:paraId="6D11A355" w14:textId="3732521E" w:rsidR="00092839" w:rsidRPr="00457CE9" w:rsidRDefault="00092839" w:rsidP="00457CE9">
      <w:pPr>
        <w:widowControl w:val="0"/>
        <w:tabs>
          <w:tab w:val="left" w:pos="851"/>
          <w:tab w:val="left" w:pos="993"/>
          <w:tab w:val="left" w:pos="1605"/>
        </w:tabs>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Т</w:t>
      </w:r>
      <w:r w:rsidR="00847107" w:rsidRPr="00457CE9">
        <w:rPr>
          <w:rFonts w:ascii="Times New Roman" w:hAnsi="Times New Roman" w:cs="Times New Roman"/>
          <w:color w:val="000000"/>
          <w:sz w:val="28"/>
          <w:szCs w:val="28"/>
          <w:lang w:val="kk-KZ"/>
        </w:rPr>
        <w:t>иімділік аудиті бойынша т</w:t>
      </w:r>
      <w:r w:rsidRPr="00457CE9">
        <w:rPr>
          <w:rFonts w:ascii="Times New Roman" w:hAnsi="Times New Roman" w:cs="Times New Roman"/>
          <w:color w:val="000000"/>
          <w:sz w:val="28"/>
          <w:szCs w:val="28"/>
          <w:lang w:val="kk-KZ"/>
        </w:rPr>
        <w:t>еңдестірілген және сындарлы</w:t>
      </w:r>
      <w:r w:rsidR="00847107" w:rsidRPr="00457CE9">
        <w:rPr>
          <w:rFonts w:ascii="Times New Roman" w:hAnsi="Times New Roman" w:cs="Times New Roman"/>
          <w:color w:val="000000"/>
          <w:sz w:val="28"/>
          <w:szCs w:val="28"/>
          <w:lang w:val="kk-KZ"/>
        </w:rPr>
        <w:t xml:space="preserve"> аудитордық</w:t>
      </w:r>
      <w:r w:rsidRPr="00457CE9">
        <w:rPr>
          <w:rFonts w:ascii="Times New Roman" w:hAnsi="Times New Roman" w:cs="Times New Roman"/>
          <w:color w:val="000000"/>
          <w:sz w:val="28"/>
          <w:szCs w:val="28"/>
          <w:lang w:val="kk-KZ"/>
        </w:rPr>
        <w:t xml:space="preserve"> есепті дайындау кезінде </w:t>
      </w:r>
      <w:r w:rsidR="00847107" w:rsidRPr="00457CE9">
        <w:rPr>
          <w:rFonts w:ascii="Times New Roman" w:hAnsi="Times New Roman" w:cs="Times New Roman"/>
          <w:color w:val="000000"/>
          <w:sz w:val="28"/>
          <w:szCs w:val="28"/>
          <w:lang w:val="kk-KZ"/>
        </w:rPr>
        <w:t xml:space="preserve">келесілерді ескерген </w:t>
      </w:r>
      <w:r w:rsidRPr="00457CE9">
        <w:rPr>
          <w:rFonts w:ascii="Times New Roman" w:hAnsi="Times New Roman" w:cs="Times New Roman"/>
          <w:color w:val="000000"/>
          <w:sz w:val="28"/>
          <w:szCs w:val="28"/>
          <w:lang w:val="kk-KZ"/>
        </w:rPr>
        <w:t xml:space="preserve">пайдалы: </w:t>
      </w:r>
    </w:p>
    <w:p w14:paraId="0A378059" w14:textId="5C3223A2" w:rsidR="00092839" w:rsidRPr="00457CE9" w:rsidRDefault="00092839" w:rsidP="0097172E">
      <w:pPr>
        <w:pStyle w:val="a5"/>
        <w:widowControl w:val="0"/>
        <w:numPr>
          <w:ilvl w:val="0"/>
          <w:numId w:val="41"/>
        </w:numPr>
        <w:tabs>
          <w:tab w:val="left" w:pos="952"/>
          <w:tab w:val="left" w:pos="993"/>
          <w:tab w:val="left" w:pos="1605"/>
        </w:tabs>
        <w:spacing w:after="0" w:line="240" w:lineRule="auto"/>
        <w:ind w:left="0" w:firstLine="709"/>
        <w:jc w:val="both"/>
        <w:rPr>
          <w:rFonts w:ascii="Times New Roman" w:hAnsi="Times New Roman"/>
          <w:color w:val="000000"/>
          <w:sz w:val="28"/>
          <w:szCs w:val="28"/>
          <w:lang w:val="kk-KZ"/>
        </w:rPr>
      </w:pPr>
      <w:r w:rsidRPr="00457CE9">
        <w:rPr>
          <w:rFonts w:ascii="Times New Roman" w:hAnsi="Times New Roman"/>
          <w:color w:val="000000"/>
          <w:sz w:val="28"/>
          <w:szCs w:val="28"/>
          <w:lang w:val="kk-KZ"/>
        </w:rPr>
        <w:t>нәтижелерді объективті және әділ ұсыну. Қорғаныс реакциясы мен қарсылығын тудыруы мүмкін біржақты ақпараттан немесе тұжырымдамадан аулақ бола отырып, фактілерді бейтарап түрде көрсет</w:t>
      </w:r>
      <w:r w:rsidR="00B42528" w:rsidRPr="00457CE9">
        <w:rPr>
          <w:rFonts w:ascii="Times New Roman" w:hAnsi="Times New Roman"/>
          <w:color w:val="000000"/>
          <w:sz w:val="28"/>
          <w:szCs w:val="28"/>
          <w:lang w:val="kk-KZ"/>
        </w:rPr>
        <w:t>у</w:t>
      </w:r>
      <w:r w:rsidRPr="00457CE9">
        <w:rPr>
          <w:rFonts w:ascii="Times New Roman" w:hAnsi="Times New Roman"/>
          <w:color w:val="000000"/>
          <w:sz w:val="28"/>
          <w:szCs w:val="28"/>
          <w:lang w:val="kk-KZ"/>
        </w:rPr>
        <w:t xml:space="preserve"> және түсіндір</w:t>
      </w:r>
      <w:r w:rsidR="00B42528" w:rsidRPr="00457CE9">
        <w:rPr>
          <w:rFonts w:ascii="Times New Roman" w:hAnsi="Times New Roman"/>
          <w:color w:val="000000"/>
          <w:sz w:val="28"/>
          <w:szCs w:val="28"/>
          <w:lang w:val="kk-KZ"/>
        </w:rPr>
        <w:t>у</w:t>
      </w:r>
      <w:r w:rsidR="002839FE">
        <w:rPr>
          <w:rFonts w:ascii="Times New Roman" w:hAnsi="Times New Roman"/>
          <w:color w:val="000000"/>
          <w:sz w:val="28"/>
          <w:szCs w:val="28"/>
          <w:lang w:val="kk-KZ"/>
        </w:rPr>
        <w:t>;</w:t>
      </w:r>
      <w:r w:rsidRPr="00457CE9">
        <w:rPr>
          <w:rFonts w:ascii="Times New Roman" w:hAnsi="Times New Roman"/>
          <w:color w:val="000000"/>
          <w:sz w:val="28"/>
          <w:szCs w:val="28"/>
          <w:lang w:val="kk-KZ"/>
        </w:rPr>
        <w:t xml:space="preserve"> </w:t>
      </w:r>
    </w:p>
    <w:p w14:paraId="5110301A" w14:textId="2C749DE4" w:rsidR="00092839" w:rsidRPr="00457CE9" w:rsidRDefault="00092839" w:rsidP="0097172E">
      <w:pPr>
        <w:pStyle w:val="a5"/>
        <w:widowControl w:val="0"/>
        <w:numPr>
          <w:ilvl w:val="0"/>
          <w:numId w:val="41"/>
        </w:numPr>
        <w:tabs>
          <w:tab w:val="left" w:pos="952"/>
          <w:tab w:val="left" w:pos="993"/>
          <w:tab w:val="left" w:pos="1605"/>
        </w:tabs>
        <w:spacing w:after="0" w:line="240" w:lineRule="auto"/>
        <w:ind w:left="0" w:firstLine="709"/>
        <w:jc w:val="both"/>
        <w:rPr>
          <w:rFonts w:ascii="Times New Roman" w:hAnsi="Times New Roman"/>
          <w:color w:val="000000"/>
          <w:sz w:val="28"/>
          <w:szCs w:val="28"/>
          <w:lang w:val="kk-KZ"/>
        </w:rPr>
      </w:pPr>
      <w:r w:rsidRPr="00457CE9">
        <w:rPr>
          <w:rFonts w:ascii="Times New Roman" w:hAnsi="Times New Roman"/>
          <w:color w:val="000000"/>
          <w:sz w:val="28"/>
          <w:szCs w:val="28"/>
          <w:lang w:val="kk-KZ"/>
        </w:rPr>
        <w:t>әртүрлі көзқарастарды ұсыну. Дәлелдемелер заңды түрде әр түрлі түсіндірілуі мүмкін жағдайларда, олар әділеттілік пен тепе-теңдікті қамтамасыз ету үшін ұсынылуы керек. Негізгі дәлелдерге сүйене отырып, оқырман түпкілікті тұжырымдар мен ұсыныстарды жақсырақ түсіне ал</w:t>
      </w:r>
      <w:r w:rsidR="00B42528" w:rsidRPr="00457CE9">
        <w:rPr>
          <w:rFonts w:ascii="Times New Roman" w:hAnsi="Times New Roman"/>
          <w:color w:val="000000"/>
          <w:sz w:val="28"/>
          <w:szCs w:val="28"/>
          <w:lang w:val="kk-KZ"/>
        </w:rPr>
        <w:t>уын</w:t>
      </w:r>
      <w:r w:rsidR="00B7548B">
        <w:rPr>
          <w:rFonts w:ascii="Times New Roman" w:hAnsi="Times New Roman"/>
          <w:color w:val="000000"/>
          <w:sz w:val="28"/>
          <w:szCs w:val="28"/>
          <w:lang w:val="kk-KZ"/>
        </w:rPr>
        <w:t xml:space="preserve"> қамтамасыз ету</w:t>
      </w:r>
      <w:r w:rsidR="002839FE">
        <w:rPr>
          <w:rFonts w:ascii="Times New Roman" w:hAnsi="Times New Roman"/>
          <w:color w:val="000000"/>
          <w:sz w:val="28"/>
          <w:szCs w:val="28"/>
          <w:lang w:val="kk-KZ"/>
        </w:rPr>
        <w:t>;</w:t>
      </w:r>
      <w:r w:rsidRPr="00457CE9">
        <w:rPr>
          <w:rFonts w:ascii="Times New Roman" w:hAnsi="Times New Roman"/>
          <w:color w:val="000000"/>
          <w:sz w:val="28"/>
          <w:szCs w:val="28"/>
          <w:lang w:val="kk-KZ"/>
        </w:rPr>
        <w:t xml:space="preserve"> </w:t>
      </w:r>
    </w:p>
    <w:p w14:paraId="2A0A74C5" w14:textId="1F02158F" w:rsidR="00092839" w:rsidRPr="00457CE9" w:rsidRDefault="00092839" w:rsidP="0097172E">
      <w:pPr>
        <w:pStyle w:val="a5"/>
        <w:widowControl w:val="0"/>
        <w:numPr>
          <w:ilvl w:val="0"/>
          <w:numId w:val="41"/>
        </w:numPr>
        <w:tabs>
          <w:tab w:val="left" w:pos="952"/>
          <w:tab w:val="left" w:pos="993"/>
          <w:tab w:val="left" w:pos="1605"/>
        </w:tabs>
        <w:spacing w:after="0" w:line="240" w:lineRule="auto"/>
        <w:ind w:left="0" w:firstLine="709"/>
        <w:jc w:val="both"/>
        <w:rPr>
          <w:rFonts w:ascii="Times New Roman" w:hAnsi="Times New Roman"/>
          <w:color w:val="000000"/>
          <w:sz w:val="28"/>
          <w:szCs w:val="28"/>
          <w:lang w:val="kk-KZ"/>
        </w:rPr>
      </w:pPr>
      <w:r w:rsidRPr="00457CE9">
        <w:rPr>
          <w:rFonts w:ascii="Times New Roman" w:hAnsi="Times New Roman"/>
          <w:color w:val="000000"/>
          <w:sz w:val="28"/>
          <w:szCs w:val="28"/>
          <w:lang w:val="kk-KZ"/>
        </w:rPr>
        <w:t xml:space="preserve">аяқталуы керек. Толық есеп жақсы да, жаман да сәттерді қамтиды және қажет жерде </w:t>
      </w:r>
      <w:r w:rsidR="00A162CB" w:rsidRPr="00457CE9">
        <w:rPr>
          <w:rFonts w:ascii="Times New Roman" w:hAnsi="Times New Roman"/>
          <w:color w:val="000000"/>
          <w:sz w:val="28"/>
          <w:szCs w:val="28"/>
          <w:lang w:val="kk-KZ"/>
        </w:rPr>
        <w:t>ақпарат</w:t>
      </w:r>
      <w:r w:rsidRPr="00457CE9">
        <w:rPr>
          <w:rFonts w:ascii="Times New Roman" w:hAnsi="Times New Roman"/>
          <w:color w:val="000000"/>
          <w:sz w:val="28"/>
          <w:szCs w:val="28"/>
          <w:lang w:val="kk-KZ"/>
        </w:rPr>
        <w:t xml:space="preserve"> береді. Позитивті аспектілерді қосу есеппен танысқан басқа үкіметтік ұйымдардың жұмысын жақсартуға әкелуі мүмкін. Есепте барлық қажетті ақпарат болуы маңызды</w:t>
      </w:r>
      <w:r w:rsidR="00847107" w:rsidRPr="00457CE9">
        <w:rPr>
          <w:rFonts w:ascii="Times New Roman" w:hAnsi="Times New Roman"/>
          <w:color w:val="000000"/>
          <w:sz w:val="28"/>
          <w:szCs w:val="28"/>
          <w:lang w:val="kk-KZ"/>
        </w:rPr>
        <w:t>.</w:t>
      </w:r>
    </w:p>
    <w:p w14:paraId="7BB37CE9" w14:textId="61E4ADE3" w:rsidR="00135965" w:rsidRPr="00457CE9" w:rsidRDefault="00EE3C33" w:rsidP="00457CE9">
      <w:pPr>
        <w:widowControl w:val="0"/>
        <w:tabs>
          <w:tab w:val="left" w:pos="851"/>
          <w:tab w:val="left" w:pos="993"/>
          <w:tab w:val="left" w:pos="1605"/>
        </w:tabs>
        <w:spacing w:after="0" w:line="240" w:lineRule="auto"/>
        <w:ind w:firstLine="709"/>
        <w:jc w:val="both"/>
        <w:rPr>
          <w:rFonts w:ascii="Times New Roman" w:hAnsi="Times New Roman"/>
          <w:sz w:val="28"/>
          <w:szCs w:val="28"/>
          <w:lang w:val="kk-KZ"/>
        </w:rPr>
      </w:pPr>
      <w:r w:rsidRPr="00457CE9">
        <w:rPr>
          <w:rFonts w:ascii="Times New Roman" w:hAnsi="Times New Roman" w:cs="Times New Roman"/>
          <w:sz w:val="28"/>
          <w:szCs w:val="28"/>
          <w:lang w:val="kk-KZ"/>
        </w:rPr>
        <w:t xml:space="preserve">Жоғарыда АӨК дамытуға пайдаланылған бюджет қаражаты тиімділігінің аудитін ұйымдастыру және аудиторлық қорытынды беру тәжірибесін зерттей келе, белгілі кемшіліктер бар екендігі және оны жетілдіру жолдары қажет екендігі анықталды. </w:t>
      </w:r>
      <w:r w:rsidR="00C5166B" w:rsidRPr="00457CE9">
        <w:rPr>
          <w:rFonts w:ascii="Times New Roman" w:hAnsi="Times New Roman" w:cs="Times New Roman"/>
          <w:sz w:val="28"/>
          <w:szCs w:val="28"/>
          <w:lang w:val="kk-KZ"/>
        </w:rPr>
        <w:t xml:space="preserve">Тиімділік аудиті мемлекеттік </w:t>
      </w:r>
      <w:r w:rsidR="00B7548B">
        <w:rPr>
          <w:rFonts w:ascii="Times New Roman" w:hAnsi="Times New Roman" w:cs="Times New Roman"/>
          <w:sz w:val="28"/>
          <w:szCs w:val="28"/>
          <w:lang w:val="kk-KZ"/>
        </w:rPr>
        <w:t xml:space="preserve">аудит және </w:t>
      </w:r>
      <w:r w:rsidR="00C5166B" w:rsidRPr="00457CE9">
        <w:rPr>
          <w:rFonts w:ascii="Times New Roman" w:hAnsi="Times New Roman" w:cs="Times New Roman"/>
          <w:sz w:val="28"/>
          <w:szCs w:val="28"/>
          <w:lang w:val="kk-KZ"/>
        </w:rPr>
        <w:t>қаржылық бақылау нысаны ретінде еліміздің тәжірибесінде қолданылуы тек 2015 жылдан бастап болғандықтан</w:t>
      </w:r>
      <w:r w:rsidR="00C5166B" w:rsidRPr="00457CE9">
        <w:rPr>
          <w:rFonts w:ascii="Times New Roman" w:hAnsi="Times New Roman"/>
          <w:sz w:val="28"/>
          <w:szCs w:val="28"/>
          <w:lang w:val="kk-KZ"/>
        </w:rPr>
        <w:t>, оның сапасын жақсарту бүгінгі таңда өзекті, себебі, тиімділік аудиті АӨК саласында жалпы мемлекеттік саясатқа баға берудің негізі болып табылады, дәстүрлі тексеруден түбегейлі айырмашылығы, көрсетілетін мемлекеттік қолдау мақсатқа сәйкестігі, нәтижелілігі, тиімділігі тарапынан жан-жақты объективті қарастыру арқылы тәуелсіз баға беруге мүмкіндік беруде.</w:t>
      </w:r>
    </w:p>
    <w:p w14:paraId="366839CA" w14:textId="736D5DE5" w:rsidR="0084511B" w:rsidRPr="00EC7EBC" w:rsidRDefault="0077489A" w:rsidP="00457CE9">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Нәтижесінде, АӨК азық-түліктік қауіпсіздікті қамтамасыз ететін стратегиялық маңызы бар саланың дамуы және оған бөлінетін бюджет қаражаты </w:t>
      </w:r>
      <w:r w:rsidRPr="00EC7EBC">
        <w:rPr>
          <w:rFonts w:ascii="Times New Roman" w:hAnsi="Times New Roman"/>
          <w:sz w:val="28"/>
          <w:szCs w:val="28"/>
          <w:lang w:val="kk-KZ"/>
        </w:rPr>
        <w:t>көлемінің азаюына алып келуі күтіледі,</w:t>
      </w:r>
      <w:r w:rsidR="000C6EA9" w:rsidRPr="00EC7EBC">
        <w:rPr>
          <w:rFonts w:ascii="Times New Roman" w:hAnsi="Times New Roman"/>
          <w:sz w:val="28"/>
          <w:szCs w:val="28"/>
          <w:lang w:val="kk-KZ"/>
        </w:rPr>
        <w:t xml:space="preserve"> </w:t>
      </w:r>
      <w:r w:rsidR="00A162CB" w:rsidRPr="00EC7EBC">
        <w:rPr>
          <w:rFonts w:ascii="Times New Roman" w:hAnsi="Times New Roman"/>
          <w:sz w:val="28"/>
          <w:szCs w:val="28"/>
          <w:lang w:val="kk-KZ"/>
        </w:rPr>
        <w:t xml:space="preserve">тиімділік аудиті </w:t>
      </w:r>
      <w:r w:rsidRPr="00EC7EBC">
        <w:rPr>
          <w:rFonts w:ascii="Times New Roman" w:hAnsi="Times New Roman"/>
          <w:sz w:val="28"/>
          <w:szCs w:val="28"/>
          <w:lang w:val="kk-KZ"/>
        </w:rPr>
        <w:t>салық төлеушілер алдында есептілікті қамтамасыз ету</w:t>
      </w:r>
      <w:r w:rsidR="00A162CB" w:rsidRPr="00EC7EBC">
        <w:rPr>
          <w:rFonts w:ascii="Times New Roman" w:hAnsi="Times New Roman"/>
          <w:sz w:val="28"/>
          <w:szCs w:val="28"/>
          <w:lang w:val="kk-KZ"/>
        </w:rPr>
        <w:t xml:space="preserve"> қажет</w:t>
      </w:r>
      <w:r w:rsidR="000C6EA9" w:rsidRPr="00EC7EBC">
        <w:rPr>
          <w:rFonts w:ascii="Times New Roman" w:hAnsi="Times New Roman"/>
          <w:sz w:val="28"/>
          <w:szCs w:val="28"/>
          <w:lang w:val="kk-KZ"/>
        </w:rPr>
        <w:t>.</w:t>
      </w:r>
    </w:p>
    <w:p w14:paraId="17C73D1B" w14:textId="0636E1C9" w:rsidR="00EC7EBC" w:rsidRPr="00EC7EBC" w:rsidRDefault="00EC7EBC" w:rsidP="00457CE9">
      <w:pPr>
        <w:pStyle w:val="a5"/>
        <w:widowControl w:val="0"/>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sidRPr="00EC7EBC">
        <w:rPr>
          <w:rFonts w:ascii="Times New Roman" w:hAnsi="Times New Roman"/>
          <w:color w:val="000000"/>
          <w:sz w:val="28"/>
          <w:szCs w:val="28"/>
          <w:lang w:val="kk-KZ"/>
        </w:rPr>
        <w:t>Агроөнеркәсіптік кешенді дамытуға бағытталған бюджет қаражатын</w:t>
      </w:r>
      <w:r w:rsidR="00FA5280">
        <w:rPr>
          <w:rFonts w:ascii="Times New Roman" w:hAnsi="Times New Roman"/>
          <w:color w:val="000000"/>
          <w:sz w:val="28"/>
          <w:szCs w:val="28"/>
          <w:lang w:val="kk-KZ"/>
        </w:rPr>
        <w:t xml:space="preserve"> пайдалану</w:t>
      </w:r>
      <w:r w:rsidRPr="00EC7EBC">
        <w:rPr>
          <w:rFonts w:ascii="Times New Roman" w:hAnsi="Times New Roman"/>
          <w:color w:val="000000"/>
          <w:sz w:val="28"/>
          <w:szCs w:val="28"/>
          <w:lang w:val="kk-KZ"/>
        </w:rPr>
        <w:t xml:space="preserve"> тиімділігін</w:t>
      </w:r>
      <w:r w:rsidR="00FA5280">
        <w:rPr>
          <w:rFonts w:ascii="Times New Roman" w:hAnsi="Times New Roman"/>
          <w:color w:val="000000"/>
          <w:sz w:val="28"/>
          <w:szCs w:val="28"/>
          <w:lang w:val="kk-KZ"/>
        </w:rPr>
        <w:t>ің</w:t>
      </w:r>
      <w:r w:rsidRPr="00EC7EBC">
        <w:rPr>
          <w:rFonts w:ascii="Times New Roman" w:hAnsi="Times New Roman"/>
          <w:color w:val="000000"/>
          <w:sz w:val="28"/>
          <w:szCs w:val="28"/>
          <w:lang w:val="kk-KZ"/>
        </w:rPr>
        <w:t xml:space="preserve"> аудит</w:t>
      </w:r>
      <w:r w:rsidR="00FA5280">
        <w:rPr>
          <w:rFonts w:ascii="Times New Roman" w:hAnsi="Times New Roman"/>
          <w:color w:val="000000"/>
          <w:sz w:val="28"/>
          <w:szCs w:val="28"/>
          <w:lang w:val="kk-KZ"/>
        </w:rPr>
        <w:t>інд</w:t>
      </w:r>
      <w:r w:rsidRPr="00EC7EBC">
        <w:rPr>
          <w:rFonts w:ascii="Times New Roman" w:hAnsi="Times New Roman"/>
          <w:color w:val="000000"/>
          <w:sz w:val="28"/>
          <w:szCs w:val="28"/>
          <w:lang w:val="kk-KZ"/>
        </w:rPr>
        <w:t>е мынадай инновациялық әдістер қолда</w:t>
      </w:r>
      <w:r w:rsidR="00FA5280">
        <w:rPr>
          <w:rFonts w:ascii="Times New Roman" w:hAnsi="Times New Roman"/>
          <w:color w:val="000000"/>
          <w:sz w:val="28"/>
          <w:szCs w:val="28"/>
          <w:lang w:val="kk-KZ"/>
        </w:rPr>
        <w:t>ну ұсынылады</w:t>
      </w:r>
      <w:r w:rsidRPr="00EC7EBC">
        <w:rPr>
          <w:rFonts w:ascii="Times New Roman" w:hAnsi="Times New Roman"/>
          <w:color w:val="000000"/>
          <w:sz w:val="28"/>
          <w:szCs w:val="28"/>
          <w:lang w:val="kk-KZ"/>
        </w:rPr>
        <w:t xml:space="preserve">: </w:t>
      </w:r>
    </w:p>
    <w:p w14:paraId="31EDF67A" w14:textId="1411F86A" w:rsidR="00EC7EBC" w:rsidRPr="00EC7EBC" w:rsidRDefault="00EC7EBC" w:rsidP="0097172E">
      <w:pPr>
        <w:pStyle w:val="a5"/>
        <w:widowControl w:val="0"/>
        <w:numPr>
          <w:ilvl w:val="3"/>
          <w:numId w:val="59"/>
        </w:numPr>
        <w:tabs>
          <w:tab w:val="left" w:pos="993"/>
          <w:tab w:val="left" w:pos="1134"/>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ш</w:t>
      </w:r>
      <w:r w:rsidRPr="00EC7EBC">
        <w:rPr>
          <w:rFonts w:ascii="Times New Roman" w:hAnsi="Times New Roman"/>
          <w:color w:val="000000"/>
          <w:sz w:val="28"/>
          <w:szCs w:val="28"/>
          <w:lang w:val="kk-KZ"/>
        </w:rPr>
        <w:t xml:space="preserve">ығындар тиімділігін талдау және бағалау үшін аналитикалық құралдар мен үлкен деректерді (big data) пайдалану. Бұл бюджет қаражатын пайдаланудағы трендтерді, үлгілерді және ауытқуларды анықтауға, сондай-ақ ең тиімді және тиімсіз бағдарламалар мен жобаларды анықтауға мүмкіндік береді. </w:t>
      </w:r>
    </w:p>
    <w:p w14:paraId="01FF09C4" w14:textId="43535249" w:rsidR="00EC7EBC" w:rsidRPr="00EC7EBC" w:rsidRDefault="00EC7EBC" w:rsidP="0097172E">
      <w:pPr>
        <w:pStyle w:val="a5"/>
        <w:widowControl w:val="0"/>
        <w:numPr>
          <w:ilvl w:val="3"/>
          <w:numId w:val="59"/>
        </w:numPr>
        <w:tabs>
          <w:tab w:val="left" w:pos="993"/>
          <w:tab w:val="left" w:pos="1134"/>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т</w:t>
      </w:r>
      <w:r w:rsidRPr="00EC7EBC">
        <w:rPr>
          <w:rFonts w:ascii="Times New Roman" w:hAnsi="Times New Roman"/>
          <w:color w:val="000000"/>
          <w:sz w:val="28"/>
          <w:szCs w:val="28"/>
          <w:lang w:val="kk-KZ"/>
        </w:rPr>
        <w:t xml:space="preserve">әуекелдерді бағалау модельдері мен әдістерін қолдану. Аудиторлар бюджет қаражатын пайдаланумен байланысты ықтимал қауіптер мен мүмкіндіктерді анықтау үшін оқиғаларды талдау және желілік талдау сияқты тәуекелдерді бағалаудың инновациялық үлгілерін пайдалана алады. </w:t>
      </w:r>
    </w:p>
    <w:p w14:paraId="10A607EE" w14:textId="07742D53" w:rsidR="00EC7EBC" w:rsidRPr="00EC7EBC" w:rsidRDefault="00EC7EBC" w:rsidP="0097172E">
      <w:pPr>
        <w:pStyle w:val="a5"/>
        <w:widowControl w:val="0"/>
        <w:numPr>
          <w:ilvl w:val="3"/>
          <w:numId w:val="59"/>
        </w:numPr>
        <w:tabs>
          <w:tab w:val="left" w:pos="993"/>
          <w:tab w:val="left" w:pos="1134"/>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ж</w:t>
      </w:r>
      <w:r w:rsidRPr="00EC7EBC">
        <w:rPr>
          <w:rFonts w:ascii="Times New Roman" w:hAnsi="Times New Roman"/>
          <w:color w:val="000000"/>
          <w:sz w:val="28"/>
          <w:szCs w:val="28"/>
          <w:lang w:val="kk-KZ"/>
        </w:rPr>
        <w:t>асанды интеллект (AI) және машиналық оқыту технологияларын қолдану. AI және машиналық оқытуды қолдану аудит және деректерді талдау процестерін автоматтандыруға, бюджет қаражатының тиімділігін бағалаудың дәлдігін жеделдетуге және арттыруға мүмкіндік береді.</w:t>
      </w:r>
    </w:p>
    <w:p w14:paraId="0CEE7BE0" w14:textId="1CEFBA87" w:rsidR="00EC7EBC" w:rsidRPr="00EC7EBC" w:rsidRDefault="00EC7EBC" w:rsidP="0097172E">
      <w:pPr>
        <w:pStyle w:val="a5"/>
        <w:widowControl w:val="0"/>
        <w:numPr>
          <w:ilvl w:val="3"/>
          <w:numId w:val="59"/>
        </w:numPr>
        <w:tabs>
          <w:tab w:val="left" w:pos="993"/>
          <w:tab w:val="left" w:pos="1134"/>
          <w:tab w:val="left" w:pos="1605"/>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lang w:val="kk-KZ"/>
        </w:rPr>
        <w:t>м</w:t>
      </w:r>
      <w:r w:rsidRPr="00EC7EBC">
        <w:rPr>
          <w:rFonts w:ascii="Times New Roman" w:hAnsi="Times New Roman"/>
          <w:color w:val="000000"/>
          <w:sz w:val="28"/>
          <w:szCs w:val="28"/>
        </w:rPr>
        <w:t xml:space="preserve">ониторинг және бақылау үшін цифрлық технологияларды енгізу. Бухгалтерлік есеп және есеп беру жүйелері, электрондық платформалар және бақылау жүйелері сияқты цифрлық технологияларды қолдану бюджет қаражатын пайдалануды тиімдірек бақылауға мүмкіндік береді. </w:t>
      </w:r>
    </w:p>
    <w:p w14:paraId="58804894" w14:textId="15581E79" w:rsidR="00EC7EBC" w:rsidRPr="00EC7EBC" w:rsidRDefault="00EC7EBC" w:rsidP="0097172E">
      <w:pPr>
        <w:pStyle w:val="a5"/>
        <w:widowControl w:val="0"/>
        <w:numPr>
          <w:ilvl w:val="3"/>
          <w:numId w:val="59"/>
        </w:numPr>
        <w:tabs>
          <w:tab w:val="left" w:pos="993"/>
          <w:tab w:val="left" w:pos="1134"/>
          <w:tab w:val="left" w:pos="1605"/>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lang w:val="kk-KZ"/>
        </w:rPr>
        <w:t>а</w:t>
      </w:r>
      <w:r w:rsidRPr="00EC7EBC">
        <w:rPr>
          <w:rFonts w:ascii="Times New Roman" w:hAnsi="Times New Roman"/>
          <w:color w:val="000000"/>
          <w:sz w:val="28"/>
          <w:szCs w:val="28"/>
        </w:rPr>
        <w:t xml:space="preserve">удиторлық роботтар мен автоматтандырылған жүйелерді қолдану. Аудиторлық роботтар мен автоматтандырылған жүйелер деректерді жылдам әрі дәл талдауға, сондай-ақ бюджет қаражатын пайдаланудағы бұзушылықтар мен сәйкессіздіктерді анықтауға мүмкіндік береді. </w:t>
      </w:r>
    </w:p>
    <w:p w14:paraId="4C06C87A" w14:textId="341303A9" w:rsidR="00EC7EBC" w:rsidRPr="00EC7EBC" w:rsidRDefault="00EC7EBC" w:rsidP="00457CE9">
      <w:pPr>
        <w:pStyle w:val="a5"/>
        <w:widowControl w:val="0"/>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sidRPr="00EC7EBC">
        <w:rPr>
          <w:rFonts w:ascii="Times New Roman" w:hAnsi="Times New Roman"/>
          <w:color w:val="000000"/>
          <w:sz w:val="28"/>
          <w:szCs w:val="28"/>
        </w:rPr>
        <w:t>Бюджет қаражатының тиімділігі аудитіне осы инновациялық әдістерді енгізу аудиторлық жұмыстың сапасы мен тиімділігін арттыруға, сондай-ақ Агроөнеркәсіптік кешенде бюджет қаражатын пайдалану тиімділігін неғұрлым дәл және объективті бағалауды қамтамасыз етуге көмектеседі.</w:t>
      </w:r>
    </w:p>
    <w:p w14:paraId="3DAD9549" w14:textId="77777777" w:rsidR="00F15E51" w:rsidRPr="00EC7EBC" w:rsidRDefault="00F15E51" w:rsidP="00457CE9">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p>
    <w:p w14:paraId="3F777707" w14:textId="6F708A35" w:rsidR="00022F6A" w:rsidRPr="00B54645" w:rsidRDefault="00022F6A" w:rsidP="00457CE9">
      <w:pPr>
        <w:tabs>
          <w:tab w:val="left" w:pos="851"/>
          <w:tab w:val="left" w:pos="1605"/>
        </w:tabs>
        <w:spacing w:after="0" w:line="240" w:lineRule="auto"/>
        <w:ind w:firstLine="709"/>
        <w:jc w:val="both"/>
        <w:rPr>
          <w:rFonts w:ascii="Times New Roman" w:hAnsi="Times New Roman" w:cs="Times New Roman"/>
          <w:b/>
          <w:sz w:val="28"/>
          <w:szCs w:val="28"/>
          <w:lang w:val="kk-KZ"/>
        </w:rPr>
      </w:pPr>
      <w:r w:rsidRPr="00EC7EBC">
        <w:rPr>
          <w:rFonts w:ascii="Times New Roman" w:hAnsi="Times New Roman" w:cs="Times New Roman"/>
          <w:b/>
          <w:sz w:val="28"/>
          <w:szCs w:val="28"/>
          <w:lang w:val="kk-KZ"/>
        </w:rPr>
        <w:t xml:space="preserve">3.2 </w:t>
      </w:r>
      <w:r w:rsidR="00575788">
        <w:rPr>
          <w:rFonts w:ascii="Times New Roman" w:hAnsi="Times New Roman" w:cs="Times New Roman"/>
          <w:b/>
          <w:sz w:val="28"/>
          <w:szCs w:val="28"/>
          <w:lang w:val="kk-KZ"/>
        </w:rPr>
        <w:t>АӨК-н</w:t>
      </w:r>
      <w:r w:rsidR="00647B71" w:rsidRPr="00EC7EBC">
        <w:rPr>
          <w:rFonts w:ascii="Times New Roman" w:hAnsi="Times New Roman" w:cs="Times New Roman"/>
          <w:b/>
          <w:sz w:val="28"/>
          <w:szCs w:val="28"/>
          <w:lang w:val="kk-KZ"/>
        </w:rPr>
        <w:t xml:space="preserve"> дамытуға бағытталған бюджет қаражатының тиімділік аудитін ұйымдастыруда</w:t>
      </w:r>
      <w:r w:rsidR="00647B71" w:rsidRPr="00B54645">
        <w:rPr>
          <w:rFonts w:ascii="Times New Roman" w:hAnsi="Times New Roman" w:cs="Times New Roman"/>
          <w:b/>
          <w:sz w:val="28"/>
          <w:szCs w:val="28"/>
          <w:lang w:val="kk-KZ"/>
        </w:rPr>
        <w:t xml:space="preserve"> иерархиялық талдау моделін колдану</w:t>
      </w:r>
    </w:p>
    <w:p w14:paraId="3BFF0B42" w14:textId="20850897" w:rsidR="00E6238A" w:rsidRPr="00457CE9" w:rsidRDefault="00E6238A"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ҚР АӨК дамыту аудитін жүргізу бойынша әдіснамалық басшылықты зерттеу барысында негізгі бағыттарды толық қамтымау, аудит бағыттары бойынша арнайы критерийлердің болмауы және т. б. сияқты кемшіліктер анықталды. ҚР АӨК дамытуға бюджет қаражаты мемлекеттік, ұлттық жобалар арқылы жұмсалады, сондықтан біздің ойымызша аудит жүргізу кезінде қолданылатын бағдарламалар мен жобалардың тиімділігін бағалау әдістемесі қажет, бұл </w:t>
      </w:r>
      <w:r w:rsidR="00CC58B4" w:rsidRPr="00457CE9">
        <w:rPr>
          <w:rFonts w:ascii="Times New Roman" w:hAnsi="Times New Roman" w:cs="Times New Roman"/>
          <w:sz w:val="28"/>
          <w:szCs w:val="28"/>
          <w:lang w:val="kk-KZ"/>
        </w:rPr>
        <w:t>өз кезегінде</w:t>
      </w:r>
      <w:r w:rsidRPr="00457CE9">
        <w:rPr>
          <w:rFonts w:ascii="Times New Roman" w:hAnsi="Times New Roman" w:cs="Times New Roman"/>
          <w:sz w:val="28"/>
          <w:szCs w:val="28"/>
          <w:lang w:val="kk-KZ"/>
        </w:rPr>
        <w:t xml:space="preserve"> дамытуға бағытталған шаралардың жеткіліктілігін бағалауға мүмкіндік береді.</w:t>
      </w:r>
    </w:p>
    <w:p w14:paraId="72C23ADF" w14:textId="792C38D7" w:rsidR="00647B71" w:rsidRPr="00457CE9" w:rsidRDefault="00647B71"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АӨК дамытуға бағытталған бюджет қаражатын пайдаланудың тиімділігін көпкритериалды бағалау әдістемесі қажет. АӨК дамытуға бағытталған бюджет қаражатының тиімділігін бағалауды ауыл шаруашылығына салынған инвестицияларды пайдалану тиімділігін бағалау көрсеткіштерінен бастаған жөн. Ұлттық жобада анықталған әр тапсырма бойынша қойылған тікелей және қорытынды өлшенетін көрсеткіштердің эталондық критерийін белгілеп алған жөн. Критерийдің эталондық нұсқасы критерийдің ең жақсы көрсеткішін көрсетеді, тиімділік аудитін жүргізу барысында осы көрсеткіштен ауытқуын анықтай отырып, оған қандай фактор кері әсерін тигізгенін, қандай фактор жағымды әсер еткенін анықтай отырып ұсыныстар мен қорытынды беруге болады.</w:t>
      </w:r>
      <w:r w:rsidR="0055710E" w:rsidRPr="0055710E">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ҚР АӨК дамытуға бағытталған бюджет қаражатының тиімділігін бағалауда дәстүрлі аудиторлық рәсімдер, мәселен жоспарлы көрсеткіштерді нақты көрсеткіштермен салыстыру, игерілген бюджет қаражатының көлемі, нақты қол жеткізілген көрсеткіштер, орындалған тапсырмаларды салыстыру және оған талдау жасау арқылы, яғни, мемлекеттік аудитордың кәсіби пікірі негізінде жүргізіліп келеді. Алайда ҚР АӨК дамытуға жоспарланған бағдарламалар мен ұлттық жобалардың мақсаты, міндеттері, көрсеткіштері мен іс-шаралары жоспарланғандықтан, олардың әр қайсысының қойылған мақсатқа жетуге әсерін бағалаудың математикалық моделі қажет болуда.</w:t>
      </w:r>
    </w:p>
    <w:p w14:paraId="20597580" w14:textId="5433553F" w:rsidR="00647B71" w:rsidRPr="00457CE9" w:rsidRDefault="00647B71"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Мемлекеттік қолдау механизмдерін жасап ұсынатын орталық мемлекеттік орган, яғни, ҚР Ауыл шаруашылық министрлігінің қаншалықты тиімді, әсерлі мемлекеттік қолдау түрлерін іске асыру тиімділігін де бағалау қажет, мұндай мемлекеттік мекеме бюджет қаражаты есебінен қаржыландырылатындықтан оның қызметінің тиімділігін бағалау критерийлерін ұсыну қажет</w:t>
      </w:r>
      <w:r w:rsidR="00EF5DE6">
        <w:rPr>
          <w:rFonts w:ascii="Times New Roman" w:hAnsi="Times New Roman" w:cs="Times New Roman"/>
          <w:sz w:val="28"/>
          <w:szCs w:val="28"/>
          <w:lang w:val="kk-KZ"/>
        </w:rPr>
        <w:t xml:space="preserve"> </w:t>
      </w:r>
      <w:r w:rsidR="00EF5DE6" w:rsidRPr="00EF5DE6">
        <w:rPr>
          <w:rFonts w:ascii="Times New Roman" w:hAnsi="Times New Roman" w:cs="Times New Roman"/>
          <w:sz w:val="28"/>
          <w:szCs w:val="28"/>
          <w:lang w:val="kk-KZ"/>
        </w:rPr>
        <w:t>[1</w:t>
      </w:r>
      <w:r w:rsidR="009D4A99" w:rsidRPr="009D4A99">
        <w:rPr>
          <w:rFonts w:ascii="Times New Roman" w:hAnsi="Times New Roman" w:cs="Times New Roman"/>
          <w:sz w:val="28"/>
          <w:szCs w:val="28"/>
          <w:lang w:val="kk-KZ"/>
        </w:rPr>
        <w:t>11</w:t>
      </w:r>
      <w:r w:rsidR="000314F9">
        <w:rPr>
          <w:rFonts w:ascii="Times New Roman" w:hAnsi="Times New Roman" w:cs="Times New Roman"/>
          <w:sz w:val="28"/>
          <w:szCs w:val="28"/>
          <w:lang w:val="kk-KZ"/>
        </w:rPr>
        <w:t>, р. 604</w:t>
      </w:r>
      <w:r w:rsidR="00EF5DE6" w:rsidRPr="00EF5DE6">
        <w:rPr>
          <w:rFonts w:ascii="Times New Roman" w:hAnsi="Times New Roman" w:cs="Times New Roman"/>
          <w:sz w:val="28"/>
          <w:szCs w:val="28"/>
          <w:lang w:val="kk-KZ"/>
        </w:rPr>
        <w:t>]</w:t>
      </w:r>
      <w:r w:rsidRPr="00457CE9">
        <w:rPr>
          <w:rFonts w:ascii="Times New Roman" w:hAnsi="Times New Roman" w:cs="Times New Roman"/>
          <w:sz w:val="28"/>
          <w:szCs w:val="28"/>
          <w:lang w:val="kk-KZ"/>
        </w:rPr>
        <w:t>.</w:t>
      </w:r>
    </w:p>
    <w:p w14:paraId="6E3DDD51" w14:textId="50724F4E" w:rsidR="00647B71" w:rsidRPr="00457CE9" w:rsidRDefault="00647B71" w:rsidP="00457CE9">
      <w:pPr>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Мемлекеттік қолдау түрлері мен оларды іске асыру механизмдерінің қаншалықты тиімді екенін анықтау үшін, мемлекеттік қолдау алған ауыл шаруашылық өндірушілер қандай көлемде және қандай түрін алғанын, ол мемлекеттік қолдаудың қаншалықты оның қаржылық нәтиже көрсеткіштеріне әсер еткенін анықтау қажет. Мемлекеттік қолдаудың барлық ауыл шаруашылық өндірушілердің әділдік қағидасына сәйкес әділ бөлінуін бағалау әдістемесі қажет. Ең алдымен мемлекеттік қолдау алған ауыл шаруашылық тауар өндірушілер санын, алған қолдаудың ақшалай көлемі, және басқа да қолдау түрлері бойынша статистикалық есебін жүргізу қажет. </w:t>
      </w:r>
    </w:p>
    <w:p w14:paraId="566060CA" w14:textId="3CC4AD21" w:rsidR="00647B71" w:rsidRPr="00457CE9" w:rsidRDefault="00647B71" w:rsidP="002839F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Диссертациялық жұмыста ҚР </w:t>
      </w:r>
      <w:r w:rsidR="00575788">
        <w:rPr>
          <w:rFonts w:ascii="Times New Roman" w:hAnsi="Times New Roman" w:cs="Times New Roman"/>
          <w:sz w:val="28"/>
          <w:szCs w:val="28"/>
          <w:lang w:val="kk-KZ"/>
        </w:rPr>
        <w:t>АӨК-н</w:t>
      </w:r>
      <w:r w:rsidRPr="00457CE9">
        <w:rPr>
          <w:rFonts w:ascii="Times New Roman" w:hAnsi="Times New Roman" w:cs="Times New Roman"/>
          <w:sz w:val="28"/>
          <w:szCs w:val="28"/>
          <w:lang w:val="kk-KZ"/>
        </w:rPr>
        <w:t xml:space="preserve"> 2017-2021 жж. аралығында дамытуға пайдаланылған бюджет қаражатының тиімділігін тәуелсіз бағалау мақсатында мемлекеттік бағдарламаның нысаналы индикаторларын талдау барысында бағдарлама мақсатына жету үшін негізгі тоғыз міндеттерден, әрбір міндетті іске асыру әртүрлі көрсеткіштерден және іс-шаралардан тұратындықтан, яғни, үш деңгейлі иерархиялық талдау моделі пайдаланылды. </w:t>
      </w:r>
    </w:p>
    <w:p w14:paraId="4A6E02AB" w14:textId="79AC87A9" w:rsidR="00647B71" w:rsidRDefault="00647B71" w:rsidP="002839F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Математикалық модель ретінде: </w:t>
      </w:r>
    </w:p>
    <w:p w14:paraId="72141771" w14:textId="77777777" w:rsidR="00B54645" w:rsidRPr="0055710E" w:rsidRDefault="00B54645" w:rsidP="00457CE9">
      <w:pPr>
        <w:spacing w:after="0" w:line="240" w:lineRule="auto"/>
        <w:jc w:val="both"/>
        <w:rPr>
          <w:rFonts w:ascii="Times New Roman" w:hAnsi="Times New Roman" w:cs="Times New Roman"/>
          <w:sz w:val="16"/>
          <w:szCs w:val="16"/>
          <w:lang w:val="en-US"/>
        </w:rPr>
      </w:pPr>
    </w:p>
    <w:p w14:paraId="54CD0C99" w14:textId="77777777" w:rsidR="00647B71" w:rsidRPr="00457CE9" w:rsidRDefault="00647B71" w:rsidP="00457CE9">
      <w:pPr>
        <w:spacing w:after="0" w:line="240" w:lineRule="auto"/>
        <w:jc w:val="both"/>
        <w:rPr>
          <w:rFonts w:ascii="Times New Roman" w:eastAsiaTheme="minorEastAsia" w:hAnsi="Times New Roman" w:cs="Times New Roman"/>
          <w:sz w:val="32"/>
          <w:lang w:val="en-US"/>
        </w:rPr>
      </w:pPr>
      <m:oMathPara>
        <m:oMath>
          <m:r>
            <w:rPr>
              <w:rFonts w:ascii="Cambria Math" w:hAnsi="Cambria Math" w:cs="Times New Roman"/>
              <w:sz w:val="32"/>
              <w:lang w:val="en-US"/>
            </w:rPr>
            <m:t>Ax=λx,</m:t>
          </m:r>
        </m:oMath>
      </m:oMathPara>
    </w:p>
    <w:p w14:paraId="12556BC5" w14:textId="77777777" w:rsidR="00B54645" w:rsidRPr="0055710E" w:rsidRDefault="00B54645" w:rsidP="00457CE9">
      <w:pPr>
        <w:spacing w:after="0" w:line="240" w:lineRule="auto"/>
        <w:ind w:firstLine="708"/>
        <w:jc w:val="both"/>
        <w:rPr>
          <w:rFonts w:ascii="Times New Roman" w:eastAsiaTheme="minorEastAsia" w:hAnsi="Times New Roman" w:cs="Times New Roman"/>
          <w:sz w:val="16"/>
          <w:szCs w:val="16"/>
          <w:lang w:val="kk-KZ"/>
        </w:rPr>
      </w:pPr>
    </w:p>
    <w:p w14:paraId="325B2E14" w14:textId="7E08CA30" w:rsidR="00647B71" w:rsidRPr="00457CE9" w:rsidRDefault="00647B71" w:rsidP="00B54645">
      <w:pPr>
        <w:spacing w:after="0" w:line="240" w:lineRule="auto"/>
        <w:jc w:val="both"/>
        <w:rPr>
          <w:rFonts w:ascii="Times New Roman" w:eastAsiaTheme="minorHAnsi" w:hAnsi="Times New Roman" w:cs="Times New Roman"/>
          <w:sz w:val="28"/>
          <w:szCs w:val="28"/>
          <w:lang w:val="kk-KZ"/>
        </w:rPr>
      </w:pPr>
      <w:r w:rsidRPr="00457CE9">
        <w:rPr>
          <w:rFonts w:ascii="Times New Roman" w:eastAsiaTheme="minorEastAsia" w:hAnsi="Times New Roman" w:cs="Times New Roman"/>
          <w:sz w:val="28"/>
          <w:szCs w:val="28"/>
          <w:lang w:val="kk-KZ"/>
        </w:rPr>
        <w:t xml:space="preserve">мұнда </w:t>
      </w:r>
      <m:oMath>
        <m:r>
          <w:rPr>
            <w:rFonts w:ascii="Cambria Math" w:hAnsi="Cambria Math" w:cs="Times New Roman"/>
            <w:sz w:val="28"/>
            <w:szCs w:val="28"/>
            <w:lang w:val="kk-KZ"/>
          </w:rPr>
          <m:t>A</m:t>
        </m:r>
      </m:oMath>
      <w:r w:rsidRPr="00457CE9">
        <w:rPr>
          <w:rFonts w:ascii="Times New Roman" w:eastAsiaTheme="minorEastAsia" w:hAnsi="Times New Roman" w:cs="Times New Roman"/>
          <w:sz w:val="28"/>
          <w:szCs w:val="28"/>
          <w:lang w:val="kk-KZ"/>
        </w:rPr>
        <w:t xml:space="preserve"> операторы кері симметриялы квадраттық матрица болатын </w:t>
      </w:r>
      <w:r w:rsidRPr="00457CE9">
        <w:rPr>
          <w:rFonts w:ascii="Times New Roman" w:hAnsi="Times New Roman" w:cs="Times New Roman"/>
          <w:sz w:val="28"/>
          <w:szCs w:val="28"/>
          <w:lang w:val="kk-KZ"/>
        </w:rPr>
        <w:t>спектрлік теорияның негізгі теңдеуі қолданылады. Сонымен қатар, спектрлік теория келесі тұжырымға негізделеді.</w:t>
      </w:r>
    </w:p>
    <w:p w14:paraId="6F03885C" w14:textId="77777777" w:rsidR="00647B71" w:rsidRPr="00457CE9" w:rsidRDefault="00647B71" w:rsidP="002839FE">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hAnsi="Times New Roman" w:cs="Times New Roman"/>
          <w:bCs/>
          <w:sz w:val="28"/>
          <w:szCs w:val="28"/>
          <w:lang w:val="kk-KZ"/>
        </w:rPr>
        <w:t>Тұжырым.</w:t>
      </w:r>
      <w:r w:rsidRPr="00457CE9">
        <w:rPr>
          <w:rFonts w:ascii="Times New Roman" w:hAnsi="Times New Roman" w:cs="Times New Roman"/>
          <w:b/>
          <w:sz w:val="28"/>
          <w:szCs w:val="28"/>
          <w:lang w:val="kk-KZ"/>
        </w:rPr>
        <w:t xml:space="preserve"> </w:t>
      </w:r>
      <w:r w:rsidRPr="00457CE9">
        <w:rPr>
          <w:rFonts w:ascii="Times New Roman" w:hAnsi="Times New Roman" w:cs="Times New Roman"/>
          <w:sz w:val="28"/>
          <w:szCs w:val="28"/>
          <w:lang w:val="kk-KZ"/>
        </w:rPr>
        <w:t xml:space="preserve">Кері симметриялы </w:t>
      </w:r>
      <m:oMath>
        <m:r>
          <w:rPr>
            <w:rFonts w:ascii="Cambria Math" w:hAnsi="Cambria Math" w:cs="Times New Roman"/>
            <w:sz w:val="28"/>
            <w:szCs w:val="28"/>
            <w:lang w:val="kk-KZ"/>
          </w:rPr>
          <m:t>n</m:t>
        </m:r>
      </m:oMath>
      <w:r w:rsidRPr="00457CE9">
        <w:rPr>
          <w:rFonts w:ascii="Times New Roman" w:eastAsiaTheme="minorEastAsia" w:hAnsi="Times New Roman" w:cs="Times New Roman"/>
          <w:sz w:val="28"/>
          <w:szCs w:val="28"/>
          <w:lang w:val="kk-KZ"/>
        </w:rPr>
        <w:t xml:space="preserve"> ретті</w:t>
      </w:r>
      <w:r w:rsidRPr="00457CE9">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oMath>
      <w:r w:rsidRPr="00457CE9">
        <w:rPr>
          <w:rFonts w:ascii="Times New Roman"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квадраттық матрица берілсін. Сонда:</w:t>
      </w:r>
    </w:p>
    <w:p w14:paraId="75931C1E" w14:textId="77777777" w:rsidR="00647B71" w:rsidRPr="00457CE9" w:rsidRDefault="00647B71" w:rsidP="002839FE">
      <w:pPr>
        <w:spacing w:after="0" w:line="240" w:lineRule="auto"/>
        <w:ind w:firstLine="709"/>
        <w:jc w:val="both"/>
        <w:rPr>
          <w:rFonts w:ascii="Times New Roman" w:eastAsiaTheme="minorEastAsia" w:hAnsi="Times New Roman" w:cs="Times New Roman"/>
          <w:sz w:val="28"/>
          <w:szCs w:val="28"/>
        </w:rPr>
      </w:pPr>
      <w:r w:rsidRPr="00457CE9">
        <w:rPr>
          <w:rFonts w:ascii="Times New Roman" w:eastAsiaTheme="minorEastAsia" w:hAnsi="Times New Roman" w:cs="Times New Roman"/>
          <w:sz w:val="28"/>
          <w:szCs w:val="28"/>
        </w:rPr>
        <w:t xml:space="preserve">1) </w:t>
      </w:r>
      <w:r w:rsidRPr="00457CE9">
        <w:rPr>
          <w:rFonts w:ascii="Times New Roman" w:eastAsiaTheme="minorEastAsia" w:hAnsi="Times New Roman" w:cs="Times New Roman"/>
          <w:sz w:val="28"/>
          <w:szCs w:val="28"/>
          <w:lang w:val="kk-KZ"/>
        </w:rPr>
        <w:t xml:space="preserve">егер </w:t>
      </w: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rPr>
          <m:t>=0</m:t>
        </m:r>
      </m:oMath>
      <w:r w:rsidRPr="00457CE9">
        <w:rPr>
          <w:rFonts w:ascii="Times New Roman" w:eastAsiaTheme="minorEastAsia" w:hAnsi="Times New Roman" w:cs="Times New Roman"/>
          <w:sz w:val="28"/>
          <w:szCs w:val="28"/>
          <w:lang w:val="kk-KZ"/>
        </w:rPr>
        <w:t xml:space="preserve">, яғни матрица ерекше болса, онда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max</m:t>
            </m:r>
          </m:sub>
        </m:sSub>
        <m:r>
          <w:rPr>
            <w:rFonts w:ascii="Cambria Math" w:hAnsi="Cambria Math" w:cs="Times New Roman"/>
            <w:sz w:val="28"/>
            <w:szCs w:val="28"/>
          </w:rPr>
          <m:t>=</m:t>
        </m:r>
        <m:r>
          <w:rPr>
            <w:rFonts w:ascii="Cambria Math" w:hAnsi="Cambria Math" w:cs="Times New Roman"/>
            <w:sz w:val="28"/>
            <w:szCs w:val="28"/>
            <w:lang w:val="en-US"/>
          </w:rPr>
          <m:t>n</m:t>
        </m:r>
      </m:oMath>
      <w:r w:rsidRPr="00457CE9">
        <w:rPr>
          <w:rFonts w:ascii="Times New Roman" w:eastAsiaTheme="minorEastAsia" w:hAnsi="Times New Roman" w:cs="Times New Roman"/>
          <w:sz w:val="28"/>
          <w:szCs w:val="28"/>
        </w:rPr>
        <w:t>;</w:t>
      </w:r>
    </w:p>
    <w:p w14:paraId="27AA9DEA" w14:textId="77777777" w:rsidR="00647B71" w:rsidRPr="00457CE9" w:rsidRDefault="00647B71" w:rsidP="002839FE">
      <w:pPr>
        <w:spacing w:after="0" w:line="240" w:lineRule="auto"/>
        <w:ind w:firstLine="709"/>
        <w:jc w:val="both"/>
        <w:rPr>
          <w:rFonts w:ascii="Times New Roman" w:eastAsiaTheme="minorEastAsia" w:hAnsi="Times New Roman" w:cs="Times New Roman"/>
          <w:sz w:val="28"/>
          <w:szCs w:val="28"/>
        </w:rPr>
      </w:pPr>
      <w:r w:rsidRPr="00457CE9">
        <w:rPr>
          <w:rFonts w:ascii="Times New Roman" w:eastAsiaTheme="minorEastAsia" w:hAnsi="Times New Roman" w:cs="Times New Roman"/>
          <w:sz w:val="28"/>
          <w:szCs w:val="28"/>
        </w:rPr>
        <w:t xml:space="preserve">2) </w:t>
      </w:r>
      <w:r w:rsidRPr="00457CE9">
        <w:rPr>
          <w:rFonts w:ascii="Times New Roman" w:eastAsiaTheme="minorEastAsia" w:hAnsi="Times New Roman" w:cs="Times New Roman"/>
          <w:sz w:val="28"/>
          <w:szCs w:val="28"/>
          <w:lang w:val="kk-KZ"/>
        </w:rPr>
        <w:t xml:space="preserve">егер </w:t>
      </w: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rPr>
          <m:t>≠0</m:t>
        </m:r>
      </m:oMath>
      <w:r w:rsidRPr="00457CE9">
        <w:rPr>
          <w:rFonts w:ascii="Times New Roman" w:eastAsiaTheme="minorEastAsia" w:hAnsi="Times New Roman" w:cs="Times New Roman"/>
          <w:sz w:val="28"/>
          <w:szCs w:val="28"/>
          <w:lang w:val="kk-KZ"/>
        </w:rPr>
        <w:t xml:space="preserve">, яғни матрица ерекше болса, онда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max</m:t>
            </m:r>
          </m:sub>
        </m:sSub>
        <m:r>
          <w:rPr>
            <w:rFonts w:ascii="Cambria Math" w:hAnsi="Cambria Math" w:cs="Times New Roman"/>
            <w:sz w:val="28"/>
            <w:szCs w:val="28"/>
          </w:rPr>
          <m:t>&gt;</m:t>
        </m:r>
        <m:r>
          <w:rPr>
            <w:rFonts w:ascii="Cambria Math" w:hAnsi="Cambria Math" w:cs="Times New Roman"/>
            <w:sz w:val="28"/>
            <w:szCs w:val="28"/>
            <w:lang w:val="en-US"/>
          </w:rPr>
          <m:t>n</m:t>
        </m:r>
      </m:oMath>
      <w:r w:rsidRPr="00457CE9">
        <w:rPr>
          <w:rFonts w:ascii="Times New Roman" w:eastAsiaTheme="minorEastAsia" w:hAnsi="Times New Roman" w:cs="Times New Roman"/>
          <w:sz w:val="28"/>
          <w:szCs w:val="28"/>
        </w:rPr>
        <w:t>.</w:t>
      </w:r>
    </w:p>
    <w:p w14:paraId="5778ECF4" w14:textId="77777777" w:rsidR="00647B71" w:rsidRPr="00457CE9" w:rsidRDefault="00647B71" w:rsidP="002839FE">
      <w:pPr>
        <w:spacing w:after="0" w:line="240" w:lineRule="auto"/>
        <w:ind w:firstLine="709"/>
        <w:jc w:val="both"/>
        <w:rPr>
          <w:rFonts w:ascii="Times New Roman" w:eastAsiaTheme="minorHAnsi" w:hAnsi="Times New Roman" w:cs="Times New Roman"/>
          <w:sz w:val="28"/>
          <w:szCs w:val="28"/>
          <w:lang w:val="kk-KZ"/>
        </w:rPr>
      </w:pPr>
      <w:r w:rsidRPr="00457CE9">
        <w:rPr>
          <w:rFonts w:ascii="Times New Roman" w:hAnsi="Times New Roman" w:cs="Times New Roman"/>
          <w:sz w:val="28"/>
          <w:szCs w:val="28"/>
          <w:lang w:val="kk-KZ"/>
        </w:rPr>
        <w:t>Модельде АӨК дамытудың нысаналы индикаторлары «Альтернативалар» деп аталып, эксперттер альтернативаларды олардан жоғары тұратын деңгейлерге «әсері басымдылық» тұрғыдан әр индикаторы яғни, альтернативалары өзара салыстырылып, әр іс-әрекетке көрсеткішке әсері бағаланады. Бұл бағаланулар кем дегенде екі түрлі форматтарда жүргізіледі. Біріншісі, сандық емес сапалық бағалаулар, олар:</w:t>
      </w:r>
    </w:p>
    <w:p w14:paraId="55272967" w14:textId="651A8A50" w:rsidR="00647B71" w:rsidRPr="00457CE9" w:rsidRDefault="00647B71" w:rsidP="0097172E">
      <w:pPr>
        <w:pStyle w:val="a5"/>
        <w:numPr>
          <w:ilvl w:val="0"/>
          <w:numId w:val="4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«Эквивалентті» - 1</w:t>
      </w:r>
      <w:r w:rsidR="002839FE">
        <w:rPr>
          <w:rFonts w:ascii="Times New Roman" w:hAnsi="Times New Roman"/>
          <w:sz w:val="28"/>
          <w:szCs w:val="28"/>
          <w:lang w:val="kk-KZ"/>
        </w:rPr>
        <w:t>.</w:t>
      </w:r>
    </w:p>
    <w:p w14:paraId="5A6C294F" w14:textId="14E93E17" w:rsidR="00647B71" w:rsidRPr="00457CE9" w:rsidRDefault="00647B71" w:rsidP="0097172E">
      <w:pPr>
        <w:pStyle w:val="a5"/>
        <w:numPr>
          <w:ilvl w:val="0"/>
          <w:numId w:val="4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«Орташа басымды» - 3</w:t>
      </w:r>
      <w:r w:rsidR="002839FE">
        <w:rPr>
          <w:rFonts w:ascii="Times New Roman" w:hAnsi="Times New Roman"/>
          <w:sz w:val="28"/>
          <w:szCs w:val="28"/>
          <w:lang w:val="kk-KZ"/>
        </w:rPr>
        <w:t>.</w:t>
      </w:r>
    </w:p>
    <w:p w14:paraId="0279B430" w14:textId="34A6A51B" w:rsidR="00647B71" w:rsidRPr="00457CE9" w:rsidRDefault="00647B71" w:rsidP="0097172E">
      <w:pPr>
        <w:pStyle w:val="a5"/>
        <w:numPr>
          <w:ilvl w:val="0"/>
          <w:numId w:val="4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«Күшті басымды» - 5</w:t>
      </w:r>
      <w:r w:rsidR="002839FE">
        <w:rPr>
          <w:rFonts w:ascii="Times New Roman" w:hAnsi="Times New Roman"/>
          <w:sz w:val="28"/>
          <w:szCs w:val="28"/>
          <w:lang w:val="kk-KZ"/>
        </w:rPr>
        <w:t>.</w:t>
      </w:r>
    </w:p>
    <w:p w14:paraId="12024BEA" w14:textId="691B1091" w:rsidR="00647B71" w:rsidRPr="00457CE9" w:rsidRDefault="00647B71" w:rsidP="0097172E">
      <w:pPr>
        <w:pStyle w:val="a5"/>
        <w:numPr>
          <w:ilvl w:val="0"/>
          <w:numId w:val="4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«Мағыналы басымды» - 7</w:t>
      </w:r>
      <w:r w:rsidR="002839FE">
        <w:rPr>
          <w:rFonts w:ascii="Times New Roman" w:hAnsi="Times New Roman"/>
          <w:sz w:val="28"/>
          <w:szCs w:val="28"/>
          <w:lang w:val="kk-KZ"/>
        </w:rPr>
        <w:t>.</w:t>
      </w:r>
    </w:p>
    <w:p w14:paraId="7D270581" w14:textId="77777777" w:rsidR="00647B71" w:rsidRPr="00457CE9" w:rsidRDefault="00647B71" w:rsidP="0097172E">
      <w:pPr>
        <w:pStyle w:val="a5"/>
        <w:numPr>
          <w:ilvl w:val="0"/>
          <w:numId w:val="47"/>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«Абсолютті басымды» - 9.</w:t>
      </w:r>
    </w:p>
    <w:p w14:paraId="5D0B313A" w14:textId="77777777" w:rsidR="00647B71" w:rsidRPr="00457CE9" w:rsidRDefault="00647B71" w:rsidP="002839F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Бұл жағдайда тұжырымдағы 2) жағдай орынды болады. Сәйкесінше, бағалауда қателік пайда болады. </w:t>
      </w:r>
    </w:p>
    <w:p w14:paraId="116C7895" w14:textId="77777777" w:rsidR="00647B71" w:rsidRDefault="00647B71" w:rsidP="002839F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Екіншісі, сандық бағалаулар:</w:t>
      </w:r>
    </w:p>
    <w:p w14:paraId="095A9EEF" w14:textId="77777777" w:rsidR="00647B71" w:rsidRPr="00457CE9" w:rsidRDefault="0097172E" w:rsidP="00457CE9">
      <w:pPr>
        <w:spacing w:after="0" w:line="24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n</m:t>
              </m:r>
            </m:sub>
          </m:sSub>
          <m:r>
            <w:rPr>
              <w:rFonts w:ascii="Cambria Math" w:eastAsiaTheme="minorEastAsia" w:hAnsi="Cambria Math" w:cs="Times New Roman"/>
              <w:sz w:val="28"/>
              <w:szCs w:val="28"/>
              <w:lang w:val="kk-KZ"/>
            </w:rPr>
            <m:t>.</m:t>
          </m:r>
        </m:oMath>
      </m:oMathPara>
    </w:p>
    <w:p w14:paraId="1AE63404" w14:textId="77777777" w:rsidR="00B54645" w:rsidRPr="00FA5280" w:rsidRDefault="00B54645" w:rsidP="00457CE9">
      <w:pPr>
        <w:spacing w:after="0" w:line="240" w:lineRule="auto"/>
        <w:ind w:firstLine="708"/>
        <w:jc w:val="both"/>
        <w:rPr>
          <w:rFonts w:ascii="Times New Roman" w:eastAsiaTheme="minorEastAsia" w:hAnsi="Times New Roman" w:cs="Times New Roman"/>
          <w:sz w:val="16"/>
          <w:szCs w:val="16"/>
          <w:lang w:val="kk-KZ"/>
        </w:rPr>
      </w:pPr>
    </w:p>
    <w:p w14:paraId="50FC938E"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Жұмыста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i</m:t>
            </m:r>
          </m:sub>
        </m:sSub>
      </m:oMath>
      <w:r w:rsidRPr="00457CE9">
        <w:rPr>
          <w:rFonts w:ascii="Times New Roman" w:eastAsiaTheme="minorEastAsia" w:hAnsi="Times New Roman" w:cs="Times New Roman"/>
          <w:sz w:val="28"/>
          <w:szCs w:val="28"/>
          <w:lang w:val="kk-KZ"/>
        </w:rPr>
        <w:t xml:space="preserve"> проценттік көрсеткіштерде анықталады. Сонымен қатар, </w:t>
      </w:r>
      <m:oMath>
        <m:r>
          <w:rPr>
            <w:rFonts w:ascii="Cambria Math" w:hAnsi="Cambria Math" w:cs="Times New Roman"/>
            <w:sz w:val="28"/>
            <w:szCs w:val="28"/>
            <w:lang w:val="kk-KZ"/>
          </w:rPr>
          <m:t>A</m:t>
        </m:r>
      </m:oMath>
      <w:r w:rsidRPr="00457CE9">
        <w:rPr>
          <w:rFonts w:ascii="Times New Roman"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квадраттық матрица «Жұптап салыстыру матрицасы» деп аталады және нәтижелі көрсеткіштер, іс</w:t>
      </w:r>
      <w:r w:rsidRPr="00457CE9">
        <w:rPr>
          <w:rFonts w:ascii="Times New Roman" w:hAnsi="Times New Roman" w:cs="Times New Roman"/>
          <w:sz w:val="28"/>
          <w:szCs w:val="28"/>
          <w:lang w:val="kk-KZ"/>
        </w:rPr>
        <w:t xml:space="preserve">-шаралар және альтернативалар өзара салыстырылып, бағаланғанда кері симметриялы </w:t>
      </w:r>
      <w:r w:rsidRPr="00457CE9">
        <w:rPr>
          <w:rFonts w:ascii="Times New Roman" w:eastAsiaTheme="minorEastAsia" w:hAnsi="Times New Roman" w:cs="Times New Roman"/>
          <w:sz w:val="28"/>
          <w:szCs w:val="28"/>
          <w:lang w:val="kk-KZ"/>
        </w:rPr>
        <w:t>квадраттық матрица болып табылады:</w:t>
      </w:r>
    </w:p>
    <w:p w14:paraId="04B59FCE" w14:textId="77777777" w:rsidR="00647B71" w:rsidRPr="00FA5280" w:rsidRDefault="00647B71" w:rsidP="00457CE9">
      <w:pPr>
        <w:spacing w:after="0" w:line="240" w:lineRule="auto"/>
        <w:ind w:firstLine="708"/>
        <w:jc w:val="both"/>
        <w:rPr>
          <w:rFonts w:ascii="Times New Roman" w:eastAsiaTheme="minorEastAsia" w:hAnsi="Times New Roman" w:cs="Times New Roman"/>
          <w:sz w:val="16"/>
          <w:szCs w:val="16"/>
          <w:lang w:val="kk-KZ"/>
        </w:rPr>
      </w:pPr>
    </w:p>
    <w:p w14:paraId="46C066EB"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A=</m:t>
          </m:r>
          <m:d>
            <m:dPr>
              <m:ctrlPr>
                <w:rPr>
                  <w:rFonts w:ascii="Cambria Math" w:eastAsiaTheme="minorEastAsia" w:hAnsi="Cambria Math" w:cs="Times New Roman"/>
                  <w:i/>
                  <w:sz w:val="28"/>
                  <w:szCs w:val="28"/>
                  <w:lang w:val="kk-KZ"/>
                </w:rPr>
              </m:ctrlPr>
            </m:dPr>
            <m:e>
              <m:m>
                <m:mPr>
                  <m:mcs>
                    <m:mc>
                      <m:mcPr>
                        <m:count m:val="2"/>
                        <m:mcJc m:val="center"/>
                      </m:mcPr>
                    </m:mc>
                  </m:mcs>
                  <m:ctrlPr>
                    <w:rPr>
                      <w:rFonts w:ascii="Cambria Math" w:eastAsiaTheme="minorEastAsia" w:hAnsi="Cambria Math" w:cs="Times New Roman"/>
                      <w:i/>
                      <w:sz w:val="28"/>
                      <w:szCs w:val="28"/>
                      <w:lang w:val="kk-KZ"/>
                    </w:rPr>
                  </m:ctrlPr>
                </m:mPr>
                <m:mr>
                  <m:e>
                    <m:r>
                      <w:rPr>
                        <w:rFonts w:ascii="Cambria Math" w:eastAsiaTheme="minorEastAsia" w:hAnsi="Cambria Math" w:cs="Times New Roman"/>
                        <w:sz w:val="28"/>
                        <w:szCs w:val="28"/>
                        <w:lang w:val="kk-KZ"/>
                      </w:rPr>
                      <m:t>1</m:t>
                    </m:r>
                  </m:e>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12</m:t>
                        </m:r>
                      </m:sub>
                    </m:sSub>
                  </m:e>
                </m:mr>
                <m:mr>
                  <m:e>
                    <m:r>
                      <w:rPr>
                        <w:rFonts w:ascii="Cambria Math" w:eastAsiaTheme="minorEastAsia" w:hAnsi="Cambria Math" w:cs="Times New Roman"/>
                        <w:sz w:val="28"/>
                        <w:szCs w:val="28"/>
                        <w:lang w:val="kk-KZ"/>
                      </w:rPr>
                      <m:t>1/</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12</m:t>
                        </m:r>
                      </m:sub>
                    </m:sSub>
                  </m:e>
                  <m:e>
                    <m:r>
                      <w:rPr>
                        <w:rFonts w:ascii="Cambria Math" w:eastAsiaTheme="minorEastAsia" w:hAnsi="Cambria Math" w:cs="Times New Roman"/>
                        <w:sz w:val="28"/>
                        <w:szCs w:val="28"/>
                        <w:lang w:val="kk-KZ"/>
                      </w:rPr>
                      <m:t>1</m:t>
                    </m:r>
                  </m:e>
                </m:mr>
                <m:mr>
                  <m:e>
                    <m:m>
                      <m:mPr>
                        <m:mcs>
                          <m:mc>
                            <m:mcPr>
                              <m:count m:val="1"/>
                              <m:mcJc m:val="center"/>
                            </m:mcPr>
                          </m:mc>
                        </m:mcs>
                        <m:ctrlPr>
                          <w:rPr>
                            <w:rFonts w:ascii="Cambria Math" w:eastAsiaTheme="minorEastAsia" w:hAnsi="Cambria Math" w:cs="Times New Roman"/>
                            <w:i/>
                            <w:sz w:val="28"/>
                            <w:szCs w:val="28"/>
                            <w:lang w:val="kk-KZ"/>
                          </w:rPr>
                        </m:ctrlPr>
                      </m:mPr>
                      <m:mr>
                        <m:e>
                          <m:r>
                            <w:rPr>
                              <w:rFonts w:ascii="Cambria Math" w:eastAsiaTheme="minorEastAsia" w:hAnsi="Cambria Math" w:cs="Times New Roman"/>
                              <w:sz w:val="28"/>
                              <w:szCs w:val="28"/>
                              <w:lang w:val="kk-KZ"/>
                            </w:rPr>
                            <m:t>.</m:t>
                          </m:r>
                        </m:e>
                      </m:mr>
                      <m:mr>
                        <m:e>
                          <m:r>
                            <w:rPr>
                              <w:rFonts w:ascii="Cambria Math" w:eastAsiaTheme="minorEastAsia" w:hAnsi="Cambria Math" w:cs="Times New Roman"/>
                              <w:sz w:val="28"/>
                              <w:szCs w:val="28"/>
                              <w:lang w:val="kk-KZ"/>
                            </w:rPr>
                            <m:t>1/</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1n</m:t>
                              </m:r>
                            </m:sub>
                          </m:sSub>
                        </m:e>
                      </m:mr>
                    </m:m>
                  </m:e>
                  <m:e>
                    <m:m>
                      <m:mPr>
                        <m:mcs>
                          <m:mc>
                            <m:mcPr>
                              <m:count m:val="1"/>
                              <m:mcJc m:val="center"/>
                            </m:mcPr>
                          </m:mc>
                        </m:mcs>
                        <m:ctrlPr>
                          <w:rPr>
                            <w:rFonts w:ascii="Cambria Math" w:eastAsiaTheme="minorEastAsia" w:hAnsi="Cambria Math" w:cs="Times New Roman"/>
                            <w:i/>
                            <w:sz w:val="28"/>
                            <w:szCs w:val="28"/>
                            <w:lang w:val="kk-KZ"/>
                          </w:rPr>
                        </m:ctrlPr>
                      </m:mPr>
                      <m:mr>
                        <m:e>
                          <m:r>
                            <w:rPr>
                              <w:rFonts w:ascii="Cambria Math" w:eastAsiaTheme="minorEastAsia" w:hAnsi="Cambria Math" w:cs="Times New Roman"/>
                              <w:sz w:val="28"/>
                              <w:szCs w:val="28"/>
                              <w:lang w:val="kk-KZ"/>
                            </w:rPr>
                            <m:t>.</m:t>
                          </m:r>
                        </m:e>
                      </m:mr>
                      <m:mr>
                        <m:e>
                          <m:r>
                            <w:rPr>
                              <w:rFonts w:ascii="Cambria Math" w:eastAsiaTheme="minorEastAsia" w:hAnsi="Cambria Math" w:cs="Times New Roman"/>
                              <w:sz w:val="28"/>
                              <w:szCs w:val="28"/>
                              <w:lang w:val="kk-KZ"/>
                            </w:rPr>
                            <m:t>1/</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2n</m:t>
                              </m:r>
                            </m:sub>
                          </m:sSub>
                        </m:e>
                      </m:mr>
                    </m:m>
                  </m:e>
                </m:mr>
              </m:m>
              <m:r>
                <w:rPr>
                  <w:rFonts w:ascii="Cambria Math" w:eastAsiaTheme="minorEastAsia" w:hAnsi="Cambria Math" w:cs="Times New Roman"/>
                  <w:sz w:val="28"/>
                  <w:szCs w:val="28"/>
                  <w:lang w:val="kk-KZ"/>
                </w:rPr>
                <m:t xml:space="preserve">    </m:t>
              </m:r>
              <m:m>
                <m:mPr>
                  <m:mcs>
                    <m:mc>
                      <m:mcPr>
                        <m:count m:val="2"/>
                        <m:mcJc m:val="center"/>
                      </m:mcPr>
                    </m:mc>
                  </m:mcs>
                  <m:ctrlPr>
                    <w:rPr>
                      <w:rFonts w:ascii="Cambria Math" w:eastAsiaTheme="minorEastAsia" w:hAnsi="Cambria Math" w:cs="Times New Roman"/>
                      <w:i/>
                      <w:sz w:val="28"/>
                      <w:szCs w:val="28"/>
                      <w:lang w:val="kk-KZ"/>
                    </w:rPr>
                  </m:ctrlPr>
                </m:mPr>
                <m:mr>
                  <m:e>
                    <m:r>
                      <w:rPr>
                        <w:rFonts w:ascii="Cambria Math" w:eastAsiaTheme="minorEastAsia" w:hAnsi="Cambria Math" w:cs="Times New Roman"/>
                        <w:sz w:val="28"/>
                        <w:szCs w:val="28"/>
                        <w:lang w:val="kk-KZ"/>
                      </w:rPr>
                      <m:t>…</m:t>
                    </m:r>
                  </m:e>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1n</m:t>
                        </m:r>
                      </m:sub>
                    </m:sSub>
                  </m:e>
                </m:mr>
                <m:mr>
                  <m:e>
                    <m:r>
                      <w:rPr>
                        <w:rFonts w:ascii="Cambria Math" w:eastAsiaTheme="minorEastAsia" w:hAnsi="Cambria Math" w:cs="Times New Roman"/>
                        <w:sz w:val="28"/>
                        <w:szCs w:val="28"/>
                        <w:lang w:val="kk-KZ"/>
                      </w:rPr>
                      <m:t>…</m:t>
                    </m:r>
                  </m:e>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2n</m:t>
                        </m:r>
                      </m:sub>
                    </m:sSub>
                  </m:e>
                </m:mr>
                <m:mr>
                  <m:e>
                    <m:m>
                      <m:mPr>
                        <m:mcs>
                          <m:mc>
                            <m:mcPr>
                              <m:count m:val="1"/>
                              <m:mcJc m:val="center"/>
                            </m:mcPr>
                          </m:mc>
                        </m:mcs>
                        <m:ctrlPr>
                          <w:rPr>
                            <w:rFonts w:ascii="Cambria Math" w:eastAsiaTheme="minorEastAsia" w:hAnsi="Cambria Math" w:cs="Times New Roman"/>
                            <w:i/>
                            <w:sz w:val="28"/>
                            <w:szCs w:val="28"/>
                            <w:lang w:val="kk-KZ"/>
                          </w:rPr>
                        </m:ctrlPr>
                      </m:mPr>
                      <m:mr>
                        <m:e>
                          <m:r>
                            <w:rPr>
                              <w:rFonts w:ascii="Cambria Math" w:eastAsiaTheme="minorEastAsia" w:hAnsi="Cambria Math" w:cs="Times New Roman"/>
                              <w:sz w:val="28"/>
                              <w:szCs w:val="28"/>
                              <w:lang w:val="kk-KZ"/>
                            </w:rPr>
                            <m:t>.</m:t>
                          </m:r>
                        </m:e>
                      </m:mr>
                      <m:mr>
                        <m:e>
                          <m:r>
                            <w:rPr>
                              <w:rFonts w:ascii="Cambria Math" w:eastAsiaTheme="minorEastAsia" w:hAnsi="Cambria Math" w:cs="Times New Roman"/>
                              <w:sz w:val="28"/>
                              <w:szCs w:val="28"/>
                              <w:lang w:val="kk-KZ"/>
                            </w:rPr>
                            <m:t>…</m:t>
                          </m:r>
                        </m:e>
                      </m:mr>
                    </m:m>
                  </m:e>
                  <m:e>
                    <m:m>
                      <m:mPr>
                        <m:mcs>
                          <m:mc>
                            <m:mcPr>
                              <m:count m:val="1"/>
                              <m:mcJc m:val="center"/>
                            </m:mcPr>
                          </m:mc>
                        </m:mcs>
                        <m:ctrlPr>
                          <w:rPr>
                            <w:rFonts w:ascii="Cambria Math" w:eastAsiaTheme="minorEastAsia" w:hAnsi="Cambria Math" w:cs="Times New Roman"/>
                            <w:i/>
                            <w:sz w:val="28"/>
                            <w:szCs w:val="28"/>
                            <w:lang w:val="kk-KZ"/>
                          </w:rPr>
                        </m:ctrlPr>
                      </m:mPr>
                      <m:mr>
                        <m:e>
                          <m:r>
                            <w:rPr>
                              <w:rFonts w:ascii="Cambria Math" w:eastAsiaTheme="minorEastAsia" w:hAnsi="Cambria Math" w:cs="Times New Roman"/>
                              <w:sz w:val="28"/>
                              <w:szCs w:val="28"/>
                              <w:lang w:val="kk-KZ"/>
                            </w:rPr>
                            <m:t>.</m:t>
                          </m:r>
                        </m:e>
                      </m:mr>
                      <m:mr>
                        <m:e>
                          <m:r>
                            <w:rPr>
                              <w:rFonts w:ascii="Cambria Math" w:eastAsiaTheme="minorEastAsia" w:hAnsi="Cambria Math" w:cs="Times New Roman"/>
                              <w:sz w:val="28"/>
                              <w:szCs w:val="28"/>
                              <w:lang w:val="kk-KZ"/>
                            </w:rPr>
                            <m:t>1</m:t>
                          </m:r>
                        </m:e>
                      </m:mr>
                    </m:m>
                  </m:e>
                </m:mr>
              </m:m>
            </m:e>
          </m:d>
        </m:oMath>
      </m:oMathPara>
    </w:p>
    <w:p w14:paraId="28A527D6" w14:textId="77777777" w:rsidR="00BE3507" w:rsidRDefault="00BE3507" w:rsidP="002839FE">
      <w:pPr>
        <w:spacing w:after="0" w:line="240" w:lineRule="auto"/>
        <w:ind w:firstLine="709"/>
        <w:jc w:val="both"/>
        <w:rPr>
          <w:rFonts w:ascii="Times New Roman" w:hAnsi="Times New Roman" w:cs="Times New Roman"/>
          <w:sz w:val="28"/>
          <w:szCs w:val="28"/>
          <w:lang w:val="kk-KZ"/>
        </w:rPr>
      </w:pPr>
    </w:p>
    <w:p w14:paraId="5326CCFE" w14:textId="4E5766C3" w:rsidR="00647B71" w:rsidRPr="00457CE9" w:rsidRDefault="00647B71" w:rsidP="002839FE">
      <w:pPr>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Сандық емес бағалауда:</w:t>
      </w:r>
    </w:p>
    <w:p w14:paraId="129305D1" w14:textId="77777777" w:rsidR="00647B71" w:rsidRPr="00457CE9" w:rsidRDefault="0097172E" w:rsidP="00457CE9">
      <w:pPr>
        <w:spacing w:after="0" w:line="240" w:lineRule="auto"/>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a</m:t>
              </m:r>
            </m:e>
            <m:sub>
              <m:r>
                <w:rPr>
                  <w:rFonts w:ascii="Cambria Math" w:hAnsi="Cambria Math" w:cs="Times New Roman"/>
                  <w:sz w:val="28"/>
                  <w:szCs w:val="28"/>
                  <w:lang w:val="kk-KZ"/>
                </w:rPr>
                <m:t>ij</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m:t>
              </m:r>
            </m:num>
            <m:den>
              <m:r>
                <w:rPr>
                  <w:rFonts w:ascii="Cambria Math" w:hAnsi="Cambria Math" w:cs="Times New Roman"/>
                  <w:sz w:val="28"/>
                  <w:szCs w:val="28"/>
                  <w:lang w:val="kk-KZ"/>
                </w:rPr>
                <m:t>k</m:t>
              </m:r>
            </m:den>
          </m:f>
          <m:r>
            <w:rPr>
              <w:rFonts w:ascii="Cambria Math" w:hAnsi="Cambria Math" w:cs="Times New Roman"/>
              <w:sz w:val="28"/>
              <w:szCs w:val="28"/>
              <w:lang w:val="kk-KZ"/>
            </w:rPr>
            <m:t>,</m:t>
          </m:r>
        </m:oMath>
      </m:oMathPara>
    </w:p>
    <w:p w14:paraId="2D52D8BA" w14:textId="1026B844" w:rsidR="00647B71" w:rsidRPr="00457CE9" w:rsidRDefault="00647B71" w:rsidP="002839FE">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мұнда </w:t>
      </w:r>
      <m:oMath>
        <m:r>
          <w:rPr>
            <w:rFonts w:ascii="Cambria Math" w:hAnsi="Cambria Math" w:cs="Times New Roman"/>
            <w:sz w:val="28"/>
            <w:szCs w:val="28"/>
            <w:lang w:val="kk-KZ"/>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rPr>
              <m:t>1,9</m:t>
            </m:r>
          </m:e>
        </m:acc>
      </m:oMath>
      <w:r w:rsidRPr="002839FE">
        <w:rPr>
          <w:rFonts w:ascii="Times New Roman" w:eastAsiaTheme="minorEastAsia" w:hAnsi="Times New Roman" w:cs="Times New Roman"/>
          <w:sz w:val="28"/>
          <w:szCs w:val="28"/>
        </w:rPr>
        <w:t>.</w:t>
      </w:r>
    </w:p>
    <w:p w14:paraId="6888C15A" w14:textId="63C8CA66" w:rsidR="00647B71" w:rsidRDefault="00647B71" w:rsidP="002839FE">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Сандық бағалауда:</w:t>
      </w:r>
    </w:p>
    <w:p w14:paraId="29099DC6" w14:textId="77777777" w:rsidR="002839FE" w:rsidRPr="00FA5280" w:rsidRDefault="002839FE" w:rsidP="002839FE">
      <w:pPr>
        <w:spacing w:after="0" w:line="240" w:lineRule="auto"/>
        <w:ind w:firstLine="709"/>
        <w:jc w:val="both"/>
        <w:rPr>
          <w:rFonts w:ascii="Times New Roman" w:eastAsiaTheme="minorEastAsia" w:hAnsi="Times New Roman" w:cs="Times New Roman"/>
          <w:sz w:val="16"/>
          <w:szCs w:val="16"/>
          <w:lang w:val="kk-KZ"/>
        </w:rPr>
      </w:pPr>
    </w:p>
    <w:p w14:paraId="616E99E5" w14:textId="77777777" w:rsidR="00647B71" w:rsidRPr="00457CE9" w:rsidRDefault="0097172E" w:rsidP="00457CE9">
      <w:pPr>
        <w:spacing w:after="0" w:line="240" w:lineRule="auto"/>
        <w:ind w:firstLine="708"/>
        <w:jc w:val="both"/>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a</m:t>
              </m:r>
            </m:e>
            <m:sub>
              <m:r>
                <w:rPr>
                  <w:rFonts w:ascii="Cambria Math" w:hAnsi="Cambria Math" w:cs="Times New Roman"/>
                  <w:sz w:val="28"/>
                  <w:szCs w:val="28"/>
                  <w:lang w:val="kk-KZ"/>
                </w:rPr>
                <m:t>ij</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m</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k</m:t>
                  </m:r>
                </m:sub>
              </m:sSub>
            </m:den>
          </m:f>
          <m:r>
            <w:rPr>
              <w:rFonts w:ascii="Cambria Math" w:hAnsi="Cambria Math" w:cs="Times New Roman"/>
              <w:sz w:val="28"/>
              <w:szCs w:val="28"/>
              <w:lang w:val="en-US"/>
            </w:rPr>
            <m:t xml:space="preserve">,   </m:t>
          </m:r>
          <m:r>
            <w:rPr>
              <w:rFonts w:ascii="Cambria Math" w:hAnsi="Cambria Math" w:cs="Times New Roman"/>
              <w:sz w:val="28"/>
              <w:szCs w:val="28"/>
              <w:lang w:val="en-US"/>
            </w:rPr>
            <m:t>m</m:t>
          </m:r>
          <m:r>
            <w:rPr>
              <w:rFonts w:ascii="Cambria Math" w:hAnsi="Cambria Math" w:cs="Times New Roman"/>
              <w:sz w:val="28"/>
              <w:szCs w:val="28"/>
              <w:lang w:val="en-US"/>
            </w:rPr>
            <m:t>,</m:t>
          </m:r>
          <m:r>
            <w:rPr>
              <w:rFonts w:ascii="Cambria Math" w:hAnsi="Cambria Math" w:cs="Times New Roman"/>
              <w:sz w:val="28"/>
              <w:szCs w:val="28"/>
              <w:lang w:val="en-US"/>
            </w:rPr>
            <m:t>k</m:t>
          </m:r>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1,</m:t>
              </m:r>
              <m:r>
                <w:rPr>
                  <w:rFonts w:ascii="Cambria Math" w:hAnsi="Cambria Math" w:cs="Times New Roman"/>
                  <w:sz w:val="28"/>
                  <w:szCs w:val="28"/>
                  <w:lang w:val="en-US"/>
                </w:rPr>
                <m:t>n</m:t>
              </m:r>
            </m:e>
          </m:acc>
          <m:r>
            <w:rPr>
              <w:rFonts w:ascii="Cambria Math" w:hAnsi="Cambria Math" w:cs="Times New Roman"/>
              <w:sz w:val="28"/>
              <w:szCs w:val="28"/>
              <w:lang w:val="en-US"/>
            </w:rPr>
            <m:t>.</m:t>
          </m:r>
        </m:oMath>
      </m:oMathPara>
    </w:p>
    <w:p w14:paraId="70F66BED" w14:textId="77777777" w:rsidR="002839FE" w:rsidRPr="00FA5280" w:rsidRDefault="002839FE" w:rsidP="00457CE9">
      <w:pPr>
        <w:spacing w:after="0" w:line="240" w:lineRule="auto"/>
        <w:ind w:firstLine="708"/>
        <w:jc w:val="both"/>
        <w:rPr>
          <w:rFonts w:ascii="Times New Roman" w:eastAsiaTheme="minorEastAsia" w:hAnsi="Times New Roman" w:cs="Times New Roman"/>
          <w:sz w:val="16"/>
          <w:szCs w:val="16"/>
          <w:lang w:val="kk-KZ"/>
        </w:rPr>
      </w:pPr>
    </w:p>
    <w:p w14:paraId="6B12DE39"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Бұл жағдайда, жұптап салыстыру квадраттық матрицасы пайдаланылғанда есептеулер дәл жүргізіледі, яғни, қателік </w:t>
      </w:r>
      <w:r w:rsidRPr="002839FE">
        <w:rPr>
          <w:rFonts w:ascii="Times New Roman" w:eastAsiaTheme="minorEastAsia" w:hAnsi="Times New Roman" w:cs="Times New Roman"/>
          <w:sz w:val="28"/>
          <w:szCs w:val="28"/>
          <w:lang w:val="kk-KZ"/>
        </w:rPr>
        <w:t>0-</w:t>
      </w:r>
      <w:r w:rsidRPr="00457CE9">
        <w:rPr>
          <w:rFonts w:ascii="Times New Roman" w:eastAsiaTheme="minorEastAsia" w:hAnsi="Times New Roman" w:cs="Times New Roman"/>
          <w:sz w:val="28"/>
          <w:szCs w:val="28"/>
          <w:lang w:val="kk-KZ"/>
        </w:rPr>
        <w:t xml:space="preserve">ге тең. Бұл жағдайда, жұптап салыстыру квадраттық матрицасының мысалын </w:t>
      </w:r>
      <m:oMath>
        <m:r>
          <w:rPr>
            <w:rFonts w:ascii="Cambria Math" w:eastAsiaTheme="minorEastAsia" w:hAnsi="Cambria Math" w:cs="Times New Roman"/>
            <w:sz w:val="28"/>
            <w:szCs w:val="28"/>
            <w:lang w:val="kk-KZ"/>
          </w:rPr>
          <m:t>n=4</m:t>
        </m:r>
      </m:oMath>
      <w:r w:rsidRPr="00457CE9">
        <w:rPr>
          <w:rFonts w:ascii="Times New Roman" w:eastAsiaTheme="minorEastAsia" w:hAnsi="Times New Roman" w:cs="Times New Roman"/>
          <w:sz w:val="28"/>
          <w:szCs w:val="28"/>
          <w:lang w:val="kk-KZ"/>
        </w:rPr>
        <w:t xml:space="preserve"> үшін келтірейік:</w:t>
      </w:r>
    </w:p>
    <w:p w14:paraId="4DE43076"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w:p>
    <w:p w14:paraId="4623ED2B"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kk-KZ"/>
            </w:rPr>
            <m:t>A=</m:t>
          </m:r>
          <m:d>
            <m:dPr>
              <m:ctrlPr>
                <w:rPr>
                  <w:rFonts w:ascii="Cambria Math" w:eastAsiaTheme="minorEastAsia" w:hAnsi="Cambria Math" w:cs="Times New Roman"/>
                  <w:i/>
                  <w:sz w:val="28"/>
                  <w:szCs w:val="28"/>
                  <w:lang w:val="kk-KZ"/>
                </w:rPr>
              </m:ctrlPr>
            </m:dPr>
            <m:e>
              <m:m>
                <m:mPr>
                  <m:mcs>
                    <m:mc>
                      <m:mcPr>
                        <m:count m:val="2"/>
                        <m:mcJc m:val="center"/>
                      </m:mcPr>
                    </m:mc>
                  </m:mcs>
                  <m:ctrlPr>
                    <w:rPr>
                      <w:rFonts w:ascii="Cambria Math" w:eastAsiaTheme="minorEastAsia" w:hAnsi="Cambria Math" w:cs="Times New Roman"/>
                      <w:i/>
                      <w:sz w:val="28"/>
                      <w:szCs w:val="28"/>
                      <w:lang w:val="kk-KZ"/>
                    </w:rPr>
                  </m:ctrlPr>
                </m:mP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den>
                    </m:f>
                    <m:r>
                      <w:rPr>
                        <w:rFonts w:ascii="Cambria Math" w:hAnsi="Cambria Math" w:cs="Times New Roman"/>
                        <w:sz w:val="28"/>
                        <w:szCs w:val="28"/>
                        <w:lang w:val="en-US"/>
                      </w:rPr>
                      <m:t>=1</m:t>
                    </m:r>
                  </m:e>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den>
                    </m:f>
                  </m:e>
                </m:m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den>
                    </m:f>
                  </m:e>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den>
                    </m:f>
                    <m:r>
                      <w:rPr>
                        <w:rFonts w:ascii="Cambria Math" w:hAnsi="Cambria Math" w:cs="Times New Roman"/>
                        <w:sz w:val="28"/>
                        <w:szCs w:val="28"/>
                        <w:lang w:val="en-US"/>
                      </w:rPr>
                      <m:t>=1</m:t>
                    </m:r>
                  </m:e>
                </m:mr>
                <m:mr>
                  <m:e>
                    <m:m>
                      <m:mPr>
                        <m:mcs>
                          <m:mc>
                            <m:mcPr>
                              <m:count m:val="1"/>
                              <m:mcJc m:val="center"/>
                            </m:mcPr>
                          </m:mc>
                        </m:mcs>
                        <m:ctrlPr>
                          <w:rPr>
                            <w:rFonts w:ascii="Cambria Math" w:eastAsiaTheme="minorEastAsia" w:hAnsi="Cambria Math" w:cs="Times New Roman"/>
                            <w:i/>
                            <w:sz w:val="28"/>
                            <w:szCs w:val="28"/>
                            <w:lang w:val="kk-KZ"/>
                          </w:rPr>
                        </m:ctrlPr>
                      </m:mP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den>
                          </m:f>
                        </m:e>
                      </m:m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den>
                          </m:f>
                        </m:e>
                      </m:mr>
                    </m:m>
                  </m:e>
                  <m:e>
                    <m:m>
                      <m:mPr>
                        <m:mcs>
                          <m:mc>
                            <m:mcPr>
                              <m:count m:val="1"/>
                              <m:mcJc m:val="center"/>
                            </m:mcPr>
                          </m:mc>
                        </m:mcs>
                        <m:ctrlPr>
                          <w:rPr>
                            <w:rFonts w:ascii="Cambria Math" w:eastAsiaTheme="minorEastAsia" w:hAnsi="Cambria Math" w:cs="Times New Roman"/>
                            <w:i/>
                            <w:sz w:val="28"/>
                            <w:szCs w:val="28"/>
                            <w:lang w:val="kk-KZ"/>
                          </w:rPr>
                        </m:ctrlPr>
                      </m:mP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den>
                          </m:f>
                        </m:e>
                      </m:m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den>
                          </m:f>
                        </m:e>
                      </m:mr>
                    </m:m>
                  </m:e>
                </m:mr>
              </m:m>
              <m:r>
                <w:rPr>
                  <w:rFonts w:ascii="Cambria Math" w:eastAsiaTheme="minorEastAsia" w:hAnsi="Cambria Math" w:cs="Times New Roman"/>
                  <w:sz w:val="28"/>
                  <w:szCs w:val="28"/>
                  <w:lang w:val="kk-KZ"/>
                </w:rPr>
                <m:t xml:space="preserve">    </m:t>
              </m:r>
              <m:m>
                <m:mPr>
                  <m:mcs>
                    <m:mc>
                      <m:mcPr>
                        <m:count m:val="2"/>
                        <m:mcJc m:val="center"/>
                      </m:mcPr>
                    </m:mc>
                  </m:mcs>
                  <m:ctrlPr>
                    <w:rPr>
                      <w:rFonts w:ascii="Cambria Math" w:eastAsiaTheme="minorEastAsia" w:hAnsi="Cambria Math" w:cs="Times New Roman"/>
                      <w:i/>
                      <w:sz w:val="28"/>
                      <w:szCs w:val="28"/>
                      <w:lang w:val="kk-KZ"/>
                    </w:rPr>
                  </m:ctrlPr>
                </m:mP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den>
                    </m:f>
                  </m:e>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den>
                    </m:f>
                  </m:e>
                </m:m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den>
                    </m:f>
                  </m:e>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den>
                    </m:f>
                  </m:e>
                </m:mr>
                <m:mr>
                  <m:e>
                    <m:m>
                      <m:mPr>
                        <m:mcs>
                          <m:mc>
                            <m:mcPr>
                              <m:count m:val="1"/>
                              <m:mcJc m:val="center"/>
                            </m:mcPr>
                          </m:mc>
                        </m:mcs>
                        <m:ctrlPr>
                          <w:rPr>
                            <w:rFonts w:ascii="Cambria Math" w:eastAsiaTheme="minorEastAsia" w:hAnsi="Cambria Math" w:cs="Times New Roman"/>
                            <w:i/>
                            <w:sz w:val="28"/>
                            <w:szCs w:val="28"/>
                            <w:lang w:val="kk-KZ"/>
                          </w:rPr>
                        </m:ctrlPr>
                      </m:mP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den>
                          </m:f>
                          <m:r>
                            <w:rPr>
                              <w:rFonts w:ascii="Cambria Math" w:hAnsi="Cambria Math" w:cs="Times New Roman"/>
                              <w:sz w:val="28"/>
                              <w:szCs w:val="28"/>
                              <w:lang w:val="en-US"/>
                            </w:rPr>
                            <m:t>=1</m:t>
                          </m:r>
                        </m:e>
                      </m:m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den>
                          </m:f>
                        </m:e>
                      </m:mr>
                    </m:m>
                  </m:e>
                  <m:e>
                    <m:m>
                      <m:mPr>
                        <m:mcs>
                          <m:mc>
                            <m:mcPr>
                              <m:count m:val="1"/>
                              <m:mcJc m:val="center"/>
                            </m:mcPr>
                          </m:mc>
                        </m:mcs>
                        <m:ctrlPr>
                          <w:rPr>
                            <w:rFonts w:ascii="Cambria Math" w:eastAsiaTheme="minorEastAsia" w:hAnsi="Cambria Math" w:cs="Times New Roman"/>
                            <w:i/>
                            <w:sz w:val="28"/>
                            <w:szCs w:val="28"/>
                            <w:lang w:val="kk-KZ"/>
                          </w:rPr>
                        </m:ctrlPr>
                      </m:mP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3</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den>
                          </m:f>
                        </m:e>
                      </m:mr>
                      <m:m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4</m:t>
                                  </m:r>
                                </m:sub>
                              </m:sSub>
                            </m:den>
                          </m:f>
                          <m:r>
                            <w:rPr>
                              <w:rFonts w:ascii="Cambria Math" w:hAnsi="Cambria Math" w:cs="Times New Roman"/>
                              <w:sz w:val="28"/>
                              <w:szCs w:val="28"/>
                              <w:lang w:val="en-US"/>
                            </w:rPr>
                            <m:t>=1</m:t>
                          </m:r>
                        </m:e>
                      </m:mr>
                    </m:m>
                  </m:e>
                </m:mr>
              </m:m>
            </m:e>
          </m:d>
          <m:r>
            <w:rPr>
              <w:rFonts w:ascii="Cambria Math" w:eastAsiaTheme="minorEastAsia" w:hAnsi="Cambria Math" w:cs="Times New Roman"/>
              <w:sz w:val="28"/>
              <w:szCs w:val="28"/>
              <w:lang w:val="kk-KZ"/>
            </w:rPr>
            <m:t>.</m:t>
          </m:r>
        </m:oMath>
      </m:oMathPara>
    </w:p>
    <w:p w14:paraId="385FC0D3"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Енді, ҚР АӨК дамытудың нысаналы индикаторларының бағалау нәтижелерін қарастырайық. Негізгі теңдеудегі:</w:t>
      </w:r>
    </w:p>
    <w:p w14:paraId="4C753FFC"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p>
    <w:p w14:paraId="49247E83"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Ax=λx,</m:t>
          </m:r>
        </m:oMath>
      </m:oMathPara>
    </w:p>
    <w:p w14:paraId="18164ADF"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p>
    <w:p w14:paraId="2A431A57" w14:textId="6C071334" w:rsidR="00647B71" w:rsidRPr="00457CE9" w:rsidRDefault="00B54645" w:rsidP="00B54645">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м</w:t>
      </w:r>
      <w:r w:rsidR="00647B71" w:rsidRPr="00457CE9">
        <w:rPr>
          <w:rFonts w:ascii="Times New Roman" w:eastAsiaTheme="minorEastAsia" w:hAnsi="Times New Roman" w:cs="Times New Roman"/>
          <w:sz w:val="28"/>
          <w:szCs w:val="28"/>
          <w:lang w:val="kk-KZ"/>
        </w:rPr>
        <w:t xml:space="preserve">ұнда </w:t>
      </w:r>
      <m:oMath>
        <m:r>
          <w:rPr>
            <w:rFonts w:ascii="Cambria Math" w:eastAsiaTheme="minorEastAsia" w:hAnsi="Cambria Math" w:cs="Times New Roman"/>
            <w:sz w:val="28"/>
            <w:szCs w:val="28"/>
            <w:lang w:val="kk-KZ"/>
          </w:rPr>
          <m:t>x</m:t>
        </m:r>
      </m:oMath>
      <w:r w:rsidR="00647B71" w:rsidRPr="00457CE9">
        <w:rPr>
          <w:rFonts w:ascii="Times New Roman" w:eastAsiaTheme="minorEastAsia" w:hAnsi="Times New Roman" w:cs="Times New Roman"/>
          <w:sz w:val="28"/>
          <w:szCs w:val="28"/>
          <w:lang w:val="kk-KZ"/>
        </w:rPr>
        <w:t xml:space="preserve"> векторы математикалық теорияда «Меншікті вектор» деп аталады, ал </w:t>
      </w:r>
      <m:oMath>
        <m:r>
          <m:rPr>
            <m:sty m:val="p"/>
          </m:rPr>
          <w:rPr>
            <w:rFonts w:ascii="Cambria Math" w:eastAsiaTheme="minorEastAsia" w:hAnsi="Cambria Math" w:cs="Times New Roman"/>
            <w:sz w:val="28"/>
            <w:szCs w:val="28"/>
            <w:lang w:val="kk-KZ"/>
          </w:rPr>
          <m:t>λ</m:t>
        </m:r>
      </m:oMath>
      <w:r w:rsidR="00647B71" w:rsidRPr="00457CE9">
        <w:rPr>
          <w:rFonts w:ascii="Times New Roman" w:eastAsiaTheme="minorEastAsia" w:hAnsi="Times New Roman" w:cs="Times New Roman"/>
          <w:sz w:val="28"/>
          <w:szCs w:val="28"/>
          <w:lang w:val="kk-KZ"/>
        </w:rPr>
        <w:t xml:space="preserve"> саны «Меншікті мәндер жиыны» немесе «Спектр» деп аталады. Келтірілген негізгі тұжырымда спектр пайдаланылған. ҚР АӨК дамытудың нысаналы индикаторларының бағалау нәтижелері «Меншікті вектор» арқылы анықталады.</w:t>
      </w:r>
    </w:p>
    <w:p w14:paraId="6B564076"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Енді иерархияның құрамын қарастырайық. Иерархия негізгі мақсаттан және бірнеше деңгейлерден тұратын «Факторлар» немесе «Нәтижелі көрсеткіштер» немесе «Іс-шаралар» деп аталатын ұғымдардан құрылады. Жұмыстағы иерархияны мысал ретінде 1-міндет үшін келтірейік. </w:t>
      </w:r>
    </w:p>
    <w:p w14:paraId="66F3EC4C" w14:textId="77777777"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Жұмыста екі кезең зерттеледі:</w:t>
      </w:r>
    </w:p>
    <w:p w14:paraId="36BCFC26" w14:textId="5278F208" w:rsidR="00647B71" w:rsidRPr="00457CE9" w:rsidRDefault="00647B71" w:rsidP="0097172E">
      <w:pPr>
        <w:pStyle w:val="a5"/>
        <w:numPr>
          <w:ilvl w:val="0"/>
          <w:numId w:val="48"/>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АӨК дамытудың нысаналы индикаторларын 2017-2021 жылдар аралығында жоспарлау барысында бағалау</w:t>
      </w:r>
      <w:r w:rsidR="0099586A" w:rsidRPr="00457CE9">
        <w:rPr>
          <w:rFonts w:ascii="Times New Roman" w:eastAsiaTheme="minorEastAsia" w:hAnsi="Times New Roman"/>
          <w:sz w:val="28"/>
          <w:szCs w:val="28"/>
          <w:lang w:val="kk-KZ"/>
        </w:rPr>
        <w:t xml:space="preserve"> [</w:t>
      </w:r>
      <w:r w:rsidR="00010EEC">
        <w:rPr>
          <w:rFonts w:ascii="Times New Roman" w:eastAsiaTheme="minorEastAsia" w:hAnsi="Times New Roman"/>
          <w:sz w:val="28"/>
          <w:szCs w:val="28"/>
          <w:lang w:val="kk-KZ"/>
        </w:rPr>
        <w:t>6</w:t>
      </w:r>
      <w:r w:rsidR="00EF5DE6" w:rsidRPr="00EF5DE6">
        <w:rPr>
          <w:rFonts w:ascii="Times New Roman" w:eastAsiaTheme="minorEastAsia" w:hAnsi="Times New Roman"/>
          <w:sz w:val="28"/>
          <w:szCs w:val="28"/>
          <w:lang w:val="kk-KZ"/>
        </w:rPr>
        <w:t>2</w:t>
      </w:r>
      <w:r w:rsidR="0099586A" w:rsidRPr="00457CE9">
        <w:rPr>
          <w:rFonts w:ascii="Times New Roman" w:eastAsiaTheme="minorEastAsia" w:hAnsi="Times New Roman"/>
          <w:sz w:val="28"/>
          <w:szCs w:val="28"/>
          <w:lang w:val="kk-KZ"/>
        </w:rPr>
        <w:t>]</w:t>
      </w:r>
      <w:r w:rsidR="002839FE">
        <w:rPr>
          <w:rFonts w:ascii="Times New Roman" w:eastAsiaTheme="minorEastAsia" w:hAnsi="Times New Roman"/>
          <w:sz w:val="28"/>
          <w:szCs w:val="28"/>
          <w:lang w:val="kk-KZ"/>
        </w:rPr>
        <w:t>.</w:t>
      </w:r>
    </w:p>
    <w:p w14:paraId="0B21FDCC" w14:textId="2049BC70" w:rsidR="00647B71" w:rsidRPr="00457CE9" w:rsidRDefault="00647B71" w:rsidP="0097172E">
      <w:pPr>
        <w:pStyle w:val="a5"/>
        <w:numPr>
          <w:ilvl w:val="0"/>
          <w:numId w:val="48"/>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АӨК дамытудың нысаналы индикаторларын 2021-2025 жылдар аралығында жоспарлау барысында бағалау</w:t>
      </w:r>
      <w:r w:rsidR="0099586A" w:rsidRPr="00457CE9">
        <w:rPr>
          <w:rFonts w:ascii="Times New Roman" w:eastAsiaTheme="minorEastAsia" w:hAnsi="Times New Roman"/>
          <w:sz w:val="28"/>
          <w:szCs w:val="28"/>
          <w:lang w:val="kk-KZ"/>
        </w:rPr>
        <w:t xml:space="preserve"> [</w:t>
      </w:r>
      <w:r w:rsidR="00010EEC">
        <w:rPr>
          <w:rFonts w:ascii="Times New Roman" w:eastAsiaTheme="minorEastAsia" w:hAnsi="Times New Roman"/>
          <w:sz w:val="28"/>
          <w:szCs w:val="28"/>
          <w:lang w:val="kk-KZ"/>
        </w:rPr>
        <w:t>8</w:t>
      </w:r>
      <w:r w:rsidR="00EF5DE6" w:rsidRPr="00EF5DE6">
        <w:rPr>
          <w:rFonts w:ascii="Times New Roman" w:eastAsiaTheme="minorEastAsia" w:hAnsi="Times New Roman"/>
          <w:sz w:val="28"/>
          <w:szCs w:val="28"/>
          <w:lang w:val="kk-KZ"/>
        </w:rPr>
        <w:t>2</w:t>
      </w:r>
      <w:r w:rsidR="0099586A" w:rsidRPr="00457CE9">
        <w:rPr>
          <w:rFonts w:ascii="Times New Roman" w:eastAsiaTheme="minorEastAsia" w:hAnsi="Times New Roman"/>
          <w:sz w:val="28"/>
          <w:szCs w:val="28"/>
          <w:lang w:val="kk-KZ"/>
        </w:rPr>
        <w:t>]</w:t>
      </w:r>
      <w:r w:rsidRPr="00457CE9">
        <w:rPr>
          <w:rFonts w:ascii="Times New Roman" w:eastAsiaTheme="minorEastAsia" w:hAnsi="Times New Roman"/>
          <w:sz w:val="28"/>
          <w:szCs w:val="28"/>
          <w:lang w:val="kk-KZ"/>
        </w:rPr>
        <w:t>.</w:t>
      </w:r>
    </w:p>
    <w:p w14:paraId="3212333B" w14:textId="7777777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Иерархиялық талдау моделі келесі кезеңдерден тұрады:</w:t>
      </w:r>
    </w:p>
    <w:p w14:paraId="7F443A24" w14:textId="77777777" w:rsidR="00647B71" w:rsidRPr="00457CE9" w:rsidRDefault="00647B71" w:rsidP="0097172E">
      <w:pPr>
        <w:pStyle w:val="a5"/>
        <w:numPr>
          <w:ilvl w:val="0"/>
          <w:numId w:val="29"/>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Мәселені айқындау.</w:t>
      </w:r>
    </w:p>
    <w:p w14:paraId="777783DE" w14:textId="77777777" w:rsidR="00647B71" w:rsidRPr="00457CE9" w:rsidRDefault="00647B71" w:rsidP="0097172E">
      <w:pPr>
        <w:pStyle w:val="a5"/>
        <w:numPr>
          <w:ilvl w:val="0"/>
          <w:numId w:val="29"/>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Негізгі критерийлерді, факторларды және альтернативаларды анықтау.</w:t>
      </w:r>
    </w:p>
    <w:p w14:paraId="3F0AC12D" w14:textId="77777777" w:rsidR="00647B71" w:rsidRPr="00457CE9" w:rsidRDefault="00647B71" w:rsidP="0097172E">
      <w:pPr>
        <w:pStyle w:val="a5"/>
        <w:numPr>
          <w:ilvl w:val="0"/>
          <w:numId w:val="29"/>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Иерархия құру: мақсаттан критерийлер арқылы альтернативаларға қарай деңгейлерді дайындау.</w:t>
      </w:r>
    </w:p>
    <w:p w14:paraId="1AA1B9FC" w14:textId="77777777" w:rsidR="00647B71" w:rsidRPr="00457CE9" w:rsidRDefault="00647B71" w:rsidP="0097172E">
      <w:pPr>
        <w:pStyle w:val="a5"/>
        <w:numPr>
          <w:ilvl w:val="0"/>
          <w:numId w:val="29"/>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Жұптап салыстыру матрицасын пайдаланып, критерийлерді және критерийлер арқылы альтернативаларды эксперттік бағалау.</w:t>
      </w:r>
    </w:p>
    <w:p w14:paraId="4968BBD5" w14:textId="77777777" w:rsidR="00647B71" w:rsidRPr="00457CE9" w:rsidRDefault="00647B71" w:rsidP="0097172E">
      <w:pPr>
        <w:pStyle w:val="a5"/>
        <w:numPr>
          <w:ilvl w:val="0"/>
          <w:numId w:val="29"/>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Иерархия әдісінің сандық пайдаланылуының негізгі алгоритмін қолдану арқылы төменнен жоғары бағытта сәйкес матрицалардың көбейтінділерін анықтау.</w:t>
      </w:r>
    </w:p>
    <w:p w14:paraId="51FAB890" w14:textId="37591295" w:rsidR="00647B71" w:rsidRPr="00457CE9" w:rsidRDefault="00647B71" w:rsidP="0097172E">
      <w:pPr>
        <w:pStyle w:val="a5"/>
        <w:numPr>
          <w:ilvl w:val="0"/>
          <w:numId w:val="29"/>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Бірінші деңгейдегі факторлар арқылы мақсатқа сәйкес альтернативалар</w:t>
      </w:r>
      <w:r w:rsidR="002839FE">
        <w:rPr>
          <w:rFonts w:ascii="Times New Roman" w:eastAsiaTheme="minorEastAsia" w:hAnsi="Times New Roman"/>
          <w:sz w:val="28"/>
          <w:szCs w:val="28"/>
          <w:lang w:val="kk-KZ"/>
        </w:rPr>
        <w:t>дың пайыздық үлестерін анықтау.</w:t>
      </w:r>
    </w:p>
    <w:p w14:paraId="3CB30325" w14:textId="600E6723" w:rsidR="00FB2CC0" w:rsidRPr="00457CE9" w:rsidRDefault="00FB2CC0" w:rsidP="00457CE9">
      <w:pPr>
        <w:spacing w:after="0" w:line="240" w:lineRule="auto"/>
        <w:ind w:firstLine="708"/>
        <w:jc w:val="both"/>
        <w:rPr>
          <w:rFonts w:ascii="Times New Roman" w:hAnsi="Times New Roman"/>
          <w:sz w:val="28"/>
          <w:szCs w:val="28"/>
          <w:lang w:val="kk-KZ"/>
        </w:rPr>
      </w:pPr>
      <w:r w:rsidRPr="00457CE9">
        <w:rPr>
          <w:rFonts w:ascii="Times New Roman" w:hAnsi="Times New Roman"/>
          <w:sz w:val="28"/>
          <w:szCs w:val="28"/>
          <w:lang w:val="kk-KZ"/>
        </w:rPr>
        <w:t xml:space="preserve">INTOSAI басшылығы GUID 5290 «Негізгі ұлттық көрсеткіштерді әзірлеу және пайдалану аудиті бойынша нұсқаулықта» кілттік ұлттық көрсеткіштер әзірлеу және пайдалану аудиті шеңберінде аудит критерийлері тиімділікті бағалау жүйесінің жарамдылығы мен сапасын </w:t>
      </w:r>
      <w:r w:rsidRPr="00EF5DE6">
        <w:rPr>
          <w:rFonts w:ascii="Times New Roman" w:hAnsi="Times New Roman"/>
          <w:sz w:val="28"/>
          <w:szCs w:val="28"/>
          <w:lang w:val="kk-KZ"/>
        </w:rPr>
        <w:t xml:space="preserve">бағалау үшін, сондай-ақ стратегиялық мақсаттар мен міндеттерге қол жеткізудегі прогресті бағалау үшін пайдаланылатын салыстырмалы критерийлер болып табылады. Аудиттің мақсаттары, сұрақтары мен тәсілдері тиісті критерийлердің өзектілігі мен түрін анықтайды. Пайдаланушылардың тиімділік аудитінің нәтижелері мен қорытындыларына деген сенімі көбінесе критерийлерге байланысты. Осылайша </w:t>
      </w:r>
      <w:r w:rsidRPr="00457CE9">
        <w:rPr>
          <w:rFonts w:ascii="Times New Roman" w:hAnsi="Times New Roman"/>
          <w:sz w:val="28"/>
          <w:szCs w:val="28"/>
          <w:lang w:val="kk-KZ"/>
        </w:rPr>
        <w:t>сенімді, объективті, өзекті, толық және түсінікті өлшемдерді таңдау өте маңызды делінген</w:t>
      </w:r>
      <w:r w:rsidR="007107EE" w:rsidRPr="00457CE9">
        <w:rPr>
          <w:rFonts w:ascii="Times New Roman" w:hAnsi="Times New Roman"/>
          <w:sz w:val="28"/>
          <w:szCs w:val="28"/>
          <w:lang w:val="kk-KZ"/>
        </w:rPr>
        <w:t xml:space="preserve"> [1</w:t>
      </w:r>
      <w:r w:rsidR="00EF5DE6" w:rsidRPr="00EF5DE6">
        <w:rPr>
          <w:rFonts w:ascii="Times New Roman" w:hAnsi="Times New Roman"/>
          <w:sz w:val="28"/>
          <w:szCs w:val="28"/>
          <w:lang w:val="kk-KZ"/>
        </w:rPr>
        <w:t>48</w:t>
      </w:r>
      <w:r w:rsidR="007107EE" w:rsidRPr="00457CE9">
        <w:rPr>
          <w:rFonts w:ascii="Times New Roman" w:hAnsi="Times New Roman"/>
          <w:sz w:val="28"/>
          <w:szCs w:val="28"/>
          <w:lang w:val="kk-KZ"/>
        </w:rPr>
        <w:t>]</w:t>
      </w:r>
      <w:r w:rsidRPr="00457CE9">
        <w:rPr>
          <w:rFonts w:ascii="Times New Roman" w:hAnsi="Times New Roman"/>
          <w:sz w:val="28"/>
          <w:szCs w:val="28"/>
          <w:lang w:val="kk-KZ"/>
        </w:rPr>
        <w:t>.</w:t>
      </w:r>
      <w:r w:rsidR="000F6CC6">
        <w:rPr>
          <w:rFonts w:ascii="Times New Roman" w:hAnsi="Times New Roman"/>
          <w:sz w:val="28"/>
          <w:szCs w:val="28"/>
          <w:lang w:val="kk-KZ"/>
        </w:rPr>
        <w:t xml:space="preserve"> </w:t>
      </w:r>
    </w:p>
    <w:p w14:paraId="17D0B39F" w14:textId="77777777" w:rsidR="00FB2CC0" w:rsidRPr="00457CE9" w:rsidRDefault="00FB2CC0" w:rsidP="00457CE9">
      <w:pPr>
        <w:spacing w:after="0" w:line="240" w:lineRule="auto"/>
        <w:ind w:firstLine="708"/>
        <w:jc w:val="both"/>
        <w:rPr>
          <w:rFonts w:ascii="Times New Roman" w:hAnsi="Times New Roman"/>
          <w:sz w:val="28"/>
          <w:szCs w:val="28"/>
          <w:lang w:val="kk-KZ"/>
        </w:rPr>
      </w:pPr>
      <w:r w:rsidRPr="00457CE9">
        <w:rPr>
          <w:rFonts w:ascii="Times New Roman" w:hAnsi="Times New Roman"/>
          <w:sz w:val="28"/>
          <w:szCs w:val="28"/>
          <w:lang w:val="kk-KZ"/>
        </w:rPr>
        <w:t xml:space="preserve">Тиімділік аудиті негізінен үнемділікті, өнімділікті және нәтижелілікті тікелей нәтижелерге сүйене отырып бағалайды, ал сол факторларды түпкілікті нәтижелердің жоғары деңгейі, сондай-ақ жаһандық және әлеуметтік-экономикалық, экологиялық салдарлар деңгейі бойынша бағалау «бағалау» ретінде анықталады. Сонымен қатар АӨК саласындағы мемлекеттік саясатты бағалау саясаттың өзектілігі мен тәжірибелік пайдасына назар аударады: </w:t>
      </w:r>
    </w:p>
    <w:p w14:paraId="3B455F58" w14:textId="50CFE595" w:rsidR="00FB2CC0" w:rsidRPr="00457CE9" w:rsidRDefault="00FB2CC0" w:rsidP="0097172E">
      <w:pPr>
        <w:pStyle w:val="a5"/>
        <w:numPr>
          <w:ilvl w:val="0"/>
          <w:numId w:val="34"/>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саясаттың өзектілігі оның мақсатының саясат қанағаттандыруға бағытталған әлеуметтік, экономикалық және экологиялық қажеттіліктерге сәйкестігін білдіреді, саясаттың тәжірибелік пайдасының аспектісі бір жағынан оның барлық тікелей салдарын (нәтижелерін) және жанама салдарын (әсерлерін) тіпті арнайы емес немесе күтпеген</w:t>
      </w:r>
      <w:r w:rsidR="002839FE">
        <w:rPr>
          <w:rFonts w:ascii="Times New Roman" w:hAnsi="Times New Roman"/>
          <w:sz w:val="28"/>
          <w:szCs w:val="28"/>
          <w:lang w:val="kk-KZ"/>
        </w:rPr>
        <w:t>;</w:t>
      </w:r>
      <w:r w:rsidRPr="00457CE9">
        <w:rPr>
          <w:rFonts w:ascii="Times New Roman" w:hAnsi="Times New Roman"/>
          <w:sz w:val="28"/>
          <w:szCs w:val="28"/>
          <w:lang w:val="kk-KZ"/>
        </w:rPr>
        <w:t xml:space="preserve"> </w:t>
      </w:r>
    </w:p>
    <w:p w14:paraId="458F6571" w14:textId="3C87A803" w:rsidR="00FB2CC0" w:rsidRPr="00457CE9" w:rsidRDefault="00FB2CC0" w:rsidP="0097172E">
      <w:pPr>
        <w:pStyle w:val="a5"/>
        <w:numPr>
          <w:ilvl w:val="0"/>
          <w:numId w:val="34"/>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hAnsi="Times New Roman"/>
          <w:sz w:val="28"/>
          <w:szCs w:val="28"/>
          <w:lang w:val="kk-KZ"/>
        </w:rPr>
        <w:t xml:space="preserve">ал екінші жағынан, осы саясаттың қанағаттандырғысы келген қажеттіліктерін ескере отырып, саясатты жүргізуге тұрарлық па деген хабардарлық мәселесін қарастырады. </w:t>
      </w:r>
    </w:p>
    <w:p w14:paraId="3230DA09" w14:textId="6D74E80C" w:rsidR="00267892" w:rsidRPr="00457CE9" w:rsidRDefault="00FB2CC0"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АӨК саласындағы мемлекеттік саясатты бағалау алдын-ала белгіленген </w:t>
      </w:r>
      <w:r w:rsidR="00267892" w:rsidRPr="00457CE9">
        <w:rPr>
          <w:rFonts w:ascii="Times New Roman" w:eastAsiaTheme="minorEastAsia" w:hAnsi="Times New Roman" w:cs="Times New Roman"/>
          <w:sz w:val="28"/>
          <w:szCs w:val="28"/>
          <w:lang w:val="kk-KZ"/>
        </w:rPr>
        <w:t xml:space="preserve">мақсатпен шектелмеуі керек және заңнамада белгіленген мақсаттарға күмән құқығын </w:t>
      </w:r>
      <w:r w:rsidR="00512F4F" w:rsidRPr="00457CE9">
        <w:rPr>
          <w:rFonts w:ascii="Times New Roman" w:eastAsiaTheme="minorEastAsia" w:hAnsi="Times New Roman" w:cs="Times New Roman"/>
          <w:sz w:val="28"/>
          <w:szCs w:val="28"/>
          <w:lang w:val="kk-KZ"/>
        </w:rPr>
        <w:t>мемлекеттік саясатты бағалауға апар</w:t>
      </w:r>
      <w:r w:rsidR="00267892" w:rsidRPr="00457CE9">
        <w:rPr>
          <w:rFonts w:ascii="Times New Roman" w:eastAsiaTheme="minorEastAsia" w:hAnsi="Times New Roman" w:cs="Times New Roman"/>
          <w:sz w:val="28"/>
          <w:szCs w:val="28"/>
          <w:lang w:val="kk-KZ"/>
        </w:rPr>
        <w:t>ы</w:t>
      </w:r>
      <w:r w:rsidR="00512F4F" w:rsidRPr="00457CE9">
        <w:rPr>
          <w:rFonts w:ascii="Times New Roman" w:eastAsiaTheme="minorEastAsia" w:hAnsi="Times New Roman" w:cs="Times New Roman"/>
          <w:sz w:val="28"/>
          <w:szCs w:val="28"/>
          <w:lang w:val="kk-KZ"/>
        </w:rPr>
        <w:t>л</w:t>
      </w:r>
      <w:r w:rsidR="00267892" w:rsidRPr="00457CE9">
        <w:rPr>
          <w:rFonts w:ascii="Times New Roman" w:eastAsiaTheme="minorEastAsia" w:hAnsi="Times New Roman" w:cs="Times New Roman"/>
          <w:sz w:val="28"/>
          <w:szCs w:val="28"/>
          <w:lang w:val="kk-KZ"/>
        </w:rPr>
        <w:t>ады. Оның зерттеулерінің басты мәселесі саясаттың тәжірибелік пайдасын, сондай-ақ оның әдістерінің тиімділігін бағалау болуы керек.</w:t>
      </w:r>
      <w:r w:rsidR="00B90011" w:rsidRPr="00457CE9">
        <w:rPr>
          <w:rFonts w:ascii="Times New Roman" w:eastAsiaTheme="minorEastAsia" w:hAnsi="Times New Roman" w:cs="Times New Roman"/>
          <w:sz w:val="28"/>
          <w:szCs w:val="28"/>
          <w:lang w:val="kk-KZ"/>
        </w:rPr>
        <w:t xml:space="preserve"> </w:t>
      </w:r>
      <w:r w:rsidR="008C07C4" w:rsidRPr="00457CE9">
        <w:rPr>
          <w:rFonts w:ascii="Times New Roman" w:eastAsiaTheme="minorEastAsia" w:hAnsi="Times New Roman" w:cs="Times New Roman"/>
          <w:sz w:val="28"/>
          <w:szCs w:val="28"/>
          <w:lang w:val="kk-KZ"/>
        </w:rPr>
        <w:t xml:space="preserve">Екі тәсіл де бірін бірі толықтырады және саясаттың тәжірибелік пайдасын дәлелдеудің екі шешуші аспектісін </w:t>
      </w:r>
      <w:r w:rsidR="00120526" w:rsidRPr="00457CE9">
        <w:rPr>
          <w:rFonts w:ascii="Times New Roman" w:eastAsiaTheme="minorEastAsia" w:hAnsi="Times New Roman" w:cs="Times New Roman"/>
          <w:sz w:val="28"/>
          <w:szCs w:val="28"/>
          <w:lang w:val="kk-KZ"/>
        </w:rPr>
        <w:t xml:space="preserve">құрайды. Саясаттың салдарын өлшеу қарастырылып отырған саясаттың тиімділігі мен нәтижелілігін, яғни тиімділік аудитінің құрамдас бөліктері болып табылатын </w:t>
      </w:r>
      <w:r w:rsidR="00512F4F" w:rsidRPr="00457CE9">
        <w:rPr>
          <w:rFonts w:ascii="Times New Roman" w:eastAsiaTheme="minorEastAsia" w:hAnsi="Times New Roman" w:cs="Times New Roman"/>
          <w:sz w:val="28"/>
          <w:szCs w:val="28"/>
          <w:lang w:val="kk-KZ"/>
        </w:rPr>
        <w:t xml:space="preserve">элементтерді бағалауға мүмкіндік береді. Соңғысы тәжірибелік пайданы терең бағалауға ықпал ету мақсатында басқа элементтермен бірге қолданылады (сол салада жұмыс істейтін немесе сол қажеттіліктерге қатысты саясаттың басқа бағыттарын қарастыру, саясаттың балама нұсқаларын зерттеу). Бұл тәсіл мемлекеттік саясатты бағалаудың өзіне тән белгісі болып табылады. Тиімділік аудитінің соңында мемлекеттік саясаттың тәжірибелік пайдасы </w:t>
      </w:r>
      <w:r w:rsidR="002839FE">
        <w:rPr>
          <w:rFonts w:ascii="Times New Roman" w:eastAsiaTheme="minorEastAsia" w:hAnsi="Times New Roman" w:cs="Times New Roman"/>
          <w:sz w:val="28"/>
          <w:szCs w:val="28"/>
          <w:lang w:val="kk-KZ"/>
        </w:rPr>
        <w:t>мәселесі қарастырылуы мүмкін</w:t>
      </w:r>
      <w:r w:rsidR="00EF5DE6" w:rsidRPr="00EF5DE6">
        <w:rPr>
          <w:rFonts w:ascii="Times New Roman" w:eastAsiaTheme="minorEastAsia" w:hAnsi="Times New Roman" w:cs="Times New Roman"/>
          <w:sz w:val="28"/>
          <w:szCs w:val="28"/>
          <w:lang w:val="kk-KZ"/>
        </w:rPr>
        <w:t xml:space="preserve"> [148]</w:t>
      </w:r>
      <w:r w:rsidR="002839FE">
        <w:rPr>
          <w:rFonts w:ascii="Times New Roman" w:eastAsiaTheme="minorEastAsia" w:hAnsi="Times New Roman" w:cs="Times New Roman"/>
          <w:sz w:val="28"/>
          <w:szCs w:val="28"/>
          <w:lang w:val="kk-KZ"/>
        </w:rPr>
        <w:t xml:space="preserve">. </w:t>
      </w:r>
    </w:p>
    <w:p w14:paraId="3650AC75" w14:textId="7391562C"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Жалпы иерархияның моделін </w:t>
      </w:r>
      <w:r w:rsidR="009B76D2">
        <w:rPr>
          <w:rFonts w:ascii="Times New Roman" w:eastAsiaTheme="minorEastAsia" w:hAnsi="Times New Roman" w:cs="Times New Roman"/>
          <w:sz w:val="28"/>
          <w:szCs w:val="28"/>
          <w:lang w:val="kk-KZ"/>
        </w:rPr>
        <w:t>50</w:t>
      </w:r>
      <w:r w:rsidRPr="00457CE9">
        <w:rPr>
          <w:rFonts w:ascii="Times New Roman" w:eastAsiaTheme="minorEastAsia" w:hAnsi="Times New Roman" w:cs="Times New Roman"/>
          <w:sz w:val="28"/>
          <w:szCs w:val="28"/>
          <w:lang w:val="kk-KZ"/>
        </w:rPr>
        <w:t>-кесте түрінде келтіруге болады.</w:t>
      </w:r>
    </w:p>
    <w:p w14:paraId="16A24EBD" w14:textId="77777777" w:rsidR="00EF5DE6" w:rsidRDefault="00EF5DE6" w:rsidP="00457CE9">
      <w:pPr>
        <w:spacing w:after="0" w:line="240" w:lineRule="auto"/>
        <w:jc w:val="both"/>
        <w:rPr>
          <w:rFonts w:ascii="Times New Roman" w:eastAsiaTheme="minorEastAsia" w:hAnsi="Times New Roman" w:cs="Times New Roman"/>
          <w:sz w:val="28"/>
          <w:szCs w:val="28"/>
          <w:lang w:val="kk-KZ"/>
        </w:rPr>
      </w:pPr>
    </w:p>
    <w:p w14:paraId="7C09156B" w14:textId="6B8979B4" w:rsidR="00647B71" w:rsidRDefault="00165A6D"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9B76D2">
        <w:rPr>
          <w:rFonts w:ascii="Times New Roman" w:eastAsiaTheme="minorEastAsia" w:hAnsi="Times New Roman" w:cs="Times New Roman"/>
          <w:sz w:val="28"/>
          <w:szCs w:val="28"/>
          <w:lang w:val="kk-KZ"/>
        </w:rPr>
        <w:t>50</w:t>
      </w:r>
      <w:r w:rsidRPr="00457CE9">
        <w:rPr>
          <w:rFonts w:ascii="Times New Roman" w:eastAsiaTheme="minorEastAsia" w:hAnsi="Times New Roman" w:cs="Times New Roman"/>
          <w:sz w:val="28"/>
          <w:szCs w:val="28"/>
          <w:lang w:val="kk-KZ"/>
        </w:rPr>
        <w:t xml:space="preserve"> – </w:t>
      </w:r>
      <w:r w:rsidR="00647B71"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2017-2021 жж. дамытуға пайдаланылған бюджет қаражатының тиімділігін бағалауда иерархиялық талдау моделінің І нұсқа сызбасы</w:t>
      </w:r>
    </w:p>
    <w:p w14:paraId="3D6AD868" w14:textId="77777777" w:rsidR="002839FE" w:rsidRPr="002839FE" w:rsidRDefault="002839FE" w:rsidP="00457CE9">
      <w:pPr>
        <w:spacing w:after="0" w:line="240" w:lineRule="auto"/>
        <w:jc w:val="both"/>
        <w:rPr>
          <w:rFonts w:ascii="Times New Roman" w:eastAsiaTheme="minorEastAsia" w:hAnsi="Times New Roman" w:cs="Times New Roman"/>
          <w:sz w:val="16"/>
          <w:szCs w:val="16"/>
          <w:lang w:val="kk-KZ"/>
        </w:rPr>
      </w:pPr>
    </w:p>
    <w:tbl>
      <w:tblPr>
        <w:tblStyle w:val="a3"/>
        <w:tblW w:w="9580" w:type="dxa"/>
        <w:jc w:val="center"/>
        <w:tblLook w:val="04A0" w:firstRow="1" w:lastRow="0" w:firstColumn="1" w:lastColumn="0" w:noHBand="0" w:noVBand="1"/>
      </w:tblPr>
      <w:tblGrid>
        <w:gridCol w:w="3343"/>
        <w:gridCol w:w="3118"/>
        <w:gridCol w:w="3119"/>
      </w:tblGrid>
      <w:tr w:rsidR="00647B71" w:rsidRPr="00805B3E" w14:paraId="06AB6B9E" w14:textId="77777777" w:rsidTr="00F83B5C">
        <w:trPr>
          <w:trHeight w:val="773"/>
          <w:jc w:val="center"/>
        </w:trPr>
        <w:tc>
          <w:tcPr>
            <w:tcW w:w="9580" w:type="dxa"/>
            <w:gridSpan w:val="3"/>
            <w:tcBorders>
              <w:top w:val="single" w:sz="4" w:space="0" w:color="auto"/>
              <w:left w:val="single" w:sz="4" w:space="0" w:color="auto"/>
              <w:bottom w:val="single" w:sz="4" w:space="0" w:color="auto"/>
              <w:right w:val="single" w:sz="4" w:space="0" w:color="auto"/>
            </w:tcBorders>
            <w:vAlign w:val="center"/>
            <w:hideMark/>
          </w:tcPr>
          <w:p w14:paraId="0387AAAD" w14:textId="77777777" w:rsidR="00647B71" w:rsidRPr="00BB2991" w:rsidRDefault="00647B71" w:rsidP="00F83B5C">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ҚР АӨК 2017-2021 жж. дамытуға пайдаланылған бюджет қаражатының тиімділігін сыртқы тәуелсіз объективті бағалауда иерархиялық талдау моделінің сызбасы І нұсқа</w:t>
            </w:r>
          </w:p>
        </w:tc>
      </w:tr>
      <w:tr w:rsidR="00647B71" w:rsidRPr="00BB2991" w14:paraId="789A2B28"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794C4BC9"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Бірінші деңгей факторлары</w:t>
            </w:r>
          </w:p>
        </w:tc>
        <w:tc>
          <w:tcPr>
            <w:tcW w:w="3118" w:type="dxa"/>
            <w:tcBorders>
              <w:top w:val="single" w:sz="4" w:space="0" w:color="auto"/>
              <w:left w:val="single" w:sz="4" w:space="0" w:color="auto"/>
              <w:bottom w:val="single" w:sz="4" w:space="0" w:color="auto"/>
              <w:right w:val="single" w:sz="4" w:space="0" w:color="auto"/>
            </w:tcBorders>
            <w:hideMark/>
          </w:tcPr>
          <w:p w14:paraId="7F04517B" w14:textId="77777777" w:rsidR="00647B71" w:rsidRPr="000314F9" w:rsidRDefault="00647B71" w:rsidP="00457CE9">
            <w:pPr>
              <w:jc w:val="center"/>
              <w:rPr>
                <w:rFonts w:ascii="Times New Roman" w:eastAsiaTheme="minorEastAsia" w:hAnsi="Times New Roman" w:cs="Times New Roman"/>
                <w:sz w:val="24"/>
                <w:szCs w:val="24"/>
                <w:lang w:val="kk-KZ"/>
              </w:rPr>
            </w:pPr>
            <w:r w:rsidRPr="000314F9">
              <w:rPr>
                <w:rFonts w:ascii="Times New Roman" w:eastAsiaTheme="minorEastAsia" w:hAnsi="Times New Roman" w:cs="Times New Roman"/>
                <w:sz w:val="24"/>
                <w:szCs w:val="24"/>
                <w:lang w:val="kk-KZ"/>
              </w:rPr>
              <w:t>Екінші деңгей факторлары</w:t>
            </w:r>
          </w:p>
        </w:tc>
        <w:tc>
          <w:tcPr>
            <w:tcW w:w="3119" w:type="dxa"/>
            <w:tcBorders>
              <w:top w:val="single" w:sz="4" w:space="0" w:color="auto"/>
              <w:left w:val="single" w:sz="4" w:space="0" w:color="auto"/>
              <w:bottom w:val="single" w:sz="4" w:space="0" w:color="auto"/>
              <w:right w:val="single" w:sz="4" w:space="0" w:color="auto"/>
            </w:tcBorders>
            <w:hideMark/>
          </w:tcPr>
          <w:p w14:paraId="63B6D870"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 xml:space="preserve">Альтернативалар </w:t>
            </w:r>
          </w:p>
        </w:tc>
      </w:tr>
      <w:tr w:rsidR="00647B71" w:rsidRPr="00BB2991" w14:paraId="12AB0BD5"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4D76A20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1-міндет</w:t>
            </w:r>
          </w:p>
        </w:tc>
        <w:tc>
          <w:tcPr>
            <w:tcW w:w="3118" w:type="dxa"/>
            <w:tcBorders>
              <w:top w:val="single" w:sz="4" w:space="0" w:color="auto"/>
              <w:left w:val="single" w:sz="4" w:space="0" w:color="auto"/>
              <w:bottom w:val="single" w:sz="4" w:space="0" w:color="auto"/>
              <w:right w:val="single" w:sz="4" w:space="0" w:color="auto"/>
            </w:tcBorders>
            <w:hideMark/>
          </w:tcPr>
          <w:p w14:paraId="5B31DF99"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8 көрсеткіш</w:t>
            </w:r>
          </w:p>
        </w:tc>
        <w:tc>
          <w:tcPr>
            <w:tcW w:w="3119" w:type="dxa"/>
            <w:tcBorders>
              <w:top w:val="single" w:sz="4" w:space="0" w:color="auto"/>
              <w:left w:val="single" w:sz="4" w:space="0" w:color="auto"/>
              <w:bottom w:val="single" w:sz="4" w:space="0" w:color="auto"/>
              <w:right w:val="single" w:sz="4" w:space="0" w:color="auto"/>
            </w:tcBorders>
            <w:hideMark/>
          </w:tcPr>
          <w:p w14:paraId="235BC54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8 альтернатива</w:t>
            </w:r>
          </w:p>
        </w:tc>
      </w:tr>
      <w:tr w:rsidR="00647B71" w:rsidRPr="00BB2991" w14:paraId="7FD5A271"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46F1AD37"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2-міндет</w:t>
            </w:r>
          </w:p>
        </w:tc>
        <w:tc>
          <w:tcPr>
            <w:tcW w:w="3118" w:type="dxa"/>
            <w:tcBorders>
              <w:top w:val="single" w:sz="4" w:space="0" w:color="auto"/>
              <w:left w:val="single" w:sz="4" w:space="0" w:color="auto"/>
              <w:bottom w:val="single" w:sz="4" w:space="0" w:color="auto"/>
              <w:right w:val="single" w:sz="4" w:space="0" w:color="auto"/>
            </w:tcBorders>
            <w:hideMark/>
          </w:tcPr>
          <w:p w14:paraId="408EF1B8"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 көрсеткіш</w:t>
            </w:r>
          </w:p>
        </w:tc>
        <w:tc>
          <w:tcPr>
            <w:tcW w:w="3119" w:type="dxa"/>
            <w:tcBorders>
              <w:top w:val="single" w:sz="4" w:space="0" w:color="auto"/>
              <w:left w:val="single" w:sz="4" w:space="0" w:color="auto"/>
              <w:bottom w:val="single" w:sz="4" w:space="0" w:color="auto"/>
              <w:right w:val="single" w:sz="4" w:space="0" w:color="auto"/>
            </w:tcBorders>
            <w:hideMark/>
          </w:tcPr>
          <w:p w14:paraId="46DBF869"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 альтернатива</w:t>
            </w:r>
          </w:p>
        </w:tc>
      </w:tr>
      <w:tr w:rsidR="00647B71" w:rsidRPr="00BB2991" w14:paraId="57862E9B"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41C5C223"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3-міндет</w:t>
            </w:r>
          </w:p>
        </w:tc>
        <w:tc>
          <w:tcPr>
            <w:tcW w:w="3118" w:type="dxa"/>
            <w:tcBorders>
              <w:top w:val="single" w:sz="4" w:space="0" w:color="auto"/>
              <w:left w:val="single" w:sz="4" w:space="0" w:color="auto"/>
              <w:bottom w:val="single" w:sz="4" w:space="0" w:color="auto"/>
              <w:right w:val="single" w:sz="4" w:space="0" w:color="auto"/>
            </w:tcBorders>
            <w:hideMark/>
          </w:tcPr>
          <w:p w14:paraId="5AB58092"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12 көрсеткіш</w:t>
            </w:r>
          </w:p>
        </w:tc>
        <w:tc>
          <w:tcPr>
            <w:tcW w:w="3119" w:type="dxa"/>
            <w:tcBorders>
              <w:top w:val="single" w:sz="4" w:space="0" w:color="auto"/>
              <w:left w:val="single" w:sz="4" w:space="0" w:color="auto"/>
              <w:bottom w:val="single" w:sz="4" w:space="0" w:color="auto"/>
              <w:right w:val="single" w:sz="4" w:space="0" w:color="auto"/>
            </w:tcBorders>
            <w:hideMark/>
          </w:tcPr>
          <w:p w14:paraId="0012424D"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12 альтернатива</w:t>
            </w:r>
          </w:p>
        </w:tc>
      </w:tr>
      <w:tr w:rsidR="00647B71" w:rsidRPr="00BB2991" w14:paraId="5D02DB24"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51B6D7B6"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4-міндет</w:t>
            </w:r>
          </w:p>
        </w:tc>
        <w:tc>
          <w:tcPr>
            <w:tcW w:w="3118" w:type="dxa"/>
            <w:tcBorders>
              <w:top w:val="single" w:sz="4" w:space="0" w:color="auto"/>
              <w:left w:val="single" w:sz="4" w:space="0" w:color="auto"/>
              <w:bottom w:val="single" w:sz="4" w:space="0" w:color="auto"/>
              <w:right w:val="single" w:sz="4" w:space="0" w:color="auto"/>
            </w:tcBorders>
            <w:hideMark/>
          </w:tcPr>
          <w:p w14:paraId="6E7E3BB4"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 көрсеткіш</w:t>
            </w:r>
          </w:p>
        </w:tc>
        <w:tc>
          <w:tcPr>
            <w:tcW w:w="3119" w:type="dxa"/>
            <w:tcBorders>
              <w:top w:val="single" w:sz="4" w:space="0" w:color="auto"/>
              <w:left w:val="single" w:sz="4" w:space="0" w:color="auto"/>
              <w:bottom w:val="single" w:sz="4" w:space="0" w:color="auto"/>
              <w:right w:val="single" w:sz="4" w:space="0" w:color="auto"/>
            </w:tcBorders>
            <w:hideMark/>
          </w:tcPr>
          <w:p w14:paraId="7BC5596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 альтернатива</w:t>
            </w:r>
          </w:p>
        </w:tc>
      </w:tr>
      <w:tr w:rsidR="00647B71" w:rsidRPr="00BB2991" w14:paraId="3572ABEB"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519DEC7D"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5-міндет</w:t>
            </w:r>
          </w:p>
        </w:tc>
        <w:tc>
          <w:tcPr>
            <w:tcW w:w="3118" w:type="dxa"/>
            <w:tcBorders>
              <w:top w:val="single" w:sz="4" w:space="0" w:color="auto"/>
              <w:left w:val="single" w:sz="4" w:space="0" w:color="auto"/>
              <w:bottom w:val="single" w:sz="4" w:space="0" w:color="auto"/>
              <w:right w:val="single" w:sz="4" w:space="0" w:color="auto"/>
            </w:tcBorders>
            <w:hideMark/>
          </w:tcPr>
          <w:p w14:paraId="32864D47"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 көрсеткіш</w:t>
            </w:r>
          </w:p>
        </w:tc>
        <w:tc>
          <w:tcPr>
            <w:tcW w:w="3119" w:type="dxa"/>
            <w:tcBorders>
              <w:top w:val="single" w:sz="4" w:space="0" w:color="auto"/>
              <w:left w:val="single" w:sz="4" w:space="0" w:color="auto"/>
              <w:bottom w:val="single" w:sz="4" w:space="0" w:color="auto"/>
              <w:right w:val="single" w:sz="4" w:space="0" w:color="auto"/>
            </w:tcBorders>
            <w:hideMark/>
          </w:tcPr>
          <w:p w14:paraId="654F7CC6"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 альтернатива</w:t>
            </w:r>
          </w:p>
        </w:tc>
      </w:tr>
      <w:tr w:rsidR="00647B71" w:rsidRPr="00BB2991" w14:paraId="77E92F4E"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0B3A371B"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6-міндет</w:t>
            </w:r>
          </w:p>
        </w:tc>
        <w:tc>
          <w:tcPr>
            <w:tcW w:w="3118" w:type="dxa"/>
            <w:tcBorders>
              <w:top w:val="single" w:sz="4" w:space="0" w:color="auto"/>
              <w:left w:val="single" w:sz="4" w:space="0" w:color="auto"/>
              <w:bottom w:val="single" w:sz="4" w:space="0" w:color="auto"/>
              <w:right w:val="single" w:sz="4" w:space="0" w:color="auto"/>
            </w:tcBorders>
            <w:hideMark/>
          </w:tcPr>
          <w:p w14:paraId="5360CD64"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 көрсеткіш</w:t>
            </w:r>
          </w:p>
        </w:tc>
        <w:tc>
          <w:tcPr>
            <w:tcW w:w="3119" w:type="dxa"/>
            <w:tcBorders>
              <w:top w:val="single" w:sz="4" w:space="0" w:color="auto"/>
              <w:left w:val="single" w:sz="4" w:space="0" w:color="auto"/>
              <w:bottom w:val="single" w:sz="4" w:space="0" w:color="auto"/>
              <w:right w:val="single" w:sz="4" w:space="0" w:color="auto"/>
            </w:tcBorders>
            <w:hideMark/>
          </w:tcPr>
          <w:p w14:paraId="43B45337"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 альтернатива</w:t>
            </w:r>
          </w:p>
        </w:tc>
      </w:tr>
      <w:tr w:rsidR="00647B71" w:rsidRPr="00BB2991" w14:paraId="637F5ACD"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47C8CABB"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7-міндет</w:t>
            </w:r>
          </w:p>
        </w:tc>
        <w:tc>
          <w:tcPr>
            <w:tcW w:w="3118" w:type="dxa"/>
            <w:tcBorders>
              <w:top w:val="single" w:sz="4" w:space="0" w:color="auto"/>
              <w:left w:val="single" w:sz="4" w:space="0" w:color="auto"/>
              <w:bottom w:val="single" w:sz="4" w:space="0" w:color="auto"/>
              <w:right w:val="single" w:sz="4" w:space="0" w:color="auto"/>
            </w:tcBorders>
            <w:hideMark/>
          </w:tcPr>
          <w:p w14:paraId="7D164A76"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6 көрсеткіш</w:t>
            </w:r>
          </w:p>
        </w:tc>
        <w:tc>
          <w:tcPr>
            <w:tcW w:w="3119" w:type="dxa"/>
            <w:tcBorders>
              <w:top w:val="single" w:sz="4" w:space="0" w:color="auto"/>
              <w:left w:val="single" w:sz="4" w:space="0" w:color="auto"/>
              <w:bottom w:val="single" w:sz="4" w:space="0" w:color="auto"/>
              <w:right w:val="single" w:sz="4" w:space="0" w:color="auto"/>
            </w:tcBorders>
            <w:hideMark/>
          </w:tcPr>
          <w:p w14:paraId="5B338B99"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6 альтернатива</w:t>
            </w:r>
          </w:p>
        </w:tc>
      </w:tr>
      <w:tr w:rsidR="00647B71" w:rsidRPr="00BB2991" w14:paraId="3EF7153D"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27CB4BBB"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8-міндет</w:t>
            </w:r>
          </w:p>
        </w:tc>
        <w:tc>
          <w:tcPr>
            <w:tcW w:w="3118" w:type="dxa"/>
            <w:tcBorders>
              <w:top w:val="single" w:sz="4" w:space="0" w:color="auto"/>
              <w:left w:val="single" w:sz="4" w:space="0" w:color="auto"/>
              <w:bottom w:val="single" w:sz="4" w:space="0" w:color="auto"/>
              <w:right w:val="single" w:sz="4" w:space="0" w:color="auto"/>
            </w:tcBorders>
            <w:hideMark/>
          </w:tcPr>
          <w:p w14:paraId="3D2515EE"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 көрсеткіш</w:t>
            </w:r>
          </w:p>
        </w:tc>
        <w:tc>
          <w:tcPr>
            <w:tcW w:w="3119" w:type="dxa"/>
            <w:tcBorders>
              <w:top w:val="single" w:sz="4" w:space="0" w:color="auto"/>
              <w:left w:val="single" w:sz="4" w:space="0" w:color="auto"/>
              <w:bottom w:val="single" w:sz="4" w:space="0" w:color="auto"/>
              <w:right w:val="single" w:sz="4" w:space="0" w:color="auto"/>
            </w:tcBorders>
            <w:hideMark/>
          </w:tcPr>
          <w:p w14:paraId="52C732DC"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 альтернатива</w:t>
            </w:r>
          </w:p>
        </w:tc>
      </w:tr>
      <w:tr w:rsidR="00647B71" w:rsidRPr="00BB2991" w14:paraId="56C1575B"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27F68D8B"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9-міндет</w:t>
            </w:r>
          </w:p>
        </w:tc>
        <w:tc>
          <w:tcPr>
            <w:tcW w:w="3118" w:type="dxa"/>
            <w:tcBorders>
              <w:top w:val="single" w:sz="4" w:space="0" w:color="auto"/>
              <w:left w:val="single" w:sz="4" w:space="0" w:color="auto"/>
              <w:bottom w:val="single" w:sz="4" w:space="0" w:color="auto"/>
              <w:right w:val="single" w:sz="4" w:space="0" w:color="auto"/>
            </w:tcBorders>
            <w:hideMark/>
          </w:tcPr>
          <w:p w14:paraId="38A0D2CE"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 көрсеткіш</w:t>
            </w:r>
          </w:p>
        </w:tc>
        <w:tc>
          <w:tcPr>
            <w:tcW w:w="3119" w:type="dxa"/>
            <w:tcBorders>
              <w:top w:val="single" w:sz="4" w:space="0" w:color="auto"/>
              <w:left w:val="single" w:sz="4" w:space="0" w:color="auto"/>
              <w:bottom w:val="single" w:sz="4" w:space="0" w:color="auto"/>
              <w:right w:val="single" w:sz="4" w:space="0" w:color="auto"/>
            </w:tcBorders>
            <w:hideMark/>
          </w:tcPr>
          <w:p w14:paraId="0CC4035A"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 альтернатива</w:t>
            </w:r>
          </w:p>
        </w:tc>
      </w:tr>
      <w:tr w:rsidR="00647B71" w:rsidRPr="00BB2991" w14:paraId="6AF7D552" w14:textId="77777777" w:rsidTr="002839FE">
        <w:trPr>
          <w:jc w:val="center"/>
        </w:trPr>
        <w:tc>
          <w:tcPr>
            <w:tcW w:w="3343" w:type="dxa"/>
            <w:tcBorders>
              <w:top w:val="single" w:sz="4" w:space="0" w:color="auto"/>
              <w:left w:val="single" w:sz="4" w:space="0" w:color="auto"/>
              <w:bottom w:val="single" w:sz="4" w:space="0" w:color="auto"/>
              <w:right w:val="single" w:sz="4" w:space="0" w:color="auto"/>
            </w:tcBorders>
            <w:hideMark/>
          </w:tcPr>
          <w:p w14:paraId="524118B9"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9 міндет</w:t>
            </w:r>
          </w:p>
        </w:tc>
        <w:tc>
          <w:tcPr>
            <w:tcW w:w="3118" w:type="dxa"/>
            <w:tcBorders>
              <w:top w:val="single" w:sz="4" w:space="0" w:color="auto"/>
              <w:left w:val="single" w:sz="4" w:space="0" w:color="auto"/>
              <w:bottom w:val="single" w:sz="4" w:space="0" w:color="auto"/>
              <w:right w:val="single" w:sz="4" w:space="0" w:color="auto"/>
            </w:tcBorders>
            <w:hideMark/>
          </w:tcPr>
          <w:p w14:paraId="265E42CE"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47 көрсеткіш</w:t>
            </w:r>
          </w:p>
        </w:tc>
        <w:tc>
          <w:tcPr>
            <w:tcW w:w="3119" w:type="dxa"/>
            <w:tcBorders>
              <w:top w:val="single" w:sz="4" w:space="0" w:color="auto"/>
              <w:left w:val="single" w:sz="4" w:space="0" w:color="auto"/>
              <w:bottom w:val="single" w:sz="4" w:space="0" w:color="auto"/>
              <w:right w:val="single" w:sz="4" w:space="0" w:color="auto"/>
            </w:tcBorders>
            <w:hideMark/>
          </w:tcPr>
          <w:p w14:paraId="0935AB43"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47 альтернатива</w:t>
            </w:r>
          </w:p>
        </w:tc>
      </w:tr>
      <w:tr w:rsidR="00647B71" w:rsidRPr="00BB2991" w14:paraId="11E4DD0F" w14:textId="77777777" w:rsidTr="002839FE">
        <w:trPr>
          <w:jc w:val="center"/>
        </w:trPr>
        <w:tc>
          <w:tcPr>
            <w:tcW w:w="9580" w:type="dxa"/>
            <w:gridSpan w:val="3"/>
            <w:tcBorders>
              <w:top w:val="single" w:sz="4" w:space="0" w:color="auto"/>
              <w:left w:val="single" w:sz="4" w:space="0" w:color="auto"/>
              <w:bottom w:val="single" w:sz="4" w:space="0" w:color="auto"/>
              <w:right w:val="single" w:sz="4" w:space="0" w:color="auto"/>
            </w:tcBorders>
            <w:hideMark/>
          </w:tcPr>
          <w:p w14:paraId="40BF9C88" w14:textId="2909C2A1" w:rsidR="00647B71" w:rsidRPr="00BB2991" w:rsidRDefault="00647B71" w:rsidP="002839FE">
            <w:pPr>
              <w:ind w:firstLine="563"/>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 xml:space="preserve">Ескерту – </w:t>
            </w:r>
            <w:r w:rsidR="002839FE"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7AA83A86" w14:textId="77777777" w:rsidR="00847107" w:rsidRDefault="00847107" w:rsidP="00457CE9">
      <w:pPr>
        <w:spacing w:after="0" w:line="240" w:lineRule="auto"/>
        <w:ind w:firstLine="709"/>
        <w:jc w:val="both"/>
        <w:rPr>
          <w:rFonts w:ascii="Times New Roman" w:eastAsiaTheme="minorEastAsia" w:hAnsi="Times New Roman" w:cs="Times New Roman"/>
          <w:sz w:val="28"/>
          <w:szCs w:val="28"/>
          <w:lang w:val="kk-KZ"/>
        </w:rPr>
      </w:pPr>
    </w:p>
    <w:p w14:paraId="19DD9537" w14:textId="77777777" w:rsidR="00EF5DE6" w:rsidRDefault="00EF5DE6" w:rsidP="00EF5DE6">
      <w:pPr>
        <w:spacing w:after="0" w:line="240" w:lineRule="auto"/>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ҚР-да «2025 жылға дейін ұлттық даму тұжырымдамасы» [54] бекітілген, осы құжат негізінде АӨК дамытудың ұлттық көрсеткіштері анықталады, негізгі мақсат «ҚР АӨК дамытудың нысаналы индикаторларының» бағалауы зерттеледі. Математикалық модельдің пайдаланылуына АӨК дамытудың нысаналы индикаторларын 2017-2021 жылдар аралығында жоспарлау барысында бағалау бөлімі қарастырылды. </w:t>
      </w:r>
    </w:p>
    <w:p w14:paraId="64B21E71" w14:textId="19492CF9" w:rsidR="00EF5DE6" w:rsidRDefault="00EF5DE6" w:rsidP="00EF5DE6">
      <w:pPr>
        <w:spacing w:after="0" w:line="240" w:lineRule="auto"/>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2017-2021 жж. дамыту бағдарламасында жоспарланған міндеттер, нәтижелі көрсеткіштер мен іс-шаралар арасында нақты байланыс болмағандықтан немесе әлсіз болғандықтан бағалау екі бағытқа бөлінді.</w:t>
      </w:r>
    </w:p>
    <w:p w14:paraId="27F3B124" w14:textId="1D445F6C" w:rsidR="00EF5DE6" w:rsidRDefault="00EF5DE6" w:rsidP="00EF5DE6">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 АӨК 2017-2021 жж. дамытуға бекітілген мемлекеттік бағдарлама бойынша жалпы 9 міндет, 47 нәтижелі көрсеткіш, 159 іс-шара жоспарланған. 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2017-2021 жж. дамытуға пайдаланылған бюджет қаражатының тиімділігін бағалауда иерархиялық талдау моделінің ІІ нұсқаның сызбасы 51-кестеде келтірілген.</w:t>
      </w:r>
    </w:p>
    <w:p w14:paraId="78D8BC5B" w14:textId="77777777" w:rsidR="00B90011" w:rsidRDefault="00B90011" w:rsidP="00457CE9">
      <w:pPr>
        <w:spacing w:after="0" w:line="240" w:lineRule="auto"/>
        <w:ind w:firstLine="709"/>
        <w:jc w:val="both"/>
        <w:rPr>
          <w:rFonts w:ascii="Times New Roman" w:eastAsiaTheme="minorEastAsia" w:hAnsi="Times New Roman" w:cs="Times New Roman"/>
          <w:sz w:val="28"/>
          <w:szCs w:val="28"/>
          <w:lang w:val="kk-KZ"/>
        </w:rPr>
      </w:pPr>
    </w:p>
    <w:p w14:paraId="3D96C30E" w14:textId="13AAACCD"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9B76D2">
        <w:rPr>
          <w:rFonts w:ascii="Times New Roman" w:eastAsiaTheme="minorEastAsia" w:hAnsi="Times New Roman" w:cs="Times New Roman"/>
          <w:sz w:val="28"/>
          <w:szCs w:val="28"/>
          <w:lang w:val="kk-KZ"/>
        </w:rPr>
        <w:t>51</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дамытуға пайдаланылған бюджет қаражатының тиімділігін бағалауда иерархиялық талдау моделінің ІІ нұсқа сызбасы</w:t>
      </w:r>
    </w:p>
    <w:p w14:paraId="54A5ECD0" w14:textId="77777777" w:rsidR="002839FE" w:rsidRPr="002839FE" w:rsidRDefault="002839FE" w:rsidP="00457CE9">
      <w:pPr>
        <w:spacing w:after="0" w:line="240" w:lineRule="auto"/>
        <w:jc w:val="both"/>
        <w:rPr>
          <w:rFonts w:ascii="Times New Roman" w:eastAsiaTheme="minorEastAsia" w:hAnsi="Times New Roman" w:cs="Times New Roman"/>
          <w:sz w:val="16"/>
          <w:szCs w:val="16"/>
          <w:lang w:val="kk-KZ"/>
        </w:rPr>
      </w:pPr>
    </w:p>
    <w:tbl>
      <w:tblPr>
        <w:tblStyle w:val="a3"/>
        <w:tblW w:w="9538" w:type="dxa"/>
        <w:jc w:val="center"/>
        <w:tblLook w:val="04A0" w:firstRow="1" w:lastRow="0" w:firstColumn="1" w:lastColumn="0" w:noHBand="0" w:noVBand="1"/>
      </w:tblPr>
      <w:tblGrid>
        <w:gridCol w:w="3301"/>
        <w:gridCol w:w="3118"/>
        <w:gridCol w:w="3119"/>
      </w:tblGrid>
      <w:tr w:rsidR="00647B71" w:rsidRPr="00805B3E" w14:paraId="4B3FB908" w14:textId="77777777" w:rsidTr="002839FE">
        <w:trPr>
          <w:jc w:val="center"/>
        </w:trPr>
        <w:tc>
          <w:tcPr>
            <w:tcW w:w="9538" w:type="dxa"/>
            <w:gridSpan w:val="3"/>
            <w:tcBorders>
              <w:top w:val="single" w:sz="4" w:space="0" w:color="auto"/>
              <w:left w:val="single" w:sz="4" w:space="0" w:color="auto"/>
              <w:bottom w:val="single" w:sz="4" w:space="0" w:color="auto"/>
              <w:right w:val="single" w:sz="4" w:space="0" w:color="auto"/>
            </w:tcBorders>
            <w:hideMark/>
          </w:tcPr>
          <w:p w14:paraId="5BC5B864" w14:textId="77777777" w:rsidR="00647B71" w:rsidRPr="00457CE9" w:rsidRDefault="00647B71"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ҚР АӨК 2017-2021 жж. дамытуға пайдаланылған бюджет қаражатының тиімділігін сыртқы тәуелсіз объективті бағалауда иерархиялық талдау моделінің сызбасы ІІ нұсқа</w:t>
            </w:r>
          </w:p>
        </w:tc>
      </w:tr>
      <w:tr w:rsidR="00647B71" w:rsidRPr="00457CE9" w14:paraId="525EC94F"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66AA468A" w14:textId="77777777" w:rsidR="00647B71" w:rsidRPr="00457CE9" w:rsidRDefault="00647B71"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Бірінші деңгей факторлары</w:t>
            </w:r>
          </w:p>
        </w:tc>
        <w:tc>
          <w:tcPr>
            <w:tcW w:w="3118" w:type="dxa"/>
            <w:tcBorders>
              <w:top w:val="single" w:sz="4" w:space="0" w:color="auto"/>
              <w:left w:val="single" w:sz="4" w:space="0" w:color="auto"/>
              <w:bottom w:val="single" w:sz="4" w:space="0" w:color="auto"/>
              <w:right w:val="single" w:sz="4" w:space="0" w:color="auto"/>
            </w:tcBorders>
            <w:hideMark/>
          </w:tcPr>
          <w:p w14:paraId="2D6105C8" w14:textId="77777777" w:rsidR="00647B71" w:rsidRPr="000314F9" w:rsidRDefault="00647B71" w:rsidP="00457CE9">
            <w:pPr>
              <w:jc w:val="center"/>
              <w:rPr>
                <w:rFonts w:ascii="Times New Roman" w:eastAsiaTheme="minorEastAsia" w:hAnsi="Times New Roman" w:cs="Times New Roman"/>
                <w:sz w:val="24"/>
                <w:szCs w:val="24"/>
                <w:lang w:val="kk-KZ"/>
              </w:rPr>
            </w:pPr>
            <w:r w:rsidRPr="000314F9">
              <w:rPr>
                <w:rFonts w:ascii="Times New Roman" w:eastAsiaTheme="minorEastAsia" w:hAnsi="Times New Roman" w:cs="Times New Roman"/>
                <w:sz w:val="24"/>
                <w:szCs w:val="24"/>
                <w:lang w:val="kk-KZ"/>
              </w:rPr>
              <w:t>Екінші деңгей факторлары</w:t>
            </w:r>
          </w:p>
        </w:tc>
        <w:tc>
          <w:tcPr>
            <w:tcW w:w="3119" w:type="dxa"/>
            <w:tcBorders>
              <w:top w:val="single" w:sz="4" w:space="0" w:color="auto"/>
              <w:left w:val="single" w:sz="4" w:space="0" w:color="auto"/>
              <w:bottom w:val="single" w:sz="4" w:space="0" w:color="auto"/>
              <w:right w:val="single" w:sz="4" w:space="0" w:color="auto"/>
            </w:tcBorders>
            <w:hideMark/>
          </w:tcPr>
          <w:p w14:paraId="7E27A7D6" w14:textId="77777777" w:rsidR="00647B71" w:rsidRPr="00457CE9" w:rsidRDefault="00647B71"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Альтернативалар </w:t>
            </w:r>
          </w:p>
        </w:tc>
      </w:tr>
      <w:tr w:rsidR="00647B71" w:rsidRPr="00457CE9" w14:paraId="0A9CBE28"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195DAC40"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1-міндет</w:t>
            </w:r>
          </w:p>
        </w:tc>
        <w:tc>
          <w:tcPr>
            <w:tcW w:w="3118" w:type="dxa"/>
            <w:tcBorders>
              <w:top w:val="single" w:sz="4" w:space="0" w:color="auto"/>
              <w:left w:val="single" w:sz="4" w:space="0" w:color="auto"/>
              <w:bottom w:val="single" w:sz="4" w:space="0" w:color="auto"/>
              <w:right w:val="single" w:sz="4" w:space="0" w:color="auto"/>
            </w:tcBorders>
            <w:hideMark/>
          </w:tcPr>
          <w:p w14:paraId="39A5D0D7" w14:textId="77777777" w:rsidR="00647B71" w:rsidRPr="00457CE9" w:rsidRDefault="00647B71" w:rsidP="00457CE9">
            <w:pPr>
              <w:rPr>
                <w:rFonts w:ascii="Times New Roman" w:eastAsiaTheme="minorEastAsia" w:hAnsi="Times New Roman" w:cs="Times New Roman"/>
                <w:sz w:val="24"/>
                <w:szCs w:val="24"/>
              </w:rPr>
            </w:pPr>
            <w:r w:rsidRPr="00457CE9">
              <w:rPr>
                <w:rFonts w:ascii="Times New Roman" w:eastAsiaTheme="minorEastAsia" w:hAnsi="Times New Roman" w:cs="Times New Roman"/>
                <w:sz w:val="24"/>
                <w:szCs w:val="24"/>
                <w:lang w:val="kk-KZ"/>
              </w:rPr>
              <w:t>7 іс-шара</w:t>
            </w:r>
          </w:p>
        </w:tc>
        <w:tc>
          <w:tcPr>
            <w:tcW w:w="3119" w:type="dxa"/>
            <w:tcBorders>
              <w:top w:val="single" w:sz="4" w:space="0" w:color="auto"/>
              <w:left w:val="single" w:sz="4" w:space="0" w:color="auto"/>
              <w:bottom w:val="single" w:sz="4" w:space="0" w:color="auto"/>
              <w:right w:val="single" w:sz="4" w:space="0" w:color="auto"/>
            </w:tcBorders>
            <w:hideMark/>
          </w:tcPr>
          <w:p w14:paraId="2949ADC9"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7 альтернатива</w:t>
            </w:r>
          </w:p>
        </w:tc>
      </w:tr>
      <w:tr w:rsidR="00647B71" w:rsidRPr="00457CE9" w14:paraId="5D0DE543"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3A37B89B"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2-міндет</w:t>
            </w:r>
          </w:p>
        </w:tc>
        <w:tc>
          <w:tcPr>
            <w:tcW w:w="3118" w:type="dxa"/>
            <w:tcBorders>
              <w:top w:val="single" w:sz="4" w:space="0" w:color="auto"/>
              <w:left w:val="single" w:sz="4" w:space="0" w:color="auto"/>
              <w:bottom w:val="single" w:sz="4" w:space="0" w:color="auto"/>
              <w:right w:val="single" w:sz="4" w:space="0" w:color="auto"/>
            </w:tcBorders>
            <w:hideMark/>
          </w:tcPr>
          <w:p w14:paraId="06B1F55E"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39 іс-шара</w:t>
            </w:r>
          </w:p>
        </w:tc>
        <w:tc>
          <w:tcPr>
            <w:tcW w:w="3119" w:type="dxa"/>
            <w:tcBorders>
              <w:top w:val="single" w:sz="4" w:space="0" w:color="auto"/>
              <w:left w:val="single" w:sz="4" w:space="0" w:color="auto"/>
              <w:bottom w:val="single" w:sz="4" w:space="0" w:color="auto"/>
              <w:right w:val="single" w:sz="4" w:space="0" w:color="auto"/>
            </w:tcBorders>
            <w:hideMark/>
          </w:tcPr>
          <w:p w14:paraId="741ECF91"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39 альтернатива</w:t>
            </w:r>
          </w:p>
        </w:tc>
      </w:tr>
      <w:tr w:rsidR="00647B71" w:rsidRPr="00457CE9" w14:paraId="7DCE0AB1"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7921114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3-міндет</w:t>
            </w:r>
          </w:p>
        </w:tc>
        <w:tc>
          <w:tcPr>
            <w:tcW w:w="3118" w:type="dxa"/>
            <w:tcBorders>
              <w:top w:val="single" w:sz="4" w:space="0" w:color="auto"/>
              <w:left w:val="single" w:sz="4" w:space="0" w:color="auto"/>
              <w:bottom w:val="single" w:sz="4" w:space="0" w:color="auto"/>
              <w:right w:val="single" w:sz="4" w:space="0" w:color="auto"/>
            </w:tcBorders>
            <w:hideMark/>
          </w:tcPr>
          <w:p w14:paraId="04A0DE1D"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13  іс-шара</w:t>
            </w:r>
          </w:p>
        </w:tc>
        <w:tc>
          <w:tcPr>
            <w:tcW w:w="3119" w:type="dxa"/>
            <w:tcBorders>
              <w:top w:val="single" w:sz="4" w:space="0" w:color="auto"/>
              <w:left w:val="single" w:sz="4" w:space="0" w:color="auto"/>
              <w:bottom w:val="single" w:sz="4" w:space="0" w:color="auto"/>
              <w:right w:val="single" w:sz="4" w:space="0" w:color="auto"/>
            </w:tcBorders>
            <w:hideMark/>
          </w:tcPr>
          <w:p w14:paraId="2A75A1D4"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13  альтернатива</w:t>
            </w:r>
          </w:p>
        </w:tc>
      </w:tr>
      <w:tr w:rsidR="00647B71" w:rsidRPr="00457CE9" w14:paraId="3413EBE2"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647D2FD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4-міндет</w:t>
            </w:r>
          </w:p>
        </w:tc>
        <w:tc>
          <w:tcPr>
            <w:tcW w:w="3118" w:type="dxa"/>
            <w:tcBorders>
              <w:top w:val="single" w:sz="4" w:space="0" w:color="auto"/>
              <w:left w:val="single" w:sz="4" w:space="0" w:color="auto"/>
              <w:bottom w:val="single" w:sz="4" w:space="0" w:color="auto"/>
              <w:right w:val="single" w:sz="4" w:space="0" w:color="auto"/>
            </w:tcBorders>
            <w:hideMark/>
          </w:tcPr>
          <w:p w14:paraId="31A161F0"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47 іс-шара</w:t>
            </w:r>
          </w:p>
        </w:tc>
        <w:tc>
          <w:tcPr>
            <w:tcW w:w="3119" w:type="dxa"/>
            <w:tcBorders>
              <w:top w:val="single" w:sz="4" w:space="0" w:color="auto"/>
              <w:left w:val="single" w:sz="4" w:space="0" w:color="auto"/>
              <w:bottom w:val="single" w:sz="4" w:space="0" w:color="auto"/>
              <w:right w:val="single" w:sz="4" w:space="0" w:color="auto"/>
            </w:tcBorders>
            <w:hideMark/>
          </w:tcPr>
          <w:p w14:paraId="17370051"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47 альтернатива</w:t>
            </w:r>
          </w:p>
        </w:tc>
      </w:tr>
      <w:tr w:rsidR="00647B71" w:rsidRPr="00457CE9" w14:paraId="584C217A"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7B4D0960"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5-міндет</w:t>
            </w:r>
          </w:p>
        </w:tc>
        <w:tc>
          <w:tcPr>
            <w:tcW w:w="3118" w:type="dxa"/>
            <w:tcBorders>
              <w:top w:val="single" w:sz="4" w:space="0" w:color="auto"/>
              <w:left w:val="single" w:sz="4" w:space="0" w:color="auto"/>
              <w:bottom w:val="single" w:sz="4" w:space="0" w:color="auto"/>
              <w:right w:val="single" w:sz="4" w:space="0" w:color="auto"/>
            </w:tcBorders>
            <w:hideMark/>
          </w:tcPr>
          <w:p w14:paraId="556DA4A1"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31 іс-шара</w:t>
            </w:r>
          </w:p>
        </w:tc>
        <w:tc>
          <w:tcPr>
            <w:tcW w:w="3119" w:type="dxa"/>
            <w:tcBorders>
              <w:top w:val="single" w:sz="4" w:space="0" w:color="auto"/>
              <w:left w:val="single" w:sz="4" w:space="0" w:color="auto"/>
              <w:bottom w:val="single" w:sz="4" w:space="0" w:color="auto"/>
              <w:right w:val="single" w:sz="4" w:space="0" w:color="auto"/>
            </w:tcBorders>
            <w:hideMark/>
          </w:tcPr>
          <w:p w14:paraId="6A519EF6"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31 альтернатива</w:t>
            </w:r>
          </w:p>
        </w:tc>
      </w:tr>
      <w:tr w:rsidR="00647B71" w:rsidRPr="00457CE9" w14:paraId="092E2DBF"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7BAD248D"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6-міндет</w:t>
            </w:r>
          </w:p>
        </w:tc>
        <w:tc>
          <w:tcPr>
            <w:tcW w:w="3118" w:type="dxa"/>
            <w:tcBorders>
              <w:top w:val="single" w:sz="4" w:space="0" w:color="auto"/>
              <w:left w:val="single" w:sz="4" w:space="0" w:color="auto"/>
              <w:bottom w:val="single" w:sz="4" w:space="0" w:color="auto"/>
              <w:right w:val="single" w:sz="4" w:space="0" w:color="auto"/>
            </w:tcBorders>
            <w:hideMark/>
          </w:tcPr>
          <w:p w14:paraId="3C603041"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14 іс-шара</w:t>
            </w:r>
          </w:p>
        </w:tc>
        <w:tc>
          <w:tcPr>
            <w:tcW w:w="3119" w:type="dxa"/>
            <w:tcBorders>
              <w:top w:val="single" w:sz="4" w:space="0" w:color="auto"/>
              <w:left w:val="single" w:sz="4" w:space="0" w:color="auto"/>
              <w:bottom w:val="single" w:sz="4" w:space="0" w:color="auto"/>
              <w:right w:val="single" w:sz="4" w:space="0" w:color="auto"/>
            </w:tcBorders>
            <w:hideMark/>
          </w:tcPr>
          <w:p w14:paraId="5128115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14 альтернатива</w:t>
            </w:r>
          </w:p>
        </w:tc>
      </w:tr>
      <w:tr w:rsidR="00647B71" w:rsidRPr="00457CE9" w14:paraId="3E768B1F"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4B9DA485"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7-міндет</w:t>
            </w:r>
          </w:p>
        </w:tc>
        <w:tc>
          <w:tcPr>
            <w:tcW w:w="3118" w:type="dxa"/>
            <w:tcBorders>
              <w:top w:val="single" w:sz="4" w:space="0" w:color="auto"/>
              <w:left w:val="single" w:sz="4" w:space="0" w:color="auto"/>
              <w:bottom w:val="single" w:sz="4" w:space="0" w:color="auto"/>
              <w:right w:val="single" w:sz="4" w:space="0" w:color="auto"/>
            </w:tcBorders>
            <w:hideMark/>
          </w:tcPr>
          <w:p w14:paraId="79BD5BA1"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 іс-шара</w:t>
            </w:r>
          </w:p>
        </w:tc>
        <w:tc>
          <w:tcPr>
            <w:tcW w:w="3119" w:type="dxa"/>
            <w:tcBorders>
              <w:top w:val="single" w:sz="4" w:space="0" w:color="auto"/>
              <w:left w:val="single" w:sz="4" w:space="0" w:color="auto"/>
              <w:bottom w:val="single" w:sz="4" w:space="0" w:color="auto"/>
              <w:right w:val="single" w:sz="4" w:space="0" w:color="auto"/>
            </w:tcBorders>
            <w:hideMark/>
          </w:tcPr>
          <w:p w14:paraId="70711D1B"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 альтернатива</w:t>
            </w:r>
          </w:p>
        </w:tc>
      </w:tr>
      <w:tr w:rsidR="00647B71" w:rsidRPr="00457CE9" w14:paraId="57556EA4"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64C3F6E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8-міндет</w:t>
            </w:r>
          </w:p>
        </w:tc>
        <w:tc>
          <w:tcPr>
            <w:tcW w:w="3118" w:type="dxa"/>
            <w:tcBorders>
              <w:top w:val="single" w:sz="4" w:space="0" w:color="auto"/>
              <w:left w:val="single" w:sz="4" w:space="0" w:color="auto"/>
              <w:bottom w:val="single" w:sz="4" w:space="0" w:color="auto"/>
              <w:right w:val="single" w:sz="4" w:space="0" w:color="auto"/>
            </w:tcBorders>
            <w:hideMark/>
          </w:tcPr>
          <w:p w14:paraId="4CE4098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 іс-шара</w:t>
            </w:r>
          </w:p>
        </w:tc>
        <w:tc>
          <w:tcPr>
            <w:tcW w:w="3119" w:type="dxa"/>
            <w:tcBorders>
              <w:top w:val="single" w:sz="4" w:space="0" w:color="auto"/>
              <w:left w:val="single" w:sz="4" w:space="0" w:color="auto"/>
              <w:bottom w:val="single" w:sz="4" w:space="0" w:color="auto"/>
              <w:right w:val="single" w:sz="4" w:space="0" w:color="auto"/>
            </w:tcBorders>
            <w:hideMark/>
          </w:tcPr>
          <w:p w14:paraId="634E8BC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 альтернатива</w:t>
            </w:r>
          </w:p>
        </w:tc>
      </w:tr>
      <w:tr w:rsidR="00647B71" w:rsidRPr="00457CE9" w14:paraId="2A8D32EC"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03827481"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9-міндет</w:t>
            </w:r>
          </w:p>
        </w:tc>
        <w:tc>
          <w:tcPr>
            <w:tcW w:w="3118" w:type="dxa"/>
            <w:tcBorders>
              <w:top w:val="single" w:sz="4" w:space="0" w:color="auto"/>
              <w:left w:val="single" w:sz="4" w:space="0" w:color="auto"/>
              <w:bottom w:val="single" w:sz="4" w:space="0" w:color="auto"/>
              <w:right w:val="single" w:sz="4" w:space="0" w:color="auto"/>
            </w:tcBorders>
            <w:hideMark/>
          </w:tcPr>
          <w:p w14:paraId="3EBC340F"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2 іс-шара</w:t>
            </w:r>
          </w:p>
        </w:tc>
        <w:tc>
          <w:tcPr>
            <w:tcW w:w="3119" w:type="dxa"/>
            <w:tcBorders>
              <w:top w:val="single" w:sz="4" w:space="0" w:color="auto"/>
              <w:left w:val="single" w:sz="4" w:space="0" w:color="auto"/>
              <w:bottom w:val="single" w:sz="4" w:space="0" w:color="auto"/>
              <w:right w:val="single" w:sz="4" w:space="0" w:color="auto"/>
            </w:tcBorders>
            <w:hideMark/>
          </w:tcPr>
          <w:p w14:paraId="5525E9F5"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2 альтернатива</w:t>
            </w:r>
          </w:p>
        </w:tc>
      </w:tr>
      <w:tr w:rsidR="00647B71" w:rsidRPr="00457CE9" w14:paraId="12C65CA7" w14:textId="77777777" w:rsidTr="002839FE">
        <w:trPr>
          <w:jc w:val="center"/>
        </w:trPr>
        <w:tc>
          <w:tcPr>
            <w:tcW w:w="3301" w:type="dxa"/>
            <w:tcBorders>
              <w:top w:val="single" w:sz="4" w:space="0" w:color="auto"/>
              <w:left w:val="single" w:sz="4" w:space="0" w:color="auto"/>
              <w:bottom w:val="single" w:sz="4" w:space="0" w:color="auto"/>
              <w:right w:val="single" w:sz="4" w:space="0" w:color="auto"/>
            </w:tcBorders>
            <w:hideMark/>
          </w:tcPr>
          <w:p w14:paraId="05E75630"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9 міндет</w:t>
            </w:r>
          </w:p>
        </w:tc>
        <w:tc>
          <w:tcPr>
            <w:tcW w:w="3118" w:type="dxa"/>
            <w:tcBorders>
              <w:top w:val="single" w:sz="4" w:space="0" w:color="auto"/>
              <w:left w:val="single" w:sz="4" w:space="0" w:color="auto"/>
              <w:bottom w:val="single" w:sz="4" w:space="0" w:color="auto"/>
              <w:right w:val="single" w:sz="4" w:space="0" w:color="auto"/>
            </w:tcBorders>
            <w:hideMark/>
          </w:tcPr>
          <w:p w14:paraId="16E229BC"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159 іс-шара</w:t>
            </w:r>
          </w:p>
        </w:tc>
        <w:tc>
          <w:tcPr>
            <w:tcW w:w="3119" w:type="dxa"/>
            <w:tcBorders>
              <w:top w:val="single" w:sz="4" w:space="0" w:color="auto"/>
              <w:left w:val="single" w:sz="4" w:space="0" w:color="auto"/>
              <w:bottom w:val="single" w:sz="4" w:space="0" w:color="auto"/>
              <w:right w:val="single" w:sz="4" w:space="0" w:color="auto"/>
            </w:tcBorders>
            <w:hideMark/>
          </w:tcPr>
          <w:p w14:paraId="7D67D0E8" w14:textId="77777777" w:rsidR="00647B71" w:rsidRPr="00457CE9" w:rsidRDefault="00647B71" w:rsidP="00457CE9">
            <w:pP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159 альтернатива</w:t>
            </w:r>
          </w:p>
        </w:tc>
      </w:tr>
      <w:tr w:rsidR="00647B71" w:rsidRPr="00457CE9" w14:paraId="686B8450" w14:textId="77777777" w:rsidTr="002839FE">
        <w:trPr>
          <w:jc w:val="center"/>
        </w:trPr>
        <w:tc>
          <w:tcPr>
            <w:tcW w:w="9538" w:type="dxa"/>
            <w:gridSpan w:val="3"/>
            <w:tcBorders>
              <w:top w:val="single" w:sz="4" w:space="0" w:color="auto"/>
              <w:left w:val="single" w:sz="4" w:space="0" w:color="auto"/>
              <w:bottom w:val="single" w:sz="4" w:space="0" w:color="auto"/>
              <w:right w:val="single" w:sz="4" w:space="0" w:color="auto"/>
            </w:tcBorders>
            <w:hideMark/>
          </w:tcPr>
          <w:p w14:paraId="5EDD3C9F" w14:textId="43ADF82E" w:rsidR="00647B71" w:rsidRPr="00457CE9" w:rsidRDefault="00647B71" w:rsidP="002839FE">
            <w:pPr>
              <w:ind w:firstLine="556"/>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2839FE" w:rsidRPr="00457CE9">
              <w:rPr>
                <w:rFonts w:ascii="Times New Roman" w:eastAsiaTheme="minorEastAsia" w:hAnsi="Times New Roman" w:cs="Times New Roman"/>
                <w:sz w:val="24"/>
                <w:szCs w:val="24"/>
                <w:lang w:val="kk-KZ"/>
              </w:rPr>
              <w:t>А</w:t>
            </w:r>
            <w:r w:rsidRPr="00457CE9">
              <w:rPr>
                <w:rFonts w:ascii="Times New Roman" w:eastAsiaTheme="minorEastAsia" w:hAnsi="Times New Roman" w:cs="Times New Roman"/>
                <w:sz w:val="24"/>
                <w:szCs w:val="24"/>
                <w:lang w:val="kk-KZ"/>
              </w:rPr>
              <w:t>втормен құрастырылған</w:t>
            </w:r>
          </w:p>
        </w:tc>
      </w:tr>
    </w:tbl>
    <w:p w14:paraId="7FBFE81F" w14:textId="77777777" w:rsidR="00647B71" w:rsidRPr="00457CE9" w:rsidRDefault="00647B71" w:rsidP="00457CE9">
      <w:pPr>
        <w:spacing w:after="0" w:line="240" w:lineRule="auto"/>
        <w:ind w:firstLine="567"/>
        <w:jc w:val="both"/>
        <w:rPr>
          <w:rFonts w:ascii="Times New Roman" w:eastAsiaTheme="minorEastAsia" w:hAnsi="Times New Roman" w:cs="Times New Roman"/>
          <w:sz w:val="28"/>
          <w:lang w:val="kk-KZ"/>
        </w:rPr>
      </w:pPr>
    </w:p>
    <w:p w14:paraId="45B678EE" w14:textId="77777777" w:rsidR="00EF5DE6" w:rsidRDefault="00EF5DE6" w:rsidP="00EF5DE6">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Жоспарланған міндеттердің, нәтижелі көрсеткіштердің және іс-шаралардың бағдарламада қойылған мақсатқа және нысаналы индикаторларға қол жеткізуде жеткіліктілігін, пайдаланылған бюджет қаражатының қаншалықты тиімділігін, нәтижелігін және үнемділігін бағалау үшін иерархиялық талдау моделі пайдаланылды. </w:t>
      </w:r>
    </w:p>
    <w:p w14:paraId="044A243F" w14:textId="77777777" w:rsidR="00EF5DE6" w:rsidRDefault="00EF5DE6" w:rsidP="00EF5DE6">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Жоғарыда айтылғандай әр міндетке, нәтижелі көрсеткішке және іс шараға бекітілген нысаналы индикаторлар альтернатива ретінде тағайындалып, олардың әсері эксперттік бағалау беру арқылы анықталды. </w:t>
      </w:r>
    </w:p>
    <w:p w14:paraId="38C071E4" w14:textId="77777777" w:rsidR="00FA5280" w:rsidRDefault="00FA5280" w:rsidP="00FA5280">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Математикалық модельді пайдалануда келтірілген индикаторлар «Альтернативалар» ретінде анықталады және төменгі деңгейдегі көрсеткіштер арқылы өзара салыстырылу бойынша пайыздық шамада бағаланады. </w:t>
      </w:r>
    </w:p>
    <w:p w14:paraId="724DA316" w14:textId="33AAB1DF" w:rsidR="00647B71" w:rsidRDefault="00FA5280" w:rsidP="002839FE">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Иерархиялық талдау моделі бойынша ең төменнен жоғары қарай іс-шаралардың, көрсеткіштердің, міндеттерді орындауға қаншалықты әсерін әрқайсысына эксперттік бағалау беру жолымен қорытынды индикаторларға қол жеткізу деңгейін анықтауға мімкіндік береді. </w:t>
      </w:r>
      <w:r w:rsidR="00647B71"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2017-2021 жж. дамытуға бағытталған бюджет қаражатын пайдалану тиімділігіне иерархиялық талдау моделінің сызбасы </w:t>
      </w:r>
      <w:r w:rsidR="002839FE">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3</w:t>
      </w:r>
      <w:r w:rsidR="00647B71" w:rsidRPr="00457CE9">
        <w:rPr>
          <w:rFonts w:ascii="Times New Roman" w:eastAsiaTheme="minorEastAsia" w:hAnsi="Times New Roman" w:cs="Times New Roman"/>
          <w:sz w:val="28"/>
          <w:szCs w:val="28"/>
          <w:lang w:val="kk-KZ"/>
        </w:rPr>
        <w:t>-суретте келтірілген.</w:t>
      </w:r>
    </w:p>
    <w:p w14:paraId="6504CEA0" w14:textId="74360076" w:rsidR="00F15E51" w:rsidRDefault="00F15E51" w:rsidP="00F15E51">
      <w:pPr>
        <w:jc w:val="both"/>
        <w:rPr>
          <w:rFonts w:ascii="Times New Roman" w:eastAsiaTheme="minorEastAsia" w:hAnsi="Times New Roman" w:cs="Times New Roman"/>
          <w:lang w:val="kk-KZ"/>
        </w:rPr>
      </w:pPr>
      <w:r>
        <w:rPr>
          <w:noProof/>
          <w:lang w:eastAsia="ru-RU"/>
        </w:rPr>
        <mc:AlternateContent>
          <mc:Choice Requires="wps">
            <w:drawing>
              <wp:anchor distT="0" distB="0" distL="114300" distR="114300" simplePos="0" relativeHeight="252682240" behindDoc="0" locked="0" layoutInCell="1" allowOverlap="1" wp14:anchorId="66FD8A36" wp14:editId="7294A29D">
                <wp:simplePos x="0" y="0"/>
                <wp:positionH relativeFrom="page">
                  <wp:align>center</wp:align>
                </wp:positionH>
                <wp:positionV relativeFrom="paragraph">
                  <wp:posOffset>42545</wp:posOffset>
                </wp:positionV>
                <wp:extent cx="3505200" cy="335280"/>
                <wp:effectExtent l="0" t="0" r="19050" b="26670"/>
                <wp:wrapNone/>
                <wp:docPr id="653048139"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3352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EBD97C"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rPr>
                              <w:t>Ти</w:t>
                            </w:r>
                            <w:r>
                              <w:rPr>
                                <w:rFonts w:ascii="Times New Roman" w:hAnsi="Times New Roman" w:cs="Times New Roman"/>
                                <w:sz w:val="24"/>
                                <w:szCs w:val="24"/>
                                <w:lang w:val="kk-KZ"/>
                              </w:rPr>
                              <w:t>імділікті сыртқы тәуелсіз объективті бағалау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D8A36" id="_x0000_s1247" style="position:absolute;left:0;text-align:left;margin-left:0;margin-top:3.35pt;width:276pt;height:26.4pt;z-index:252682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" fillcolor="white [3201]" strokecolor="black [3200]" strokeweight=".25pt">
                <v:path arrowok="t"/>
                <v:textbox>
                  <w:txbxContent>
                    <w:p w14:paraId="08EBD97C"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rPr>
                        <w:t>Ти</w:t>
                      </w:r>
                      <w:r>
                        <w:rPr>
                          <w:rFonts w:ascii="Times New Roman" w:hAnsi="Times New Roman" w:cs="Times New Roman"/>
                          <w:sz w:val="24"/>
                          <w:szCs w:val="24"/>
                          <w:lang w:val="kk-KZ"/>
                        </w:rPr>
                        <w:t>імділікті сыртқы тәуелсіз объективті бағалау</w:t>
                      </w:r>
                    </w:p>
                  </w:txbxContent>
                </v:textbox>
                <w10:wrap anchorx="page"/>
              </v:rect>
            </w:pict>
          </mc:Fallback>
        </mc:AlternateContent>
      </w:r>
      <w:r>
        <w:rPr>
          <w:noProof/>
          <w:lang w:eastAsia="ru-RU"/>
        </w:rPr>
        <mc:AlternateContent>
          <mc:Choice Requires="wps">
            <w:drawing>
              <wp:anchor distT="0" distB="0" distL="114299" distR="114299" simplePos="0" relativeHeight="252683264" behindDoc="0" locked="0" layoutInCell="1" allowOverlap="1" wp14:anchorId="27AC1568" wp14:editId="6D477B2E">
                <wp:simplePos x="0" y="0"/>
                <wp:positionH relativeFrom="column">
                  <wp:posOffset>1815465</wp:posOffset>
                </wp:positionH>
                <wp:positionV relativeFrom="paragraph">
                  <wp:posOffset>414655</wp:posOffset>
                </wp:positionV>
                <wp:extent cx="0" cy="259080"/>
                <wp:effectExtent l="76200" t="0" r="57150" b="64770"/>
                <wp:wrapNone/>
                <wp:docPr id="1130835020"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DA86E" id="Прямая со стрелкой 104" o:spid="_x0000_s1026" type="#_x0000_t32" style="position:absolute;margin-left:142.95pt;margin-top:32.65pt;width:0;height:20.4pt;z-index:25268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685312" behindDoc="0" locked="0" layoutInCell="1" allowOverlap="1" wp14:anchorId="06BEF5E6" wp14:editId="622C47F2">
                <wp:simplePos x="0" y="0"/>
                <wp:positionH relativeFrom="page">
                  <wp:align>center</wp:align>
                </wp:positionH>
                <wp:positionV relativeFrom="paragraph">
                  <wp:posOffset>683260</wp:posOffset>
                </wp:positionV>
                <wp:extent cx="3489960" cy="342900"/>
                <wp:effectExtent l="0" t="0" r="15240" b="19050"/>
                <wp:wrapNone/>
                <wp:docPr id="289526189"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960" cy="342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AE2BC5" w14:textId="77777777" w:rsidR="00F15E51" w:rsidRDefault="00F15E51" w:rsidP="00F15E51">
                            <w:pPr>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ҚР АӨК дамытудың негізгі мақсаты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EF5E6" id="_x0000_s1248" style="position:absolute;left:0;text-align:left;margin-left:0;margin-top:53.8pt;width:274.8pt;height:27pt;z-index:252685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" fillcolor="white [3201]" strokecolor="black [3200]" strokeweight=".25pt">
                <v:path arrowok="t"/>
                <v:textbox>
                  <w:txbxContent>
                    <w:p w14:paraId="71AE2BC5" w14:textId="77777777" w:rsidR="00F15E51" w:rsidRDefault="00F15E51" w:rsidP="00F15E51">
                      <w:pPr>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ҚР АӨК дамытудың негізгі мақсаты</w:t>
                      </w:r>
                    </w:p>
                  </w:txbxContent>
                </v:textbox>
                <w10:wrap anchorx="page"/>
              </v:rect>
            </w:pict>
          </mc:Fallback>
        </mc:AlternateContent>
      </w:r>
      <w:r>
        <w:rPr>
          <w:noProof/>
          <w:lang w:eastAsia="ru-RU"/>
        </w:rPr>
        <mc:AlternateContent>
          <mc:Choice Requires="wps">
            <w:drawing>
              <wp:anchor distT="0" distB="0" distL="114299" distR="114299" simplePos="0" relativeHeight="252745728" behindDoc="0" locked="0" layoutInCell="1" allowOverlap="1" wp14:anchorId="0D1A23D1" wp14:editId="1412654C">
                <wp:simplePos x="0" y="0"/>
                <wp:positionH relativeFrom="margin">
                  <wp:align>left</wp:align>
                </wp:positionH>
                <wp:positionV relativeFrom="paragraph">
                  <wp:posOffset>1570355</wp:posOffset>
                </wp:positionV>
                <wp:extent cx="0" cy="2148840"/>
                <wp:effectExtent l="0" t="0" r="38100" b="22860"/>
                <wp:wrapNone/>
                <wp:docPr id="1340080994"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488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CA9399" id="Прямая соединительная линия 100" o:spid="_x0000_s1026" style="position:absolute;flip:x;z-index:252745728;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margin;mso-height-relative:margin" from="0,123.65pt" to="0,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" strokecolor="#bc4542 [3045]">
                <o:lock v:ext="edit" shapetype="f"/>
                <w10:wrap anchorx="margin"/>
              </v:line>
            </w:pict>
          </mc:Fallback>
        </mc:AlternateContent>
      </w:r>
      <w:r>
        <w:rPr>
          <w:noProof/>
          <w:lang w:eastAsia="ru-RU"/>
        </w:rPr>
        <mc:AlternateContent>
          <mc:Choice Requires="wps">
            <w:drawing>
              <wp:anchor distT="4294967295" distB="4294967295" distL="114300" distR="114300" simplePos="0" relativeHeight="252769280" behindDoc="0" locked="0" layoutInCell="1" allowOverlap="1" wp14:anchorId="600E1793" wp14:editId="630352DD">
                <wp:simplePos x="0" y="0"/>
                <wp:positionH relativeFrom="margin">
                  <wp:align>left</wp:align>
                </wp:positionH>
                <wp:positionV relativeFrom="paragraph">
                  <wp:posOffset>1574800</wp:posOffset>
                </wp:positionV>
                <wp:extent cx="868680" cy="0"/>
                <wp:effectExtent l="0" t="76200" r="26670" b="95250"/>
                <wp:wrapNone/>
                <wp:docPr id="347159004"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A7382" id="Прямая со стрелкой 90" o:spid="_x0000_s1026" type="#_x0000_t32" style="position:absolute;margin-left:0;margin-top:124pt;width:68.4pt;height:0;z-index:2527692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" strokecolor="black [3040]">
                <v:stroke endarrow="block"/>
                <o:lock v:ext="edit" shapetype="f"/>
                <w10:wrap anchorx="margin"/>
              </v:shape>
            </w:pict>
          </mc:Fallback>
        </mc:AlternateContent>
      </w:r>
    </w:p>
    <w:p w14:paraId="0477CC0F" w14:textId="77777777" w:rsidR="00F15E51" w:rsidRDefault="00F15E51" w:rsidP="00F15E51">
      <w:pPr>
        <w:jc w:val="both"/>
        <w:rPr>
          <w:rFonts w:ascii="Times New Roman" w:eastAsiaTheme="minorEastAsia" w:hAnsi="Times New Roman" w:cs="Times New Roman"/>
          <w:lang w:val="kk-KZ"/>
        </w:rPr>
      </w:pPr>
    </w:p>
    <w:p w14:paraId="02DC1F90" w14:textId="77777777" w:rsidR="00F15E51" w:rsidRDefault="00F15E51" w:rsidP="00F15E51">
      <w:pPr>
        <w:jc w:val="both"/>
        <w:rPr>
          <w:rFonts w:ascii="Times New Roman" w:eastAsiaTheme="minorEastAsia" w:hAnsi="Times New Roman" w:cs="Times New Roman"/>
          <w:lang w:val="kk-KZ"/>
        </w:rPr>
      </w:pPr>
    </w:p>
    <w:p w14:paraId="51B38F0F" w14:textId="7390D7E2" w:rsidR="00F15E51" w:rsidRDefault="00F15E51" w:rsidP="00F15E51">
      <w:pPr>
        <w:jc w:val="both"/>
        <w:rPr>
          <w:rFonts w:ascii="Times New Roman" w:eastAsiaTheme="minorEastAsia" w:hAnsi="Times New Roman" w:cs="Times New Roman"/>
          <w:lang w:val="kk-KZ"/>
        </w:rPr>
      </w:pPr>
      <w:r>
        <w:rPr>
          <w:noProof/>
          <w:lang w:eastAsia="ru-RU"/>
        </w:rPr>
        <mc:AlternateContent>
          <mc:Choice Requires="wps">
            <w:drawing>
              <wp:anchor distT="0" distB="0" distL="114299" distR="114299" simplePos="0" relativeHeight="252753920" behindDoc="0" locked="0" layoutInCell="1" allowOverlap="1" wp14:anchorId="245E5EFD" wp14:editId="474419B0">
                <wp:simplePos x="0" y="0"/>
                <wp:positionH relativeFrom="column">
                  <wp:posOffset>1403985</wp:posOffset>
                </wp:positionH>
                <wp:positionV relativeFrom="paragraph">
                  <wp:posOffset>111125</wp:posOffset>
                </wp:positionV>
                <wp:extent cx="0" cy="236220"/>
                <wp:effectExtent l="76200" t="0" r="57150" b="49530"/>
                <wp:wrapNone/>
                <wp:docPr id="1585821935"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5C6ED" id="Прямая со стрелкой 94" o:spid="_x0000_s1026" type="#_x0000_t32" style="position:absolute;margin-left:110.55pt;margin-top:8.75pt;width:0;height:18.6pt;z-index:25275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54944" behindDoc="0" locked="0" layoutInCell="1" allowOverlap="1" wp14:anchorId="536EC482" wp14:editId="77EF1CD7">
                <wp:simplePos x="0" y="0"/>
                <wp:positionH relativeFrom="column">
                  <wp:posOffset>1769745</wp:posOffset>
                </wp:positionH>
                <wp:positionV relativeFrom="paragraph">
                  <wp:posOffset>111125</wp:posOffset>
                </wp:positionV>
                <wp:extent cx="0" cy="259080"/>
                <wp:effectExtent l="76200" t="38100" r="57150" b="26670"/>
                <wp:wrapNone/>
                <wp:docPr id="475985619"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49CD4" id="Прямая со стрелкой 93" o:spid="_x0000_s1026" type="#_x0000_t32" style="position:absolute;margin-left:139.35pt;margin-top:8.75pt;width:0;height:20.4pt;flip:y;z-index:25275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55968" behindDoc="0" locked="0" layoutInCell="1" allowOverlap="1" wp14:anchorId="5B759CB2" wp14:editId="18A5981F">
                <wp:simplePos x="0" y="0"/>
                <wp:positionH relativeFrom="column">
                  <wp:posOffset>3743325</wp:posOffset>
                </wp:positionH>
                <wp:positionV relativeFrom="paragraph">
                  <wp:posOffset>111125</wp:posOffset>
                </wp:positionV>
                <wp:extent cx="0" cy="220980"/>
                <wp:effectExtent l="76200" t="0" r="57150" b="64770"/>
                <wp:wrapNone/>
                <wp:docPr id="37292527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8A477" id="Прямая со стрелкой 92" o:spid="_x0000_s1026" type="#_x0000_t32" style="position:absolute;margin-left:294.75pt;margin-top:8.75pt;width:0;height:17.4pt;z-index:25275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56992" behindDoc="0" locked="0" layoutInCell="1" allowOverlap="1" wp14:anchorId="4A0940F7" wp14:editId="0FB9C75D">
                <wp:simplePos x="0" y="0"/>
                <wp:positionH relativeFrom="column">
                  <wp:posOffset>4078605</wp:posOffset>
                </wp:positionH>
                <wp:positionV relativeFrom="paragraph">
                  <wp:posOffset>73025</wp:posOffset>
                </wp:positionV>
                <wp:extent cx="0" cy="259080"/>
                <wp:effectExtent l="76200" t="38100" r="57150" b="26670"/>
                <wp:wrapNone/>
                <wp:docPr id="129741917"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33A44" id="Прямая со стрелкой 91" o:spid="_x0000_s1026" type="#_x0000_t32" style="position:absolute;margin-left:321.15pt;margin-top:5.75pt;width:0;height:20.4pt;flip:y;z-index:25275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" strokecolor="black [3040]">
                <v:stroke endarrow="block"/>
                <o:lock v:ext="edit" shapetype="f"/>
              </v:shape>
            </w:pict>
          </mc:Fallback>
        </mc:AlternateContent>
      </w:r>
    </w:p>
    <w:p w14:paraId="708411AF" w14:textId="4F317E75" w:rsidR="00F15E51" w:rsidRDefault="00F15E51" w:rsidP="00F15E51">
      <w:pPr>
        <w:tabs>
          <w:tab w:val="left" w:pos="1605"/>
        </w:tabs>
        <w:ind w:firstLine="567"/>
        <w:jc w:val="both"/>
        <w:rPr>
          <w:rFonts w:ascii="Times New Roman" w:eastAsiaTheme="minorHAnsi" w:hAnsi="Times New Roman" w:cs="Times New Roman"/>
          <w:szCs w:val="28"/>
          <w:lang w:val="kk-KZ"/>
        </w:rPr>
      </w:pPr>
      <w:r>
        <w:rPr>
          <w:noProof/>
          <w:lang w:eastAsia="ru-RU"/>
        </w:rPr>
        <mc:AlternateContent>
          <mc:Choice Requires="wps">
            <w:drawing>
              <wp:anchor distT="0" distB="0" distL="114300" distR="114300" simplePos="0" relativeHeight="252684288" behindDoc="0" locked="0" layoutInCell="1" allowOverlap="1" wp14:anchorId="0FBDFDD1" wp14:editId="3043C03A">
                <wp:simplePos x="0" y="0"/>
                <wp:positionH relativeFrom="column">
                  <wp:posOffset>866775</wp:posOffset>
                </wp:positionH>
                <wp:positionV relativeFrom="paragraph">
                  <wp:posOffset>79375</wp:posOffset>
                </wp:positionV>
                <wp:extent cx="1165860" cy="518160"/>
                <wp:effectExtent l="0" t="0" r="15240" b="15240"/>
                <wp:wrapNone/>
                <wp:docPr id="494774890"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5860" cy="5181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15F918D" w14:textId="77777777" w:rsidR="00F15E51" w:rsidRDefault="00F15E51" w:rsidP="00F15E51">
                            <w:pPr>
                              <w:spacing w:after="0" w:line="240" w:lineRule="auto"/>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Бірінші деңгей факторлары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DFDD1" id="_x0000_s1249" style="position:absolute;left:0;text-align:left;margin-left:68.25pt;margin-top:6.25pt;width:91.8pt;height:40.8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" fillcolor="white [3201]" strokecolor="black [3200]" strokeweight=".25pt">
                <v:path arrowok="t"/>
                <v:textbox>
                  <w:txbxContent>
                    <w:p w14:paraId="215F918D" w14:textId="77777777" w:rsidR="00F15E51" w:rsidRDefault="00F15E51" w:rsidP="00F15E51">
                      <w:pPr>
                        <w:spacing w:after="0" w:line="240" w:lineRule="auto"/>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Бірінші деңгей факторлары</w:t>
                      </w:r>
                    </w:p>
                  </w:txbxContent>
                </v:textbox>
              </v:rect>
            </w:pict>
          </mc:Fallback>
        </mc:AlternateContent>
      </w:r>
      <w:r>
        <w:rPr>
          <w:noProof/>
          <w:lang w:eastAsia="ru-RU"/>
        </w:rPr>
        <mc:AlternateContent>
          <mc:Choice Requires="wps">
            <w:drawing>
              <wp:anchor distT="0" distB="0" distL="114300" distR="114300" simplePos="0" relativeHeight="252744704" behindDoc="0" locked="0" layoutInCell="1" allowOverlap="1" wp14:anchorId="66EC2A28" wp14:editId="735FDD5D">
                <wp:simplePos x="0" y="0"/>
                <wp:positionH relativeFrom="column">
                  <wp:posOffset>3236595</wp:posOffset>
                </wp:positionH>
                <wp:positionV relativeFrom="paragraph">
                  <wp:posOffset>48895</wp:posOffset>
                </wp:positionV>
                <wp:extent cx="1196340" cy="518160"/>
                <wp:effectExtent l="0" t="0" r="22860" b="15240"/>
                <wp:wrapNone/>
                <wp:docPr id="1375980882"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340" cy="5181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3640CD" w14:textId="77777777" w:rsidR="00F15E51" w:rsidRDefault="00F15E51" w:rsidP="00F15E51">
                            <w:pPr>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Бірінші деңгей факторлары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EC2A28" id="Прямоугольник 101" o:spid="_x0000_s1250" style="position:absolute;left:0;text-align:left;margin-left:254.85pt;margin-top:3.85pt;width:94.2pt;height:40.8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" fillcolor="white [3201]" strokecolor="black [3200]" strokeweight=".25pt">
                <v:path arrowok="t"/>
                <v:textbox>
                  <w:txbxContent>
                    <w:p w14:paraId="313640CD" w14:textId="77777777" w:rsidR="00F15E51" w:rsidRDefault="00F15E51" w:rsidP="00F15E51">
                      <w:pPr>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Бірінші деңгей факторлары</w:t>
                      </w:r>
                    </w:p>
                  </w:txbxContent>
                </v:textbox>
              </v:rect>
            </w:pict>
          </mc:Fallback>
        </mc:AlternateContent>
      </w:r>
      <w:r>
        <w:rPr>
          <w:noProof/>
          <w:lang w:eastAsia="ru-RU"/>
        </w:rPr>
        <mc:AlternateContent>
          <mc:Choice Requires="wps">
            <w:drawing>
              <wp:anchor distT="4294967295" distB="4294967295" distL="114300" distR="114300" simplePos="0" relativeHeight="252770304" behindDoc="0" locked="0" layoutInCell="1" allowOverlap="1" wp14:anchorId="17AB460F" wp14:editId="4B34F7FA">
                <wp:simplePos x="0" y="0"/>
                <wp:positionH relativeFrom="column">
                  <wp:posOffset>4448175</wp:posOffset>
                </wp:positionH>
                <wp:positionV relativeFrom="paragraph">
                  <wp:posOffset>312420</wp:posOffset>
                </wp:positionV>
                <wp:extent cx="624840" cy="0"/>
                <wp:effectExtent l="38100" t="76200" r="0" b="95250"/>
                <wp:wrapNone/>
                <wp:docPr id="2052472"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4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0BFF7" id="Прямая со стрелкой 89" o:spid="_x0000_s1026" type="#_x0000_t32" style="position:absolute;margin-left:350.25pt;margin-top:24.6pt;width:49.2pt;height:0;flip:x;z-index:25277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" strokecolor="black [3040]">
                <v:stroke endarrow="block"/>
                <o:lock v:ext="edit" shapetype="f"/>
              </v:shape>
            </w:pict>
          </mc:Fallback>
        </mc:AlternateContent>
      </w:r>
    </w:p>
    <w:p w14:paraId="15A75240" w14:textId="56BCA5DA" w:rsidR="00F15E51" w:rsidRDefault="00F15E51" w:rsidP="00F15E51">
      <w:pPr>
        <w:tabs>
          <w:tab w:val="left" w:pos="1605"/>
        </w:tabs>
        <w:ind w:firstLine="567"/>
        <w:jc w:val="both"/>
        <w:rPr>
          <w:rFonts w:ascii="Times New Roman" w:hAnsi="Times New Roman" w:cs="Times New Roman"/>
          <w:szCs w:val="28"/>
          <w:lang w:val="kk-KZ"/>
        </w:rPr>
      </w:pPr>
      <w:r>
        <w:rPr>
          <w:noProof/>
          <w:lang w:eastAsia="ru-RU"/>
        </w:rPr>
        <mc:AlternateContent>
          <mc:Choice Requires="wps">
            <w:drawing>
              <wp:anchor distT="0" distB="0" distL="114299" distR="114299" simplePos="0" relativeHeight="252751872" behindDoc="0" locked="0" layoutInCell="1" allowOverlap="1" wp14:anchorId="79CA0FBF" wp14:editId="11E2F171">
                <wp:simplePos x="0" y="0"/>
                <wp:positionH relativeFrom="column">
                  <wp:posOffset>1308735</wp:posOffset>
                </wp:positionH>
                <wp:positionV relativeFrom="paragraph">
                  <wp:posOffset>273685</wp:posOffset>
                </wp:positionV>
                <wp:extent cx="0" cy="281940"/>
                <wp:effectExtent l="76200" t="38100" r="57150" b="22860"/>
                <wp:wrapNone/>
                <wp:docPr id="373493620"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3BC49" id="Прямая со стрелкой 96" o:spid="_x0000_s1026" type="#_x0000_t32" style="position:absolute;margin-left:103.05pt;margin-top:21.55pt;width:0;height:22.2pt;flip:y;z-index:25275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7776" behindDoc="0" locked="0" layoutInCell="1" allowOverlap="1" wp14:anchorId="3EDCAFE4" wp14:editId="5C32C103">
                <wp:simplePos x="0" y="0"/>
                <wp:positionH relativeFrom="column">
                  <wp:posOffset>1682115</wp:posOffset>
                </wp:positionH>
                <wp:positionV relativeFrom="paragraph">
                  <wp:posOffset>266065</wp:posOffset>
                </wp:positionV>
                <wp:extent cx="0" cy="304800"/>
                <wp:effectExtent l="76200" t="0" r="57150" b="57150"/>
                <wp:wrapNone/>
                <wp:docPr id="1803279160"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A3982" id="Прямая со стрелкой 99" o:spid="_x0000_s1026" type="#_x0000_t32" style="position:absolute;margin-left:132.45pt;margin-top:20.95pt;width:0;height:24pt;z-index:25274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52896" behindDoc="0" locked="0" layoutInCell="1" allowOverlap="1" wp14:anchorId="57CB112A" wp14:editId="5AD52B22">
                <wp:simplePos x="0" y="0"/>
                <wp:positionH relativeFrom="column">
                  <wp:posOffset>3709035</wp:posOffset>
                </wp:positionH>
                <wp:positionV relativeFrom="paragraph">
                  <wp:posOffset>273685</wp:posOffset>
                </wp:positionV>
                <wp:extent cx="0" cy="312420"/>
                <wp:effectExtent l="76200" t="38100" r="57150" b="11430"/>
                <wp:wrapNone/>
                <wp:docPr id="216929328"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E0C9E" id="Прямая со стрелкой 95" o:spid="_x0000_s1026" type="#_x0000_t32" style="position:absolute;margin-left:292.05pt;margin-top:21.55pt;width:0;height:24.6pt;flip:y;z-index:25275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8800" behindDoc="0" locked="0" layoutInCell="1" allowOverlap="1" wp14:anchorId="335482B0" wp14:editId="02AA0083">
                <wp:simplePos x="0" y="0"/>
                <wp:positionH relativeFrom="column">
                  <wp:posOffset>4181475</wp:posOffset>
                </wp:positionH>
                <wp:positionV relativeFrom="paragraph">
                  <wp:posOffset>258445</wp:posOffset>
                </wp:positionV>
                <wp:extent cx="0" cy="304800"/>
                <wp:effectExtent l="76200" t="0" r="57150" b="57150"/>
                <wp:wrapNone/>
                <wp:docPr id="692938685"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E4FF6" id="Прямая со стрелкой 98" o:spid="_x0000_s1026" type="#_x0000_t32" style="position:absolute;margin-left:329.25pt;margin-top:20.35pt;width:0;height:24pt;z-index:25274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9824" behindDoc="0" locked="0" layoutInCell="1" allowOverlap="1" wp14:anchorId="4C267101" wp14:editId="11EEADF6">
                <wp:simplePos x="0" y="0"/>
                <wp:positionH relativeFrom="column">
                  <wp:posOffset>5088255</wp:posOffset>
                </wp:positionH>
                <wp:positionV relativeFrom="paragraph">
                  <wp:posOffset>4445</wp:posOffset>
                </wp:positionV>
                <wp:extent cx="0" cy="2179320"/>
                <wp:effectExtent l="0" t="0" r="38100" b="30480"/>
                <wp:wrapNone/>
                <wp:docPr id="1311991639"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93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C862B9" id="Прямая соединительная линия 97" o:spid="_x0000_s1026" style="position:absolute;z-index:25274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0.65pt,.35pt" to="400.6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" strokecolor="#bc4542 [3045]">
                <o:lock v:ext="edit" shapetype="f"/>
              </v:line>
            </w:pict>
          </mc:Fallback>
        </mc:AlternateContent>
      </w:r>
    </w:p>
    <w:p w14:paraId="4F0B1579" w14:textId="03A8BA0B" w:rsidR="00F15E51" w:rsidRDefault="00F15E51" w:rsidP="00F15E51">
      <w:pPr>
        <w:tabs>
          <w:tab w:val="center" w:pos="4960"/>
        </w:tabs>
        <w:ind w:firstLine="567"/>
        <w:jc w:val="both"/>
        <w:rPr>
          <w:rFonts w:ascii="Times New Roman" w:hAnsi="Times New Roman" w:cs="Times New Roman"/>
          <w:szCs w:val="28"/>
          <w:lang w:val="kk-KZ"/>
        </w:rPr>
      </w:pPr>
      <w:r>
        <w:rPr>
          <w:noProof/>
          <w:lang w:eastAsia="ru-RU"/>
        </w:rPr>
        <mc:AlternateContent>
          <mc:Choice Requires="wps">
            <w:drawing>
              <wp:anchor distT="0" distB="0" distL="114299" distR="114299" simplePos="0" relativeHeight="252713984" behindDoc="0" locked="0" layoutInCell="1" allowOverlap="1" wp14:anchorId="20AB7741" wp14:editId="7461F6E5">
                <wp:simplePos x="0" y="0"/>
                <wp:positionH relativeFrom="column">
                  <wp:posOffset>3025140</wp:posOffset>
                </wp:positionH>
                <wp:positionV relativeFrom="paragraph">
                  <wp:posOffset>266700</wp:posOffset>
                </wp:positionV>
                <wp:extent cx="0" cy="220980"/>
                <wp:effectExtent l="76200" t="0" r="57150" b="64770"/>
                <wp:wrapNone/>
                <wp:docPr id="831152386"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968D1" id="Прямая со стрелкой 88" o:spid="_x0000_s1026" type="#_x0000_t32" style="position:absolute;margin-left:238.2pt;margin-top:21pt;width:0;height:17.4pt;z-index:25271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688384" behindDoc="0" locked="0" layoutInCell="1" allowOverlap="1" wp14:anchorId="6D0ACF3A" wp14:editId="352EF024">
                <wp:simplePos x="0" y="0"/>
                <wp:positionH relativeFrom="column">
                  <wp:posOffset>2486025</wp:posOffset>
                </wp:positionH>
                <wp:positionV relativeFrom="paragraph">
                  <wp:posOffset>265430</wp:posOffset>
                </wp:positionV>
                <wp:extent cx="7620" cy="213360"/>
                <wp:effectExtent l="38100" t="0" r="68580" b="53340"/>
                <wp:wrapNone/>
                <wp:docPr id="429027038"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6CA2C" id="Прямая со стрелкой 87" o:spid="_x0000_s1026" type="#_x0000_t32" style="position:absolute;margin-left:195.75pt;margin-top:20.9pt;width:.6pt;height:16.8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1936" behindDoc="0" locked="0" layoutInCell="1" allowOverlap="1" wp14:anchorId="52BCE35F" wp14:editId="34CAB9DE">
                <wp:simplePos x="0" y="0"/>
                <wp:positionH relativeFrom="column">
                  <wp:posOffset>2034540</wp:posOffset>
                </wp:positionH>
                <wp:positionV relativeFrom="paragraph">
                  <wp:posOffset>283210</wp:posOffset>
                </wp:positionV>
                <wp:extent cx="0" cy="220980"/>
                <wp:effectExtent l="76200" t="0" r="57150" b="64770"/>
                <wp:wrapNone/>
                <wp:docPr id="1375120219"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86F9D" id="Прямая со стрелкой 86" o:spid="_x0000_s1026" type="#_x0000_t32" style="position:absolute;margin-left:160.2pt;margin-top:22.3pt;width:0;height:17.4pt;z-index:25271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0912" behindDoc="0" locked="0" layoutInCell="1" allowOverlap="1" wp14:anchorId="336BA4BB" wp14:editId="7FE8C6AA">
                <wp:simplePos x="0" y="0"/>
                <wp:positionH relativeFrom="column">
                  <wp:posOffset>1554480</wp:posOffset>
                </wp:positionH>
                <wp:positionV relativeFrom="paragraph">
                  <wp:posOffset>271145</wp:posOffset>
                </wp:positionV>
                <wp:extent cx="0" cy="220980"/>
                <wp:effectExtent l="76200" t="0" r="57150" b="64770"/>
                <wp:wrapNone/>
                <wp:docPr id="2010472108"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1E059" id="Прямая со стрелкой 85" o:spid="_x0000_s1026" type="#_x0000_t32" style="position:absolute;margin-left:122.4pt;margin-top:21.35pt;width:0;height:17.4pt;z-index:25271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9104" behindDoc="0" locked="0" layoutInCell="1" allowOverlap="1" wp14:anchorId="439B5F05" wp14:editId="67240C84">
                <wp:simplePos x="0" y="0"/>
                <wp:positionH relativeFrom="margin">
                  <wp:posOffset>1074420</wp:posOffset>
                </wp:positionH>
                <wp:positionV relativeFrom="paragraph">
                  <wp:posOffset>271780</wp:posOffset>
                </wp:positionV>
                <wp:extent cx="0" cy="220980"/>
                <wp:effectExtent l="76200" t="0" r="57150" b="64770"/>
                <wp:wrapNone/>
                <wp:docPr id="186278048"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5461F" id="Прямая со стрелкой 84" o:spid="_x0000_s1026" type="#_x0000_t32" style="position:absolute;margin-left:84.6pt;margin-top:21.4pt;width:0;height:17.4pt;z-index:2527191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" strokecolor="black [3040]">
                <v:stroke endarrow="block"/>
                <o:lock v:ext="edit" shapetype="f"/>
                <w10:wrap anchorx="margin"/>
              </v:shape>
            </w:pict>
          </mc:Fallback>
        </mc:AlternateContent>
      </w:r>
      <w:r>
        <w:rPr>
          <w:noProof/>
          <w:lang w:eastAsia="ru-RU"/>
        </w:rPr>
        <mc:AlternateContent>
          <mc:Choice Requires="wps">
            <w:drawing>
              <wp:anchor distT="0" distB="0" distL="114299" distR="114299" simplePos="0" relativeHeight="252694528" behindDoc="0" locked="0" layoutInCell="1" allowOverlap="1" wp14:anchorId="3A99086D" wp14:editId="22F85242">
                <wp:simplePos x="0" y="0"/>
                <wp:positionH relativeFrom="column">
                  <wp:posOffset>558165</wp:posOffset>
                </wp:positionH>
                <wp:positionV relativeFrom="paragraph">
                  <wp:posOffset>265430</wp:posOffset>
                </wp:positionV>
                <wp:extent cx="0" cy="213360"/>
                <wp:effectExtent l="76200" t="0" r="57150" b="53340"/>
                <wp:wrapNone/>
                <wp:docPr id="461368356"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CEAE4" id="Прямая со стрелкой 83" o:spid="_x0000_s1026" type="#_x0000_t32" style="position:absolute;margin-left:43.95pt;margin-top:20.9pt;width:0;height:16.8pt;z-index:25269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2960" behindDoc="0" locked="0" layoutInCell="1" allowOverlap="1" wp14:anchorId="1BE50DA0" wp14:editId="5443761F">
                <wp:simplePos x="0" y="0"/>
                <wp:positionH relativeFrom="column">
                  <wp:posOffset>3581400</wp:posOffset>
                </wp:positionH>
                <wp:positionV relativeFrom="paragraph">
                  <wp:posOffset>275590</wp:posOffset>
                </wp:positionV>
                <wp:extent cx="0" cy="220980"/>
                <wp:effectExtent l="76200" t="0" r="57150" b="64770"/>
                <wp:wrapNone/>
                <wp:docPr id="1375613060"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41513" id="Прямая со стрелкой 82" o:spid="_x0000_s1026" type="#_x0000_t32" style="position:absolute;margin-left:282pt;margin-top:21.7pt;width:0;height:17.4pt;z-index:25271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5008" behindDoc="0" locked="0" layoutInCell="1" allowOverlap="1" wp14:anchorId="3D48664D" wp14:editId="3AB088B2">
                <wp:simplePos x="0" y="0"/>
                <wp:positionH relativeFrom="column">
                  <wp:posOffset>4610100</wp:posOffset>
                </wp:positionH>
                <wp:positionV relativeFrom="paragraph">
                  <wp:posOffset>267970</wp:posOffset>
                </wp:positionV>
                <wp:extent cx="0" cy="220980"/>
                <wp:effectExtent l="76200" t="0" r="57150" b="64770"/>
                <wp:wrapNone/>
                <wp:docPr id="2011863792"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827AD" id="Прямая со стрелкой 81" o:spid="_x0000_s1026" type="#_x0000_t32" style="position:absolute;margin-left:363pt;margin-top:21.1pt;width:0;height:17.4pt;z-index:25271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09888" behindDoc="0" locked="0" layoutInCell="1" allowOverlap="1" wp14:anchorId="1D897423" wp14:editId="270D03B3">
                <wp:simplePos x="0" y="0"/>
                <wp:positionH relativeFrom="column">
                  <wp:posOffset>4109085</wp:posOffset>
                </wp:positionH>
                <wp:positionV relativeFrom="paragraph">
                  <wp:posOffset>280670</wp:posOffset>
                </wp:positionV>
                <wp:extent cx="0" cy="220980"/>
                <wp:effectExtent l="76200" t="0" r="57150" b="64770"/>
                <wp:wrapNone/>
                <wp:docPr id="331258949"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8B25F" id="Прямая со стрелкой 80" o:spid="_x0000_s1026" type="#_x0000_t32" style="position:absolute;margin-left:323.55pt;margin-top:22.1pt;width:0;height:17.4pt;z-index:25270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4294967295" distB="4294967295" distL="114300" distR="114300" simplePos="0" relativeHeight="252706816" behindDoc="0" locked="0" layoutInCell="1" allowOverlap="1" wp14:anchorId="3D39263A" wp14:editId="27C01474">
                <wp:simplePos x="0" y="0"/>
                <wp:positionH relativeFrom="column">
                  <wp:posOffset>550545</wp:posOffset>
                </wp:positionH>
                <wp:positionV relativeFrom="paragraph">
                  <wp:posOffset>267970</wp:posOffset>
                </wp:positionV>
                <wp:extent cx="4053840" cy="0"/>
                <wp:effectExtent l="0" t="0" r="0" b="0"/>
                <wp:wrapNone/>
                <wp:docPr id="1696248253"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3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AE37F7" id="Прямая соединительная линия 79" o:spid="_x0000_s1026" style="position:absolute;flip:y;z-index:25270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35pt,21.1pt" to="362.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" strokecolor="black [3040]">
                <o:lock v:ext="edit" shapetype="f"/>
              </v:line>
            </w:pict>
          </mc:Fallback>
        </mc:AlternateContent>
      </w:r>
      <w:r>
        <w:rPr>
          <w:rFonts w:ascii="Times New Roman" w:hAnsi="Times New Roman" w:cs="Times New Roman"/>
          <w:szCs w:val="28"/>
          <w:lang w:val="kk-KZ"/>
        </w:rPr>
        <w:tab/>
      </w:r>
    </w:p>
    <w:p w14:paraId="7743B3F2" w14:textId="68E32D92" w:rsidR="00F15E51" w:rsidRDefault="00F15E51" w:rsidP="00F15E51">
      <w:pPr>
        <w:jc w:val="both"/>
        <w:rPr>
          <w:rFonts w:ascii="Times New Roman" w:eastAsiaTheme="minorEastAsia" w:hAnsi="Times New Roman" w:cs="Times New Roman"/>
          <w:lang w:val="kk-KZ"/>
        </w:rPr>
      </w:pPr>
      <w:r>
        <w:rPr>
          <w:noProof/>
          <w:lang w:eastAsia="ru-RU"/>
        </w:rPr>
        <mc:AlternateContent>
          <mc:Choice Requires="wps">
            <w:drawing>
              <wp:anchor distT="0" distB="0" distL="114300" distR="114300" simplePos="0" relativeHeight="252689408" behindDoc="0" locked="0" layoutInCell="1" allowOverlap="1" wp14:anchorId="547C4BCC" wp14:editId="2E32AB52">
                <wp:simplePos x="0" y="0"/>
                <wp:positionH relativeFrom="column">
                  <wp:posOffset>443865</wp:posOffset>
                </wp:positionH>
                <wp:positionV relativeFrom="paragraph">
                  <wp:posOffset>164465</wp:posOffset>
                </wp:positionV>
                <wp:extent cx="320040" cy="632460"/>
                <wp:effectExtent l="0" t="0" r="22860" b="15240"/>
                <wp:wrapNone/>
                <wp:docPr id="668613331"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324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0D04B7C"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C4BCC" id="Прямоугольник 78" o:spid="_x0000_s1251" style="position:absolute;left:0;text-align:left;margin-left:34.95pt;margin-top:12.95pt;width:25.2pt;height:49.8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" fillcolor="white [3201]" strokecolor="black [3200]" strokeweight=".25pt">
                <v:path arrowok="t"/>
                <v:textbox style="layout-flow:vertical;mso-layout-flow-alt:bottom-to-top">
                  <w:txbxContent>
                    <w:p w14:paraId="60D04B7C"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1-міндет</w:t>
                      </w:r>
                    </w:p>
                  </w:txbxContent>
                </v:textbox>
              </v:rect>
            </w:pict>
          </mc:Fallback>
        </mc:AlternateContent>
      </w:r>
      <w:r>
        <w:rPr>
          <w:noProof/>
          <w:lang w:eastAsia="ru-RU"/>
        </w:rPr>
        <mc:AlternateContent>
          <mc:Choice Requires="wps">
            <w:drawing>
              <wp:anchor distT="0" distB="0" distL="114300" distR="114300" simplePos="0" relativeHeight="252691456" behindDoc="0" locked="0" layoutInCell="1" allowOverlap="1" wp14:anchorId="3F74AAF3" wp14:editId="3A91D44D">
                <wp:simplePos x="0" y="0"/>
                <wp:positionH relativeFrom="column">
                  <wp:posOffset>1381125</wp:posOffset>
                </wp:positionH>
                <wp:positionV relativeFrom="paragraph">
                  <wp:posOffset>187325</wp:posOffset>
                </wp:positionV>
                <wp:extent cx="320040" cy="632460"/>
                <wp:effectExtent l="0" t="0" r="22860" b="15240"/>
                <wp:wrapNone/>
                <wp:docPr id="479927475"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324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31669C2"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4AAF3" id="_x0000_s1252" style="position:absolute;left:0;text-align:left;margin-left:108.75pt;margin-top:14.75pt;width:25.2pt;height:49.8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" fillcolor="white [3201]" strokecolor="black [3200]" strokeweight=".25pt">
                <v:path arrowok="t"/>
                <v:textbox style="layout-flow:vertical;mso-layout-flow-alt:bottom-to-top">
                  <w:txbxContent>
                    <w:p w14:paraId="631669C2"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3-міндет</w:t>
                      </w:r>
                    </w:p>
                  </w:txbxContent>
                </v:textbox>
              </v:rect>
            </w:pict>
          </mc:Fallback>
        </mc:AlternateContent>
      </w:r>
      <w:r>
        <w:rPr>
          <w:noProof/>
          <w:lang w:eastAsia="ru-RU"/>
        </w:rPr>
        <mc:AlternateContent>
          <mc:Choice Requires="wps">
            <w:drawing>
              <wp:anchor distT="0" distB="0" distL="114300" distR="114300" simplePos="0" relativeHeight="252696576" behindDoc="0" locked="0" layoutInCell="1" allowOverlap="1" wp14:anchorId="79CEFDF2" wp14:editId="5705DD1A">
                <wp:simplePos x="0" y="0"/>
                <wp:positionH relativeFrom="column">
                  <wp:posOffset>2356485</wp:posOffset>
                </wp:positionH>
                <wp:positionV relativeFrom="paragraph">
                  <wp:posOffset>182880</wp:posOffset>
                </wp:positionV>
                <wp:extent cx="320040" cy="624840"/>
                <wp:effectExtent l="0" t="0" r="22860" b="22860"/>
                <wp:wrapNone/>
                <wp:docPr id="278186329"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248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6E583A2"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5-міндет</w:t>
                            </w:r>
                          </w:p>
                          <w:p w14:paraId="0DF7BBBD" w14:textId="77777777" w:rsidR="00F15E51" w:rsidRDefault="00F15E51" w:rsidP="00F15E51">
                            <w:pPr>
                              <w:jc w:val="center"/>
                              <w:rPr>
                                <w:rFonts w:ascii="Times New Roman" w:hAnsi="Times New Roman" w:cs="Times New Roman"/>
                                <w:sz w:val="18"/>
                                <w:szCs w:val="18"/>
                                <w:lang w:val="kk-KZ"/>
                              </w:rPr>
                            </w:pP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EFDF2" id="_x0000_s1253" style="position:absolute;left:0;text-align:left;margin-left:185.55pt;margin-top:14.4pt;width:25.2pt;height:49.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" fillcolor="white [3201]" strokecolor="black [3200]" strokeweight=".25pt">
                <v:path arrowok="t"/>
                <v:textbox style="layout-flow:vertical;mso-layout-flow-alt:bottom-to-top">
                  <w:txbxContent>
                    <w:p w14:paraId="66E583A2"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5-міндет</w:t>
                      </w:r>
                    </w:p>
                    <w:p w14:paraId="0DF7BBBD" w14:textId="77777777" w:rsidR="00F15E51" w:rsidRDefault="00F15E51" w:rsidP="00F15E51">
                      <w:pPr>
                        <w:jc w:val="center"/>
                        <w:rPr>
                          <w:rFonts w:ascii="Times New Roman" w:hAnsi="Times New Roman" w:cs="Times New Roman"/>
                          <w:sz w:val="18"/>
                          <w:szCs w:val="18"/>
                          <w:lang w:val="kk-KZ"/>
                        </w:rPr>
                      </w:pPr>
                    </w:p>
                  </w:txbxContent>
                </v:textbox>
              </v:rect>
            </w:pict>
          </mc:Fallback>
        </mc:AlternateContent>
      </w:r>
      <w:r>
        <w:rPr>
          <w:noProof/>
          <w:lang w:eastAsia="ru-RU"/>
        </w:rPr>
        <mc:AlternateContent>
          <mc:Choice Requires="wps">
            <w:drawing>
              <wp:anchor distT="0" distB="0" distL="114300" distR="114300" simplePos="0" relativeHeight="252698624" behindDoc="0" locked="0" layoutInCell="1" allowOverlap="1" wp14:anchorId="14F12CAB" wp14:editId="1266BA06">
                <wp:simplePos x="0" y="0"/>
                <wp:positionH relativeFrom="column">
                  <wp:posOffset>3446145</wp:posOffset>
                </wp:positionH>
                <wp:positionV relativeFrom="paragraph">
                  <wp:posOffset>213360</wp:posOffset>
                </wp:positionV>
                <wp:extent cx="320040" cy="609600"/>
                <wp:effectExtent l="0" t="0" r="22860" b="19050"/>
                <wp:wrapNone/>
                <wp:docPr id="1076938466"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096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4DAC9F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7-к 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12CAB" id="_x0000_s1254" style="position:absolute;left:0;text-align:left;margin-left:271.35pt;margin-top:16.8pt;width:25.2pt;height:48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" fillcolor="white [3201]" strokecolor="black [3200]" strokeweight=".25pt">
                <v:path arrowok="t"/>
                <v:textbox style="layout-flow:vertical;mso-layout-flow-alt:bottom-to-top">
                  <w:txbxContent>
                    <w:p w14:paraId="74DAC9F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7-к міндет</w:t>
                      </w:r>
                    </w:p>
                  </w:txbxContent>
                </v:textbox>
              </v:rect>
            </w:pict>
          </mc:Fallback>
        </mc:AlternateContent>
      </w:r>
      <w:r>
        <w:rPr>
          <w:noProof/>
          <w:lang w:eastAsia="ru-RU"/>
        </w:rPr>
        <mc:AlternateContent>
          <mc:Choice Requires="wps">
            <w:drawing>
              <wp:anchor distT="0" distB="0" distL="114300" distR="114300" simplePos="0" relativeHeight="252700672" behindDoc="0" locked="0" layoutInCell="1" allowOverlap="1" wp14:anchorId="034B6A6D" wp14:editId="6AA91834">
                <wp:simplePos x="0" y="0"/>
                <wp:positionH relativeFrom="column">
                  <wp:posOffset>4413885</wp:posOffset>
                </wp:positionH>
                <wp:positionV relativeFrom="paragraph">
                  <wp:posOffset>182880</wp:posOffset>
                </wp:positionV>
                <wp:extent cx="320040" cy="586740"/>
                <wp:effectExtent l="0" t="0" r="22860" b="22860"/>
                <wp:wrapNone/>
                <wp:docPr id="979167549"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5867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F09CB12"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9-міндет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B6A6D" id="Прямоугольник 74" o:spid="_x0000_s1255" style="position:absolute;left:0;text-align:left;margin-left:347.55pt;margin-top:14.4pt;width:25.2pt;height:46.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" fillcolor="white [3201]" strokecolor="black [3200]" strokeweight=".25pt">
                <v:path arrowok="t"/>
                <v:textbox style="layout-flow:vertical;mso-layout-flow-alt:bottom-to-top">
                  <w:txbxContent>
                    <w:p w14:paraId="7F09CB12"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9-міндет</w:t>
                      </w:r>
                    </w:p>
                  </w:txbxContent>
                </v:textbox>
              </v:rect>
            </w:pict>
          </mc:Fallback>
        </mc:AlternateContent>
      </w:r>
      <w:r>
        <w:rPr>
          <w:noProof/>
          <w:lang w:eastAsia="ru-RU"/>
        </w:rPr>
        <mc:AlternateContent>
          <mc:Choice Requires="wps">
            <w:drawing>
              <wp:anchor distT="0" distB="0" distL="114300" distR="114300" simplePos="0" relativeHeight="252699648" behindDoc="0" locked="0" layoutInCell="1" allowOverlap="1" wp14:anchorId="7F3E83F4" wp14:editId="65370FB1">
                <wp:simplePos x="0" y="0"/>
                <wp:positionH relativeFrom="column">
                  <wp:posOffset>3964305</wp:posOffset>
                </wp:positionH>
                <wp:positionV relativeFrom="paragraph">
                  <wp:posOffset>190500</wp:posOffset>
                </wp:positionV>
                <wp:extent cx="320040" cy="624840"/>
                <wp:effectExtent l="0" t="0" r="22860" b="22860"/>
                <wp:wrapNone/>
                <wp:docPr id="783907920"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248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2C0B1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8-міндет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E83F4" id="Прямоугольник 73" o:spid="_x0000_s1256" style="position:absolute;left:0;text-align:left;margin-left:312.15pt;margin-top:15pt;width:25.2pt;height:49.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" fillcolor="white [3201]" strokecolor="black [3200]" strokeweight=".25pt">
                <v:path arrowok="t"/>
                <v:textbox style="layout-flow:vertical;mso-layout-flow-alt:bottom-to-top">
                  <w:txbxContent>
                    <w:p w14:paraId="312C0B1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8-міндет</w:t>
                      </w:r>
                    </w:p>
                  </w:txbxContent>
                </v:textbox>
              </v:rect>
            </w:pict>
          </mc:Fallback>
        </mc:AlternateContent>
      </w:r>
      <w:r>
        <w:rPr>
          <w:noProof/>
          <w:lang w:eastAsia="ru-RU"/>
        </w:rPr>
        <mc:AlternateContent>
          <mc:Choice Requires="wps">
            <w:drawing>
              <wp:anchor distT="0" distB="0" distL="114300" distR="114300" simplePos="0" relativeHeight="252697600" behindDoc="0" locked="0" layoutInCell="1" allowOverlap="1" wp14:anchorId="1C5915DD" wp14:editId="63FAE060">
                <wp:simplePos x="0" y="0"/>
                <wp:positionH relativeFrom="column">
                  <wp:posOffset>2859405</wp:posOffset>
                </wp:positionH>
                <wp:positionV relativeFrom="paragraph">
                  <wp:posOffset>213360</wp:posOffset>
                </wp:positionV>
                <wp:extent cx="320040" cy="609600"/>
                <wp:effectExtent l="0" t="0" r="22860" b="19050"/>
                <wp:wrapNone/>
                <wp:docPr id="309526269"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096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48809E1"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6-міндет</w:t>
                            </w:r>
                          </w:p>
                          <w:p w14:paraId="01EFE33F" w14:textId="77777777" w:rsidR="00F15E51" w:rsidRDefault="00F15E51" w:rsidP="00F15E51">
                            <w:pPr>
                              <w:jc w:val="center"/>
                              <w:rPr>
                                <w:rFonts w:ascii="Times New Roman" w:hAnsi="Times New Roman" w:cs="Times New Roman"/>
                                <w:sz w:val="18"/>
                                <w:szCs w:val="18"/>
                                <w:lang w:val="kk-KZ"/>
                              </w:rPr>
                            </w:pP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5915DD" id="Прямоугольник 72" o:spid="_x0000_s1257" style="position:absolute;left:0;text-align:left;margin-left:225.15pt;margin-top:16.8pt;width:25.2pt;height:48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" fillcolor="white [3201]" strokecolor="black [3200]" strokeweight=".25pt">
                <v:path arrowok="t"/>
                <v:textbox style="layout-flow:vertical;mso-layout-flow-alt:bottom-to-top">
                  <w:txbxContent>
                    <w:p w14:paraId="548809E1"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6-міндет</w:t>
                      </w:r>
                    </w:p>
                    <w:p w14:paraId="01EFE33F" w14:textId="77777777" w:rsidR="00F15E51" w:rsidRDefault="00F15E51" w:rsidP="00F15E51">
                      <w:pPr>
                        <w:jc w:val="center"/>
                        <w:rPr>
                          <w:rFonts w:ascii="Times New Roman" w:hAnsi="Times New Roman" w:cs="Times New Roman"/>
                          <w:sz w:val="18"/>
                          <w:szCs w:val="18"/>
                          <w:lang w:val="kk-KZ"/>
                        </w:rPr>
                      </w:pPr>
                    </w:p>
                  </w:txbxContent>
                </v:textbox>
              </v:rect>
            </w:pict>
          </mc:Fallback>
        </mc:AlternateContent>
      </w:r>
      <w:r>
        <w:rPr>
          <w:noProof/>
          <w:lang w:eastAsia="ru-RU"/>
        </w:rPr>
        <mc:AlternateContent>
          <mc:Choice Requires="wps">
            <w:drawing>
              <wp:anchor distT="0" distB="0" distL="114300" distR="114300" simplePos="0" relativeHeight="252692480" behindDoc="0" locked="0" layoutInCell="1" allowOverlap="1" wp14:anchorId="20A8912F" wp14:editId="61304BA9">
                <wp:simplePos x="0" y="0"/>
                <wp:positionH relativeFrom="column">
                  <wp:posOffset>1861185</wp:posOffset>
                </wp:positionH>
                <wp:positionV relativeFrom="paragraph">
                  <wp:posOffset>190500</wp:posOffset>
                </wp:positionV>
                <wp:extent cx="320040" cy="617220"/>
                <wp:effectExtent l="0" t="0" r="22860" b="11430"/>
                <wp:wrapNone/>
                <wp:docPr id="1191803637"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172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8E9AAE6"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4-міндет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8912F" id="Прямоугольник 71" o:spid="_x0000_s1258" style="position:absolute;left:0;text-align:left;margin-left:146.55pt;margin-top:15pt;width:25.2pt;height:48.6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" fillcolor="white [3201]" strokecolor="black [3200]" strokeweight=".25pt">
                <v:path arrowok="t"/>
                <v:textbox style="layout-flow:vertical;mso-layout-flow-alt:bottom-to-top">
                  <w:txbxContent>
                    <w:p w14:paraId="38E9AAE6"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4-міндет</w:t>
                      </w:r>
                    </w:p>
                  </w:txbxContent>
                </v:textbox>
              </v:rect>
            </w:pict>
          </mc:Fallback>
        </mc:AlternateContent>
      </w:r>
      <w:r>
        <w:rPr>
          <w:noProof/>
          <w:lang w:eastAsia="ru-RU"/>
        </w:rPr>
        <mc:AlternateContent>
          <mc:Choice Requires="wps">
            <w:drawing>
              <wp:anchor distT="0" distB="0" distL="114300" distR="114300" simplePos="0" relativeHeight="252690432" behindDoc="0" locked="0" layoutInCell="1" allowOverlap="1" wp14:anchorId="7DD68000" wp14:editId="24FAABD1">
                <wp:simplePos x="0" y="0"/>
                <wp:positionH relativeFrom="column">
                  <wp:posOffset>908685</wp:posOffset>
                </wp:positionH>
                <wp:positionV relativeFrom="paragraph">
                  <wp:posOffset>182880</wp:posOffset>
                </wp:positionV>
                <wp:extent cx="320040" cy="617220"/>
                <wp:effectExtent l="0" t="0" r="22860" b="11430"/>
                <wp:wrapNone/>
                <wp:docPr id="182944227"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6172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1CDD7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2-міндет</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68000" id="_x0000_s1259" style="position:absolute;left:0;text-align:left;margin-left:71.55pt;margin-top:14.4pt;width:25.2pt;height:48.6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" fillcolor="white [3201]" strokecolor="black [3200]" strokeweight=".25pt">
                <v:path arrowok="t"/>
                <v:textbox style="layout-flow:vertical;mso-layout-flow-alt:bottom-to-top">
                  <w:txbxContent>
                    <w:p w14:paraId="091CDD7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2-міндет</w:t>
                      </w:r>
                    </w:p>
                  </w:txbxContent>
                </v:textbox>
              </v:rect>
            </w:pict>
          </mc:Fallback>
        </mc:AlternateContent>
      </w:r>
    </w:p>
    <w:p w14:paraId="7B5B47D1" w14:textId="77777777" w:rsidR="00F15E51" w:rsidRDefault="00F15E51" w:rsidP="00F15E51">
      <w:pPr>
        <w:jc w:val="both"/>
        <w:rPr>
          <w:rFonts w:ascii="Times New Roman" w:eastAsiaTheme="minorEastAsia" w:hAnsi="Times New Roman" w:cs="Times New Roman"/>
          <w:lang w:val="kk-KZ"/>
        </w:rPr>
      </w:pPr>
    </w:p>
    <w:p w14:paraId="77DF1555" w14:textId="77777777" w:rsidR="00F15E51" w:rsidRDefault="00F15E51" w:rsidP="00F15E51">
      <w:pPr>
        <w:jc w:val="both"/>
        <w:rPr>
          <w:rFonts w:ascii="Times New Roman" w:eastAsiaTheme="minorEastAsia" w:hAnsi="Times New Roman" w:cs="Times New Roman"/>
          <w:lang w:val="kk-KZ"/>
        </w:rPr>
      </w:pPr>
      <w:r>
        <w:rPr>
          <w:rFonts w:ascii="Times New Roman" w:eastAsiaTheme="minorEastAsia" w:hAnsi="Times New Roman" w:cs="Times New Roman"/>
          <w:lang w:val="kk-KZ"/>
        </w:rPr>
        <w:tab/>
      </w:r>
    </w:p>
    <w:p w14:paraId="44425A2F" w14:textId="77777777" w:rsidR="00F15E51" w:rsidRDefault="00F15E51" w:rsidP="00F15E51">
      <w:pPr>
        <w:pStyle w:val="a5"/>
        <w:tabs>
          <w:tab w:val="left" w:pos="851"/>
          <w:tab w:val="left" w:pos="1605"/>
        </w:tabs>
        <w:ind w:left="0" w:firstLine="709"/>
        <w:jc w:val="both"/>
        <w:rPr>
          <w:rFonts w:ascii="Times New Roman" w:eastAsiaTheme="minorHAnsi" w:hAnsi="Times New Roman"/>
          <w:szCs w:val="28"/>
          <w:lang w:val="kk-KZ"/>
        </w:rPr>
      </w:pPr>
    </w:p>
    <w:p w14:paraId="408AA41A" w14:textId="762231F2" w:rsidR="00F15E51" w:rsidRDefault="00F15E51" w:rsidP="00F15E51">
      <w:pPr>
        <w:pStyle w:val="a5"/>
        <w:tabs>
          <w:tab w:val="left" w:pos="851"/>
          <w:tab w:val="left" w:pos="1605"/>
        </w:tabs>
        <w:ind w:left="0" w:firstLine="709"/>
        <w:jc w:val="both"/>
        <w:rPr>
          <w:rFonts w:ascii="Times New Roman" w:hAnsi="Times New Roman"/>
          <w:szCs w:val="28"/>
          <w:lang w:val="kk-KZ"/>
        </w:rPr>
      </w:pPr>
      <w:r>
        <w:rPr>
          <w:noProof/>
          <w:lang w:eastAsia="ru-RU"/>
        </w:rPr>
        <mc:AlternateContent>
          <mc:Choice Requires="wps">
            <w:drawing>
              <wp:anchor distT="0" distB="0" distL="114300" distR="114300" simplePos="0" relativeHeight="252686336" behindDoc="0" locked="0" layoutInCell="1" allowOverlap="1" wp14:anchorId="28F98E97" wp14:editId="74838F6D">
                <wp:simplePos x="0" y="0"/>
                <wp:positionH relativeFrom="column">
                  <wp:posOffset>870585</wp:posOffset>
                </wp:positionH>
                <wp:positionV relativeFrom="paragraph">
                  <wp:posOffset>172085</wp:posOffset>
                </wp:positionV>
                <wp:extent cx="1661160" cy="441960"/>
                <wp:effectExtent l="0" t="0" r="15240" b="15240"/>
                <wp:wrapNone/>
                <wp:docPr id="1016766450"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441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5A4112" w14:textId="77777777" w:rsidR="00F15E51" w:rsidRDefault="00F15E51" w:rsidP="00F15E5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Екінші деңгей факторлары І нұсқа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98E97" id="Прямоугольник 69" o:spid="_x0000_s1260" style="position:absolute;left:0;text-align:left;margin-left:68.55pt;margin-top:13.55pt;width:130.8pt;height:34.8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" fillcolor="white [3201]" strokecolor="black [3200]" strokeweight=".25pt">
                <v:path arrowok="t"/>
                <v:textbox>
                  <w:txbxContent>
                    <w:p w14:paraId="2D5A4112" w14:textId="77777777" w:rsidR="00F15E51" w:rsidRDefault="00F15E51" w:rsidP="00F15E5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Екінші деңгей факторлары І нұсқа</w:t>
                      </w:r>
                    </w:p>
                  </w:txbxContent>
                </v:textbox>
              </v:rect>
            </w:pict>
          </mc:Fallback>
        </mc:AlternateContent>
      </w:r>
      <w:r>
        <w:rPr>
          <w:noProof/>
          <w:lang w:eastAsia="ru-RU"/>
        </w:rPr>
        <mc:AlternateContent>
          <mc:Choice Requires="wps">
            <w:drawing>
              <wp:anchor distT="0" distB="0" distL="114300" distR="114300" simplePos="0" relativeHeight="252687360" behindDoc="0" locked="0" layoutInCell="1" allowOverlap="1" wp14:anchorId="08E003CF" wp14:editId="377DC711">
                <wp:simplePos x="0" y="0"/>
                <wp:positionH relativeFrom="margin">
                  <wp:posOffset>2851785</wp:posOffset>
                </wp:positionH>
                <wp:positionV relativeFrom="paragraph">
                  <wp:posOffset>168910</wp:posOffset>
                </wp:positionV>
                <wp:extent cx="1638300" cy="449580"/>
                <wp:effectExtent l="0" t="0" r="19050" b="26670"/>
                <wp:wrapNone/>
                <wp:docPr id="1795532539"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4495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ABC8768" w14:textId="77777777" w:rsidR="00F15E51" w:rsidRDefault="00F15E51" w:rsidP="00F15E51">
                            <w:pPr>
                              <w:spacing w:after="0" w:line="240" w:lineRule="auto"/>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Екінші деңгей факторлары ІІ нұсқа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003CF" id="_x0000_s1261" style="position:absolute;left:0;text-align:left;margin-left:224.55pt;margin-top:13.3pt;width:129pt;height:35.4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" fillcolor="white [3201]" strokecolor="black [3200]" strokeweight=".25pt">
                <v:path arrowok="t"/>
                <v:textbox>
                  <w:txbxContent>
                    <w:p w14:paraId="7ABC8768" w14:textId="77777777" w:rsidR="00F15E51" w:rsidRDefault="00F15E51" w:rsidP="00F15E51">
                      <w:pPr>
                        <w:spacing w:after="0" w:line="240" w:lineRule="auto"/>
                        <w:jc w:val="center"/>
                        <w:rPr>
                          <w:rFonts w:ascii="Times New Roman" w:hAnsi="Times New Roman" w:cs="Times New Roman"/>
                          <w:sz w:val="24"/>
                          <w:szCs w:val="24"/>
                        </w:rPr>
                      </w:pPr>
                      <w:r>
                        <w:rPr>
                          <w:rFonts w:ascii="Times New Roman" w:eastAsia="Times New Roman" w:hAnsi="Times New Roman" w:cs="Times New Roman"/>
                          <w:kern w:val="36"/>
                          <w:sz w:val="24"/>
                          <w:szCs w:val="24"/>
                          <w:lang w:val="kk-KZ" w:eastAsia="ru-RU"/>
                        </w:rPr>
                        <w:t>Екінші деңгей факторлары ІІ нұсқа</w:t>
                      </w:r>
                    </w:p>
                  </w:txbxContent>
                </v:textbox>
                <w10:wrap anchorx="margin"/>
              </v:rect>
            </w:pict>
          </mc:Fallback>
        </mc:AlternateContent>
      </w:r>
      <w:r>
        <w:rPr>
          <w:noProof/>
          <w:lang w:eastAsia="ru-RU"/>
        </w:rPr>
        <mc:AlternateContent>
          <mc:Choice Requires="wps">
            <w:drawing>
              <wp:anchor distT="0" distB="0" distL="114299" distR="114299" simplePos="0" relativeHeight="252693504" behindDoc="0" locked="0" layoutInCell="1" allowOverlap="1" wp14:anchorId="14FEE495" wp14:editId="2000BED9">
                <wp:simplePos x="0" y="0"/>
                <wp:positionH relativeFrom="margin">
                  <wp:posOffset>45720</wp:posOffset>
                </wp:positionH>
                <wp:positionV relativeFrom="paragraph">
                  <wp:posOffset>958850</wp:posOffset>
                </wp:positionV>
                <wp:extent cx="0" cy="243840"/>
                <wp:effectExtent l="76200" t="0" r="57150" b="60960"/>
                <wp:wrapNone/>
                <wp:docPr id="234856650"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4E898" id="Прямая со стрелкой 67" o:spid="_x0000_s1026" type="#_x0000_t32" style="position:absolute;margin-left:3.6pt;margin-top:75.5pt;width:0;height:19.2pt;z-index:252693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" strokecolor="black [3040]">
                <v:stroke endarrow="block"/>
                <o:lock v:ext="edit" shapetype="f"/>
                <w10:wrap anchorx="margin"/>
              </v:shape>
            </w:pict>
          </mc:Fallback>
        </mc:AlternateContent>
      </w:r>
      <w:r>
        <w:rPr>
          <w:noProof/>
          <w:lang w:eastAsia="ru-RU"/>
        </w:rPr>
        <mc:AlternateContent>
          <mc:Choice Requires="wps">
            <w:drawing>
              <wp:anchor distT="0" distB="0" distL="114300" distR="114300" simplePos="0" relativeHeight="252695552" behindDoc="0" locked="0" layoutInCell="1" allowOverlap="1" wp14:anchorId="1193ED71" wp14:editId="4BBB9FED">
                <wp:simplePos x="0" y="0"/>
                <wp:positionH relativeFrom="column">
                  <wp:posOffset>4406265</wp:posOffset>
                </wp:positionH>
                <wp:positionV relativeFrom="paragraph">
                  <wp:posOffset>956310</wp:posOffset>
                </wp:positionV>
                <wp:extent cx="7620" cy="213360"/>
                <wp:effectExtent l="76200" t="0" r="68580" b="53340"/>
                <wp:wrapNone/>
                <wp:docPr id="2133966237"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25B85" id="Прямая со стрелкой 66" o:spid="_x0000_s1026" type="#_x0000_t32" style="position:absolute;margin-left:346.95pt;margin-top:75.3pt;width:.6pt;height:16.8pt;flip:x;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701696" behindDoc="0" locked="0" layoutInCell="1" allowOverlap="1" wp14:anchorId="7308BC33" wp14:editId="460FC876">
                <wp:simplePos x="0" y="0"/>
                <wp:positionH relativeFrom="margin">
                  <wp:posOffset>-135255</wp:posOffset>
                </wp:positionH>
                <wp:positionV relativeFrom="paragraph">
                  <wp:posOffset>1196975</wp:posOffset>
                </wp:positionV>
                <wp:extent cx="304800" cy="815340"/>
                <wp:effectExtent l="0" t="0" r="19050" b="22860"/>
                <wp:wrapNone/>
                <wp:docPr id="879600153"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AA5A6C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8-көрсеткіш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8BC33" id="_x0000_s1262" style="position:absolute;left:0;text-align:left;margin-left:-10.65pt;margin-top:94.25pt;width:24pt;height:64.2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" fillcolor="white [3201]" strokecolor="black [3200]" strokeweight=".25pt">
                <v:path arrowok="t"/>
                <v:textbox style="layout-flow:vertical;mso-layout-flow-alt:bottom-to-top">
                  <w:txbxContent>
                    <w:p w14:paraId="7AA5A6C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8-көрсеткіш</w:t>
                      </w:r>
                    </w:p>
                  </w:txbxContent>
                </v:textbox>
                <w10:wrap anchorx="margin"/>
              </v:rect>
            </w:pict>
          </mc:Fallback>
        </mc:AlternateContent>
      </w:r>
      <w:r>
        <w:rPr>
          <w:noProof/>
          <w:lang w:eastAsia="ru-RU"/>
        </w:rPr>
        <mc:AlternateContent>
          <mc:Choice Requires="wps">
            <w:drawing>
              <wp:anchor distT="0" distB="0" distL="114300" distR="114300" simplePos="0" relativeHeight="252702720" behindDoc="0" locked="0" layoutInCell="1" allowOverlap="1" wp14:anchorId="3128DA8D" wp14:editId="3049F54A">
                <wp:simplePos x="0" y="0"/>
                <wp:positionH relativeFrom="column">
                  <wp:posOffset>200025</wp:posOffset>
                </wp:positionH>
                <wp:positionV relativeFrom="paragraph">
                  <wp:posOffset>1192530</wp:posOffset>
                </wp:positionV>
                <wp:extent cx="297180" cy="815340"/>
                <wp:effectExtent l="0" t="0" r="26670" b="22860"/>
                <wp:wrapNone/>
                <wp:docPr id="1760741861"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F81C145"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28DA8D" id="Прямоугольник 64" o:spid="_x0000_s1263" style="position:absolute;left:0;text-align:left;margin-left:15.75pt;margin-top:93.9pt;width:23.4pt;height:64.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" fillcolor="white [3201]" strokecolor="black [3200]" strokeweight=".25pt">
                <v:path arrowok="t"/>
                <v:textbox style="layout-flow:vertical;mso-layout-flow-alt:bottom-to-top">
                  <w:txbxContent>
                    <w:p w14:paraId="6F81C145"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5-көрсеткіш</w:t>
                      </w:r>
                    </w:p>
                  </w:txbxContent>
                </v:textbox>
              </v:rect>
            </w:pict>
          </mc:Fallback>
        </mc:AlternateContent>
      </w:r>
      <w:r>
        <w:rPr>
          <w:noProof/>
          <w:lang w:eastAsia="ru-RU"/>
        </w:rPr>
        <mc:AlternateContent>
          <mc:Choice Requires="wps">
            <w:drawing>
              <wp:anchor distT="0" distB="0" distL="114300" distR="114300" simplePos="0" relativeHeight="252703744" behindDoc="0" locked="0" layoutInCell="1" allowOverlap="1" wp14:anchorId="07552DF7" wp14:editId="573AD39B">
                <wp:simplePos x="0" y="0"/>
                <wp:positionH relativeFrom="column">
                  <wp:posOffset>520065</wp:posOffset>
                </wp:positionH>
                <wp:positionV relativeFrom="paragraph">
                  <wp:posOffset>1207770</wp:posOffset>
                </wp:positionV>
                <wp:extent cx="304800" cy="815340"/>
                <wp:effectExtent l="0" t="0" r="19050" b="22860"/>
                <wp:wrapNone/>
                <wp:docPr id="1422548141"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F43FF2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12-көрсеткіш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52DF7" id="_x0000_s1264" style="position:absolute;left:0;text-align:left;margin-left:40.95pt;margin-top:95.1pt;width:24pt;height:64.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" fillcolor="white [3201]" strokecolor="black [3200]" strokeweight=".25pt">
                <v:path arrowok="t"/>
                <v:textbox style="layout-flow:vertical;mso-layout-flow-alt:bottom-to-top">
                  <w:txbxContent>
                    <w:p w14:paraId="3F43FF2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12-көрсеткіш</w:t>
                      </w:r>
                    </w:p>
                  </w:txbxContent>
                </v:textbox>
              </v:rect>
            </w:pict>
          </mc:Fallback>
        </mc:AlternateContent>
      </w:r>
      <w:r>
        <w:rPr>
          <w:noProof/>
          <w:lang w:eastAsia="ru-RU"/>
        </w:rPr>
        <mc:AlternateContent>
          <mc:Choice Requires="wps">
            <w:drawing>
              <wp:anchor distT="0" distB="0" distL="114300" distR="114300" simplePos="0" relativeHeight="252704768" behindDoc="0" locked="0" layoutInCell="1" allowOverlap="1" wp14:anchorId="69D10EEE" wp14:editId="5BB157D5">
                <wp:simplePos x="0" y="0"/>
                <wp:positionH relativeFrom="column">
                  <wp:posOffset>840105</wp:posOffset>
                </wp:positionH>
                <wp:positionV relativeFrom="paragraph">
                  <wp:posOffset>1207770</wp:posOffset>
                </wp:positionV>
                <wp:extent cx="304800" cy="807720"/>
                <wp:effectExtent l="0" t="0" r="19050" b="11430"/>
                <wp:wrapNone/>
                <wp:docPr id="277492783"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CC91024"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D10EEE" id="Прямоугольник 62" o:spid="_x0000_s1265" style="position:absolute;left:0;text-align:left;margin-left:66.15pt;margin-top:95.1pt;width:24pt;height:63.6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" fillcolor="white [3201]" strokecolor="black [3200]" strokeweight=".25pt">
                <v:path arrowok="t"/>
                <v:textbox style="layout-flow:vertical;mso-layout-flow-alt:bottom-to-top">
                  <w:txbxContent>
                    <w:p w14:paraId="2CC91024"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5-көрсеткіш</w:t>
                      </w:r>
                    </w:p>
                  </w:txbxContent>
                </v:textbox>
              </v:rect>
            </w:pict>
          </mc:Fallback>
        </mc:AlternateContent>
      </w:r>
      <w:r>
        <w:rPr>
          <w:noProof/>
          <w:lang w:eastAsia="ru-RU"/>
        </w:rPr>
        <mc:AlternateContent>
          <mc:Choice Requires="wps">
            <w:drawing>
              <wp:anchor distT="0" distB="0" distL="114300" distR="114300" simplePos="0" relativeHeight="252705792" behindDoc="0" locked="0" layoutInCell="1" allowOverlap="1" wp14:anchorId="1436B521" wp14:editId="372848F7">
                <wp:simplePos x="0" y="0"/>
                <wp:positionH relativeFrom="margin">
                  <wp:posOffset>1160145</wp:posOffset>
                </wp:positionH>
                <wp:positionV relativeFrom="paragraph">
                  <wp:posOffset>1202690</wp:posOffset>
                </wp:positionV>
                <wp:extent cx="297180" cy="815340"/>
                <wp:effectExtent l="0" t="0" r="26670" b="22860"/>
                <wp:wrapNone/>
                <wp:docPr id="46198413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5F19D1"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36B521" id="Прямоугольник 61" o:spid="_x0000_s1266" style="position:absolute;left:0;text-align:left;margin-left:91.35pt;margin-top:94.7pt;width:23.4pt;height:64.2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" fillcolor="white [3201]" strokecolor="black [3200]" strokeweight=".25pt">
                <v:path arrowok="t"/>
                <v:textbox style="layout-flow:vertical;mso-layout-flow-alt:bottom-to-top">
                  <w:txbxContent>
                    <w:p w14:paraId="2E5F19D1"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3-көрсеткіш</w:t>
                      </w:r>
                    </w:p>
                  </w:txbxContent>
                </v:textbox>
                <w10:wrap anchorx="margin"/>
              </v:rect>
            </w:pict>
          </mc:Fallback>
        </mc:AlternateContent>
      </w:r>
      <w:r>
        <w:rPr>
          <w:noProof/>
          <w:lang w:eastAsia="ru-RU"/>
        </w:rPr>
        <mc:AlternateContent>
          <mc:Choice Requires="wps">
            <w:drawing>
              <wp:anchor distT="0" distB="0" distL="114300" distR="114300" simplePos="0" relativeHeight="252707840" behindDoc="0" locked="0" layoutInCell="1" allowOverlap="1" wp14:anchorId="11CF5F59" wp14:editId="5BC9AC5E">
                <wp:simplePos x="0" y="0"/>
                <wp:positionH relativeFrom="margin">
                  <wp:posOffset>5617845</wp:posOffset>
                </wp:positionH>
                <wp:positionV relativeFrom="paragraph">
                  <wp:posOffset>1182370</wp:posOffset>
                </wp:positionV>
                <wp:extent cx="320040" cy="853440"/>
                <wp:effectExtent l="0" t="0" r="22860" b="22860"/>
                <wp:wrapNone/>
                <wp:docPr id="1114314666"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534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9424438" w14:textId="77777777" w:rsidR="00F15E51" w:rsidRDefault="00F15E51" w:rsidP="00F15E51">
                            <w:pPr>
                              <w:jc w:val="center"/>
                              <w:rPr>
                                <w:rFonts w:cs="Times New Roman"/>
                                <w:sz w:val="18"/>
                                <w:szCs w:val="18"/>
                                <w:lang w:val="kk-KZ"/>
                              </w:rPr>
                            </w:pPr>
                            <w:r>
                              <w:rPr>
                                <w:rFonts w:cs="Times New Roman"/>
                                <w:sz w:val="18"/>
                                <w:szCs w:val="18"/>
                                <w:lang w:val="kk-KZ"/>
                              </w:rPr>
                              <w:t>2-іс-шара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F5F59" id="_x0000_s1267" style="position:absolute;left:0;text-align:left;margin-left:442.35pt;margin-top:93.1pt;width:25.2pt;height:67.2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" fillcolor="white [3201]" strokecolor="black [3200]" strokeweight=".25pt">
                <v:path arrowok="t"/>
                <v:textbox style="layout-flow:vertical;mso-layout-flow-alt:bottom-to-top">
                  <w:txbxContent>
                    <w:p w14:paraId="49424438" w14:textId="77777777" w:rsidR="00F15E51" w:rsidRDefault="00F15E51" w:rsidP="00F15E51">
                      <w:pPr>
                        <w:jc w:val="center"/>
                        <w:rPr>
                          <w:rFonts w:cs="Times New Roman"/>
                          <w:sz w:val="18"/>
                          <w:szCs w:val="18"/>
                          <w:lang w:val="kk-KZ"/>
                        </w:rPr>
                      </w:pPr>
                      <w:r>
                        <w:rPr>
                          <w:rFonts w:cs="Times New Roman"/>
                          <w:sz w:val="18"/>
                          <w:szCs w:val="18"/>
                          <w:lang w:val="kk-KZ"/>
                        </w:rPr>
                        <w:t>2-іс-шара</w:t>
                      </w:r>
                    </w:p>
                  </w:txbxContent>
                </v:textbox>
                <w10:wrap anchorx="margin"/>
              </v:rect>
            </w:pict>
          </mc:Fallback>
        </mc:AlternateContent>
      </w:r>
      <w:r>
        <w:rPr>
          <w:noProof/>
          <w:lang w:eastAsia="ru-RU"/>
        </w:rPr>
        <mc:AlternateContent>
          <mc:Choice Requires="wps">
            <w:drawing>
              <wp:anchor distT="0" distB="0" distL="114299" distR="114299" simplePos="0" relativeHeight="252708864" behindDoc="0" locked="0" layoutInCell="1" allowOverlap="1" wp14:anchorId="5B89A130" wp14:editId="0285D5C3">
                <wp:simplePos x="0" y="0"/>
                <wp:positionH relativeFrom="column">
                  <wp:posOffset>306705</wp:posOffset>
                </wp:positionH>
                <wp:positionV relativeFrom="paragraph">
                  <wp:posOffset>963930</wp:posOffset>
                </wp:positionV>
                <wp:extent cx="0" cy="213360"/>
                <wp:effectExtent l="76200" t="0" r="57150" b="53340"/>
                <wp:wrapNone/>
                <wp:docPr id="156083676"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6401F" id="Прямая со стрелкой 59" o:spid="_x0000_s1026" type="#_x0000_t32" style="position:absolute;margin-left:24.15pt;margin-top:75.9pt;width:0;height:16.8pt;z-index:25270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6032" behindDoc="0" locked="0" layoutInCell="1" allowOverlap="1" wp14:anchorId="49F98FB2" wp14:editId="54B3B6A6">
                <wp:simplePos x="0" y="0"/>
                <wp:positionH relativeFrom="column">
                  <wp:posOffset>640080</wp:posOffset>
                </wp:positionH>
                <wp:positionV relativeFrom="paragraph">
                  <wp:posOffset>963930</wp:posOffset>
                </wp:positionV>
                <wp:extent cx="0" cy="220980"/>
                <wp:effectExtent l="76200" t="0" r="57150" b="64770"/>
                <wp:wrapNone/>
                <wp:docPr id="1839548880"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AC228" id="Прямая со стрелкой 58" o:spid="_x0000_s1026" type="#_x0000_t32" style="position:absolute;margin-left:50.4pt;margin-top:75.9pt;width:0;height:17.4pt;z-index:25271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7056" behindDoc="0" locked="0" layoutInCell="1" allowOverlap="1" wp14:anchorId="060A70AA" wp14:editId="5CC39421">
                <wp:simplePos x="0" y="0"/>
                <wp:positionH relativeFrom="column">
                  <wp:posOffset>990600</wp:posOffset>
                </wp:positionH>
                <wp:positionV relativeFrom="paragraph">
                  <wp:posOffset>970280</wp:posOffset>
                </wp:positionV>
                <wp:extent cx="0" cy="220980"/>
                <wp:effectExtent l="76200" t="0" r="57150" b="64770"/>
                <wp:wrapNone/>
                <wp:docPr id="819238440"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6FC56" id="Прямая со стрелкой 57" o:spid="_x0000_s1026" type="#_x0000_t32" style="position:absolute;margin-left:78pt;margin-top:76.4pt;width:0;height:17.4pt;z-index:25271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18080" behindDoc="0" locked="0" layoutInCell="1" allowOverlap="1" wp14:anchorId="5990EACB" wp14:editId="605A4098">
                <wp:simplePos x="0" y="0"/>
                <wp:positionH relativeFrom="column">
                  <wp:posOffset>1295400</wp:posOffset>
                </wp:positionH>
                <wp:positionV relativeFrom="paragraph">
                  <wp:posOffset>967740</wp:posOffset>
                </wp:positionV>
                <wp:extent cx="0" cy="220980"/>
                <wp:effectExtent l="76200" t="0" r="57150" b="64770"/>
                <wp:wrapNone/>
                <wp:docPr id="290960081"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0B12F" id="Прямая со стрелкой 56" o:spid="_x0000_s1026" type="#_x0000_t32" style="position:absolute;margin-left:102pt;margin-top:76.2pt;width:0;height:17.4pt;z-index:25271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720128" behindDoc="0" locked="0" layoutInCell="1" allowOverlap="1" wp14:anchorId="278C6110" wp14:editId="3986BCE9">
                <wp:simplePos x="0" y="0"/>
                <wp:positionH relativeFrom="margin">
                  <wp:posOffset>5274945</wp:posOffset>
                </wp:positionH>
                <wp:positionV relativeFrom="paragraph">
                  <wp:posOffset>1197610</wp:posOffset>
                </wp:positionV>
                <wp:extent cx="320040" cy="838200"/>
                <wp:effectExtent l="0" t="0" r="22860" b="19050"/>
                <wp:wrapNone/>
                <wp:docPr id="1051884056"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38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4213EE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8C6110" id="Прямоугольник 55" o:spid="_x0000_s1268" style="position:absolute;left:0;text-align:left;margin-left:415.35pt;margin-top:94.3pt;width:25.2pt;height:66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" fillcolor="white [3201]" strokecolor="black [3200]" strokeweight=".25pt">
                <v:path arrowok="t"/>
                <v:textbox style="layout-flow:vertical;mso-layout-flow-alt:bottom-to-top">
                  <w:txbxContent>
                    <w:p w14:paraId="44213EE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3-іс-шара</w:t>
                      </w:r>
                    </w:p>
                  </w:txbxContent>
                </v:textbox>
                <w10:wrap anchorx="margin"/>
              </v:rect>
            </w:pict>
          </mc:Fallback>
        </mc:AlternateContent>
      </w:r>
      <w:r>
        <w:rPr>
          <w:noProof/>
          <w:lang w:eastAsia="ru-RU"/>
        </w:rPr>
        <mc:AlternateContent>
          <mc:Choice Requires="wps">
            <w:drawing>
              <wp:anchor distT="0" distB="0" distL="114300" distR="114300" simplePos="0" relativeHeight="252721152" behindDoc="0" locked="0" layoutInCell="1" allowOverlap="1" wp14:anchorId="4F746B31" wp14:editId="73A530A9">
                <wp:simplePos x="0" y="0"/>
                <wp:positionH relativeFrom="margin">
                  <wp:posOffset>4932045</wp:posOffset>
                </wp:positionH>
                <wp:positionV relativeFrom="paragraph">
                  <wp:posOffset>1197610</wp:posOffset>
                </wp:positionV>
                <wp:extent cx="320040" cy="830580"/>
                <wp:effectExtent l="0" t="0" r="22860" b="26670"/>
                <wp:wrapNone/>
                <wp:docPr id="1422664438"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305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AA01899"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46B31" id="Прямоугольник 54" o:spid="_x0000_s1269" style="position:absolute;left:0;text-align:left;margin-left:388.35pt;margin-top:94.3pt;width:25.2pt;height:65.4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" fillcolor="white [3201]" strokecolor="black [3200]" strokeweight=".25pt">
                <v:path arrowok="t"/>
                <v:textbox style="layout-flow:vertical;mso-layout-flow-alt:bottom-to-top">
                  <w:txbxContent>
                    <w:p w14:paraId="7AA01899"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3-іс-шара</w:t>
                      </w:r>
                    </w:p>
                  </w:txbxContent>
                </v:textbox>
                <w10:wrap anchorx="margin"/>
              </v:rect>
            </w:pict>
          </mc:Fallback>
        </mc:AlternateContent>
      </w:r>
      <w:r>
        <w:rPr>
          <w:noProof/>
          <w:lang w:eastAsia="ru-RU"/>
        </w:rPr>
        <mc:AlternateContent>
          <mc:Choice Requires="wps">
            <w:drawing>
              <wp:anchor distT="0" distB="0" distL="114300" distR="114300" simplePos="0" relativeHeight="252722176" behindDoc="0" locked="0" layoutInCell="1" allowOverlap="1" wp14:anchorId="40412279" wp14:editId="28D6D3D6">
                <wp:simplePos x="0" y="0"/>
                <wp:positionH relativeFrom="margin">
                  <wp:posOffset>4589145</wp:posOffset>
                </wp:positionH>
                <wp:positionV relativeFrom="paragraph">
                  <wp:posOffset>1207770</wp:posOffset>
                </wp:positionV>
                <wp:extent cx="320040" cy="800100"/>
                <wp:effectExtent l="0" t="0" r="22860" b="19050"/>
                <wp:wrapNone/>
                <wp:docPr id="210424110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CA8CF03"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14-іс-шара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12279" id="_x0000_s1270" style="position:absolute;left:0;text-align:left;margin-left:361.35pt;margin-top:95.1pt;width:25.2pt;height:63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" fillcolor="white [3201]" strokecolor="black [3200]" strokeweight=".25pt">
                <v:path arrowok="t"/>
                <v:textbox style="layout-flow:vertical;mso-layout-flow-alt:bottom-to-top">
                  <w:txbxContent>
                    <w:p w14:paraId="2CA8CF03"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14-іс-шара</w:t>
                      </w:r>
                    </w:p>
                  </w:txbxContent>
                </v:textbox>
                <w10:wrap anchorx="margin"/>
              </v:rect>
            </w:pict>
          </mc:Fallback>
        </mc:AlternateContent>
      </w:r>
      <w:r>
        <w:rPr>
          <w:noProof/>
          <w:lang w:eastAsia="ru-RU"/>
        </w:rPr>
        <mc:AlternateContent>
          <mc:Choice Requires="wps">
            <w:drawing>
              <wp:anchor distT="0" distB="0" distL="114300" distR="114300" simplePos="0" relativeHeight="252723200" behindDoc="0" locked="0" layoutInCell="1" allowOverlap="1" wp14:anchorId="1DD45679" wp14:editId="2AE1360D">
                <wp:simplePos x="0" y="0"/>
                <wp:positionH relativeFrom="margin">
                  <wp:posOffset>4238625</wp:posOffset>
                </wp:positionH>
                <wp:positionV relativeFrom="paragraph">
                  <wp:posOffset>1182370</wp:posOffset>
                </wp:positionV>
                <wp:extent cx="320040" cy="822960"/>
                <wp:effectExtent l="0" t="0" r="22860" b="15240"/>
                <wp:wrapNone/>
                <wp:docPr id="2002673376"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22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AFB1B84"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31-іс-шара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45679" id="_x0000_s1271" style="position:absolute;left:0;text-align:left;margin-left:333.75pt;margin-top:93.1pt;width:25.2pt;height:64.8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" fillcolor="white [3201]" strokecolor="black [3200]" strokeweight=".25pt">
                <v:path arrowok="t"/>
                <v:textbox style="layout-flow:vertical;mso-layout-flow-alt:bottom-to-top">
                  <w:txbxContent>
                    <w:p w14:paraId="0AFB1B84"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31-іс-шара</w:t>
                      </w:r>
                    </w:p>
                  </w:txbxContent>
                </v:textbox>
                <w10:wrap anchorx="margin"/>
              </v:rect>
            </w:pict>
          </mc:Fallback>
        </mc:AlternateContent>
      </w:r>
      <w:r>
        <w:rPr>
          <w:noProof/>
          <w:lang w:eastAsia="ru-RU"/>
        </w:rPr>
        <mc:AlternateContent>
          <mc:Choice Requires="wps">
            <w:drawing>
              <wp:anchor distT="0" distB="0" distL="114300" distR="114300" simplePos="0" relativeHeight="252724224" behindDoc="0" locked="0" layoutInCell="1" allowOverlap="1" wp14:anchorId="7606239D" wp14:editId="1A456FCD">
                <wp:simplePos x="0" y="0"/>
                <wp:positionH relativeFrom="margin">
                  <wp:posOffset>3888105</wp:posOffset>
                </wp:positionH>
                <wp:positionV relativeFrom="paragraph">
                  <wp:posOffset>1182370</wp:posOffset>
                </wp:positionV>
                <wp:extent cx="320040" cy="830580"/>
                <wp:effectExtent l="0" t="0" r="22860" b="26670"/>
                <wp:wrapNone/>
                <wp:docPr id="550523199"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305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F2670EC"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47-іс-шара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6239D" id="_x0000_s1272" style="position:absolute;left:0;text-align:left;margin-left:306.15pt;margin-top:93.1pt;width:25.2pt;height:65.4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" fillcolor="white [3201]" strokecolor="black [3200]" strokeweight=".25pt">
                <v:path arrowok="t"/>
                <v:textbox style="layout-flow:vertical;mso-layout-flow-alt:bottom-to-top">
                  <w:txbxContent>
                    <w:p w14:paraId="6F2670EC"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47-іс-шара</w:t>
                      </w:r>
                    </w:p>
                  </w:txbxContent>
                </v:textbox>
                <w10:wrap anchorx="margin"/>
              </v:rect>
            </w:pict>
          </mc:Fallback>
        </mc:AlternateContent>
      </w:r>
      <w:r>
        <w:rPr>
          <w:noProof/>
          <w:lang w:eastAsia="ru-RU"/>
        </w:rPr>
        <mc:AlternateContent>
          <mc:Choice Requires="wps">
            <w:drawing>
              <wp:anchor distT="0" distB="0" distL="114300" distR="114300" simplePos="0" relativeHeight="252725248" behindDoc="0" locked="0" layoutInCell="1" allowOverlap="1" wp14:anchorId="64913F0F" wp14:editId="24ECD0AA">
                <wp:simplePos x="0" y="0"/>
                <wp:positionH relativeFrom="margin">
                  <wp:posOffset>3560445</wp:posOffset>
                </wp:positionH>
                <wp:positionV relativeFrom="paragraph">
                  <wp:posOffset>1200150</wp:posOffset>
                </wp:positionV>
                <wp:extent cx="297180" cy="800100"/>
                <wp:effectExtent l="0" t="0" r="26670" b="19050"/>
                <wp:wrapNone/>
                <wp:docPr id="1398196976"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FCA7DCB"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13-іс-шара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13F0F" id="_x0000_s1273" style="position:absolute;left:0;text-align:left;margin-left:280.35pt;margin-top:94.5pt;width:23.4pt;height:63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" fillcolor="white [3201]" strokecolor="black [3200]" strokeweight=".25pt">
                <v:path arrowok="t"/>
                <v:textbox style="layout-flow:vertical;mso-layout-flow-alt:bottom-to-top">
                  <w:txbxContent>
                    <w:p w14:paraId="5FCA7DCB"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13-іс-шара</w:t>
                      </w:r>
                    </w:p>
                  </w:txbxContent>
                </v:textbox>
                <w10:wrap anchorx="margin"/>
              </v:rect>
            </w:pict>
          </mc:Fallback>
        </mc:AlternateContent>
      </w:r>
      <w:r>
        <w:rPr>
          <w:noProof/>
          <w:lang w:eastAsia="ru-RU"/>
        </w:rPr>
        <mc:AlternateContent>
          <mc:Choice Requires="wps">
            <w:drawing>
              <wp:anchor distT="0" distB="0" distL="114300" distR="114300" simplePos="0" relativeHeight="252726272" behindDoc="0" locked="0" layoutInCell="1" allowOverlap="1" wp14:anchorId="332D1A8F" wp14:editId="26C38721">
                <wp:simplePos x="0" y="0"/>
                <wp:positionH relativeFrom="margin">
                  <wp:posOffset>3228975</wp:posOffset>
                </wp:positionH>
                <wp:positionV relativeFrom="paragraph">
                  <wp:posOffset>1202690</wp:posOffset>
                </wp:positionV>
                <wp:extent cx="304800" cy="815340"/>
                <wp:effectExtent l="0" t="0" r="19050" b="22860"/>
                <wp:wrapNone/>
                <wp:docPr id="286929120"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19471AA"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39-іс-шара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D1A8F" id="Прямоугольник 49" o:spid="_x0000_s1274" style="position:absolute;left:0;text-align:left;margin-left:254.25pt;margin-top:94.7pt;width:24pt;height:64.2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" fillcolor="white [3201]" strokecolor="black [3200]" strokeweight=".25pt">
                <v:path arrowok="t"/>
                <v:textbox style="layout-flow:vertical;mso-layout-flow-alt:bottom-to-top">
                  <w:txbxContent>
                    <w:p w14:paraId="619471AA"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39-іс-шара</w:t>
                      </w:r>
                    </w:p>
                  </w:txbxContent>
                </v:textbox>
                <w10:wrap anchorx="margin"/>
              </v:rect>
            </w:pict>
          </mc:Fallback>
        </mc:AlternateContent>
      </w:r>
      <w:r>
        <w:rPr>
          <w:noProof/>
          <w:lang w:eastAsia="ru-RU"/>
        </w:rPr>
        <mc:AlternateContent>
          <mc:Choice Requires="wps">
            <w:drawing>
              <wp:anchor distT="0" distB="0" distL="114300" distR="114300" simplePos="0" relativeHeight="252727296" behindDoc="0" locked="0" layoutInCell="1" allowOverlap="1" wp14:anchorId="6460C04E" wp14:editId="04666165">
                <wp:simplePos x="0" y="0"/>
                <wp:positionH relativeFrom="margin">
                  <wp:posOffset>2889885</wp:posOffset>
                </wp:positionH>
                <wp:positionV relativeFrom="paragraph">
                  <wp:posOffset>1210310</wp:posOffset>
                </wp:positionV>
                <wp:extent cx="312420" cy="815340"/>
                <wp:effectExtent l="0" t="0" r="11430" b="22860"/>
                <wp:wrapNone/>
                <wp:docPr id="1010566284"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06C307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7-іс-шара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0C04E" id="Прямоугольник 48" o:spid="_x0000_s1275" style="position:absolute;left:0;text-align:left;margin-left:227.55pt;margin-top:95.3pt;width:24.6pt;height:64.2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" fillcolor="white [3201]" strokecolor="black [3200]" strokeweight=".25pt">
                <v:path arrowok="t"/>
                <v:textbox style="layout-flow:vertical;mso-layout-flow-alt:bottom-to-top">
                  <w:txbxContent>
                    <w:p w14:paraId="306C3070"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7-іс-шара</w:t>
                      </w:r>
                    </w:p>
                  </w:txbxContent>
                </v:textbox>
                <w10:wrap anchorx="margin"/>
              </v:rect>
            </w:pict>
          </mc:Fallback>
        </mc:AlternateContent>
      </w:r>
      <w:r>
        <w:rPr>
          <w:noProof/>
          <w:lang w:eastAsia="ru-RU"/>
        </w:rPr>
        <mc:AlternateContent>
          <mc:Choice Requires="wps">
            <w:drawing>
              <wp:anchor distT="0" distB="0" distL="114300" distR="114300" simplePos="0" relativeHeight="252728320" behindDoc="0" locked="0" layoutInCell="1" allowOverlap="1" wp14:anchorId="6EBE60CD" wp14:editId="64407290">
                <wp:simplePos x="0" y="0"/>
                <wp:positionH relativeFrom="margin">
                  <wp:posOffset>2531745</wp:posOffset>
                </wp:positionH>
                <wp:positionV relativeFrom="paragraph">
                  <wp:posOffset>1198245</wp:posOffset>
                </wp:positionV>
                <wp:extent cx="335280" cy="815340"/>
                <wp:effectExtent l="0" t="0" r="26670" b="22860"/>
                <wp:wrapNone/>
                <wp:docPr id="146067981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E80FF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2- 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E60CD" id="Прямоугольник 47" o:spid="_x0000_s1276" style="position:absolute;left:0;text-align:left;margin-left:199.35pt;margin-top:94.35pt;width:26.4pt;height:64.2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" fillcolor="white [3201]" strokecolor="black [3200]" strokeweight=".25pt">
                <v:path arrowok="t"/>
                <v:textbox style="layout-flow:vertical;mso-layout-flow-alt:bottom-to-top">
                  <w:txbxContent>
                    <w:p w14:paraId="0FE80FFE"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2- көрсеткіш</w:t>
                      </w:r>
                    </w:p>
                  </w:txbxContent>
                </v:textbox>
                <w10:wrap anchorx="margin"/>
              </v:rect>
            </w:pict>
          </mc:Fallback>
        </mc:AlternateContent>
      </w:r>
      <w:r>
        <w:rPr>
          <w:noProof/>
          <w:lang w:eastAsia="ru-RU"/>
        </w:rPr>
        <mc:AlternateContent>
          <mc:Choice Requires="wps">
            <w:drawing>
              <wp:anchor distT="0" distB="0" distL="114300" distR="114300" simplePos="0" relativeHeight="252729344" behindDoc="0" locked="0" layoutInCell="1" allowOverlap="1" wp14:anchorId="18948AF7" wp14:editId="0FCFDCAB">
                <wp:simplePos x="0" y="0"/>
                <wp:positionH relativeFrom="page">
                  <wp:posOffset>3258185</wp:posOffset>
                </wp:positionH>
                <wp:positionV relativeFrom="paragraph">
                  <wp:posOffset>1198245</wp:posOffset>
                </wp:positionV>
                <wp:extent cx="320040" cy="815340"/>
                <wp:effectExtent l="0" t="0" r="22860" b="22860"/>
                <wp:wrapNone/>
                <wp:docPr id="419760141"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235AC9"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 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48AF7" id="Прямоугольник 46" o:spid="_x0000_s1277" style="position:absolute;left:0;text-align:left;margin-left:256.55pt;margin-top:94.35pt;width:25.2pt;height:64.2pt;z-index:2527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" fillcolor="white [3201]" strokecolor="black [3200]" strokeweight=".25pt">
                <v:path arrowok="t"/>
                <v:textbox style="layout-flow:vertical;mso-layout-flow-alt:bottom-to-top">
                  <w:txbxContent>
                    <w:p w14:paraId="09235AC9"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1- көрсеткіш</w:t>
                      </w:r>
                    </w:p>
                  </w:txbxContent>
                </v:textbox>
                <w10:wrap anchorx="page"/>
              </v:rect>
            </w:pict>
          </mc:Fallback>
        </mc:AlternateContent>
      </w:r>
      <w:r>
        <w:rPr>
          <w:noProof/>
          <w:lang w:eastAsia="ru-RU"/>
        </w:rPr>
        <mc:AlternateContent>
          <mc:Choice Requires="wps">
            <w:drawing>
              <wp:anchor distT="0" distB="0" distL="114300" distR="114300" simplePos="0" relativeHeight="252730368" behindDoc="0" locked="0" layoutInCell="1" allowOverlap="1" wp14:anchorId="15A3EE30" wp14:editId="6F488F66">
                <wp:simplePos x="0" y="0"/>
                <wp:positionH relativeFrom="margin">
                  <wp:posOffset>1815465</wp:posOffset>
                </wp:positionH>
                <wp:positionV relativeFrom="paragraph">
                  <wp:posOffset>1202690</wp:posOffset>
                </wp:positionV>
                <wp:extent cx="335280" cy="807720"/>
                <wp:effectExtent l="0" t="0" r="26670" b="11430"/>
                <wp:wrapNone/>
                <wp:docPr id="858496237"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3ED71F"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6-көрсеткіш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A3EE30" id="_x0000_s1278" style="position:absolute;left:0;text-align:left;margin-left:142.95pt;margin-top:94.7pt;width:26.4pt;height:63.6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" fillcolor="white [3201]" strokecolor="black [3200]" strokeweight=".25pt">
                <v:path arrowok="t"/>
                <v:textbox style="layout-flow:vertical;mso-layout-flow-alt:bottom-to-top">
                  <w:txbxContent>
                    <w:p w14:paraId="403ED71F"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6-көрсеткіш</w:t>
                      </w:r>
                    </w:p>
                  </w:txbxContent>
                </v:textbox>
                <w10:wrap anchorx="margin"/>
              </v:rect>
            </w:pict>
          </mc:Fallback>
        </mc:AlternateContent>
      </w:r>
      <w:r>
        <w:rPr>
          <w:noProof/>
          <w:lang w:eastAsia="ru-RU"/>
        </w:rPr>
        <mc:AlternateContent>
          <mc:Choice Requires="wps">
            <w:drawing>
              <wp:anchor distT="0" distB="0" distL="114300" distR="114300" simplePos="0" relativeHeight="252731392" behindDoc="0" locked="0" layoutInCell="1" allowOverlap="1" wp14:anchorId="4CF573B7" wp14:editId="27FABA28">
                <wp:simplePos x="0" y="0"/>
                <wp:positionH relativeFrom="margin">
                  <wp:posOffset>1472565</wp:posOffset>
                </wp:positionH>
                <wp:positionV relativeFrom="paragraph">
                  <wp:posOffset>1195070</wp:posOffset>
                </wp:positionV>
                <wp:extent cx="312420" cy="815340"/>
                <wp:effectExtent l="0" t="0" r="11430" b="22860"/>
                <wp:wrapNone/>
                <wp:docPr id="1107181017"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BF7B7B"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573B7" id="_x0000_s1279" style="position:absolute;left:0;text-align:left;margin-left:115.95pt;margin-top:94.1pt;width:24.6pt;height:64.2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" fillcolor="white [3201]" strokecolor="black [3200]" strokeweight=".25pt">
                <v:path arrowok="t"/>
                <v:textbox style="layout-flow:vertical;mso-layout-flow-alt:bottom-to-top">
                  <w:txbxContent>
                    <w:p w14:paraId="46BF7B7B" w14:textId="77777777" w:rsidR="00F15E51" w:rsidRDefault="00F15E51" w:rsidP="00F15E51">
                      <w:pPr>
                        <w:jc w:val="center"/>
                        <w:rPr>
                          <w:rFonts w:ascii="Times New Roman" w:hAnsi="Times New Roman" w:cs="Times New Roman"/>
                          <w:sz w:val="18"/>
                          <w:szCs w:val="18"/>
                          <w:lang w:val="kk-KZ"/>
                        </w:rPr>
                      </w:pPr>
                      <w:r>
                        <w:rPr>
                          <w:rFonts w:ascii="Times New Roman" w:hAnsi="Times New Roman" w:cs="Times New Roman"/>
                          <w:sz w:val="18"/>
                          <w:szCs w:val="18"/>
                          <w:lang w:val="kk-KZ"/>
                        </w:rPr>
                        <w:t>5-көрсеткіш</w:t>
                      </w:r>
                    </w:p>
                  </w:txbxContent>
                </v:textbox>
                <w10:wrap anchorx="margin"/>
              </v:rect>
            </w:pict>
          </mc:Fallback>
        </mc:AlternateContent>
      </w:r>
      <w:r>
        <w:rPr>
          <w:noProof/>
          <w:lang w:eastAsia="ru-RU"/>
        </w:rPr>
        <mc:AlternateContent>
          <mc:Choice Requires="wps">
            <w:drawing>
              <wp:anchor distT="0" distB="0" distL="114299" distR="114299" simplePos="0" relativeHeight="252732416" behindDoc="0" locked="0" layoutInCell="1" allowOverlap="1" wp14:anchorId="7F6509DF" wp14:editId="66279547">
                <wp:simplePos x="0" y="0"/>
                <wp:positionH relativeFrom="column">
                  <wp:posOffset>1624965</wp:posOffset>
                </wp:positionH>
                <wp:positionV relativeFrom="paragraph">
                  <wp:posOffset>972185</wp:posOffset>
                </wp:positionV>
                <wp:extent cx="0" cy="220980"/>
                <wp:effectExtent l="76200" t="0" r="57150" b="64770"/>
                <wp:wrapNone/>
                <wp:docPr id="855413069"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07CE7" id="Прямая со стрелкой 43" o:spid="_x0000_s1026" type="#_x0000_t32" style="position:absolute;margin-left:127.95pt;margin-top:76.55pt;width:0;height:17.4pt;z-index:25273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33440" behindDoc="0" locked="0" layoutInCell="1" allowOverlap="1" wp14:anchorId="62389A68" wp14:editId="58FA8D13">
                <wp:simplePos x="0" y="0"/>
                <wp:positionH relativeFrom="column">
                  <wp:posOffset>1990725</wp:posOffset>
                </wp:positionH>
                <wp:positionV relativeFrom="paragraph">
                  <wp:posOffset>964565</wp:posOffset>
                </wp:positionV>
                <wp:extent cx="0" cy="220980"/>
                <wp:effectExtent l="76200" t="0" r="57150" b="64770"/>
                <wp:wrapNone/>
                <wp:docPr id="364762388"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1A5D9" id="Прямая со стрелкой 42" o:spid="_x0000_s1026" type="#_x0000_t32" style="position:absolute;margin-left:156.75pt;margin-top:75.95pt;width:0;height:17.4pt;z-index:25273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34464" behindDoc="0" locked="0" layoutInCell="1" allowOverlap="1" wp14:anchorId="3088854A" wp14:editId="69BCC2E1">
                <wp:simplePos x="0" y="0"/>
                <wp:positionH relativeFrom="column">
                  <wp:posOffset>2346960</wp:posOffset>
                </wp:positionH>
                <wp:positionV relativeFrom="paragraph">
                  <wp:posOffset>965835</wp:posOffset>
                </wp:positionV>
                <wp:extent cx="0" cy="220980"/>
                <wp:effectExtent l="76200" t="0" r="57150" b="64770"/>
                <wp:wrapNone/>
                <wp:docPr id="780538672"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17968" id="Прямая со стрелкой 41" o:spid="_x0000_s1026" type="#_x0000_t32" style="position:absolute;margin-left:184.8pt;margin-top:76.05pt;width:0;height:17.4pt;z-index:25273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35488" behindDoc="0" locked="0" layoutInCell="1" allowOverlap="1" wp14:anchorId="006E24E1" wp14:editId="586DD509">
                <wp:simplePos x="0" y="0"/>
                <wp:positionH relativeFrom="page">
                  <wp:posOffset>3903980</wp:posOffset>
                </wp:positionH>
                <wp:positionV relativeFrom="paragraph">
                  <wp:posOffset>956945</wp:posOffset>
                </wp:positionV>
                <wp:extent cx="0" cy="220980"/>
                <wp:effectExtent l="76200" t="0" r="57150" b="64770"/>
                <wp:wrapNone/>
                <wp:docPr id="477946492"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31246" id="Прямая со стрелкой 40" o:spid="_x0000_s1026" type="#_x0000_t32" style="position:absolute;margin-left:307.4pt;margin-top:75.35pt;width:0;height:17.4pt;z-index:2527354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" strokecolor="black [3040]">
                <v:stroke endarrow="block"/>
                <o:lock v:ext="edit" shapetype="f"/>
                <w10:wrap anchorx="page"/>
              </v:shape>
            </w:pict>
          </mc:Fallback>
        </mc:AlternateContent>
      </w:r>
      <w:r>
        <w:rPr>
          <w:noProof/>
          <w:lang w:eastAsia="ru-RU"/>
        </w:rPr>
        <mc:AlternateContent>
          <mc:Choice Requires="wps">
            <w:drawing>
              <wp:anchor distT="0" distB="0" distL="114299" distR="114299" simplePos="0" relativeHeight="252736512" behindDoc="0" locked="0" layoutInCell="1" allowOverlap="1" wp14:anchorId="1C8979AC" wp14:editId="549026EE">
                <wp:simplePos x="0" y="0"/>
                <wp:positionH relativeFrom="column">
                  <wp:posOffset>3369945</wp:posOffset>
                </wp:positionH>
                <wp:positionV relativeFrom="paragraph">
                  <wp:posOffset>964565</wp:posOffset>
                </wp:positionV>
                <wp:extent cx="0" cy="220980"/>
                <wp:effectExtent l="76200" t="0" r="57150" b="64770"/>
                <wp:wrapNone/>
                <wp:docPr id="217632472"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92FB4" id="Прямая со стрелкой 39" o:spid="_x0000_s1026" type="#_x0000_t32" style="position:absolute;margin-left:265.35pt;margin-top:75.95pt;width:0;height:17.4pt;z-index:25273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37536" behindDoc="0" locked="0" layoutInCell="1" allowOverlap="1" wp14:anchorId="610D7C39" wp14:editId="1311B5D3">
                <wp:simplePos x="0" y="0"/>
                <wp:positionH relativeFrom="column">
                  <wp:posOffset>3712845</wp:posOffset>
                </wp:positionH>
                <wp:positionV relativeFrom="paragraph">
                  <wp:posOffset>982980</wp:posOffset>
                </wp:positionV>
                <wp:extent cx="0" cy="220980"/>
                <wp:effectExtent l="76200" t="0" r="57150" b="64770"/>
                <wp:wrapNone/>
                <wp:docPr id="1023711346"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1236A" id="Прямая со стрелкой 38" o:spid="_x0000_s1026" type="#_x0000_t32" style="position:absolute;margin-left:292.35pt;margin-top:77.4pt;width:0;height:17.4pt;z-index:25273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38560" behindDoc="0" locked="0" layoutInCell="1" allowOverlap="1" wp14:anchorId="5D6379A6" wp14:editId="7ABB6A9F">
                <wp:simplePos x="0" y="0"/>
                <wp:positionH relativeFrom="column">
                  <wp:posOffset>3032760</wp:posOffset>
                </wp:positionH>
                <wp:positionV relativeFrom="paragraph">
                  <wp:posOffset>973455</wp:posOffset>
                </wp:positionV>
                <wp:extent cx="0" cy="220980"/>
                <wp:effectExtent l="76200" t="0" r="57150" b="64770"/>
                <wp:wrapNone/>
                <wp:docPr id="327591936"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070B7" id="Прямая со стрелкой 37" o:spid="_x0000_s1026" type="#_x0000_t32" style="position:absolute;margin-left:238.8pt;margin-top:76.65pt;width:0;height:17.4pt;z-index:25273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39584" behindDoc="0" locked="0" layoutInCell="1" allowOverlap="1" wp14:anchorId="4C3EBCDB" wp14:editId="4C6D277E">
                <wp:simplePos x="0" y="0"/>
                <wp:positionH relativeFrom="column">
                  <wp:posOffset>4030980</wp:posOffset>
                </wp:positionH>
                <wp:positionV relativeFrom="paragraph">
                  <wp:posOffset>966470</wp:posOffset>
                </wp:positionV>
                <wp:extent cx="0" cy="220980"/>
                <wp:effectExtent l="76200" t="0" r="57150" b="64770"/>
                <wp:wrapNone/>
                <wp:docPr id="951592862"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C8CB8" id="Прямая со стрелкой 36" o:spid="_x0000_s1026" type="#_x0000_t32" style="position:absolute;margin-left:317.4pt;margin-top:76.1pt;width:0;height:17.4pt;z-index:25273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0608" behindDoc="0" locked="0" layoutInCell="1" allowOverlap="1" wp14:anchorId="1DDFF873" wp14:editId="627D0B30">
                <wp:simplePos x="0" y="0"/>
                <wp:positionH relativeFrom="column">
                  <wp:posOffset>5399405</wp:posOffset>
                </wp:positionH>
                <wp:positionV relativeFrom="paragraph">
                  <wp:posOffset>962025</wp:posOffset>
                </wp:positionV>
                <wp:extent cx="0" cy="220980"/>
                <wp:effectExtent l="76200" t="0" r="57150" b="64770"/>
                <wp:wrapNone/>
                <wp:docPr id="2122065489"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DF86E" id="Прямая со стрелкой 35" o:spid="_x0000_s1026" type="#_x0000_t32" style="position:absolute;margin-left:425.15pt;margin-top:75.75pt;width:0;height:17.4pt;z-index:25274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1632" behindDoc="0" locked="0" layoutInCell="1" allowOverlap="1" wp14:anchorId="344B13EB" wp14:editId="533FDC00">
                <wp:simplePos x="0" y="0"/>
                <wp:positionH relativeFrom="column">
                  <wp:posOffset>4770120</wp:posOffset>
                </wp:positionH>
                <wp:positionV relativeFrom="paragraph">
                  <wp:posOffset>978535</wp:posOffset>
                </wp:positionV>
                <wp:extent cx="0" cy="220980"/>
                <wp:effectExtent l="76200" t="0" r="57150" b="64770"/>
                <wp:wrapNone/>
                <wp:docPr id="1331914389"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CC04A" id="Прямая со стрелкой 34" o:spid="_x0000_s1026" type="#_x0000_t32" style="position:absolute;margin-left:375.6pt;margin-top:77.05pt;width:0;height:17.4pt;z-index:25274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2656" behindDoc="0" locked="0" layoutInCell="1" allowOverlap="1" wp14:anchorId="3F47E46E" wp14:editId="0EFBF507">
                <wp:simplePos x="0" y="0"/>
                <wp:positionH relativeFrom="column">
                  <wp:posOffset>5090160</wp:posOffset>
                </wp:positionH>
                <wp:positionV relativeFrom="paragraph">
                  <wp:posOffset>967740</wp:posOffset>
                </wp:positionV>
                <wp:extent cx="0" cy="220980"/>
                <wp:effectExtent l="76200" t="0" r="57150" b="64770"/>
                <wp:wrapNone/>
                <wp:docPr id="563456722"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537FC" id="Прямая со стрелкой 33" o:spid="_x0000_s1026" type="#_x0000_t32" style="position:absolute;margin-left:400.8pt;margin-top:76.2pt;width:0;height:17.4pt;z-index:25274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43680" behindDoc="0" locked="0" layoutInCell="1" allowOverlap="1" wp14:anchorId="4413236E" wp14:editId="176C0A04">
                <wp:simplePos x="0" y="0"/>
                <wp:positionH relativeFrom="margin">
                  <wp:posOffset>5768340</wp:posOffset>
                </wp:positionH>
                <wp:positionV relativeFrom="paragraph">
                  <wp:posOffset>964565</wp:posOffset>
                </wp:positionV>
                <wp:extent cx="0" cy="220980"/>
                <wp:effectExtent l="76200" t="0" r="57150" b="64770"/>
                <wp:wrapNone/>
                <wp:docPr id="574854098"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FD46A" id="Прямая со стрелкой 32" o:spid="_x0000_s1026" type="#_x0000_t32" style="position:absolute;margin-left:454.2pt;margin-top:75.95pt;width:0;height:17.4pt;z-index:2527436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" strokecolor="black [3040]">
                <v:stroke endarrow="block"/>
                <o:lock v:ext="edit" shapetype="f"/>
                <w10:wrap anchorx="margin"/>
              </v:shape>
            </w:pict>
          </mc:Fallback>
        </mc:AlternateContent>
      </w:r>
      <w:r>
        <w:rPr>
          <w:noProof/>
          <w:lang w:eastAsia="ru-RU"/>
        </w:rPr>
        <mc:AlternateContent>
          <mc:Choice Requires="wps">
            <w:drawing>
              <wp:anchor distT="4294967295" distB="4294967295" distL="114300" distR="114300" simplePos="0" relativeHeight="252746752" behindDoc="0" locked="0" layoutInCell="1" allowOverlap="1" wp14:anchorId="2D431A23" wp14:editId="0E1D6CE2">
                <wp:simplePos x="0" y="0"/>
                <wp:positionH relativeFrom="margin">
                  <wp:align>left</wp:align>
                </wp:positionH>
                <wp:positionV relativeFrom="paragraph">
                  <wp:posOffset>403860</wp:posOffset>
                </wp:positionV>
                <wp:extent cx="876300" cy="0"/>
                <wp:effectExtent l="0" t="76200" r="19050" b="95250"/>
                <wp:wrapNone/>
                <wp:docPr id="1984903797"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F00A1" id="Прямая со стрелкой 31" o:spid="_x0000_s1026" type="#_x0000_t32" style="position:absolute;margin-left:0;margin-top:31.8pt;width:69pt;height:0;z-index:2527467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" strokecolor="black [3040]">
                <v:stroke endarrow="block"/>
                <o:lock v:ext="edit" shapetype="f"/>
                <w10:wrap anchorx="margin"/>
              </v:shape>
            </w:pict>
          </mc:Fallback>
        </mc:AlternateContent>
      </w:r>
      <w:r>
        <w:rPr>
          <w:noProof/>
          <w:lang w:eastAsia="ru-RU"/>
        </w:rPr>
        <mc:AlternateContent>
          <mc:Choice Requires="wps">
            <w:drawing>
              <wp:anchor distT="4294967295" distB="4294967295" distL="114300" distR="114300" simplePos="0" relativeHeight="252750848" behindDoc="0" locked="0" layoutInCell="1" allowOverlap="1" wp14:anchorId="024E8F21" wp14:editId="431D6E6F">
                <wp:simplePos x="0" y="0"/>
                <wp:positionH relativeFrom="column">
                  <wp:posOffset>4497705</wp:posOffset>
                </wp:positionH>
                <wp:positionV relativeFrom="paragraph">
                  <wp:posOffset>407035</wp:posOffset>
                </wp:positionV>
                <wp:extent cx="609600" cy="0"/>
                <wp:effectExtent l="38100" t="76200" r="0" b="95250"/>
                <wp:wrapNone/>
                <wp:docPr id="1852903321"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8B204" id="Прямая со стрелкой 30" o:spid="_x0000_s1026" type="#_x0000_t32" style="position:absolute;margin-left:354.15pt;margin-top:32.05pt;width:48pt;height:0;flip:x;z-index:25275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" strokecolor="black [3040]">
                <v:stroke endarrow="block"/>
                <o:lock v:ext="edit" shapetype="f"/>
              </v:shape>
            </w:pict>
          </mc:Fallback>
        </mc:AlternateContent>
      </w:r>
      <w:r>
        <w:rPr>
          <w:noProof/>
          <w:lang w:eastAsia="ru-RU"/>
        </w:rPr>
        <mc:AlternateContent>
          <mc:Choice Requires="wps">
            <w:drawing>
              <wp:anchor distT="4294967295" distB="4294967295" distL="114300" distR="114300" simplePos="0" relativeHeight="252758016" behindDoc="0" locked="0" layoutInCell="1" allowOverlap="1" wp14:anchorId="1AD5935F" wp14:editId="109A6718">
                <wp:simplePos x="0" y="0"/>
                <wp:positionH relativeFrom="column">
                  <wp:posOffset>47625</wp:posOffset>
                </wp:positionH>
                <wp:positionV relativeFrom="paragraph">
                  <wp:posOffset>956310</wp:posOffset>
                </wp:positionV>
                <wp:extent cx="2773680" cy="0"/>
                <wp:effectExtent l="0" t="0" r="0" b="0"/>
                <wp:wrapNone/>
                <wp:docPr id="1902647468"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3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29D02" id="Прямая соединительная линия 29" o:spid="_x0000_s1026" style="position:absolute;z-index:25275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75.3pt" to="222.1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2759040" behindDoc="0" locked="0" layoutInCell="1" allowOverlap="1" wp14:anchorId="0E8367B4" wp14:editId="56EDB14C">
                <wp:simplePos x="0" y="0"/>
                <wp:positionH relativeFrom="column">
                  <wp:posOffset>3034665</wp:posOffset>
                </wp:positionH>
                <wp:positionV relativeFrom="paragraph">
                  <wp:posOffset>963930</wp:posOffset>
                </wp:positionV>
                <wp:extent cx="2735580" cy="0"/>
                <wp:effectExtent l="0" t="0" r="0" b="0"/>
                <wp:wrapNone/>
                <wp:docPr id="1852995259"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5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A6B4A" id="Прямая соединительная линия 28" o:spid="_x0000_s1026" style="position:absolute;z-index:25275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95pt,75.9pt" to="454.3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" strokecolor="black [3040]">
                <o:lock v:ext="edit" shapetype="f"/>
              </v:line>
            </w:pict>
          </mc:Fallback>
        </mc:AlternateContent>
      </w:r>
      <w:r>
        <w:rPr>
          <w:noProof/>
          <w:lang w:eastAsia="ru-RU"/>
        </w:rPr>
        <mc:AlternateContent>
          <mc:Choice Requires="wps">
            <w:drawing>
              <wp:anchor distT="0" distB="0" distL="114299" distR="114299" simplePos="0" relativeHeight="252760064" behindDoc="0" locked="0" layoutInCell="1" allowOverlap="1" wp14:anchorId="622E13BE" wp14:editId="2D705666">
                <wp:simplePos x="0" y="0"/>
                <wp:positionH relativeFrom="column">
                  <wp:posOffset>1358265</wp:posOffset>
                </wp:positionH>
                <wp:positionV relativeFrom="paragraph">
                  <wp:posOffset>633730</wp:posOffset>
                </wp:positionV>
                <wp:extent cx="0" cy="297180"/>
                <wp:effectExtent l="76200" t="0" r="57150" b="64770"/>
                <wp:wrapNone/>
                <wp:docPr id="51978185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98E1C" id="Прямая со стрелкой 27" o:spid="_x0000_s1026" type="#_x0000_t32" style="position:absolute;margin-left:106.95pt;margin-top:49.9pt;width:0;height:23.4pt;z-index:25276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61088" behindDoc="0" locked="0" layoutInCell="1" allowOverlap="1" wp14:anchorId="1CB85870" wp14:editId="17E33F73">
                <wp:simplePos x="0" y="0"/>
                <wp:positionH relativeFrom="column">
                  <wp:posOffset>1998345</wp:posOffset>
                </wp:positionH>
                <wp:positionV relativeFrom="paragraph">
                  <wp:posOffset>626110</wp:posOffset>
                </wp:positionV>
                <wp:extent cx="0" cy="304800"/>
                <wp:effectExtent l="76200" t="38100" r="57150" b="19050"/>
                <wp:wrapNone/>
                <wp:docPr id="232694623"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F2E30" id="Прямая со стрелкой 26" o:spid="_x0000_s1026" type="#_x0000_t32" style="position:absolute;margin-left:157.35pt;margin-top:49.3pt;width:0;height:24pt;flip:y;z-index:25276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62112" behindDoc="0" locked="0" layoutInCell="1" allowOverlap="1" wp14:anchorId="67257031" wp14:editId="7B0F1CC7">
                <wp:simplePos x="0" y="0"/>
                <wp:positionH relativeFrom="column">
                  <wp:posOffset>3362325</wp:posOffset>
                </wp:positionH>
                <wp:positionV relativeFrom="paragraph">
                  <wp:posOffset>648335</wp:posOffset>
                </wp:positionV>
                <wp:extent cx="0" cy="289560"/>
                <wp:effectExtent l="76200" t="0" r="57150" b="53340"/>
                <wp:wrapNone/>
                <wp:docPr id="4974733"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56687" id="Прямая со стрелкой 25" o:spid="_x0000_s1026" type="#_x0000_t32" style="position:absolute;margin-left:264.75pt;margin-top:51.05pt;width:0;height:22.8pt;z-index:25276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63136" behindDoc="0" locked="0" layoutInCell="1" allowOverlap="1" wp14:anchorId="224DE7C9" wp14:editId="12DE2829">
                <wp:simplePos x="0" y="0"/>
                <wp:positionH relativeFrom="column">
                  <wp:posOffset>4040505</wp:posOffset>
                </wp:positionH>
                <wp:positionV relativeFrom="paragraph">
                  <wp:posOffset>626110</wp:posOffset>
                </wp:positionV>
                <wp:extent cx="0" cy="320040"/>
                <wp:effectExtent l="76200" t="38100" r="57150" b="22860"/>
                <wp:wrapNone/>
                <wp:docPr id="102454718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986CD" id="Прямая со стрелкой 24" o:spid="_x0000_s1026" type="#_x0000_t32" style="position:absolute;margin-left:318.15pt;margin-top:49.3pt;width:0;height:25.2pt;flip:y;z-index:25276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764160" behindDoc="0" locked="0" layoutInCell="1" allowOverlap="1" wp14:anchorId="21C1D7A6" wp14:editId="547246A5">
                <wp:simplePos x="0" y="0"/>
                <wp:positionH relativeFrom="column">
                  <wp:posOffset>321945</wp:posOffset>
                </wp:positionH>
                <wp:positionV relativeFrom="paragraph">
                  <wp:posOffset>2458085</wp:posOffset>
                </wp:positionV>
                <wp:extent cx="2011680" cy="457200"/>
                <wp:effectExtent l="0" t="0" r="26670" b="19050"/>
                <wp:wrapNone/>
                <wp:docPr id="581229806"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AB91151"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lang w:val="kk-KZ"/>
                              </w:rPr>
                              <w:t>47 альтернативалар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1D7A6" id="Прямоугольник 23" o:spid="_x0000_s1280" style="position:absolute;left:0;text-align:left;margin-left:25.35pt;margin-top:193.55pt;width:158.4pt;height:36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" fillcolor="white [3201]" strokecolor="black [3200]" strokeweight=".25pt">
                <v:path arrowok="t"/>
                <v:textbox>
                  <w:txbxContent>
                    <w:p w14:paraId="4AB91151"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lang w:val="kk-KZ"/>
                        </w:rPr>
                        <w:t>47 альтернативалар</w:t>
                      </w:r>
                    </w:p>
                  </w:txbxContent>
                </v:textbox>
              </v:rect>
            </w:pict>
          </mc:Fallback>
        </mc:AlternateContent>
      </w:r>
      <w:r>
        <w:rPr>
          <w:noProof/>
          <w:lang w:eastAsia="ru-RU"/>
        </w:rPr>
        <mc:AlternateContent>
          <mc:Choice Requires="wps">
            <w:drawing>
              <wp:anchor distT="0" distB="0" distL="114300" distR="114300" simplePos="0" relativeHeight="252765184" behindDoc="0" locked="0" layoutInCell="1" allowOverlap="1" wp14:anchorId="247AB5AD" wp14:editId="3664F9AD">
                <wp:simplePos x="0" y="0"/>
                <wp:positionH relativeFrom="column">
                  <wp:posOffset>3156585</wp:posOffset>
                </wp:positionH>
                <wp:positionV relativeFrom="paragraph">
                  <wp:posOffset>2458085</wp:posOffset>
                </wp:positionV>
                <wp:extent cx="2468880" cy="441960"/>
                <wp:effectExtent l="0" t="0" r="26670" b="15240"/>
                <wp:wrapNone/>
                <wp:docPr id="1873554978"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441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2AB9A5D"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lang w:val="kk-KZ"/>
                              </w:rPr>
                              <w:t>159 альтернативалар</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AB5AD" id="_x0000_s1281" style="position:absolute;left:0;text-align:left;margin-left:248.55pt;margin-top:193.55pt;width:194.4pt;height:34.8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" fillcolor="white [3201]" strokecolor="black [3200]" strokeweight=".25pt">
                <v:path arrowok="t"/>
                <v:textbox>
                  <w:txbxContent>
                    <w:p w14:paraId="22AB9A5D"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lang w:val="kk-KZ"/>
                        </w:rPr>
                        <w:t>159 альтернативалар</w:t>
                      </w:r>
                    </w:p>
                  </w:txbxContent>
                </v:textbox>
              </v:rect>
            </w:pict>
          </mc:Fallback>
        </mc:AlternateContent>
      </w:r>
      <w:r>
        <w:rPr>
          <w:noProof/>
          <w:lang w:eastAsia="ru-RU"/>
        </w:rPr>
        <mc:AlternateContent>
          <mc:Choice Requires="wps">
            <w:drawing>
              <wp:anchor distT="0" distB="0" distL="114300" distR="114300" simplePos="0" relativeHeight="252766208" behindDoc="0" locked="0" layoutInCell="1" allowOverlap="1" wp14:anchorId="1298746F" wp14:editId="7BC0C56E">
                <wp:simplePos x="0" y="0"/>
                <wp:positionH relativeFrom="column">
                  <wp:posOffset>931545</wp:posOffset>
                </wp:positionH>
                <wp:positionV relativeFrom="paragraph">
                  <wp:posOffset>3246120</wp:posOffset>
                </wp:positionV>
                <wp:extent cx="3688080" cy="388620"/>
                <wp:effectExtent l="0" t="0" r="26670" b="11430"/>
                <wp:wrapNone/>
                <wp:docPr id="526684723"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8080" cy="388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8D3EC75"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lang w:val="kk-KZ"/>
                              </w:rPr>
                              <w:t>Альтернативалардың әсеріне эксперттік бағалау беру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8746F" id="Прямоугольник 21" o:spid="_x0000_s1282" style="position:absolute;left:0;text-align:left;margin-left:73.35pt;margin-top:255.6pt;width:290.4pt;height:30.6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" fillcolor="white [3201]" strokecolor="black [3200]" strokeweight=".25pt">
                <v:path arrowok="t"/>
                <v:textbox>
                  <w:txbxContent>
                    <w:p w14:paraId="38D3EC75" w14:textId="77777777" w:rsidR="00F15E51" w:rsidRDefault="00F15E51" w:rsidP="00F15E51">
                      <w:pPr>
                        <w:jc w:val="center"/>
                        <w:rPr>
                          <w:rFonts w:ascii="Times New Roman" w:hAnsi="Times New Roman" w:cs="Times New Roman"/>
                          <w:sz w:val="24"/>
                          <w:szCs w:val="24"/>
                          <w:lang w:val="kk-KZ"/>
                        </w:rPr>
                      </w:pPr>
                      <w:r>
                        <w:rPr>
                          <w:rFonts w:ascii="Times New Roman" w:hAnsi="Times New Roman" w:cs="Times New Roman"/>
                          <w:sz w:val="24"/>
                          <w:szCs w:val="24"/>
                          <w:lang w:val="kk-KZ"/>
                        </w:rPr>
                        <w:t>Альтернативалардың әсеріне эксперттік бағалау беру</w:t>
                      </w:r>
                    </w:p>
                  </w:txbxContent>
                </v:textbox>
              </v:rect>
            </w:pict>
          </mc:Fallback>
        </mc:AlternateContent>
      </w:r>
      <w:r>
        <w:rPr>
          <w:noProof/>
          <w:lang w:eastAsia="ru-RU"/>
        </w:rPr>
        <mc:AlternateContent>
          <mc:Choice Requires="wps">
            <w:drawing>
              <wp:anchor distT="0" distB="0" distL="114299" distR="114299" simplePos="0" relativeHeight="252767232" behindDoc="0" locked="0" layoutInCell="1" allowOverlap="1" wp14:anchorId="7DB77DD8" wp14:editId="2D9EBC91">
                <wp:simplePos x="0" y="0"/>
                <wp:positionH relativeFrom="column">
                  <wp:posOffset>1365885</wp:posOffset>
                </wp:positionH>
                <wp:positionV relativeFrom="paragraph">
                  <wp:posOffset>2923540</wp:posOffset>
                </wp:positionV>
                <wp:extent cx="0" cy="281940"/>
                <wp:effectExtent l="76200" t="0" r="57150" b="60960"/>
                <wp:wrapNone/>
                <wp:docPr id="121113168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D1381" id="Прямая со стрелкой 20" o:spid="_x0000_s1026" type="#_x0000_t32" style="position:absolute;margin-left:107.55pt;margin-top:230.2pt;width:0;height:22.2pt;z-index:25276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68256" behindDoc="0" locked="0" layoutInCell="1" allowOverlap="1" wp14:anchorId="0363B82A" wp14:editId="29B61F13">
                <wp:simplePos x="0" y="0"/>
                <wp:positionH relativeFrom="column">
                  <wp:posOffset>3987165</wp:posOffset>
                </wp:positionH>
                <wp:positionV relativeFrom="paragraph">
                  <wp:posOffset>2923540</wp:posOffset>
                </wp:positionV>
                <wp:extent cx="0" cy="281940"/>
                <wp:effectExtent l="76200" t="0" r="57150" b="60960"/>
                <wp:wrapNone/>
                <wp:docPr id="128959874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611DA" id="Прямая со стрелкой 19" o:spid="_x0000_s1026" type="#_x0000_t32" style="position:absolute;margin-left:313.95pt;margin-top:230.2pt;width:0;height:22.2pt;z-index:25276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771328" behindDoc="0" locked="0" layoutInCell="1" allowOverlap="1" wp14:anchorId="239CDDEE" wp14:editId="3C435B6F">
                <wp:simplePos x="0" y="0"/>
                <wp:positionH relativeFrom="margin">
                  <wp:align>left</wp:align>
                </wp:positionH>
                <wp:positionV relativeFrom="paragraph">
                  <wp:posOffset>2069465</wp:posOffset>
                </wp:positionV>
                <wp:extent cx="365760" cy="373380"/>
                <wp:effectExtent l="38100" t="38100" r="53340" b="64770"/>
                <wp:wrapNone/>
                <wp:docPr id="1845061094"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3733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A2D33" id="Прямая со стрелкой 18" o:spid="_x0000_s1026" type="#_x0000_t32" style="position:absolute;margin-left:0;margin-top:162.95pt;width:28.8pt;height:29.4pt;z-index:25277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" strokecolor="black [3040]">
                <v:stroke startarrow="block" endarrow="block"/>
                <o:lock v:ext="edit" shapetype="f"/>
                <w10:wrap anchorx="margin"/>
              </v:shape>
            </w:pict>
          </mc:Fallback>
        </mc:AlternateContent>
      </w:r>
      <w:r>
        <w:rPr>
          <w:noProof/>
          <w:lang w:eastAsia="ru-RU"/>
        </w:rPr>
        <mc:AlternateContent>
          <mc:Choice Requires="wps">
            <w:drawing>
              <wp:anchor distT="0" distB="0" distL="114300" distR="114300" simplePos="0" relativeHeight="252772352" behindDoc="0" locked="0" layoutInCell="1" allowOverlap="1" wp14:anchorId="53FAAF8D" wp14:editId="00C2AB4F">
                <wp:simplePos x="0" y="0"/>
                <wp:positionH relativeFrom="column">
                  <wp:posOffset>360045</wp:posOffset>
                </wp:positionH>
                <wp:positionV relativeFrom="paragraph">
                  <wp:posOffset>2069465</wp:posOffset>
                </wp:positionV>
                <wp:extent cx="327660" cy="388620"/>
                <wp:effectExtent l="38100" t="38100" r="53340" b="49530"/>
                <wp:wrapNone/>
                <wp:docPr id="994661313"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3886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29ED3" id="Прямая со стрелкой 17" o:spid="_x0000_s1026" type="#_x0000_t32" style="position:absolute;margin-left:28.35pt;margin-top:162.95pt;width:25.8pt;height:30.6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73376" behindDoc="0" locked="0" layoutInCell="1" allowOverlap="1" wp14:anchorId="532DA7FC" wp14:editId="31150CB6">
                <wp:simplePos x="0" y="0"/>
                <wp:positionH relativeFrom="column">
                  <wp:posOffset>657225</wp:posOffset>
                </wp:positionH>
                <wp:positionV relativeFrom="paragraph">
                  <wp:posOffset>2054225</wp:posOffset>
                </wp:positionV>
                <wp:extent cx="251460" cy="373380"/>
                <wp:effectExtent l="38100" t="38100" r="53340" b="64770"/>
                <wp:wrapNone/>
                <wp:docPr id="2037981378"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3733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8B5D6" id="Прямая со стрелкой 16" o:spid="_x0000_s1026" type="#_x0000_t32" style="position:absolute;margin-left:51.75pt;margin-top:161.75pt;width:19.8pt;height:29.4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74400" behindDoc="0" locked="0" layoutInCell="1" allowOverlap="1" wp14:anchorId="199260BE" wp14:editId="449108E9">
                <wp:simplePos x="0" y="0"/>
                <wp:positionH relativeFrom="column">
                  <wp:posOffset>1030605</wp:posOffset>
                </wp:positionH>
                <wp:positionV relativeFrom="paragraph">
                  <wp:posOffset>2051050</wp:posOffset>
                </wp:positionV>
                <wp:extent cx="99060" cy="381000"/>
                <wp:effectExtent l="57150" t="38100" r="72390" b="57150"/>
                <wp:wrapNone/>
                <wp:docPr id="92660268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0FF61" id="Прямая со стрелкой 15" o:spid="_x0000_s1026" type="#_x0000_t32" style="position:absolute;margin-left:81.15pt;margin-top:161.5pt;width:7.8pt;height:30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75424" behindDoc="0" locked="0" layoutInCell="1" allowOverlap="1" wp14:anchorId="1F96059C" wp14:editId="0203D9C3">
                <wp:simplePos x="0" y="0"/>
                <wp:positionH relativeFrom="column">
                  <wp:posOffset>1327785</wp:posOffset>
                </wp:positionH>
                <wp:positionV relativeFrom="paragraph">
                  <wp:posOffset>2046605</wp:posOffset>
                </wp:positionV>
                <wp:extent cx="0" cy="373380"/>
                <wp:effectExtent l="76200" t="38100" r="95250" b="64770"/>
                <wp:wrapNone/>
                <wp:docPr id="13278546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33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DAC30" id="Прямая со стрелкой 14" o:spid="_x0000_s1026" type="#_x0000_t32" style="position:absolute;margin-left:104.55pt;margin-top:161.15pt;width:0;height:29.4pt;flip:y;z-index:25277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76448" behindDoc="0" locked="0" layoutInCell="1" allowOverlap="1" wp14:anchorId="5961E812" wp14:editId="6E292DB7">
                <wp:simplePos x="0" y="0"/>
                <wp:positionH relativeFrom="column">
                  <wp:posOffset>1632585</wp:posOffset>
                </wp:positionH>
                <wp:positionV relativeFrom="paragraph">
                  <wp:posOffset>2051050</wp:posOffset>
                </wp:positionV>
                <wp:extent cx="0" cy="381000"/>
                <wp:effectExtent l="76200" t="38100" r="95250" b="57150"/>
                <wp:wrapNone/>
                <wp:docPr id="557328125"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B8CC3" id="Прямая со стрелкой 13" o:spid="_x0000_s1026" type="#_x0000_t32" style="position:absolute;margin-left:128.55pt;margin-top:161.5pt;width:0;height:30pt;flip:y;z-index:25277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77472" behindDoc="0" locked="0" layoutInCell="1" allowOverlap="1" wp14:anchorId="1C10CF6F" wp14:editId="41C79C63">
                <wp:simplePos x="0" y="0"/>
                <wp:positionH relativeFrom="column">
                  <wp:posOffset>1777365</wp:posOffset>
                </wp:positionH>
                <wp:positionV relativeFrom="paragraph">
                  <wp:posOffset>2046605</wp:posOffset>
                </wp:positionV>
                <wp:extent cx="228600" cy="381000"/>
                <wp:effectExtent l="38100" t="38100" r="57150" b="57150"/>
                <wp:wrapNone/>
                <wp:docPr id="1798217313"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C24C9" id="Прямая со стрелкой 12" o:spid="_x0000_s1026" type="#_x0000_t32" style="position:absolute;margin-left:139.95pt;margin-top:161.15pt;width:18pt;height:30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78496" behindDoc="0" locked="0" layoutInCell="1" allowOverlap="1" wp14:anchorId="4BF2A772" wp14:editId="19F90AE4">
                <wp:simplePos x="0" y="0"/>
                <wp:positionH relativeFrom="column">
                  <wp:posOffset>1967865</wp:posOffset>
                </wp:positionH>
                <wp:positionV relativeFrom="paragraph">
                  <wp:posOffset>2054225</wp:posOffset>
                </wp:positionV>
                <wp:extent cx="381000" cy="365760"/>
                <wp:effectExtent l="38100" t="38100" r="57150" b="53340"/>
                <wp:wrapNone/>
                <wp:docPr id="1344682337"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 cy="3657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0BBEF" id="Прямая со стрелкой 11" o:spid="_x0000_s1026" type="#_x0000_t32" style="position:absolute;margin-left:154.95pt;margin-top:161.75pt;width:30pt;height:28.8pt;flip:y;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79520" behindDoc="0" locked="0" layoutInCell="1" allowOverlap="1" wp14:anchorId="370E9D40" wp14:editId="3C277A40">
                <wp:simplePos x="0" y="0"/>
                <wp:positionH relativeFrom="column">
                  <wp:posOffset>2127885</wp:posOffset>
                </wp:positionH>
                <wp:positionV relativeFrom="paragraph">
                  <wp:posOffset>2069465</wp:posOffset>
                </wp:positionV>
                <wp:extent cx="594360" cy="350520"/>
                <wp:effectExtent l="38100" t="38100" r="53340" b="49530"/>
                <wp:wrapNone/>
                <wp:docPr id="2132299516"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 cy="3505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0AF89" id="Прямая со стрелкой 10" o:spid="_x0000_s1026" type="#_x0000_t32" style="position:absolute;margin-left:167.55pt;margin-top:162.95pt;width:46.8pt;height:27.6pt;flip:y;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80544" behindDoc="0" locked="0" layoutInCell="1" allowOverlap="1" wp14:anchorId="46B37C1D" wp14:editId="15C00615">
                <wp:simplePos x="0" y="0"/>
                <wp:positionH relativeFrom="column">
                  <wp:posOffset>3091815</wp:posOffset>
                </wp:positionH>
                <wp:positionV relativeFrom="paragraph">
                  <wp:posOffset>2031365</wp:posOffset>
                </wp:positionV>
                <wp:extent cx="106680" cy="388620"/>
                <wp:effectExtent l="57150" t="38100" r="64770" b="49530"/>
                <wp:wrapNone/>
                <wp:docPr id="40137785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6680" cy="3886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53364" id="Прямая со стрелкой 9" o:spid="_x0000_s1026" type="#_x0000_t32" style="position:absolute;margin-left:243.45pt;margin-top:159.95pt;width:8.4pt;height:30.6pt;flip:x y;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81568" behindDoc="0" locked="0" layoutInCell="1" allowOverlap="1" wp14:anchorId="6EAD3288" wp14:editId="2396A7D1">
                <wp:simplePos x="0" y="0"/>
                <wp:positionH relativeFrom="column">
                  <wp:posOffset>3400425</wp:posOffset>
                </wp:positionH>
                <wp:positionV relativeFrom="paragraph">
                  <wp:posOffset>2054225</wp:posOffset>
                </wp:positionV>
                <wp:extent cx="0" cy="365760"/>
                <wp:effectExtent l="76200" t="38100" r="95250" b="53340"/>
                <wp:wrapNone/>
                <wp:docPr id="274034829"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57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BCFEA" id="Прямая со стрелкой 8" o:spid="_x0000_s1026" type="#_x0000_t32" style="position:absolute;margin-left:267.75pt;margin-top:161.75pt;width:0;height:28.8pt;flip:y;z-index:25278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82592" behindDoc="0" locked="0" layoutInCell="1" allowOverlap="1" wp14:anchorId="05788EFC" wp14:editId="774986A3">
                <wp:simplePos x="0" y="0"/>
                <wp:positionH relativeFrom="column">
                  <wp:posOffset>3682365</wp:posOffset>
                </wp:positionH>
                <wp:positionV relativeFrom="paragraph">
                  <wp:posOffset>2046605</wp:posOffset>
                </wp:positionV>
                <wp:extent cx="0" cy="342900"/>
                <wp:effectExtent l="76200" t="38100" r="76200" b="57150"/>
                <wp:wrapNone/>
                <wp:docPr id="2063052421"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2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27BC0" id="Прямая со стрелкой 7" o:spid="_x0000_s1026" type="#_x0000_t32" style="position:absolute;margin-left:289.95pt;margin-top:161.15pt;width:0;height:27pt;flip:y;z-index:25278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83616" behindDoc="0" locked="0" layoutInCell="1" allowOverlap="1" wp14:anchorId="7D120B85" wp14:editId="31893E75">
                <wp:simplePos x="0" y="0"/>
                <wp:positionH relativeFrom="column">
                  <wp:posOffset>4070985</wp:posOffset>
                </wp:positionH>
                <wp:positionV relativeFrom="paragraph">
                  <wp:posOffset>2038985</wp:posOffset>
                </wp:positionV>
                <wp:extent cx="0" cy="381000"/>
                <wp:effectExtent l="76200" t="38100" r="95250" b="57150"/>
                <wp:wrapNone/>
                <wp:docPr id="1790494302"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2D614" id="Прямая со стрелкой 6" o:spid="_x0000_s1026" type="#_x0000_t32" style="position:absolute;margin-left:320.55pt;margin-top:160.55pt;width:0;height:30pt;flip:y;z-index:25278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84640" behindDoc="0" locked="0" layoutInCell="1" allowOverlap="1" wp14:anchorId="3850F370" wp14:editId="74F1AFC0">
                <wp:simplePos x="0" y="0"/>
                <wp:positionH relativeFrom="column">
                  <wp:posOffset>4413885</wp:posOffset>
                </wp:positionH>
                <wp:positionV relativeFrom="paragraph">
                  <wp:posOffset>2046605</wp:posOffset>
                </wp:positionV>
                <wp:extent cx="0" cy="358140"/>
                <wp:effectExtent l="76200" t="38100" r="95250" b="60960"/>
                <wp:wrapNone/>
                <wp:docPr id="490975518"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8A15B" id="Прямая со стрелкой 5" o:spid="_x0000_s1026" type="#_x0000_t32" style="position:absolute;margin-left:347.55pt;margin-top:161.15pt;width:0;height:28.2pt;z-index:25278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785664" behindDoc="0" locked="0" layoutInCell="1" allowOverlap="1" wp14:anchorId="1497EEED" wp14:editId="35A1BDBE">
                <wp:simplePos x="0" y="0"/>
                <wp:positionH relativeFrom="column">
                  <wp:posOffset>4741545</wp:posOffset>
                </wp:positionH>
                <wp:positionV relativeFrom="paragraph">
                  <wp:posOffset>2054225</wp:posOffset>
                </wp:positionV>
                <wp:extent cx="0" cy="373380"/>
                <wp:effectExtent l="76200" t="38100" r="95250" b="64770"/>
                <wp:wrapNone/>
                <wp:docPr id="42834158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733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D5D7A" id="Прямая со стрелкой 4" o:spid="_x0000_s1026" type="#_x0000_t32" style="position:absolute;margin-left:373.35pt;margin-top:161.75pt;width:0;height:29.4pt;flip:y;z-index:25278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86688" behindDoc="0" locked="0" layoutInCell="1" allowOverlap="1" wp14:anchorId="23B5A868" wp14:editId="42A9113A">
                <wp:simplePos x="0" y="0"/>
                <wp:positionH relativeFrom="column">
                  <wp:posOffset>4962525</wp:posOffset>
                </wp:positionH>
                <wp:positionV relativeFrom="paragraph">
                  <wp:posOffset>2043430</wp:posOffset>
                </wp:positionV>
                <wp:extent cx="114300" cy="381000"/>
                <wp:effectExtent l="57150" t="38100" r="57150" b="57150"/>
                <wp:wrapNone/>
                <wp:docPr id="64729900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E7441" id="Прямая со стрелкой 3" o:spid="_x0000_s1026" type="#_x0000_t32" style="position:absolute;margin-left:390.75pt;margin-top:160.9pt;width:9pt;height:30pt;flip:y;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87712" behindDoc="0" locked="0" layoutInCell="1" allowOverlap="1" wp14:anchorId="0B0A5B00" wp14:editId="7E05FD37">
                <wp:simplePos x="0" y="0"/>
                <wp:positionH relativeFrom="column">
                  <wp:posOffset>5137785</wp:posOffset>
                </wp:positionH>
                <wp:positionV relativeFrom="paragraph">
                  <wp:posOffset>2046605</wp:posOffset>
                </wp:positionV>
                <wp:extent cx="297180" cy="373380"/>
                <wp:effectExtent l="38100" t="38100" r="64770" b="64770"/>
                <wp:wrapNone/>
                <wp:docPr id="132654019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 cy="3733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65D24" id="Прямая со стрелкой 2" o:spid="_x0000_s1026" type="#_x0000_t32" style="position:absolute;margin-left:404.55pt;margin-top:161.15pt;width:23.4pt;height:29.4pt;flip:y;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788736" behindDoc="0" locked="0" layoutInCell="1" allowOverlap="1" wp14:anchorId="2751D1D6" wp14:editId="5C797AE3">
                <wp:simplePos x="0" y="0"/>
                <wp:positionH relativeFrom="column">
                  <wp:posOffset>5282565</wp:posOffset>
                </wp:positionH>
                <wp:positionV relativeFrom="paragraph">
                  <wp:posOffset>2054225</wp:posOffset>
                </wp:positionV>
                <wp:extent cx="548640" cy="381000"/>
                <wp:effectExtent l="38100" t="38100" r="60960" b="57150"/>
                <wp:wrapNone/>
                <wp:docPr id="148801810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64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1B916" id="Прямая со стрелкой 1" o:spid="_x0000_s1026" type="#_x0000_t32" style="position:absolute;margin-left:415.95pt;margin-top:161.75pt;width:43.2pt;height:30pt;flip:y;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" strokecolor="black [3040]">
                <v:stroke startarrow="block" endarrow="block"/>
                <o:lock v:ext="edit" shapetype="f"/>
              </v:shape>
            </w:pict>
          </mc:Fallback>
        </mc:AlternateContent>
      </w:r>
    </w:p>
    <w:p w14:paraId="21C649EC" w14:textId="77777777" w:rsidR="00F15E51" w:rsidRDefault="00F15E51" w:rsidP="00F15E51">
      <w:pPr>
        <w:rPr>
          <w:rFonts w:ascii="Times New Roman" w:hAnsi="Times New Roman" w:cs="Times New Roman"/>
          <w:lang w:val="kk-KZ"/>
        </w:rPr>
      </w:pPr>
    </w:p>
    <w:p w14:paraId="4F0E995B" w14:textId="77777777" w:rsidR="00F15E51" w:rsidRDefault="00F15E51" w:rsidP="00F15E51">
      <w:pPr>
        <w:tabs>
          <w:tab w:val="left" w:pos="1605"/>
        </w:tabs>
        <w:ind w:firstLine="567"/>
        <w:jc w:val="both"/>
        <w:rPr>
          <w:rFonts w:ascii="Times New Roman" w:hAnsi="Times New Roman" w:cs="Times New Roman"/>
          <w:sz w:val="28"/>
          <w:szCs w:val="28"/>
          <w:lang w:val="kk-KZ"/>
        </w:rPr>
      </w:pPr>
    </w:p>
    <w:p w14:paraId="7E1E21DB" w14:textId="77777777" w:rsidR="00F15E51" w:rsidRDefault="00F15E51" w:rsidP="00F15E51">
      <w:pPr>
        <w:tabs>
          <w:tab w:val="left" w:pos="1605"/>
        </w:tabs>
        <w:ind w:firstLine="567"/>
        <w:jc w:val="both"/>
        <w:rPr>
          <w:rFonts w:ascii="Times New Roman" w:hAnsi="Times New Roman" w:cs="Times New Roman"/>
          <w:szCs w:val="28"/>
          <w:lang w:val="kk-KZ"/>
        </w:rPr>
      </w:pPr>
    </w:p>
    <w:p w14:paraId="6505BAAE" w14:textId="77777777" w:rsidR="00F15E51" w:rsidRDefault="00F15E51" w:rsidP="00F15E51">
      <w:pPr>
        <w:tabs>
          <w:tab w:val="left" w:pos="1605"/>
        </w:tabs>
        <w:ind w:firstLine="567"/>
        <w:jc w:val="both"/>
        <w:rPr>
          <w:rFonts w:ascii="Times New Roman" w:hAnsi="Times New Roman" w:cs="Times New Roman"/>
          <w:szCs w:val="28"/>
          <w:lang w:val="kk-KZ"/>
        </w:rPr>
      </w:pPr>
    </w:p>
    <w:p w14:paraId="27D7833F" w14:textId="77777777" w:rsidR="00F15E51" w:rsidRDefault="00F15E51" w:rsidP="00F15E51">
      <w:pPr>
        <w:tabs>
          <w:tab w:val="left" w:pos="1605"/>
        </w:tabs>
        <w:ind w:firstLine="567"/>
        <w:jc w:val="both"/>
        <w:rPr>
          <w:rFonts w:ascii="Times New Roman" w:hAnsi="Times New Roman" w:cs="Times New Roman"/>
          <w:szCs w:val="28"/>
          <w:lang w:val="kk-KZ"/>
        </w:rPr>
      </w:pPr>
    </w:p>
    <w:p w14:paraId="11D2E028" w14:textId="77777777" w:rsidR="00F15E51" w:rsidRDefault="00F15E51" w:rsidP="00F15E51">
      <w:pPr>
        <w:tabs>
          <w:tab w:val="left" w:pos="1605"/>
        </w:tabs>
        <w:ind w:firstLine="567"/>
        <w:jc w:val="both"/>
        <w:rPr>
          <w:rFonts w:ascii="Times New Roman" w:hAnsi="Times New Roman" w:cs="Times New Roman"/>
          <w:szCs w:val="28"/>
          <w:lang w:val="kk-KZ"/>
        </w:rPr>
      </w:pPr>
    </w:p>
    <w:p w14:paraId="61EE10F5" w14:textId="77777777" w:rsidR="00F15E51" w:rsidRDefault="00F15E51" w:rsidP="00F15E51">
      <w:pPr>
        <w:tabs>
          <w:tab w:val="left" w:pos="1605"/>
        </w:tabs>
        <w:ind w:firstLine="567"/>
        <w:jc w:val="both"/>
        <w:rPr>
          <w:rFonts w:ascii="Times New Roman" w:hAnsi="Times New Roman" w:cs="Times New Roman"/>
          <w:szCs w:val="28"/>
          <w:lang w:val="kk-KZ"/>
        </w:rPr>
      </w:pPr>
    </w:p>
    <w:p w14:paraId="050D6A36" w14:textId="77777777" w:rsidR="00F15E51" w:rsidRDefault="00F15E51" w:rsidP="00F15E51">
      <w:pPr>
        <w:tabs>
          <w:tab w:val="left" w:pos="1605"/>
        </w:tabs>
        <w:ind w:firstLine="567"/>
        <w:jc w:val="both"/>
        <w:rPr>
          <w:rFonts w:ascii="Times New Roman" w:hAnsi="Times New Roman" w:cs="Times New Roman"/>
          <w:szCs w:val="28"/>
          <w:lang w:val="kk-KZ"/>
        </w:rPr>
      </w:pPr>
    </w:p>
    <w:p w14:paraId="6EB05FF9" w14:textId="77777777" w:rsidR="00F15E51" w:rsidRDefault="00F15E51" w:rsidP="00F15E51">
      <w:pPr>
        <w:tabs>
          <w:tab w:val="left" w:pos="1605"/>
        </w:tabs>
        <w:ind w:firstLine="567"/>
        <w:jc w:val="both"/>
        <w:rPr>
          <w:rFonts w:ascii="Times New Roman" w:hAnsi="Times New Roman" w:cs="Times New Roman"/>
          <w:szCs w:val="28"/>
          <w:lang w:val="kk-KZ"/>
        </w:rPr>
      </w:pPr>
    </w:p>
    <w:p w14:paraId="7F5EC2CC" w14:textId="77777777" w:rsidR="00F15E51" w:rsidRDefault="00F15E51" w:rsidP="00F15E51">
      <w:pPr>
        <w:tabs>
          <w:tab w:val="left" w:pos="1605"/>
        </w:tabs>
        <w:ind w:firstLine="567"/>
        <w:jc w:val="both"/>
        <w:rPr>
          <w:rFonts w:ascii="Times New Roman" w:hAnsi="Times New Roman" w:cs="Times New Roman"/>
          <w:szCs w:val="28"/>
          <w:lang w:val="kk-KZ"/>
        </w:rPr>
      </w:pPr>
    </w:p>
    <w:p w14:paraId="7C4B14AD" w14:textId="26B88F91" w:rsidR="00A70FAA" w:rsidRDefault="00A70FAA" w:rsidP="00457CE9">
      <w:pPr>
        <w:tabs>
          <w:tab w:val="left" w:pos="1605"/>
        </w:tabs>
        <w:spacing w:after="0" w:line="240" w:lineRule="auto"/>
        <w:ind w:firstLine="567"/>
        <w:jc w:val="both"/>
        <w:rPr>
          <w:rFonts w:ascii="Times New Roman" w:hAnsi="Times New Roman" w:cs="Times New Roman"/>
          <w:sz w:val="28"/>
          <w:szCs w:val="28"/>
          <w:lang w:val="kk-KZ"/>
        </w:rPr>
      </w:pPr>
    </w:p>
    <w:p w14:paraId="161BE8BB" w14:textId="7AC6AC65" w:rsidR="00647B71" w:rsidRPr="00457CE9" w:rsidRDefault="00647B71" w:rsidP="00457CE9">
      <w:pPr>
        <w:spacing w:after="0" w:line="240" w:lineRule="auto"/>
        <w:jc w:val="center"/>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Сурет </w:t>
      </w:r>
      <w:r w:rsidR="00791C93">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3</w:t>
      </w:r>
      <w:r w:rsidRPr="00457CE9">
        <w:rPr>
          <w:rFonts w:ascii="Times New Roman" w:eastAsiaTheme="minorEastAsia" w:hAnsi="Times New Roman" w:cs="Times New Roman"/>
          <w:sz w:val="28"/>
          <w:szCs w:val="28"/>
          <w:lang w:val="kk-KZ"/>
        </w:rPr>
        <w:t xml:space="preserve"> </w:t>
      </w:r>
      <w:r w:rsidR="00F83B5C">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дамытуға бағытталған бюджет қаражатын пайдалану тиімділігіне иерархиялық талдау моделінің сызбасы</w:t>
      </w:r>
    </w:p>
    <w:p w14:paraId="16807210" w14:textId="77777777" w:rsidR="00F83B5C" w:rsidRPr="00F83B5C" w:rsidRDefault="00F83B5C" w:rsidP="00457CE9">
      <w:pPr>
        <w:spacing w:after="0" w:line="240" w:lineRule="auto"/>
        <w:ind w:firstLine="709"/>
        <w:jc w:val="both"/>
        <w:rPr>
          <w:rFonts w:ascii="Times New Roman" w:eastAsiaTheme="minorEastAsia" w:hAnsi="Times New Roman" w:cs="Times New Roman"/>
          <w:sz w:val="16"/>
          <w:szCs w:val="16"/>
          <w:lang w:val="kk-KZ"/>
        </w:rPr>
      </w:pPr>
    </w:p>
    <w:p w14:paraId="47BBFABE" w14:textId="39A10751" w:rsidR="00647B71" w:rsidRPr="00457CE9" w:rsidRDefault="00647B71" w:rsidP="00FA5280">
      <w:pPr>
        <w:widowControl w:val="0"/>
        <w:spacing w:after="0" w:line="240" w:lineRule="auto"/>
        <w:ind w:firstLine="709"/>
        <w:jc w:val="both"/>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F83B5C" w:rsidRPr="00457CE9">
        <w:rPr>
          <w:rFonts w:ascii="Times New Roman" w:eastAsiaTheme="minorEastAsia" w:hAnsi="Times New Roman" w:cs="Times New Roman"/>
          <w:sz w:val="24"/>
          <w:szCs w:val="24"/>
          <w:lang w:val="kk-KZ"/>
        </w:rPr>
        <w:t xml:space="preserve">Автормен </w:t>
      </w:r>
      <w:r w:rsidRPr="00457CE9">
        <w:rPr>
          <w:rFonts w:ascii="Times New Roman" w:eastAsiaTheme="minorEastAsia" w:hAnsi="Times New Roman" w:cs="Times New Roman"/>
          <w:sz w:val="24"/>
          <w:szCs w:val="24"/>
          <w:lang w:val="kk-KZ"/>
        </w:rPr>
        <w:t>құрастырылған</w:t>
      </w:r>
    </w:p>
    <w:p w14:paraId="39CC12AE" w14:textId="77777777" w:rsidR="00FA5280" w:rsidRDefault="00FA5280" w:rsidP="00FA5280">
      <w:pPr>
        <w:widowControl w:val="0"/>
        <w:spacing w:after="0" w:line="240" w:lineRule="auto"/>
        <w:ind w:firstLine="708"/>
        <w:jc w:val="both"/>
        <w:rPr>
          <w:rFonts w:ascii="Times New Roman" w:eastAsiaTheme="minorEastAsia" w:hAnsi="Times New Roman" w:cs="Times New Roman"/>
          <w:sz w:val="28"/>
          <w:szCs w:val="28"/>
          <w:lang w:val="kk-KZ"/>
        </w:rPr>
      </w:pPr>
    </w:p>
    <w:p w14:paraId="305FC72B" w14:textId="74C3991A" w:rsidR="00FA5280" w:rsidRDefault="00FA5280" w:rsidP="00FA5280">
      <w:pPr>
        <w:widowControl w:val="0"/>
        <w:spacing w:after="0" w:line="240" w:lineRule="auto"/>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ҚР АӨК 2017-2021 жж. дамытудың нысаналы индикаторлары мемлекеттік бағдарламасында келесідей деп бекітілген [6</w:t>
      </w:r>
      <w:r w:rsidR="00EF5DE6" w:rsidRPr="00EF5DE6">
        <w:rPr>
          <w:rFonts w:ascii="Times New Roman" w:eastAsiaTheme="minorEastAsia" w:hAnsi="Times New Roman" w:cs="Times New Roman"/>
          <w:sz w:val="28"/>
          <w:szCs w:val="28"/>
          <w:lang w:val="kk-KZ"/>
        </w:rPr>
        <w:t>2</w:t>
      </w:r>
      <w:r>
        <w:rPr>
          <w:rFonts w:ascii="Times New Roman" w:eastAsiaTheme="minorEastAsia" w:hAnsi="Times New Roman" w:cs="Times New Roman"/>
          <w:sz w:val="28"/>
          <w:szCs w:val="28"/>
          <w:lang w:val="kk-KZ"/>
        </w:rPr>
        <w:t>]:</w:t>
      </w:r>
    </w:p>
    <w:p w14:paraId="65689928" w14:textId="77777777" w:rsidR="00FA5280" w:rsidRDefault="00FA5280" w:rsidP="0097172E">
      <w:pPr>
        <w:pStyle w:val="a5"/>
        <w:widowControl w:val="0"/>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2015 жылдың деңгейімен салыстырғанда ауыл шаруашылығындағы еңбек өнімділігінің индексі %;</w:t>
      </w:r>
    </w:p>
    <w:p w14:paraId="78C879E1" w14:textId="77777777" w:rsidR="00FA5280" w:rsidRDefault="00FA5280" w:rsidP="0097172E">
      <w:pPr>
        <w:pStyle w:val="a5"/>
        <w:widowControl w:val="0"/>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2015 жылдың деңгейімен салыстырғанда ауыл шаруашылығы жалпы өнімінің (көрсетілетін қызметтерінің) нақты көлем индексі %;</w:t>
      </w:r>
    </w:p>
    <w:p w14:paraId="3DF8B196" w14:textId="77777777" w:rsidR="00FA5280" w:rsidRDefault="00FA5280" w:rsidP="0097172E">
      <w:pPr>
        <w:pStyle w:val="a5"/>
        <w:widowControl w:val="0"/>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2015 жылдың деңгейімен салыстырғанда ауыл шаруашылығындағы негізгі капиталға салынатын инвестициялардың нақты көлем индексі, %;</w:t>
      </w:r>
    </w:p>
    <w:p w14:paraId="08C1A348" w14:textId="77777777" w:rsidR="00FA5280" w:rsidRDefault="00FA5280" w:rsidP="0097172E">
      <w:pPr>
        <w:pStyle w:val="a5"/>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2015 жылдың деңгейімен салыстырғанда тамақ өнімдері өндірісіндегі негізгі капиталға салынатын инвестициялардың нақты көлем индексі, %;</w:t>
      </w:r>
    </w:p>
    <w:p w14:paraId="07A1C831" w14:textId="77777777" w:rsidR="00FA5280" w:rsidRDefault="00FA5280" w:rsidP="0097172E">
      <w:pPr>
        <w:pStyle w:val="a5"/>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азық-түлік тауарлары импортының көлемін азайту, млн. АҚШ доллары;</w:t>
      </w:r>
    </w:p>
    <w:p w14:paraId="6489BAC4" w14:textId="77777777" w:rsidR="00FA5280" w:rsidRDefault="00FA5280" w:rsidP="0097172E">
      <w:pPr>
        <w:pStyle w:val="a5"/>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өнеркәсіптегі сумен жабдықтау жүйесіндегі судың көлемі, текше км;</w:t>
      </w:r>
    </w:p>
    <w:p w14:paraId="12CEEF89" w14:textId="77777777" w:rsidR="00FA5280" w:rsidRDefault="00FA5280" w:rsidP="0097172E">
      <w:pPr>
        <w:pStyle w:val="a5"/>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өңделген ауыл шаруашылығы өнімдері экспортының көлемін ұлғайту, млн. АҚШ доллары;</w:t>
      </w:r>
    </w:p>
    <w:p w14:paraId="27C817B0" w14:textId="77777777" w:rsidR="00FA5280" w:rsidRDefault="00FA5280" w:rsidP="0097172E">
      <w:pPr>
        <w:pStyle w:val="a5"/>
        <w:numPr>
          <w:ilvl w:val="0"/>
          <w:numId w:val="30"/>
        </w:numPr>
        <w:tabs>
          <w:tab w:val="left" w:pos="993"/>
        </w:tabs>
        <w:spacing w:after="0" w:line="240" w:lineRule="auto"/>
        <w:ind w:left="0" w:firstLine="709"/>
        <w:jc w:val="both"/>
        <w:rPr>
          <w:rFonts w:ascii="Times New Roman" w:eastAsiaTheme="minorEastAsia" w:hAnsi="Times New Roman"/>
          <w:sz w:val="28"/>
          <w:szCs w:val="28"/>
          <w:lang w:val="kk-KZ"/>
        </w:rPr>
      </w:pPr>
      <w:r>
        <w:rPr>
          <w:rFonts w:ascii="Times New Roman" w:eastAsiaTheme="minorEastAsia" w:hAnsi="Times New Roman"/>
          <w:sz w:val="28"/>
          <w:szCs w:val="28"/>
          <w:lang w:val="kk-KZ"/>
        </w:rPr>
        <w:t>суаруға арналған су шығысы, текше м/га.</w:t>
      </w:r>
    </w:p>
    <w:p w14:paraId="39585D0C" w14:textId="2E9E2654" w:rsidR="00647B71" w:rsidRDefault="00647B71" w:rsidP="00F83B5C">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Мәселен 1-міндет</w:t>
      </w:r>
      <w:r w:rsidR="0025184F" w:rsidRPr="00457CE9">
        <w:rPr>
          <w:rFonts w:ascii="Times New Roman" w:eastAsiaTheme="minorEastAsia" w:hAnsi="Times New Roman" w:cs="Times New Roman"/>
          <w:sz w:val="28"/>
          <w:szCs w:val="28"/>
          <w:lang w:val="kk-KZ"/>
        </w:rPr>
        <w:t>тің</w:t>
      </w:r>
      <w:r w:rsidRPr="00457CE9">
        <w:rPr>
          <w:rFonts w:ascii="Times New Roman" w:eastAsiaTheme="minorEastAsia" w:hAnsi="Times New Roman" w:cs="Times New Roman"/>
          <w:sz w:val="28"/>
          <w:szCs w:val="28"/>
          <w:lang w:val="kk-KZ"/>
        </w:rPr>
        <w:t xml:space="preserve"> «</w:t>
      </w:r>
      <w:r w:rsidR="0025184F" w:rsidRPr="00457CE9">
        <w:rPr>
          <w:rFonts w:ascii="Times New Roman" w:eastAsiaTheme="minorEastAsia" w:hAnsi="Times New Roman" w:cs="Times New Roman"/>
          <w:sz w:val="28"/>
          <w:szCs w:val="28"/>
          <w:lang w:val="kk-KZ"/>
        </w:rPr>
        <w:t>2017-2021 жж. а</w:t>
      </w:r>
      <w:r w:rsidRPr="00457CE9">
        <w:rPr>
          <w:rFonts w:ascii="Times New Roman" w:eastAsiaTheme="minorEastAsia" w:hAnsi="Times New Roman" w:cs="Times New Roman"/>
          <w:sz w:val="28"/>
          <w:szCs w:val="28"/>
          <w:lang w:val="kk-KZ"/>
        </w:rPr>
        <w:t>зық-түлік қауіпсіздігін қамтамасыз етудің</w:t>
      </w:r>
      <w:r w:rsidR="0025184F" w:rsidRPr="00457CE9">
        <w:rPr>
          <w:rFonts w:ascii="Times New Roman" w:eastAsiaTheme="minorEastAsia" w:hAnsi="Times New Roman" w:cs="Times New Roman"/>
          <w:sz w:val="28"/>
          <w:szCs w:val="28"/>
          <w:lang w:val="kk-KZ"/>
        </w:rPr>
        <w:t>»</w:t>
      </w:r>
      <w:r w:rsidRPr="00457CE9">
        <w:rPr>
          <w:rFonts w:ascii="Times New Roman" w:eastAsiaTheme="minorEastAsia" w:hAnsi="Times New Roman" w:cs="Times New Roman"/>
          <w:sz w:val="28"/>
          <w:szCs w:val="28"/>
          <w:lang w:val="kk-KZ"/>
        </w:rPr>
        <w:t xml:space="preserve"> нәтижелі көрсеткіші «</w:t>
      </w:r>
      <w:r w:rsidRPr="00457CE9">
        <w:rPr>
          <w:rFonts w:ascii="Times New Roman" w:eastAsia="Times New Roman" w:hAnsi="Times New Roman" w:cs="Times New Roman"/>
          <w:color w:val="000000"/>
          <w:sz w:val="28"/>
          <w:szCs w:val="28"/>
          <w:lang w:val="kk-KZ" w:eastAsia="ru-RU"/>
        </w:rPr>
        <w:t>1-көрсеткіш. Өңдеуге келіп түскен сүт шикізатының үлесі</w:t>
      </w:r>
      <w:r w:rsidRPr="00457CE9">
        <w:rPr>
          <w:rFonts w:ascii="Times New Roman" w:eastAsiaTheme="minorEastAsia" w:hAnsi="Times New Roman" w:cs="Times New Roman"/>
          <w:sz w:val="28"/>
          <w:szCs w:val="28"/>
          <w:lang w:val="kk-KZ"/>
        </w:rPr>
        <w:t>» пайызбен 2017 жылы 30 пайыздан 2021 жылы 37 пайызға дейін жеткізу жоспарланған</w:t>
      </w:r>
      <w:r w:rsidR="00B625A0" w:rsidRPr="00457CE9">
        <w:rPr>
          <w:rFonts w:ascii="Times New Roman" w:eastAsiaTheme="minorEastAsia" w:hAnsi="Times New Roman" w:cs="Times New Roman"/>
          <w:sz w:val="28"/>
          <w:szCs w:val="28"/>
          <w:lang w:val="kk-KZ"/>
        </w:rPr>
        <w:t xml:space="preserve"> [</w:t>
      </w:r>
      <w:r w:rsidR="00010EEC">
        <w:rPr>
          <w:rFonts w:ascii="Times New Roman" w:eastAsiaTheme="minorEastAsia" w:hAnsi="Times New Roman" w:cs="Times New Roman"/>
          <w:sz w:val="28"/>
          <w:szCs w:val="28"/>
          <w:lang w:val="kk-KZ"/>
        </w:rPr>
        <w:t>6</w:t>
      </w:r>
      <w:r w:rsidR="00EF5DE6" w:rsidRPr="00EF5DE6">
        <w:rPr>
          <w:rFonts w:ascii="Times New Roman" w:eastAsiaTheme="minorEastAsia" w:hAnsi="Times New Roman" w:cs="Times New Roman"/>
          <w:sz w:val="28"/>
          <w:szCs w:val="28"/>
          <w:lang w:val="kk-KZ"/>
        </w:rPr>
        <w:t>2</w:t>
      </w:r>
      <w:r w:rsidR="00B625A0" w:rsidRPr="00457CE9">
        <w:rPr>
          <w:rFonts w:ascii="Times New Roman" w:eastAsiaTheme="minorEastAsia" w:hAnsi="Times New Roman" w:cs="Times New Roman"/>
          <w:sz w:val="28"/>
          <w:szCs w:val="28"/>
          <w:lang w:val="kk-KZ"/>
        </w:rPr>
        <w:t>]</w:t>
      </w:r>
      <w:r w:rsidRPr="00457CE9">
        <w:rPr>
          <w:rFonts w:ascii="Times New Roman" w:eastAsiaTheme="minorEastAsia" w:hAnsi="Times New Roman" w:cs="Times New Roman"/>
          <w:sz w:val="28"/>
          <w:szCs w:val="28"/>
          <w:lang w:val="kk-KZ"/>
        </w:rPr>
        <w:t xml:space="preserve">. Осы көрсеткішке </w:t>
      </w:r>
      <w:r w:rsidR="0025184F" w:rsidRPr="00457CE9">
        <w:rPr>
          <w:rFonts w:ascii="Times New Roman" w:eastAsiaTheme="minorEastAsia" w:hAnsi="Times New Roman" w:cs="Times New Roman"/>
          <w:sz w:val="28"/>
          <w:szCs w:val="28"/>
          <w:lang w:val="kk-KZ"/>
        </w:rPr>
        <w:t xml:space="preserve">жалпы саны 8 </w:t>
      </w:r>
      <w:r w:rsidRPr="00457CE9">
        <w:rPr>
          <w:rFonts w:ascii="Times New Roman" w:eastAsiaTheme="minorEastAsia" w:hAnsi="Times New Roman" w:cs="Times New Roman"/>
          <w:sz w:val="28"/>
          <w:szCs w:val="28"/>
          <w:lang w:val="kk-KZ"/>
        </w:rPr>
        <w:t>нысаналы индикаторлардың әсері эксперттік бағалауы берілу</w:t>
      </w:r>
      <w:r w:rsidR="0025184F" w:rsidRPr="00457CE9">
        <w:rPr>
          <w:rFonts w:ascii="Times New Roman" w:eastAsiaTheme="minorEastAsia" w:hAnsi="Times New Roman" w:cs="Times New Roman"/>
          <w:sz w:val="28"/>
          <w:szCs w:val="28"/>
          <w:lang w:val="kk-KZ"/>
        </w:rPr>
        <w:t>і</w:t>
      </w:r>
      <w:r w:rsidRPr="00457CE9">
        <w:rPr>
          <w:rFonts w:ascii="Times New Roman" w:eastAsiaTheme="minorEastAsia" w:hAnsi="Times New Roman" w:cs="Times New Roman"/>
          <w:sz w:val="28"/>
          <w:szCs w:val="28"/>
          <w:lang w:val="kk-KZ"/>
        </w:rPr>
        <w:t xml:space="preserve"> </w:t>
      </w:r>
      <w:r w:rsidR="00081557">
        <w:rPr>
          <w:rFonts w:ascii="Times New Roman" w:eastAsiaTheme="minorEastAsia" w:hAnsi="Times New Roman" w:cs="Times New Roman"/>
          <w:sz w:val="28"/>
          <w:szCs w:val="28"/>
          <w:lang w:val="kk-KZ"/>
        </w:rPr>
        <w:t>52</w:t>
      </w:r>
      <w:r w:rsidR="00165A6D" w:rsidRPr="00457CE9">
        <w:rPr>
          <w:rFonts w:ascii="Times New Roman" w:eastAsiaTheme="minorEastAsia" w:hAnsi="Times New Roman" w:cs="Times New Roman"/>
          <w:sz w:val="28"/>
          <w:szCs w:val="28"/>
          <w:lang w:val="kk-KZ"/>
        </w:rPr>
        <w:t>-</w:t>
      </w:r>
      <w:r w:rsidRPr="00457CE9">
        <w:rPr>
          <w:rFonts w:ascii="Times New Roman" w:eastAsiaTheme="minorEastAsia" w:hAnsi="Times New Roman" w:cs="Times New Roman"/>
          <w:sz w:val="28"/>
          <w:szCs w:val="28"/>
          <w:lang w:val="kk-KZ"/>
        </w:rPr>
        <w:t>кестеде келтірілген.</w:t>
      </w:r>
      <w:r w:rsidR="0025184F" w:rsidRPr="00457CE9">
        <w:rPr>
          <w:rFonts w:ascii="Times New Roman" w:eastAsiaTheme="minorEastAsia" w:hAnsi="Times New Roman" w:cs="Times New Roman"/>
          <w:sz w:val="28"/>
          <w:szCs w:val="28"/>
          <w:lang w:val="kk-KZ"/>
        </w:rPr>
        <w:t xml:space="preserve"> </w:t>
      </w:r>
    </w:p>
    <w:p w14:paraId="663ACFB1" w14:textId="77777777" w:rsidR="00BE3507" w:rsidRPr="00457CE9" w:rsidRDefault="00BE3507" w:rsidP="00F83B5C">
      <w:pPr>
        <w:spacing w:after="0" w:line="240" w:lineRule="auto"/>
        <w:ind w:firstLine="709"/>
        <w:jc w:val="both"/>
        <w:rPr>
          <w:rFonts w:ascii="Times New Roman" w:eastAsiaTheme="minorEastAsia" w:hAnsi="Times New Roman" w:cs="Times New Roman"/>
          <w:sz w:val="28"/>
          <w:szCs w:val="28"/>
          <w:lang w:val="kk-KZ"/>
        </w:rPr>
      </w:pPr>
    </w:p>
    <w:p w14:paraId="4117D495" w14:textId="29CBE438" w:rsidR="00647B71" w:rsidRDefault="00647B71" w:rsidP="00457CE9">
      <w:pPr>
        <w:spacing w:after="0" w:line="240" w:lineRule="auto"/>
        <w:jc w:val="both"/>
        <w:rPr>
          <w:rFonts w:ascii="Times New Roman" w:eastAsia="Times New Roman" w:hAnsi="Times New Roman" w:cs="Times New Roman"/>
          <w:color w:val="000000"/>
          <w:sz w:val="28"/>
          <w:szCs w:val="28"/>
          <w:lang w:val="kk-KZ" w:eastAsia="ru-RU"/>
        </w:rPr>
      </w:pPr>
      <w:r w:rsidRPr="00457CE9">
        <w:rPr>
          <w:rFonts w:ascii="Times New Roman" w:eastAsiaTheme="minorEastAsia" w:hAnsi="Times New Roman" w:cs="Times New Roman"/>
          <w:sz w:val="28"/>
          <w:szCs w:val="28"/>
          <w:lang w:val="kk-KZ"/>
        </w:rPr>
        <w:t xml:space="preserve">Кесте </w:t>
      </w:r>
      <w:r w:rsidR="00081557">
        <w:rPr>
          <w:rFonts w:ascii="Times New Roman" w:eastAsiaTheme="minorEastAsia" w:hAnsi="Times New Roman" w:cs="Times New Roman"/>
          <w:sz w:val="28"/>
          <w:szCs w:val="28"/>
          <w:lang w:val="kk-KZ"/>
        </w:rPr>
        <w:t>52</w:t>
      </w:r>
      <w:r w:rsidRPr="00457CE9">
        <w:rPr>
          <w:rFonts w:ascii="Times New Roman" w:eastAsiaTheme="minorEastAsia" w:hAnsi="Times New Roman" w:cs="Times New Roman"/>
          <w:sz w:val="28"/>
          <w:szCs w:val="28"/>
          <w:lang w:val="kk-KZ"/>
        </w:rPr>
        <w:t xml:space="preserve"> – </w:t>
      </w:r>
      <w:r w:rsidRPr="00457CE9">
        <w:rPr>
          <w:rFonts w:ascii="Times New Roman" w:eastAsia="Times New Roman" w:hAnsi="Times New Roman" w:cs="Times New Roman"/>
          <w:color w:val="000000"/>
          <w:sz w:val="28"/>
          <w:szCs w:val="28"/>
          <w:lang w:val="kk-KZ" w:eastAsia="ru-RU"/>
        </w:rPr>
        <w:t>1-көрсеткіш. Өңдеуге келіп түскен сүт шикізатының үлесіне әр нысаналы индикатордың (альтернативаның) әсерін бағалауы</w:t>
      </w:r>
    </w:p>
    <w:p w14:paraId="2AD17830" w14:textId="77777777" w:rsidR="00F83B5C" w:rsidRPr="00F83B5C" w:rsidRDefault="00F83B5C" w:rsidP="00457CE9">
      <w:pPr>
        <w:spacing w:after="0" w:line="240" w:lineRule="auto"/>
        <w:jc w:val="both"/>
        <w:rPr>
          <w:rFonts w:ascii="Times New Roman" w:eastAsiaTheme="minorEastAsia" w:hAnsi="Times New Roman" w:cs="Times New Roman"/>
          <w:sz w:val="16"/>
          <w:szCs w:val="16"/>
          <w:lang w:val="kk-KZ"/>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7229"/>
        <w:gridCol w:w="1536"/>
      </w:tblGrid>
      <w:tr w:rsidR="00647B71" w:rsidRPr="00BB2991" w14:paraId="68AD5B73"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4A431C8A"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Саны</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BAAADC2"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Альтернативалар</w:t>
            </w:r>
          </w:p>
        </w:tc>
        <w:tc>
          <w:tcPr>
            <w:tcW w:w="1536" w:type="dxa"/>
            <w:tcBorders>
              <w:top w:val="single" w:sz="4" w:space="0" w:color="auto"/>
              <w:left w:val="single" w:sz="4" w:space="0" w:color="auto"/>
              <w:bottom w:val="single" w:sz="4" w:space="0" w:color="auto"/>
              <w:right w:val="single" w:sz="4" w:space="0" w:color="auto"/>
            </w:tcBorders>
            <w:vAlign w:val="center"/>
            <w:hideMark/>
          </w:tcPr>
          <w:p w14:paraId="2DD893DD"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Эксперттік бағалау мәні</w:t>
            </w:r>
          </w:p>
        </w:tc>
      </w:tr>
      <w:tr w:rsidR="00647B71" w:rsidRPr="00BB2991" w14:paraId="065B9EC0"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5D9A46A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294985C"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2015 жылдың деңгейімен салыстырғанда ауыл шаруашылығындағы еңбек өнімділігінің индексі2</w:t>
            </w:r>
            <w:r w:rsidRPr="00BB2991">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19A5BD4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85</w:t>
            </w:r>
          </w:p>
        </w:tc>
      </w:tr>
      <w:tr w:rsidR="00647B71" w:rsidRPr="00BB2991" w14:paraId="4832C9B4"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03E5CE3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225031A"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2015  жылдың деңгейімен салыстырғанда ауыл шаруашылығы жалпы  өнімінің (көрсетілетін қызметтерінің) нақты көлем индексі</w:t>
            </w:r>
            <w:r w:rsidRPr="00BB2991">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00F4BE3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85</w:t>
            </w:r>
          </w:p>
        </w:tc>
      </w:tr>
      <w:tr w:rsidR="00647B71" w:rsidRPr="00BB2991" w14:paraId="5BDD56E4"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5F70EA4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9D8ED68" w14:textId="6CE59435" w:rsidR="00647B71" w:rsidRPr="00BB2991" w:rsidRDefault="00F83B5C" w:rsidP="00457CE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2015 </w:t>
            </w:r>
            <w:r w:rsidR="00647B71" w:rsidRPr="00BB2991">
              <w:rPr>
                <w:rFonts w:ascii="Times New Roman" w:eastAsia="Times New Roman" w:hAnsi="Times New Roman" w:cs="Times New Roman"/>
                <w:color w:val="000000"/>
                <w:sz w:val="24"/>
                <w:szCs w:val="24"/>
                <w:lang w:eastAsia="ru-RU"/>
              </w:rPr>
              <w:t>жылдың деңгейімен салыстырғанда ауыл шаруашылығында</w:t>
            </w:r>
            <w:r>
              <w:rPr>
                <w:rFonts w:ascii="Times New Roman" w:eastAsia="Times New Roman" w:hAnsi="Times New Roman" w:cs="Times New Roman"/>
                <w:color w:val="000000"/>
                <w:sz w:val="24"/>
                <w:szCs w:val="24"/>
                <w:lang w:val="kk-KZ" w:eastAsia="ru-RU"/>
              </w:rPr>
              <w:t xml:space="preserve"> </w:t>
            </w:r>
            <w:r w:rsidR="00647B71" w:rsidRPr="00BB2991">
              <w:rPr>
                <w:rFonts w:ascii="Times New Roman" w:eastAsia="Times New Roman" w:hAnsi="Times New Roman" w:cs="Times New Roman"/>
                <w:color w:val="000000"/>
                <w:sz w:val="24"/>
                <w:szCs w:val="24"/>
                <w:lang w:eastAsia="ru-RU"/>
              </w:rPr>
              <w:t>ғы негізгі капиталға салынатын инвестициялардың нақты көлем индексі, %</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62185E0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w:t>
            </w:r>
          </w:p>
        </w:tc>
      </w:tr>
      <w:tr w:rsidR="00647B71" w:rsidRPr="00BB2991" w14:paraId="4A94C158"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555B42D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91F2B89"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2015  жылдың деңгейімен салыстырғанда тамақ өнімдері өндірісіндегі негізгі капиталға салынатын инвестициялардың нақты көлем индексі, %</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2BD5F7E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w:t>
            </w:r>
          </w:p>
        </w:tc>
      </w:tr>
      <w:tr w:rsidR="00647B71" w:rsidRPr="00BB2991" w14:paraId="529EC447"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47CA380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7229" w:type="dxa"/>
            <w:tcBorders>
              <w:top w:val="single" w:sz="4" w:space="0" w:color="auto"/>
              <w:left w:val="single" w:sz="4" w:space="0" w:color="auto"/>
              <w:bottom w:val="single" w:sz="4" w:space="0" w:color="auto"/>
              <w:right w:val="single" w:sz="4" w:space="0" w:color="auto"/>
            </w:tcBorders>
            <w:vAlign w:val="center"/>
            <w:hideMark/>
          </w:tcPr>
          <w:p w14:paraId="33D4C721"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Азық-түлік тауарлары импортының көлемі, млн. АҚШ доллары</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04E7FB4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r>
      <w:tr w:rsidR="00647B71" w:rsidRPr="00BB2991" w14:paraId="1E1499B4"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2FDCC59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394031F"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Өнеркәсіптегі сумен жабдықтау жүйесіндегі судың көлемі, текше  км:</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2048A5F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r>
      <w:tr w:rsidR="00647B71" w:rsidRPr="00BB2991" w14:paraId="23256B3E"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17594A1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7229" w:type="dxa"/>
            <w:tcBorders>
              <w:top w:val="single" w:sz="4" w:space="0" w:color="auto"/>
              <w:left w:val="single" w:sz="4" w:space="0" w:color="auto"/>
              <w:bottom w:val="single" w:sz="4" w:space="0" w:color="auto"/>
              <w:right w:val="single" w:sz="4" w:space="0" w:color="auto"/>
            </w:tcBorders>
            <w:vAlign w:val="center"/>
            <w:hideMark/>
          </w:tcPr>
          <w:p w14:paraId="577CE518"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 xml:space="preserve">Өңделген  ауыл шаруашылығы өнімдері экспортының көлемі, млн. АҚШ доллары </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6D6DAA2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r>
      <w:tr w:rsidR="00647B71" w:rsidRPr="00BB2991" w14:paraId="13F0C44F" w14:textId="77777777" w:rsidTr="00F83B5C">
        <w:trPr>
          <w:trHeight w:val="58"/>
          <w:jc w:val="center"/>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6D8FF1A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63776FA"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 xml:space="preserve">Суаруға арналған су шығысы, текше метр/га </w:t>
            </w:r>
          </w:p>
        </w:tc>
        <w:tc>
          <w:tcPr>
            <w:tcW w:w="1536" w:type="dxa"/>
            <w:tcBorders>
              <w:top w:val="single" w:sz="4" w:space="0" w:color="auto"/>
              <w:left w:val="single" w:sz="4" w:space="0" w:color="auto"/>
              <w:bottom w:val="single" w:sz="4" w:space="0" w:color="auto"/>
              <w:right w:val="single" w:sz="4" w:space="0" w:color="auto"/>
            </w:tcBorders>
            <w:noWrap/>
            <w:vAlign w:val="center"/>
            <w:hideMark/>
          </w:tcPr>
          <w:p w14:paraId="58DC3BD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r>
      <w:tr w:rsidR="00647B71" w:rsidRPr="00BB2991" w14:paraId="3CB05097" w14:textId="77777777" w:rsidTr="00F83B5C">
        <w:trPr>
          <w:trHeight w:val="58"/>
          <w:jc w:val="center"/>
        </w:trPr>
        <w:tc>
          <w:tcPr>
            <w:tcW w:w="9594" w:type="dxa"/>
            <w:gridSpan w:val="3"/>
            <w:tcBorders>
              <w:top w:val="single" w:sz="4" w:space="0" w:color="auto"/>
              <w:left w:val="single" w:sz="4" w:space="0" w:color="auto"/>
              <w:bottom w:val="single" w:sz="4" w:space="0" w:color="auto"/>
              <w:right w:val="single" w:sz="4" w:space="0" w:color="auto"/>
            </w:tcBorders>
            <w:noWrap/>
            <w:vAlign w:val="center"/>
            <w:hideMark/>
          </w:tcPr>
          <w:p w14:paraId="16A7C153" w14:textId="6ED0361B" w:rsidR="00647B71" w:rsidRPr="00BB2991" w:rsidRDefault="00647B71" w:rsidP="00F83B5C">
            <w:pPr>
              <w:spacing w:after="0" w:line="240" w:lineRule="auto"/>
              <w:ind w:firstLine="556"/>
              <w:jc w:val="both"/>
              <w:rPr>
                <w:rFonts w:ascii="Times New Roman" w:eastAsia="Times New Roman" w:hAnsi="Times New Roman" w:cs="Times New Roman"/>
                <w:color w:val="000000"/>
                <w:sz w:val="24"/>
                <w:szCs w:val="24"/>
                <w:lang w:eastAsia="ru-RU"/>
              </w:rPr>
            </w:pPr>
            <w:r w:rsidRPr="00BB2991">
              <w:rPr>
                <w:rFonts w:ascii="Times New Roman" w:eastAsiaTheme="minorEastAsia" w:hAnsi="Times New Roman" w:cs="Times New Roman"/>
                <w:sz w:val="24"/>
                <w:szCs w:val="24"/>
                <w:lang w:val="kk-KZ"/>
              </w:rPr>
              <w:t xml:space="preserve">Ескерту – </w:t>
            </w:r>
            <w:r w:rsidR="00F83B5C" w:rsidRPr="00BB2991">
              <w:rPr>
                <w:rFonts w:ascii="Times New Roman" w:eastAsiaTheme="minorEastAsia" w:hAnsi="Times New Roman" w:cs="Times New Roman"/>
                <w:sz w:val="24"/>
                <w:szCs w:val="24"/>
                <w:lang w:val="kk-KZ"/>
              </w:rPr>
              <w:t xml:space="preserve">Автормен </w:t>
            </w:r>
            <w:r w:rsidRPr="00BB2991">
              <w:rPr>
                <w:rFonts w:ascii="Times New Roman" w:eastAsiaTheme="minorEastAsia" w:hAnsi="Times New Roman" w:cs="Times New Roman"/>
                <w:sz w:val="24"/>
                <w:szCs w:val="24"/>
                <w:lang w:val="kk-KZ"/>
              </w:rPr>
              <w:t>құрастырылған</w:t>
            </w:r>
          </w:p>
        </w:tc>
      </w:tr>
    </w:tbl>
    <w:p w14:paraId="5310769D"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lang w:val="kk-KZ"/>
        </w:rPr>
        <w:tab/>
      </w:r>
    </w:p>
    <w:p w14:paraId="44020246" w14:textId="77777777" w:rsidR="00E25369"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Яғни, өңдеуге келіп түскен сүт шикізатының көлемін 2017 жылы 30 пайызға жеткізу үшін бірінші альтернативаның «2015 жылдың деңгейімен салыстырғанда ауыл шаруашылығындағы еңбек өнімділігінің индексі» 85 пайызға бағаланса, қол жеткізіледі деген тұжырым жасалынды, сол сияқты қалған 7 альтернативаның берілген көрсеткішке қол жеткізуге әсері осындай жолмен эксперттік бағалау берілді. </w:t>
      </w:r>
    </w:p>
    <w:p w14:paraId="372DBDF2" w14:textId="37AF965C" w:rsidR="00E25369" w:rsidRDefault="00647B71" w:rsidP="00EF5DE6">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Эксперттің пікірі бойынша аталған көрсеткішке, яғни, өңдеуге келіп түскен сүт шикізатының үлесінің артуына 3 және 4 альтернатива абсолютті басымды әсер етеді деп, одан кейін 1 және 2 альтернативалар мағыналы басымды әсер, 5 және 7 альтернатива күшті басымды, 6 және 8 альтернативалар әлсіз басымды әсер деп алынған. </w:t>
      </w:r>
      <w:r w:rsidR="00E25369" w:rsidRPr="00457CE9">
        <w:rPr>
          <w:rFonts w:ascii="Times New Roman" w:eastAsiaTheme="minorEastAsia" w:hAnsi="Times New Roman" w:cs="Times New Roman"/>
          <w:sz w:val="28"/>
          <w:szCs w:val="28"/>
          <w:lang w:val="kk-KZ"/>
        </w:rPr>
        <w:t>Мұндай эксперттік бағалауды көптеген кәсіби мамандар, аудиторлар беру арқылы, олардың орташа өлшенген мәнін алу арқылы да бағалауға мүмкіндік бар.</w:t>
      </w:r>
      <w:r w:rsidR="00EF5DE6" w:rsidRPr="00EF5DE6">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Эксперттік бағалауды 2017-2021 жж. аралығына бірдей немесе әр жылға әр түрлі бағалау беруге рұқсат етілген. Бағалау нәтижелері матрицаның жұптап салыстыру әдісі арқылы бағалауы жасалынды, оның есептелуі </w:t>
      </w:r>
      <w:r w:rsidR="00081557">
        <w:rPr>
          <w:rFonts w:ascii="Times New Roman" w:eastAsiaTheme="minorEastAsia" w:hAnsi="Times New Roman" w:cs="Times New Roman"/>
          <w:sz w:val="28"/>
          <w:szCs w:val="28"/>
          <w:lang w:val="kk-KZ"/>
        </w:rPr>
        <w:t>53</w:t>
      </w:r>
      <w:r w:rsidRPr="00457CE9">
        <w:rPr>
          <w:rFonts w:ascii="Times New Roman" w:eastAsiaTheme="minorEastAsia" w:hAnsi="Times New Roman" w:cs="Times New Roman"/>
          <w:sz w:val="28"/>
          <w:szCs w:val="28"/>
          <w:lang w:val="kk-KZ"/>
        </w:rPr>
        <w:t>-кестеде келтірілген.</w:t>
      </w:r>
      <w:r w:rsidR="00F15E51">
        <w:rPr>
          <w:rFonts w:ascii="Times New Roman" w:eastAsiaTheme="minorEastAsia" w:hAnsi="Times New Roman" w:cs="Times New Roman"/>
          <w:sz w:val="28"/>
          <w:szCs w:val="28"/>
          <w:lang w:val="kk-KZ"/>
        </w:rPr>
        <w:t xml:space="preserve"> </w:t>
      </w:r>
    </w:p>
    <w:p w14:paraId="793E96BC" w14:textId="77777777" w:rsidR="00BE3507" w:rsidRDefault="00BE3507" w:rsidP="00457CE9">
      <w:pPr>
        <w:spacing w:after="0" w:line="240" w:lineRule="auto"/>
        <w:ind w:firstLine="709"/>
        <w:jc w:val="both"/>
        <w:rPr>
          <w:rFonts w:ascii="Times New Roman" w:eastAsiaTheme="minorEastAsia" w:hAnsi="Times New Roman" w:cs="Times New Roman"/>
          <w:sz w:val="28"/>
          <w:szCs w:val="28"/>
          <w:lang w:val="kk-KZ"/>
        </w:rPr>
      </w:pPr>
    </w:p>
    <w:p w14:paraId="65199C8D" w14:textId="0D4971F0"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081557">
        <w:rPr>
          <w:rFonts w:ascii="Times New Roman" w:eastAsiaTheme="minorEastAsia" w:hAnsi="Times New Roman" w:cs="Times New Roman"/>
          <w:sz w:val="28"/>
          <w:szCs w:val="28"/>
          <w:lang w:val="kk-KZ"/>
        </w:rPr>
        <w:t>53</w:t>
      </w:r>
      <w:r w:rsidRPr="00457CE9">
        <w:rPr>
          <w:rFonts w:ascii="Times New Roman" w:eastAsiaTheme="minorEastAsia" w:hAnsi="Times New Roman" w:cs="Times New Roman"/>
          <w:sz w:val="28"/>
          <w:szCs w:val="28"/>
          <w:lang w:val="kk-KZ"/>
        </w:rPr>
        <w:t xml:space="preserve"> – Альтернативалардың жұптап салыстыру матрицаның нәтижесі</w:t>
      </w:r>
    </w:p>
    <w:p w14:paraId="516547ED" w14:textId="77777777" w:rsidR="00F83B5C" w:rsidRPr="00F83B5C" w:rsidRDefault="00F83B5C" w:rsidP="00457CE9">
      <w:pPr>
        <w:spacing w:after="0" w:line="240" w:lineRule="auto"/>
        <w:jc w:val="both"/>
        <w:rPr>
          <w:rFonts w:ascii="Times New Roman" w:eastAsiaTheme="minorEastAsia" w:hAnsi="Times New Roman" w:cs="Times New Roman"/>
          <w:sz w:val="16"/>
          <w:szCs w:val="16"/>
          <w:lang w:val="kk-KZ"/>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82"/>
        <w:gridCol w:w="797"/>
        <w:gridCol w:w="797"/>
        <w:gridCol w:w="797"/>
        <w:gridCol w:w="797"/>
        <w:gridCol w:w="701"/>
        <w:gridCol w:w="797"/>
        <w:gridCol w:w="797"/>
        <w:gridCol w:w="797"/>
        <w:gridCol w:w="964"/>
        <w:gridCol w:w="1062"/>
      </w:tblGrid>
      <w:tr w:rsidR="00647B71" w:rsidRPr="00BB2991" w14:paraId="32A83706" w14:textId="77777777" w:rsidTr="00F83B5C">
        <w:trPr>
          <w:trHeight w:val="58"/>
          <w:jc w:val="center"/>
        </w:trPr>
        <w:tc>
          <w:tcPr>
            <w:tcW w:w="667" w:type="dxa"/>
            <w:tcBorders>
              <w:top w:val="nil"/>
              <w:left w:val="nil"/>
              <w:bottom w:val="single" w:sz="4" w:space="0" w:color="auto"/>
              <w:right w:val="single" w:sz="4" w:space="0" w:color="auto"/>
            </w:tcBorders>
            <w:noWrap/>
            <w:vAlign w:val="bottom"/>
          </w:tcPr>
          <w:p w14:paraId="2297AE2F" w14:textId="77777777" w:rsidR="00647B71" w:rsidRPr="00BB2991" w:rsidRDefault="00647B71" w:rsidP="00457CE9">
            <w:pPr>
              <w:spacing w:after="0" w:line="240" w:lineRule="auto"/>
              <w:rPr>
                <w:rFonts w:ascii="Times New Roman" w:eastAsiaTheme="minorHAnsi" w:hAnsi="Times New Roman" w:cs="Times New Roman"/>
                <w:sz w:val="24"/>
                <w:szCs w:val="24"/>
                <w:lang w:val="kk-KZ"/>
              </w:rPr>
            </w:pPr>
          </w:p>
        </w:tc>
        <w:tc>
          <w:tcPr>
            <w:tcW w:w="700" w:type="dxa"/>
            <w:tcBorders>
              <w:top w:val="single" w:sz="4" w:space="0" w:color="auto"/>
              <w:left w:val="single" w:sz="4" w:space="0" w:color="auto"/>
              <w:bottom w:val="single" w:sz="4" w:space="0" w:color="auto"/>
              <w:right w:val="single" w:sz="4" w:space="0" w:color="auto"/>
            </w:tcBorders>
            <w:noWrap/>
            <w:vAlign w:val="bottom"/>
            <w:hideMark/>
          </w:tcPr>
          <w:p w14:paraId="3001F633" w14:textId="77777777" w:rsidR="00647B71" w:rsidRPr="00BB2991" w:rsidRDefault="00647B71" w:rsidP="00F83B5C">
            <w:pPr>
              <w:spacing w:after="0" w:line="240" w:lineRule="auto"/>
              <w:jc w:val="center"/>
              <w:rPr>
                <w:rFonts w:ascii="Times New Roman" w:hAnsi="Times New Roman" w:cs="Times New Roman"/>
                <w:sz w:val="24"/>
                <w:szCs w:val="24"/>
                <w:lang w:val="kk-KZ" w:eastAsia="ru-RU"/>
              </w:rPr>
            </w:pPr>
            <w:r w:rsidRPr="00BB2991">
              <w:rPr>
                <w:rFonts w:ascii="Times New Roman" w:hAnsi="Times New Roman" w:cs="Times New Roman"/>
                <w:sz w:val="24"/>
                <w:szCs w:val="24"/>
                <w:lang w:val="kk-KZ" w:eastAsia="ru-RU"/>
              </w:rPr>
              <w:t>А</w:t>
            </w:r>
          </w:p>
        </w:tc>
        <w:tc>
          <w:tcPr>
            <w:tcW w:w="800" w:type="dxa"/>
            <w:tcBorders>
              <w:top w:val="single" w:sz="4" w:space="0" w:color="auto"/>
              <w:left w:val="single" w:sz="4" w:space="0" w:color="auto"/>
              <w:bottom w:val="single" w:sz="4" w:space="0" w:color="auto"/>
              <w:right w:val="single" w:sz="4" w:space="0" w:color="auto"/>
            </w:tcBorders>
            <w:noWrap/>
            <w:vAlign w:val="bottom"/>
            <w:hideMark/>
          </w:tcPr>
          <w:p w14:paraId="564ED40C"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0" w:type="dxa"/>
            <w:tcBorders>
              <w:top w:val="single" w:sz="4" w:space="0" w:color="auto"/>
              <w:left w:val="single" w:sz="4" w:space="0" w:color="auto"/>
              <w:bottom w:val="single" w:sz="4" w:space="0" w:color="auto"/>
              <w:right w:val="single" w:sz="4" w:space="0" w:color="auto"/>
            </w:tcBorders>
            <w:noWrap/>
            <w:vAlign w:val="bottom"/>
            <w:hideMark/>
          </w:tcPr>
          <w:p w14:paraId="2929C22D"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773" w:type="dxa"/>
            <w:tcBorders>
              <w:top w:val="single" w:sz="4" w:space="0" w:color="auto"/>
              <w:left w:val="single" w:sz="4" w:space="0" w:color="auto"/>
              <w:bottom w:val="single" w:sz="4" w:space="0" w:color="auto"/>
              <w:right w:val="single" w:sz="4" w:space="0" w:color="auto"/>
            </w:tcBorders>
            <w:noWrap/>
            <w:vAlign w:val="bottom"/>
            <w:hideMark/>
          </w:tcPr>
          <w:p w14:paraId="420B0ED1"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773" w:type="dxa"/>
            <w:tcBorders>
              <w:top w:val="single" w:sz="4" w:space="0" w:color="auto"/>
              <w:left w:val="single" w:sz="4" w:space="0" w:color="auto"/>
              <w:bottom w:val="single" w:sz="4" w:space="0" w:color="auto"/>
              <w:right w:val="single" w:sz="4" w:space="0" w:color="auto"/>
            </w:tcBorders>
            <w:noWrap/>
            <w:vAlign w:val="bottom"/>
            <w:hideMark/>
          </w:tcPr>
          <w:p w14:paraId="3D4432EE"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7C62A77A"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773" w:type="dxa"/>
            <w:tcBorders>
              <w:top w:val="single" w:sz="4" w:space="0" w:color="auto"/>
              <w:left w:val="single" w:sz="4" w:space="0" w:color="auto"/>
              <w:bottom w:val="single" w:sz="4" w:space="0" w:color="auto"/>
              <w:right w:val="single" w:sz="4" w:space="0" w:color="auto"/>
            </w:tcBorders>
            <w:noWrap/>
            <w:vAlign w:val="bottom"/>
            <w:hideMark/>
          </w:tcPr>
          <w:p w14:paraId="6FBFFD69"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773" w:type="dxa"/>
            <w:tcBorders>
              <w:top w:val="single" w:sz="4" w:space="0" w:color="auto"/>
              <w:left w:val="single" w:sz="4" w:space="0" w:color="auto"/>
              <w:bottom w:val="single" w:sz="4" w:space="0" w:color="auto"/>
              <w:right w:val="single" w:sz="4" w:space="0" w:color="auto"/>
            </w:tcBorders>
            <w:noWrap/>
            <w:vAlign w:val="bottom"/>
            <w:hideMark/>
          </w:tcPr>
          <w:p w14:paraId="33699C5B"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766" w:type="dxa"/>
            <w:tcBorders>
              <w:top w:val="single" w:sz="4" w:space="0" w:color="auto"/>
              <w:left w:val="single" w:sz="4" w:space="0" w:color="auto"/>
              <w:bottom w:val="single" w:sz="4" w:space="0" w:color="auto"/>
              <w:right w:val="single" w:sz="4" w:space="0" w:color="auto"/>
            </w:tcBorders>
            <w:noWrap/>
            <w:vAlign w:val="bottom"/>
            <w:hideMark/>
          </w:tcPr>
          <w:p w14:paraId="75A02898" w14:textId="77777777" w:rsidR="00647B71" w:rsidRPr="00BB2991" w:rsidRDefault="00647B71" w:rsidP="00F83B5C">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910" w:type="dxa"/>
            <w:tcBorders>
              <w:top w:val="nil"/>
              <w:left w:val="single" w:sz="4" w:space="0" w:color="auto"/>
              <w:bottom w:val="single" w:sz="4" w:space="0" w:color="auto"/>
              <w:right w:val="nil"/>
            </w:tcBorders>
            <w:noWrap/>
            <w:vAlign w:val="bottom"/>
            <w:hideMark/>
          </w:tcPr>
          <w:p w14:paraId="1C4251BF"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p>
        </w:tc>
        <w:tc>
          <w:tcPr>
            <w:tcW w:w="1095" w:type="dxa"/>
            <w:tcBorders>
              <w:top w:val="nil"/>
              <w:left w:val="nil"/>
              <w:bottom w:val="single" w:sz="4" w:space="0" w:color="auto"/>
              <w:right w:val="nil"/>
            </w:tcBorders>
            <w:noWrap/>
            <w:vAlign w:val="bottom"/>
            <w:hideMark/>
          </w:tcPr>
          <w:p w14:paraId="3746D00C" w14:textId="77777777" w:rsidR="00647B71" w:rsidRPr="00BB2991" w:rsidRDefault="00647B71" w:rsidP="00457CE9">
            <w:pPr>
              <w:spacing w:after="0" w:line="240" w:lineRule="auto"/>
              <w:rPr>
                <w:rFonts w:ascii="Times New Roman" w:hAnsi="Times New Roman" w:cs="Times New Roman"/>
                <w:sz w:val="24"/>
                <w:szCs w:val="24"/>
                <w:lang w:eastAsia="ru-RU"/>
              </w:rPr>
            </w:pPr>
          </w:p>
        </w:tc>
      </w:tr>
      <w:tr w:rsidR="00647B71" w:rsidRPr="00BB2991" w14:paraId="70F9FFE8"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7A53B2C6" w14:textId="77777777" w:rsidR="00647B71" w:rsidRPr="00BB2991" w:rsidRDefault="00647B71" w:rsidP="00F83B5C">
            <w:pPr>
              <w:spacing w:after="0" w:line="240" w:lineRule="auto"/>
              <w:ind w:left="-56" w:right="-86"/>
              <w:jc w:val="center"/>
              <w:rPr>
                <w:rFonts w:ascii="Times New Roman" w:hAnsi="Times New Roman" w:cs="Times New Roman"/>
                <w:sz w:val="24"/>
                <w:szCs w:val="24"/>
                <w:lang w:val="kk-KZ" w:eastAsia="ru-RU"/>
              </w:rPr>
            </w:pPr>
            <w:r w:rsidRPr="00BB2991">
              <w:rPr>
                <w:rFonts w:ascii="Times New Roman" w:hAnsi="Times New Roman" w:cs="Times New Roman"/>
                <w:sz w:val="24"/>
                <w:szCs w:val="24"/>
                <w:lang w:val="kk-KZ" w:eastAsia="ru-RU"/>
              </w:rPr>
              <w:t>А</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7FE4EB6" w14:textId="77777777" w:rsidR="00647B71" w:rsidRPr="00BB2991" w:rsidRDefault="00647B71" w:rsidP="00F83B5C">
            <w:pPr>
              <w:spacing w:after="0" w:line="240" w:lineRule="auto"/>
              <w:ind w:left="-56" w:right="-86"/>
              <w:jc w:val="center"/>
              <w:rPr>
                <w:rFonts w:ascii="Times New Roman" w:hAnsi="Times New Roman" w:cs="Times New Roman"/>
                <w:sz w:val="24"/>
                <w:szCs w:val="24"/>
                <w:lang w:val="kk-KZ" w:eastAsia="ru-RU"/>
              </w:rPr>
            </w:pPr>
            <w:r w:rsidRPr="00BB2991">
              <w:rPr>
                <w:rFonts w:ascii="Times New Roman" w:hAnsi="Times New Roman" w:cs="Times New Roman"/>
                <w:sz w:val="24"/>
                <w:szCs w:val="24"/>
                <w:lang w:val="kk-KZ" w:eastAsia="ru-RU"/>
              </w:rPr>
              <w:t>М</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721E94D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85</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1A405479"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85</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0F5562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EF64EB0"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A3584D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235E9D8"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7958F71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650BC4E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0F8CED71"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СГЕОМ</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2C7DCBA3" w14:textId="77777777" w:rsidR="00647B71" w:rsidRPr="00BB2991" w:rsidRDefault="00647B71" w:rsidP="00F83B5C">
            <w:pPr>
              <w:spacing w:after="0" w:line="240" w:lineRule="auto"/>
              <w:ind w:left="-56" w:right="-86"/>
              <w:jc w:val="center"/>
              <w:rPr>
                <w:rFonts w:ascii="Times New Roman" w:eastAsiaTheme="minorHAnsi"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МВ</w:t>
            </w:r>
          </w:p>
        </w:tc>
      </w:tr>
      <w:tr w:rsidR="00647B71" w:rsidRPr="00BB2991" w14:paraId="687DEB91"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41DB635D"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187FB8D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85</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76E2993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6E1DE5D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0C0869B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0,8947</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9CC52E5"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0,8947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E94E49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1,063</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611381E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1,1333</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46B422D"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1,0625</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61D68838"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1,1333</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7E34BE4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1,0188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5C11A"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0,126866</w:t>
            </w:r>
          </w:p>
        </w:tc>
      </w:tr>
      <w:tr w:rsidR="00647B71" w:rsidRPr="00BB2991" w14:paraId="447FC2E1"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41C313C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3DBC8E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85</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51B67A6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6082249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7BC1D17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0,8947</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58EFAE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0,8947</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693B92C8"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1,063</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2D7AE4F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1,1333</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EAE9731"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1,0625</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6AEB2D3B"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1,1333</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5B3328F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1,0188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7C27"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0,126866</w:t>
            </w:r>
          </w:p>
        </w:tc>
      </w:tr>
      <w:tr w:rsidR="00647B71" w:rsidRPr="00BB2991" w14:paraId="3B9A3100"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7463FBFD"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3AC7195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0323DEF9"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1,1176</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122DAB0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1,1176</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7D08258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C95B7E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6BC70A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1,188</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163BAEA9"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1,2667</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0AA84F0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1,1875</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75EBA96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1,2667</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CCE1480"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1,1387</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5751A"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0,141791</w:t>
            </w:r>
          </w:p>
        </w:tc>
      </w:tr>
      <w:tr w:rsidR="00647B71" w:rsidRPr="00BB2991" w14:paraId="03F19574"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25569C9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06C18980"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49C49BA9"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1,1176</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16948A0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1,1176</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B7FC3AC"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F827FDD"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5C702E1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1,188</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6A4AB9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1,2667</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06571F5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1,1875</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575A068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1,2667</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33B92C2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1,1387</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0B0F5"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0,141791</w:t>
            </w:r>
          </w:p>
        </w:tc>
      </w:tr>
      <w:tr w:rsidR="00647B71" w:rsidRPr="00BB2991" w14:paraId="3FAC5090"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65FF2C9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095DEE6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738FA79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0,9412</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691CC18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0,9412</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0F38BC6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0,8421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0EA0478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0,8421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35E5FCC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31E8713"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1,0667</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530D39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4D334DE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1,0667</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4419521"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0,9589</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2DB85"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0,119403</w:t>
            </w:r>
          </w:p>
        </w:tc>
      </w:tr>
      <w:tr w:rsidR="00647B71" w:rsidRPr="00BB2991" w14:paraId="3F137723"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509B7695"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7211CE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4C5E9D8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0,8824</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64CE85E1"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0,8824</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61F3054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0,7895</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31DFD8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0,7895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70953A74"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0,938</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27F05660"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A2E597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0,9375</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6F2A499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4555A1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0,899</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E7F39"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0,11194</w:t>
            </w:r>
          </w:p>
        </w:tc>
      </w:tr>
      <w:tr w:rsidR="00647B71" w:rsidRPr="00BB2991" w14:paraId="4D191618"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68CE53D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4E73BFBD"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498FA4E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0,9412</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26B70E30"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0,9412</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57A8051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0,8421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63D8A31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0,8421</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8F591BC"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FE48DBF"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1,0667</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0E1EB7EC"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4B82A2E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1,0667</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DB0BE1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0,9589</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9D625"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0,119403</w:t>
            </w:r>
          </w:p>
        </w:tc>
      </w:tr>
      <w:tr w:rsidR="00647B71" w:rsidRPr="00BB2991" w14:paraId="68EFD7B8"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5671699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57EC9BA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2B1C085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0,8824</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6D780389"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0,8824</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02C7F21"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0,7895</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615DF3E"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0,7895</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00222797"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0,938</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9558C1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21EB5B92"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0,9375</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5D24A769"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23749E6"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0,899</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AE5D3" w14:textId="77777777" w:rsidR="00647B71" w:rsidRPr="00F83B5C" w:rsidRDefault="00647B71" w:rsidP="00F83B5C">
            <w:pPr>
              <w:spacing w:after="0" w:line="240" w:lineRule="auto"/>
              <w:ind w:left="-56" w:right="-86"/>
              <w:jc w:val="center"/>
              <w:rPr>
                <w:rFonts w:ascii="Times New Roman" w:eastAsia="Times New Roman" w:hAnsi="Times New Roman" w:cs="Times New Roman"/>
                <w:bCs/>
                <w:i/>
                <w:color w:val="000000"/>
                <w:sz w:val="24"/>
                <w:szCs w:val="24"/>
                <w:lang w:eastAsia="ru-RU"/>
              </w:rPr>
            </w:pPr>
            <w:r w:rsidRPr="00F83B5C">
              <w:rPr>
                <w:rFonts w:ascii="Times New Roman" w:eastAsia="Times New Roman" w:hAnsi="Times New Roman" w:cs="Times New Roman"/>
                <w:bCs/>
                <w:i/>
                <w:color w:val="000000"/>
                <w:sz w:val="24"/>
                <w:szCs w:val="24"/>
                <w:lang w:eastAsia="ru-RU"/>
              </w:rPr>
              <w:t>0,11194</w:t>
            </w:r>
          </w:p>
        </w:tc>
      </w:tr>
      <w:tr w:rsidR="00647B71" w:rsidRPr="00BB2991" w14:paraId="2D310CCB" w14:textId="77777777" w:rsidTr="00F83B5C">
        <w:trPr>
          <w:trHeight w:val="58"/>
          <w:jc w:val="center"/>
        </w:trPr>
        <w:tc>
          <w:tcPr>
            <w:tcW w:w="667" w:type="dxa"/>
            <w:tcBorders>
              <w:top w:val="single" w:sz="4" w:space="0" w:color="auto"/>
              <w:left w:val="single" w:sz="4" w:space="0" w:color="auto"/>
              <w:bottom w:val="single" w:sz="4" w:space="0" w:color="auto"/>
              <w:right w:val="single" w:sz="4" w:space="0" w:color="auto"/>
            </w:tcBorders>
            <w:noWrap/>
            <w:vAlign w:val="center"/>
            <w:hideMark/>
          </w:tcPr>
          <w:p w14:paraId="5433A8A6" w14:textId="5EEFE92B" w:rsidR="00647B71" w:rsidRPr="00F83B5C" w:rsidRDefault="00F83B5C" w:rsidP="00F83B5C">
            <w:pPr>
              <w:spacing w:after="0" w:line="240" w:lineRule="auto"/>
              <w:ind w:left="-56" w:right="-86"/>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5CD9DD57" w14:textId="34D106CA"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00" w:type="dxa"/>
            <w:tcBorders>
              <w:top w:val="single" w:sz="4" w:space="0" w:color="auto"/>
              <w:left w:val="single" w:sz="4" w:space="0" w:color="auto"/>
              <w:bottom w:val="single" w:sz="4" w:space="0" w:color="auto"/>
              <w:right w:val="single" w:sz="4" w:space="0" w:color="auto"/>
            </w:tcBorders>
            <w:noWrap/>
            <w:vAlign w:val="center"/>
            <w:hideMark/>
          </w:tcPr>
          <w:p w14:paraId="2D0D482B" w14:textId="51FE4A00"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7196733C" w14:textId="2369BAF1"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33CFA7EE" w14:textId="2A357A55"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406A14ED" w14:textId="60A2CCFE"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40B19C2B" w14:textId="609F1C5D"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78C0EFD0" w14:textId="531011CC"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773" w:type="dxa"/>
            <w:tcBorders>
              <w:top w:val="single" w:sz="4" w:space="0" w:color="auto"/>
              <w:left w:val="single" w:sz="4" w:space="0" w:color="auto"/>
              <w:bottom w:val="single" w:sz="4" w:space="0" w:color="auto"/>
              <w:right w:val="single" w:sz="4" w:space="0" w:color="auto"/>
            </w:tcBorders>
            <w:noWrap/>
            <w:vAlign w:val="center"/>
            <w:hideMark/>
          </w:tcPr>
          <w:p w14:paraId="1CBD08BC" w14:textId="2A879C2C"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1B04C5AD" w14:textId="2F7F0E64" w:rsidR="00647B71" w:rsidRPr="00F83B5C" w:rsidRDefault="00F83B5C" w:rsidP="00F83B5C">
            <w:pPr>
              <w:spacing w:after="0" w:line="240" w:lineRule="auto"/>
              <w:ind w:left="-56" w:right="-86"/>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21204C3A"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8,0307</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6F190065" w14:textId="77777777" w:rsidR="00647B71" w:rsidRPr="00BB2991" w:rsidRDefault="00647B71" w:rsidP="00F83B5C">
            <w:pPr>
              <w:spacing w:after="0" w:line="240" w:lineRule="auto"/>
              <w:ind w:left="-56"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r>
      <w:tr w:rsidR="00647B71" w:rsidRPr="00BB2991" w14:paraId="06E2FDEF" w14:textId="77777777" w:rsidTr="00F83B5C">
        <w:trPr>
          <w:trHeight w:val="58"/>
          <w:jc w:val="center"/>
        </w:trPr>
        <w:tc>
          <w:tcPr>
            <w:tcW w:w="9570" w:type="dxa"/>
            <w:gridSpan w:val="12"/>
            <w:tcBorders>
              <w:top w:val="single" w:sz="4" w:space="0" w:color="auto"/>
              <w:left w:val="single" w:sz="4" w:space="0" w:color="auto"/>
              <w:bottom w:val="single" w:sz="4" w:space="0" w:color="auto"/>
              <w:right w:val="single" w:sz="4" w:space="0" w:color="auto"/>
            </w:tcBorders>
            <w:noWrap/>
            <w:vAlign w:val="bottom"/>
            <w:hideMark/>
          </w:tcPr>
          <w:p w14:paraId="4DC48304" w14:textId="190B3B55" w:rsidR="00647B71" w:rsidRPr="00BB2991" w:rsidRDefault="00647B71" w:rsidP="00F83B5C">
            <w:pPr>
              <w:spacing w:after="0" w:line="240" w:lineRule="auto"/>
              <w:ind w:firstLine="586"/>
              <w:jc w:val="both"/>
              <w:rPr>
                <w:rFonts w:ascii="Times New Roman" w:eastAsia="Times New Roman" w:hAnsi="Times New Roman" w:cs="Times New Roman"/>
                <w:color w:val="000000"/>
                <w:sz w:val="24"/>
                <w:szCs w:val="24"/>
                <w:lang w:eastAsia="ru-RU"/>
              </w:rPr>
            </w:pPr>
            <w:r w:rsidRPr="00BB2991">
              <w:rPr>
                <w:rFonts w:ascii="Times New Roman" w:eastAsiaTheme="minorEastAsia" w:hAnsi="Times New Roman" w:cs="Times New Roman"/>
                <w:sz w:val="24"/>
                <w:szCs w:val="24"/>
                <w:lang w:val="kk-KZ"/>
              </w:rPr>
              <w:t xml:space="preserve">Ескерту – </w:t>
            </w:r>
            <w:r w:rsidR="00F83B5C" w:rsidRPr="00BB2991">
              <w:rPr>
                <w:rFonts w:ascii="Times New Roman" w:eastAsiaTheme="minorEastAsia" w:hAnsi="Times New Roman" w:cs="Times New Roman"/>
                <w:sz w:val="24"/>
                <w:szCs w:val="24"/>
                <w:lang w:val="kk-KZ"/>
              </w:rPr>
              <w:t xml:space="preserve">Автормен </w:t>
            </w:r>
            <w:r w:rsidRPr="00BB2991">
              <w:rPr>
                <w:rFonts w:ascii="Times New Roman" w:eastAsiaTheme="minorEastAsia" w:hAnsi="Times New Roman" w:cs="Times New Roman"/>
                <w:sz w:val="24"/>
                <w:szCs w:val="24"/>
                <w:lang w:val="kk-KZ"/>
              </w:rPr>
              <w:t>құрастырылған</w:t>
            </w:r>
          </w:p>
        </w:tc>
      </w:tr>
    </w:tbl>
    <w:p w14:paraId="0BD0460B" w14:textId="77777777" w:rsidR="00E25369" w:rsidRPr="00457CE9" w:rsidRDefault="00E25369" w:rsidP="00457CE9">
      <w:pPr>
        <w:spacing w:after="0" w:line="240" w:lineRule="auto"/>
        <w:ind w:firstLine="709"/>
        <w:jc w:val="both"/>
        <w:rPr>
          <w:rFonts w:ascii="Times New Roman" w:eastAsiaTheme="minorEastAsia" w:hAnsi="Times New Roman" w:cs="Times New Roman"/>
          <w:sz w:val="28"/>
          <w:szCs w:val="28"/>
          <w:lang w:val="kk-KZ"/>
        </w:rPr>
      </w:pPr>
    </w:p>
    <w:p w14:paraId="76F34E77" w14:textId="2901A202" w:rsidR="00EF5DE6" w:rsidRDefault="00EF5DE6" w:rsidP="00EF5DE6">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Альтернативалар жұптап салыстыру матрицасы мәндерінің орташа геометриялық мәні анықталады, оның жиын мәні 8,0307-ге тең.</w:t>
      </w:r>
      <w:r w:rsidRPr="00EF5DE6">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Әр альтернативалардың әсерінің жиын мәндегі үлесі, яғни, әр альтернативаның меншікті векторы осы жиынға бөлу арқылы анықталады.</w:t>
      </w:r>
    </w:p>
    <w:p w14:paraId="3848559C" w14:textId="0686BEDF"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 мақсатына жету үшін 9 міндет жоспарланған, яғни, бірінші деңгей факторлары болып табылады. Иерархиялық талдаудың пайдаланылуында осы міндеттер олардың </w:t>
      </w:r>
      <w:r w:rsidR="00165A6D" w:rsidRPr="00457CE9">
        <w:rPr>
          <w:rFonts w:ascii="Times New Roman" w:eastAsiaTheme="minorEastAsia" w:hAnsi="Times New Roman" w:cs="Times New Roman"/>
          <w:sz w:val="28"/>
          <w:szCs w:val="28"/>
          <w:lang w:val="kk-KZ"/>
        </w:rPr>
        <w:t>белгіленген</w:t>
      </w:r>
      <w:r w:rsidRPr="00457CE9">
        <w:rPr>
          <w:rFonts w:ascii="Times New Roman" w:eastAsiaTheme="minorEastAsia" w:hAnsi="Times New Roman" w:cs="Times New Roman"/>
          <w:sz w:val="28"/>
          <w:szCs w:val="28"/>
          <w:lang w:val="kk-KZ"/>
        </w:rPr>
        <w:t xml:space="preserve"> жоспарлы мәндері бойынша өзара әсерлері арқылы бағаланылулары анықталады. Сонымен, 1-деңгейдегі көрсеткіштер келесі бағалануларымен модельде мәндерге ие болды</w:t>
      </w:r>
      <w:r w:rsidR="00081557">
        <w:rPr>
          <w:rFonts w:ascii="Times New Roman" w:eastAsiaTheme="minorEastAsia" w:hAnsi="Times New Roman" w:cs="Times New Roman"/>
          <w:sz w:val="28"/>
          <w:szCs w:val="28"/>
          <w:lang w:val="kk-KZ"/>
        </w:rPr>
        <w:t>, 54-кесте</w:t>
      </w:r>
      <w:r w:rsidRPr="00457CE9">
        <w:rPr>
          <w:rFonts w:ascii="Times New Roman" w:eastAsiaTheme="minorEastAsia" w:hAnsi="Times New Roman" w:cs="Times New Roman"/>
          <w:sz w:val="28"/>
          <w:szCs w:val="28"/>
          <w:lang w:val="kk-KZ"/>
        </w:rPr>
        <w:t xml:space="preserve">. </w:t>
      </w:r>
    </w:p>
    <w:p w14:paraId="0B9AA9A7" w14:textId="77777777" w:rsidR="00EF5DE6" w:rsidRDefault="00EF5DE6" w:rsidP="00EF5DE6">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54-кестеде, ҚР АӨК 2017-2021 жж. дамытудың мемлекеттік бағдарламасында анықталған нысаналы индикаторларға жету үшін міндеттерді іске асыруға бөлінген бюджет қаражатының үлестерін жұптық матрицалық салыстыру арқылы мәндерін анықтап, орташа геометриялық мәнінің жиынындағы меншікті векторының үлесін бағалануы келтірілген.</w:t>
      </w:r>
    </w:p>
    <w:p w14:paraId="02F81EC9" w14:textId="77777777" w:rsidR="00EF5DE6" w:rsidRDefault="00EF5DE6" w:rsidP="00EF5DE6">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54-кесте мәліметтерінен 2017 жылға 9 міндеттерін іске асыруға бөлінген қаражат үлестерін жұптап салыстыру матрицасының мәндері есептеледі. </w:t>
      </w:r>
    </w:p>
    <w:p w14:paraId="6830EE52" w14:textId="77777777" w:rsidR="00EF5DE6" w:rsidRPr="00457CE9" w:rsidRDefault="00EF5DE6" w:rsidP="00457CE9">
      <w:pPr>
        <w:spacing w:after="0" w:line="240" w:lineRule="auto"/>
        <w:jc w:val="both"/>
        <w:rPr>
          <w:rFonts w:ascii="Times New Roman" w:eastAsiaTheme="minorEastAsia" w:hAnsi="Times New Roman" w:cs="Times New Roman"/>
          <w:sz w:val="28"/>
          <w:szCs w:val="28"/>
          <w:lang w:val="kk-KZ"/>
        </w:rPr>
      </w:pPr>
    </w:p>
    <w:p w14:paraId="456F0673" w14:textId="381C647E"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081557">
        <w:rPr>
          <w:rFonts w:ascii="Times New Roman" w:eastAsiaTheme="minorEastAsia" w:hAnsi="Times New Roman" w:cs="Times New Roman"/>
          <w:sz w:val="28"/>
          <w:szCs w:val="28"/>
          <w:lang w:val="kk-KZ"/>
        </w:rPr>
        <w:t>54</w:t>
      </w:r>
      <w:r w:rsidRPr="00457CE9">
        <w:rPr>
          <w:rFonts w:ascii="Times New Roman" w:eastAsiaTheme="minorEastAsia" w:hAnsi="Times New Roman" w:cs="Times New Roman"/>
          <w:sz w:val="28"/>
          <w:szCs w:val="28"/>
          <w:lang w:val="kk-KZ"/>
        </w:rPr>
        <w:t xml:space="preserve"> – ҚР АӨК 2017-2021 жж. дамытудың бірінші деңгейлер факторлары әсерінің бағалануы І нұсқа</w:t>
      </w:r>
    </w:p>
    <w:p w14:paraId="584C1D17" w14:textId="77777777" w:rsidR="00F83B5C" w:rsidRPr="00F83B5C" w:rsidRDefault="00F83B5C" w:rsidP="00457CE9">
      <w:pPr>
        <w:spacing w:after="0" w:line="240" w:lineRule="auto"/>
        <w:jc w:val="both"/>
        <w:rPr>
          <w:rFonts w:ascii="Times New Roman" w:eastAsiaTheme="minorEastAsia" w:hAnsi="Times New Roman" w:cs="Times New Roman"/>
          <w:sz w:val="16"/>
          <w:szCs w:val="16"/>
          <w:lang w:val="kk-KZ"/>
        </w:rPr>
      </w:pPr>
    </w:p>
    <w:tbl>
      <w:tblPr>
        <w:tblW w:w="9582" w:type="dxa"/>
        <w:jc w:val="center"/>
        <w:tblLook w:val="04A0" w:firstRow="1" w:lastRow="0" w:firstColumn="1" w:lastColumn="0" w:noHBand="0" w:noVBand="1"/>
      </w:tblPr>
      <w:tblGrid>
        <w:gridCol w:w="7980"/>
        <w:gridCol w:w="1602"/>
      </w:tblGrid>
      <w:tr w:rsidR="00647B71" w:rsidRPr="00457CE9" w14:paraId="230C16BE" w14:textId="77777777" w:rsidTr="00F83B5C">
        <w:trPr>
          <w:trHeight w:val="58"/>
          <w:jc w:val="center"/>
        </w:trPr>
        <w:tc>
          <w:tcPr>
            <w:tcW w:w="7980" w:type="dxa"/>
            <w:tcBorders>
              <w:top w:val="single" w:sz="4" w:space="0" w:color="auto"/>
              <w:left w:val="single" w:sz="4" w:space="0" w:color="auto"/>
              <w:bottom w:val="single" w:sz="4" w:space="0" w:color="auto"/>
              <w:right w:val="single" w:sz="4" w:space="0" w:color="auto"/>
            </w:tcBorders>
            <w:noWrap/>
            <w:vAlign w:val="bottom"/>
            <w:hideMark/>
          </w:tcPr>
          <w:p w14:paraId="4F574052" w14:textId="77777777" w:rsidR="00647B71" w:rsidRPr="00457CE9" w:rsidRDefault="00647B71" w:rsidP="00F83B5C">
            <w:pPr>
              <w:widowControl w:val="0"/>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ҚР АӨК дамытудың негізгі міндеттері</w:t>
            </w:r>
          </w:p>
        </w:tc>
        <w:tc>
          <w:tcPr>
            <w:tcW w:w="1602" w:type="dxa"/>
            <w:tcBorders>
              <w:top w:val="single" w:sz="4" w:space="0" w:color="auto"/>
              <w:left w:val="nil"/>
              <w:bottom w:val="single" w:sz="4" w:space="0" w:color="auto"/>
              <w:right w:val="single" w:sz="4" w:space="0" w:color="auto"/>
            </w:tcBorders>
            <w:noWrap/>
            <w:vAlign w:val="center"/>
            <w:hideMark/>
          </w:tcPr>
          <w:p w14:paraId="614B5BC2" w14:textId="77777777" w:rsidR="00647B71" w:rsidRPr="00457CE9" w:rsidRDefault="00647B71" w:rsidP="00F83B5C">
            <w:pPr>
              <w:widowControl w:val="0"/>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Бағалау мәні</w:t>
            </w:r>
          </w:p>
        </w:tc>
      </w:tr>
      <w:tr w:rsidR="00647B71" w:rsidRPr="00457CE9" w14:paraId="089E1666" w14:textId="77777777" w:rsidTr="00F83B5C">
        <w:trPr>
          <w:trHeight w:val="58"/>
          <w:jc w:val="center"/>
        </w:trPr>
        <w:tc>
          <w:tcPr>
            <w:tcW w:w="7980" w:type="dxa"/>
            <w:tcBorders>
              <w:top w:val="single" w:sz="4" w:space="0" w:color="auto"/>
              <w:left w:val="single" w:sz="4" w:space="0" w:color="auto"/>
              <w:bottom w:val="single" w:sz="4" w:space="0" w:color="auto"/>
              <w:right w:val="single" w:sz="4" w:space="0" w:color="auto"/>
            </w:tcBorders>
            <w:noWrap/>
            <w:vAlign w:val="bottom"/>
            <w:hideMark/>
          </w:tcPr>
          <w:p w14:paraId="21D134C4" w14:textId="77777777" w:rsidR="00647B71" w:rsidRPr="00457CE9" w:rsidRDefault="00647B71" w:rsidP="00457CE9">
            <w:pPr>
              <w:spacing w:after="0" w:line="240" w:lineRule="auto"/>
              <w:jc w:val="both"/>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val="kk-KZ" w:eastAsia="ru-RU"/>
              </w:rPr>
              <w:t xml:space="preserve">1-міндет. Азық-түлік қауіпсіздігін қамтамасыз етудің 2017-2021 жж.  </w:t>
            </w:r>
            <w:r w:rsidRPr="00457CE9">
              <w:rPr>
                <w:rFonts w:ascii="Times New Roman" w:eastAsia="Times New Roman" w:hAnsi="Times New Roman" w:cs="Times New Roman"/>
                <w:color w:val="000000"/>
                <w:sz w:val="24"/>
                <w:szCs w:val="24"/>
                <w:lang w:eastAsia="ru-RU"/>
              </w:rPr>
              <w:t xml:space="preserve">нәтижелі көрсеткіштері </w:t>
            </w:r>
          </w:p>
        </w:tc>
        <w:tc>
          <w:tcPr>
            <w:tcW w:w="1602" w:type="dxa"/>
            <w:tcBorders>
              <w:top w:val="single" w:sz="4" w:space="0" w:color="auto"/>
              <w:left w:val="nil"/>
              <w:bottom w:val="single" w:sz="4" w:space="0" w:color="auto"/>
              <w:right w:val="single" w:sz="4" w:space="0" w:color="auto"/>
            </w:tcBorders>
            <w:noWrap/>
            <w:vAlign w:val="center"/>
            <w:hideMark/>
          </w:tcPr>
          <w:p w14:paraId="71E21074" w14:textId="77777777" w:rsidR="00647B71" w:rsidRPr="00457CE9" w:rsidRDefault="00647B7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0,159554885</w:t>
            </w:r>
          </w:p>
        </w:tc>
      </w:tr>
      <w:tr w:rsidR="00647B71" w:rsidRPr="00457CE9" w14:paraId="457CEF78" w14:textId="77777777" w:rsidTr="00F83B5C">
        <w:trPr>
          <w:trHeight w:val="58"/>
          <w:jc w:val="center"/>
        </w:trPr>
        <w:tc>
          <w:tcPr>
            <w:tcW w:w="7980" w:type="dxa"/>
            <w:tcBorders>
              <w:top w:val="nil"/>
              <w:left w:val="single" w:sz="4" w:space="0" w:color="auto"/>
              <w:bottom w:val="single" w:sz="4" w:space="0" w:color="auto"/>
              <w:right w:val="single" w:sz="4" w:space="0" w:color="auto"/>
            </w:tcBorders>
            <w:noWrap/>
            <w:hideMark/>
          </w:tcPr>
          <w:p w14:paraId="33CDFC08" w14:textId="77777777" w:rsidR="00647B71" w:rsidRPr="00457CE9" w:rsidRDefault="00647B7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2-міндет. АӨК субъектілері үшін қаржыландырудың қолжетімділігін арттыру және АӨК субъектілеріне салық салудың оңтайлы режимдерін қамтамасыз етудің нәтижелі көрсеткіштері</w:t>
            </w:r>
          </w:p>
        </w:tc>
        <w:tc>
          <w:tcPr>
            <w:tcW w:w="1602" w:type="dxa"/>
            <w:tcBorders>
              <w:top w:val="nil"/>
              <w:left w:val="nil"/>
              <w:bottom w:val="single" w:sz="4" w:space="0" w:color="auto"/>
              <w:right w:val="single" w:sz="4" w:space="0" w:color="auto"/>
            </w:tcBorders>
            <w:noWrap/>
            <w:vAlign w:val="center"/>
            <w:hideMark/>
          </w:tcPr>
          <w:p w14:paraId="004A827F" w14:textId="77777777" w:rsidR="00647B71" w:rsidRPr="00457CE9" w:rsidRDefault="00647B7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0,10418705</w:t>
            </w:r>
          </w:p>
        </w:tc>
      </w:tr>
      <w:tr w:rsidR="00FA5280" w:rsidRPr="00457CE9" w14:paraId="0C7FA074" w14:textId="77777777" w:rsidTr="00FA5280">
        <w:trPr>
          <w:trHeight w:val="58"/>
          <w:jc w:val="center"/>
        </w:trPr>
        <w:tc>
          <w:tcPr>
            <w:tcW w:w="7980" w:type="dxa"/>
            <w:tcBorders>
              <w:top w:val="nil"/>
              <w:left w:val="single" w:sz="4" w:space="0" w:color="auto"/>
              <w:right w:val="single" w:sz="4" w:space="0" w:color="auto"/>
            </w:tcBorders>
            <w:noWrap/>
          </w:tcPr>
          <w:p w14:paraId="4AC6C82D" w14:textId="10BE658F" w:rsidR="00FA5280" w:rsidRPr="00457CE9" w:rsidRDefault="00FA5280"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3-міндет. Жер ресурстарын пайдалану тиімділігін арттырудың нәтижелі</w:t>
            </w:r>
          </w:p>
        </w:tc>
        <w:tc>
          <w:tcPr>
            <w:tcW w:w="1602" w:type="dxa"/>
            <w:tcBorders>
              <w:top w:val="nil"/>
              <w:left w:val="nil"/>
              <w:right w:val="single" w:sz="4" w:space="0" w:color="auto"/>
            </w:tcBorders>
            <w:noWrap/>
            <w:vAlign w:val="center"/>
          </w:tcPr>
          <w:p w14:paraId="46FA5444" w14:textId="77777777" w:rsidR="00FA5280" w:rsidRPr="00457CE9" w:rsidRDefault="00FA5280" w:rsidP="00457CE9">
            <w:pPr>
              <w:spacing w:after="0" w:line="240" w:lineRule="auto"/>
              <w:jc w:val="center"/>
              <w:rPr>
                <w:rFonts w:ascii="Times New Roman" w:eastAsia="Times New Roman" w:hAnsi="Times New Roman" w:cs="Times New Roman"/>
                <w:color w:val="7030A0"/>
                <w:sz w:val="24"/>
                <w:szCs w:val="24"/>
                <w:lang w:eastAsia="ru-RU"/>
              </w:rPr>
            </w:pPr>
          </w:p>
        </w:tc>
      </w:tr>
      <w:tr w:rsidR="00B90011" w:rsidRPr="00457CE9" w14:paraId="4743CE71" w14:textId="77777777" w:rsidTr="00F83B5C">
        <w:trPr>
          <w:trHeight w:val="58"/>
          <w:jc w:val="center"/>
        </w:trPr>
        <w:tc>
          <w:tcPr>
            <w:tcW w:w="7980" w:type="dxa"/>
            <w:tcBorders>
              <w:top w:val="nil"/>
              <w:left w:val="single" w:sz="4" w:space="0" w:color="auto"/>
              <w:bottom w:val="single" w:sz="4" w:space="0" w:color="auto"/>
              <w:right w:val="single" w:sz="4" w:space="0" w:color="auto"/>
            </w:tcBorders>
            <w:noWrap/>
          </w:tcPr>
          <w:p w14:paraId="33EBBB5F" w14:textId="6E56BDDB" w:rsidR="00B90011" w:rsidRPr="00457CE9" w:rsidRDefault="00847107"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көрсеткіштері</w:t>
            </w:r>
          </w:p>
        </w:tc>
        <w:tc>
          <w:tcPr>
            <w:tcW w:w="1602" w:type="dxa"/>
            <w:tcBorders>
              <w:top w:val="nil"/>
              <w:left w:val="nil"/>
              <w:bottom w:val="single" w:sz="4" w:space="0" w:color="auto"/>
              <w:right w:val="single" w:sz="4" w:space="0" w:color="auto"/>
            </w:tcBorders>
            <w:noWrap/>
            <w:vAlign w:val="center"/>
          </w:tcPr>
          <w:p w14:paraId="757FEA13" w14:textId="42FDC07B" w:rsidR="00B90011" w:rsidRPr="00457CE9" w:rsidRDefault="00B9001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0,010867625</w:t>
            </w:r>
          </w:p>
        </w:tc>
      </w:tr>
      <w:tr w:rsidR="00647B71" w:rsidRPr="00457CE9" w14:paraId="3F238EC2" w14:textId="77777777" w:rsidTr="00F83B5C">
        <w:trPr>
          <w:trHeight w:val="58"/>
          <w:jc w:val="center"/>
        </w:trPr>
        <w:tc>
          <w:tcPr>
            <w:tcW w:w="7980" w:type="dxa"/>
            <w:tcBorders>
              <w:top w:val="nil"/>
              <w:left w:val="single" w:sz="4" w:space="0" w:color="auto"/>
              <w:bottom w:val="single" w:sz="4" w:space="0" w:color="auto"/>
              <w:right w:val="single" w:sz="4" w:space="0" w:color="auto"/>
            </w:tcBorders>
            <w:hideMark/>
          </w:tcPr>
          <w:p w14:paraId="71956D9F" w14:textId="77777777" w:rsidR="00647B71" w:rsidRPr="00457CE9" w:rsidRDefault="00647B7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4-міндет. Су ресурстарын пайдалану тиімділігін арттыру</w:t>
            </w:r>
          </w:p>
        </w:tc>
        <w:tc>
          <w:tcPr>
            <w:tcW w:w="1602" w:type="dxa"/>
            <w:tcBorders>
              <w:top w:val="nil"/>
              <w:left w:val="nil"/>
              <w:bottom w:val="single" w:sz="4" w:space="0" w:color="auto"/>
              <w:right w:val="single" w:sz="4" w:space="0" w:color="auto"/>
            </w:tcBorders>
            <w:noWrap/>
            <w:vAlign w:val="center"/>
            <w:hideMark/>
          </w:tcPr>
          <w:p w14:paraId="0C9B5BF5" w14:textId="77777777" w:rsidR="00647B71" w:rsidRPr="00457CE9" w:rsidRDefault="00647B7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0,147045616</w:t>
            </w:r>
          </w:p>
        </w:tc>
      </w:tr>
      <w:tr w:rsidR="00647B71" w:rsidRPr="00457CE9" w14:paraId="55D0AC96" w14:textId="77777777" w:rsidTr="00F83B5C">
        <w:trPr>
          <w:trHeight w:val="410"/>
          <w:jc w:val="center"/>
        </w:trPr>
        <w:tc>
          <w:tcPr>
            <w:tcW w:w="7980" w:type="dxa"/>
            <w:tcBorders>
              <w:top w:val="nil"/>
              <w:left w:val="single" w:sz="4" w:space="0" w:color="auto"/>
              <w:bottom w:val="single" w:sz="4" w:space="0" w:color="auto"/>
              <w:right w:val="single" w:sz="4" w:space="0" w:color="auto"/>
            </w:tcBorders>
            <w:noWrap/>
            <w:vAlign w:val="bottom"/>
            <w:hideMark/>
          </w:tcPr>
          <w:p w14:paraId="522890A0" w14:textId="77777777" w:rsidR="00647B71" w:rsidRPr="00457CE9" w:rsidRDefault="00647B7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 xml:space="preserve">5-міндет. Өткізу нарықтарының қолжетімділігін қамтамасыз ету және экспортты дамытудың нәтижелер көрсеткіштері </w:t>
            </w:r>
          </w:p>
        </w:tc>
        <w:tc>
          <w:tcPr>
            <w:tcW w:w="1602" w:type="dxa"/>
            <w:tcBorders>
              <w:top w:val="nil"/>
              <w:left w:val="nil"/>
              <w:bottom w:val="single" w:sz="4" w:space="0" w:color="auto"/>
              <w:right w:val="single" w:sz="4" w:space="0" w:color="auto"/>
            </w:tcBorders>
            <w:noWrap/>
            <w:vAlign w:val="center"/>
            <w:hideMark/>
          </w:tcPr>
          <w:p w14:paraId="79413665" w14:textId="77777777" w:rsidR="00647B71" w:rsidRPr="00457CE9" w:rsidRDefault="00647B7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0,159554885</w:t>
            </w:r>
          </w:p>
        </w:tc>
      </w:tr>
      <w:tr w:rsidR="00B90011" w:rsidRPr="00457CE9" w14:paraId="0B046001" w14:textId="77777777" w:rsidTr="00F83B5C">
        <w:trPr>
          <w:trHeight w:val="410"/>
          <w:jc w:val="center"/>
        </w:trPr>
        <w:tc>
          <w:tcPr>
            <w:tcW w:w="7980" w:type="dxa"/>
            <w:tcBorders>
              <w:top w:val="nil"/>
              <w:left w:val="single" w:sz="4" w:space="0" w:color="auto"/>
              <w:bottom w:val="single" w:sz="4" w:space="0" w:color="auto"/>
              <w:right w:val="single" w:sz="4" w:space="0" w:color="auto"/>
            </w:tcBorders>
            <w:noWrap/>
            <w:vAlign w:val="bottom"/>
          </w:tcPr>
          <w:p w14:paraId="1942CE80" w14:textId="6B6FC4FC" w:rsidR="00B90011" w:rsidRPr="00457CE9" w:rsidRDefault="00B9001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6-міндет. Аграрлық ғылымды, технологиялар трансфертін және АӨК субъектілері құзыреттерінің деңгейін дамытудың нәтижелер көрсеткіштері</w:t>
            </w:r>
          </w:p>
        </w:tc>
        <w:tc>
          <w:tcPr>
            <w:tcW w:w="1602" w:type="dxa"/>
            <w:tcBorders>
              <w:top w:val="nil"/>
              <w:left w:val="nil"/>
              <w:bottom w:val="single" w:sz="4" w:space="0" w:color="auto"/>
              <w:right w:val="single" w:sz="4" w:space="0" w:color="auto"/>
            </w:tcBorders>
            <w:noWrap/>
            <w:vAlign w:val="center"/>
          </w:tcPr>
          <w:p w14:paraId="32F8BA00" w14:textId="3990A0B1" w:rsidR="00B90011" w:rsidRPr="00457CE9" w:rsidRDefault="00B9001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0,013147599</w:t>
            </w:r>
          </w:p>
        </w:tc>
      </w:tr>
      <w:tr w:rsidR="00B90011" w:rsidRPr="00457CE9" w14:paraId="0037EEA5" w14:textId="77777777" w:rsidTr="00F83B5C">
        <w:trPr>
          <w:trHeight w:val="58"/>
          <w:jc w:val="center"/>
        </w:trPr>
        <w:tc>
          <w:tcPr>
            <w:tcW w:w="7980" w:type="dxa"/>
            <w:tcBorders>
              <w:top w:val="nil"/>
              <w:left w:val="single" w:sz="4" w:space="0" w:color="auto"/>
              <w:bottom w:val="single" w:sz="4" w:space="0" w:color="auto"/>
              <w:right w:val="single" w:sz="4" w:space="0" w:color="auto"/>
            </w:tcBorders>
            <w:noWrap/>
            <w:hideMark/>
          </w:tcPr>
          <w:p w14:paraId="3039EFBC" w14:textId="77777777" w:rsidR="00B90011" w:rsidRPr="00457CE9" w:rsidRDefault="00B9001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7-міндет. АӨК-дегі өндірісті техникалық жарақтау және үдету деңгейін арттырудың нәтижелі көрсеткіштері</w:t>
            </w:r>
          </w:p>
        </w:tc>
        <w:tc>
          <w:tcPr>
            <w:tcW w:w="1602" w:type="dxa"/>
            <w:tcBorders>
              <w:top w:val="nil"/>
              <w:left w:val="nil"/>
              <w:bottom w:val="single" w:sz="4" w:space="0" w:color="auto"/>
              <w:right w:val="single" w:sz="4" w:space="0" w:color="auto"/>
            </w:tcBorders>
            <w:noWrap/>
            <w:vAlign w:val="center"/>
            <w:hideMark/>
          </w:tcPr>
          <w:p w14:paraId="39AEC13C" w14:textId="77777777" w:rsidR="00B90011" w:rsidRPr="00457CE9" w:rsidRDefault="00B9001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0,135214113</w:t>
            </w:r>
          </w:p>
        </w:tc>
      </w:tr>
      <w:tr w:rsidR="00B90011" w:rsidRPr="00457CE9" w14:paraId="4CE45906" w14:textId="77777777" w:rsidTr="00F83B5C">
        <w:trPr>
          <w:trHeight w:val="58"/>
          <w:jc w:val="center"/>
        </w:trPr>
        <w:tc>
          <w:tcPr>
            <w:tcW w:w="7980" w:type="dxa"/>
            <w:tcBorders>
              <w:top w:val="nil"/>
              <w:left w:val="single" w:sz="4" w:space="0" w:color="auto"/>
              <w:bottom w:val="single" w:sz="4" w:space="0" w:color="auto"/>
              <w:right w:val="single" w:sz="4" w:space="0" w:color="auto"/>
            </w:tcBorders>
            <w:noWrap/>
            <w:hideMark/>
          </w:tcPr>
          <w:p w14:paraId="7CCAED3B" w14:textId="77777777" w:rsidR="00B90011" w:rsidRPr="00457CE9" w:rsidRDefault="00B9001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8-міндет. Мемлекеттік көрсетілетін қызметтер сапасын арттыру және АӨК-ге цифрлық технологияларды енгізуді қамтамасыз етудің нәтижелі көрсеткіштері</w:t>
            </w:r>
          </w:p>
        </w:tc>
        <w:tc>
          <w:tcPr>
            <w:tcW w:w="1602" w:type="dxa"/>
            <w:tcBorders>
              <w:top w:val="nil"/>
              <w:left w:val="nil"/>
              <w:bottom w:val="single" w:sz="4" w:space="0" w:color="auto"/>
              <w:right w:val="single" w:sz="4" w:space="0" w:color="auto"/>
            </w:tcBorders>
            <w:noWrap/>
            <w:vAlign w:val="center"/>
            <w:hideMark/>
          </w:tcPr>
          <w:p w14:paraId="0FFBE09B" w14:textId="77777777" w:rsidR="00B90011" w:rsidRPr="00457CE9" w:rsidRDefault="00B9001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0,135214113</w:t>
            </w:r>
          </w:p>
        </w:tc>
      </w:tr>
      <w:tr w:rsidR="00B90011" w:rsidRPr="00457CE9" w14:paraId="2AC9C704" w14:textId="77777777" w:rsidTr="00F83B5C">
        <w:trPr>
          <w:trHeight w:val="449"/>
          <w:jc w:val="center"/>
        </w:trPr>
        <w:tc>
          <w:tcPr>
            <w:tcW w:w="7980" w:type="dxa"/>
            <w:tcBorders>
              <w:top w:val="nil"/>
              <w:left w:val="single" w:sz="4" w:space="0" w:color="auto"/>
              <w:bottom w:val="single" w:sz="4" w:space="0" w:color="auto"/>
              <w:right w:val="single" w:sz="4" w:space="0" w:color="auto"/>
            </w:tcBorders>
            <w:noWrap/>
            <w:hideMark/>
          </w:tcPr>
          <w:p w14:paraId="6F38164A" w14:textId="77777777" w:rsidR="00B90011" w:rsidRPr="00457CE9" w:rsidRDefault="00B90011" w:rsidP="00457CE9">
            <w:pPr>
              <w:spacing w:after="0" w:line="240" w:lineRule="auto"/>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9-міндет. Ауылдық жерлерде тұратын халықтың өмір сүру жағдайына қанағаттануы деңгейін арттырудың нәтижелер көрсеткіштері</w:t>
            </w:r>
          </w:p>
        </w:tc>
        <w:tc>
          <w:tcPr>
            <w:tcW w:w="1602" w:type="dxa"/>
            <w:tcBorders>
              <w:top w:val="nil"/>
              <w:left w:val="nil"/>
              <w:bottom w:val="single" w:sz="4" w:space="0" w:color="auto"/>
              <w:right w:val="single" w:sz="4" w:space="0" w:color="auto"/>
            </w:tcBorders>
            <w:noWrap/>
            <w:vAlign w:val="center"/>
            <w:hideMark/>
          </w:tcPr>
          <w:p w14:paraId="55BC104A" w14:textId="77777777" w:rsidR="00B90011" w:rsidRPr="00457CE9" w:rsidRDefault="00B90011" w:rsidP="00457CE9">
            <w:pPr>
              <w:spacing w:after="0" w:line="240" w:lineRule="auto"/>
              <w:jc w:val="center"/>
              <w:rPr>
                <w:rFonts w:ascii="Times New Roman" w:eastAsia="Times New Roman" w:hAnsi="Times New Roman" w:cs="Times New Roman"/>
                <w:color w:val="7030A0"/>
                <w:sz w:val="24"/>
                <w:szCs w:val="24"/>
                <w:lang w:eastAsia="ru-RU"/>
              </w:rPr>
            </w:pPr>
            <w:r w:rsidRPr="00457CE9">
              <w:rPr>
                <w:rFonts w:ascii="Times New Roman" w:eastAsia="Times New Roman" w:hAnsi="Times New Roman" w:cs="Times New Roman"/>
                <w:color w:val="7030A0"/>
                <w:sz w:val="24"/>
                <w:szCs w:val="24"/>
                <w:lang w:eastAsia="ru-RU"/>
              </w:rPr>
              <w:t>0,135214113</w:t>
            </w:r>
          </w:p>
        </w:tc>
      </w:tr>
      <w:tr w:rsidR="00B90011" w:rsidRPr="00457CE9" w14:paraId="77A731F1" w14:textId="77777777" w:rsidTr="00F83B5C">
        <w:trPr>
          <w:trHeight w:val="126"/>
          <w:jc w:val="center"/>
        </w:trPr>
        <w:tc>
          <w:tcPr>
            <w:tcW w:w="9582" w:type="dxa"/>
            <w:gridSpan w:val="2"/>
            <w:tcBorders>
              <w:top w:val="single" w:sz="4" w:space="0" w:color="auto"/>
              <w:left w:val="single" w:sz="4" w:space="0" w:color="auto"/>
              <w:bottom w:val="single" w:sz="4" w:space="0" w:color="auto"/>
              <w:right w:val="single" w:sz="4" w:space="0" w:color="auto"/>
            </w:tcBorders>
            <w:noWrap/>
            <w:hideMark/>
          </w:tcPr>
          <w:p w14:paraId="19E4C005" w14:textId="61390EAB" w:rsidR="00B90011" w:rsidRPr="00457CE9" w:rsidRDefault="00B90011" w:rsidP="00F83B5C">
            <w:pPr>
              <w:spacing w:after="0" w:line="240" w:lineRule="auto"/>
              <w:ind w:firstLine="550"/>
              <w:jc w:val="both"/>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val="kk-KZ" w:eastAsia="ru-RU"/>
              </w:rPr>
              <w:t xml:space="preserve">Ескерту – </w:t>
            </w:r>
            <w:r w:rsidR="00F83B5C" w:rsidRPr="00457CE9">
              <w:rPr>
                <w:rFonts w:ascii="Times New Roman" w:eastAsia="Times New Roman" w:hAnsi="Times New Roman" w:cs="Times New Roman"/>
                <w:color w:val="000000"/>
                <w:sz w:val="24"/>
                <w:szCs w:val="24"/>
                <w:lang w:val="kk-KZ" w:eastAsia="ru-RU"/>
              </w:rPr>
              <w:t>Е</w:t>
            </w:r>
            <w:r w:rsidRPr="00457CE9">
              <w:rPr>
                <w:rFonts w:ascii="Times New Roman" w:eastAsia="Times New Roman" w:hAnsi="Times New Roman" w:cs="Times New Roman"/>
                <w:color w:val="000000"/>
                <w:sz w:val="24"/>
                <w:szCs w:val="24"/>
                <w:lang w:val="kk-KZ" w:eastAsia="ru-RU"/>
              </w:rPr>
              <w:t>септеу негізінде автормен құрастырылған</w:t>
            </w:r>
          </w:p>
        </w:tc>
      </w:tr>
    </w:tbl>
    <w:p w14:paraId="6433D83E" w14:textId="77777777" w:rsidR="00647B71" w:rsidRPr="00457CE9" w:rsidRDefault="00647B71" w:rsidP="00457CE9">
      <w:pPr>
        <w:spacing w:after="0" w:line="240" w:lineRule="auto"/>
        <w:jc w:val="both"/>
        <w:rPr>
          <w:rFonts w:ascii="Times New Roman" w:eastAsiaTheme="minorEastAsia" w:hAnsi="Times New Roman" w:cs="Times New Roman"/>
          <w:sz w:val="28"/>
          <w:lang w:val="kk-KZ"/>
        </w:rPr>
      </w:pPr>
      <w:r w:rsidRPr="00457CE9">
        <w:rPr>
          <w:rFonts w:ascii="Times New Roman" w:eastAsiaTheme="minorEastAsia" w:hAnsi="Times New Roman" w:cs="Times New Roman"/>
          <w:lang w:val="kk-KZ"/>
        </w:rPr>
        <w:tab/>
      </w:r>
    </w:p>
    <w:p w14:paraId="33FBBFBB" w14:textId="7B146670" w:rsidR="00647B71" w:rsidRPr="00457CE9" w:rsidRDefault="00647B71" w:rsidP="00457CE9">
      <w:pPr>
        <w:spacing w:after="0" w:line="240" w:lineRule="auto"/>
        <w:ind w:firstLine="709"/>
        <w:jc w:val="both"/>
        <w:rPr>
          <w:rFonts w:ascii="Times New Roman" w:eastAsia="Times New Roman" w:hAnsi="Times New Roman" w:cs="Times New Roman"/>
          <w:color w:val="000000"/>
          <w:sz w:val="28"/>
          <w:szCs w:val="28"/>
          <w:lang w:val="kk-KZ" w:eastAsia="ru-RU"/>
        </w:rPr>
      </w:pPr>
      <w:r w:rsidRPr="00457CE9">
        <w:rPr>
          <w:rFonts w:ascii="Times New Roman" w:eastAsiaTheme="minorEastAsia" w:hAnsi="Times New Roman" w:cs="Times New Roman"/>
          <w:sz w:val="28"/>
          <w:szCs w:val="28"/>
          <w:lang w:val="kk-KZ"/>
        </w:rPr>
        <w:t xml:space="preserve">ҚР АӨК дамытудың негізгі индикаторларының жоспарлы мәндеріне қол жеткізуге анықталған бірінші міндеті «ҚР-да </w:t>
      </w:r>
      <w:r w:rsidRPr="00457CE9">
        <w:rPr>
          <w:rFonts w:ascii="Times New Roman" w:eastAsia="Times New Roman" w:hAnsi="Times New Roman" w:cs="Times New Roman"/>
          <w:color w:val="000000"/>
          <w:sz w:val="28"/>
          <w:szCs w:val="28"/>
          <w:lang w:val="kk-KZ" w:eastAsia="ru-RU"/>
        </w:rPr>
        <w:t xml:space="preserve">2017-2021 жж. азық-түлік қауіпсіздігін қамтамасыз етуді» деп анықталған, яғни, осы міндетті орындау үшін иерархиялық талдауда екінші деңгей факторлары ретінде алынып 8 көрсеткіш жоспарланған, олардың бағаланулары </w:t>
      </w:r>
      <w:r w:rsidR="00EB7D69">
        <w:rPr>
          <w:rFonts w:ascii="Times New Roman" w:eastAsia="Times New Roman" w:hAnsi="Times New Roman" w:cs="Times New Roman"/>
          <w:color w:val="000000"/>
          <w:sz w:val="28"/>
          <w:szCs w:val="28"/>
          <w:lang w:val="kk-KZ" w:eastAsia="ru-RU"/>
        </w:rPr>
        <w:t>55</w:t>
      </w:r>
      <w:r w:rsidRPr="00457CE9">
        <w:rPr>
          <w:rFonts w:ascii="Times New Roman" w:eastAsia="Times New Roman" w:hAnsi="Times New Roman" w:cs="Times New Roman"/>
          <w:color w:val="000000"/>
          <w:sz w:val="28"/>
          <w:szCs w:val="28"/>
          <w:lang w:val="kk-KZ" w:eastAsia="ru-RU"/>
        </w:rPr>
        <w:t xml:space="preserve">-кестеде келтірілген. </w:t>
      </w:r>
    </w:p>
    <w:p w14:paraId="5BF7306A"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w:p>
    <w:p w14:paraId="3509374A" w14:textId="7C7E1B15"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55</w:t>
      </w:r>
      <w:r w:rsidRPr="00457CE9">
        <w:rPr>
          <w:rFonts w:ascii="Times New Roman" w:eastAsiaTheme="minorEastAsia" w:hAnsi="Times New Roman" w:cs="Times New Roman"/>
          <w:sz w:val="28"/>
          <w:szCs w:val="28"/>
          <w:lang w:val="kk-KZ"/>
        </w:rPr>
        <w:t xml:space="preserve"> – ҚР АӨК 2017-2021 жж. дамытудың екінші деңгейлер факторлары әсерінің бағалануы </w:t>
      </w:r>
    </w:p>
    <w:p w14:paraId="42FA3A4B" w14:textId="77777777" w:rsidR="00814B65" w:rsidRPr="00814B65" w:rsidRDefault="00814B65" w:rsidP="00457CE9">
      <w:pPr>
        <w:spacing w:after="0" w:line="240" w:lineRule="auto"/>
        <w:jc w:val="both"/>
        <w:rPr>
          <w:rFonts w:ascii="Times New Roman" w:eastAsiaTheme="minorEastAsia" w:hAnsi="Times New Roman" w:cs="Times New Roman"/>
          <w:sz w:val="16"/>
          <w:szCs w:val="16"/>
          <w:lang w:val="kk-KZ"/>
        </w:rPr>
      </w:pPr>
    </w:p>
    <w:tbl>
      <w:tblPr>
        <w:tblW w:w="9568" w:type="dxa"/>
        <w:jc w:val="center"/>
        <w:tblLook w:val="04A0" w:firstRow="1" w:lastRow="0" w:firstColumn="1" w:lastColumn="0" w:noHBand="0" w:noVBand="1"/>
      </w:tblPr>
      <w:tblGrid>
        <w:gridCol w:w="7158"/>
        <w:gridCol w:w="2410"/>
      </w:tblGrid>
      <w:tr w:rsidR="00647B71" w:rsidRPr="00BB2991" w14:paraId="24E15EF2" w14:textId="77777777" w:rsidTr="00814B65">
        <w:trPr>
          <w:trHeight w:val="259"/>
          <w:jc w:val="center"/>
        </w:trPr>
        <w:tc>
          <w:tcPr>
            <w:tcW w:w="7158" w:type="dxa"/>
            <w:tcBorders>
              <w:top w:val="single" w:sz="4" w:space="0" w:color="auto"/>
              <w:left w:val="single" w:sz="4" w:space="0" w:color="auto"/>
              <w:bottom w:val="single" w:sz="4" w:space="0" w:color="auto"/>
              <w:right w:val="single" w:sz="4" w:space="0" w:color="auto"/>
            </w:tcBorders>
            <w:noWrap/>
            <w:hideMark/>
          </w:tcPr>
          <w:p w14:paraId="3D9AD11F" w14:textId="77777777" w:rsidR="00647B71" w:rsidRPr="00BB2991" w:rsidRDefault="00647B71" w:rsidP="00457CE9">
            <w:pPr>
              <w:widowControl w:val="0"/>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ҚР АӨК дамытудың негізгі міндеттері</w:t>
            </w:r>
          </w:p>
        </w:tc>
        <w:tc>
          <w:tcPr>
            <w:tcW w:w="2410" w:type="dxa"/>
            <w:tcBorders>
              <w:top w:val="single" w:sz="4" w:space="0" w:color="auto"/>
              <w:left w:val="nil"/>
              <w:bottom w:val="single" w:sz="4" w:space="0" w:color="auto"/>
              <w:right w:val="single" w:sz="4" w:space="0" w:color="auto"/>
            </w:tcBorders>
            <w:noWrap/>
            <w:hideMark/>
          </w:tcPr>
          <w:p w14:paraId="775577C9" w14:textId="77777777" w:rsidR="00647B71" w:rsidRPr="00BB2991" w:rsidRDefault="00647B71" w:rsidP="00457CE9">
            <w:pPr>
              <w:widowControl w:val="0"/>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Бағалау мәні (М-2.1)</w:t>
            </w:r>
          </w:p>
        </w:tc>
      </w:tr>
      <w:tr w:rsidR="00647B71" w:rsidRPr="00BB2991" w14:paraId="5260176B" w14:textId="77777777" w:rsidTr="00814B65">
        <w:trPr>
          <w:trHeight w:val="58"/>
          <w:jc w:val="center"/>
        </w:trPr>
        <w:tc>
          <w:tcPr>
            <w:tcW w:w="7158" w:type="dxa"/>
            <w:tcBorders>
              <w:top w:val="single" w:sz="4" w:space="0" w:color="auto"/>
              <w:left w:val="single" w:sz="4" w:space="0" w:color="auto"/>
              <w:bottom w:val="single" w:sz="4" w:space="0" w:color="auto"/>
              <w:right w:val="single" w:sz="4" w:space="0" w:color="auto"/>
            </w:tcBorders>
            <w:noWrap/>
            <w:hideMark/>
          </w:tcPr>
          <w:p w14:paraId="75042661" w14:textId="77777777" w:rsidR="00647B71" w:rsidRPr="00BB2991" w:rsidRDefault="00647B71" w:rsidP="00457CE9">
            <w:pPr>
              <w:spacing w:after="0" w:line="240" w:lineRule="auto"/>
              <w:jc w:val="both"/>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1-көрсеткіш. Өңдеуге келіп түскен сүт шикізатының үлесі, %</w:t>
            </w:r>
          </w:p>
        </w:tc>
        <w:tc>
          <w:tcPr>
            <w:tcW w:w="2410" w:type="dxa"/>
            <w:tcBorders>
              <w:top w:val="single" w:sz="4" w:space="0" w:color="auto"/>
              <w:left w:val="nil"/>
              <w:bottom w:val="single" w:sz="4" w:space="0" w:color="auto"/>
              <w:right w:val="single" w:sz="4" w:space="0" w:color="auto"/>
            </w:tcBorders>
            <w:noWrap/>
            <w:vAlign w:val="center"/>
            <w:hideMark/>
          </w:tcPr>
          <w:p w14:paraId="3B41477B"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0,15522361</w:t>
            </w:r>
          </w:p>
        </w:tc>
      </w:tr>
      <w:tr w:rsidR="00647B71" w:rsidRPr="00BB2991" w14:paraId="0C4097C4" w14:textId="77777777" w:rsidTr="00814B65">
        <w:trPr>
          <w:trHeight w:val="58"/>
          <w:jc w:val="center"/>
        </w:trPr>
        <w:tc>
          <w:tcPr>
            <w:tcW w:w="7158" w:type="dxa"/>
            <w:tcBorders>
              <w:top w:val="nil"/>
              <w:left w:val="single" w:sz="4" w:space="0" w:color="auto"/>
              <w:bottom w:val="single" w:sz="4" w:space="0" w:color="auto"/>
              <w:right w:val="single" w:sz="4" w:space="0" w:color="auto"/>
            </w:tcBorders>
            <w:noWrap/>
            <w:hideMark/>
          </w:tcPr>
          <w:p w14:paraId="4B6F46A0"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2-көрсеткіш. Құс  етін  өндіру көлемі, мың тонна</w:t>
            </w:r>
          </w:p>
        </w:tc>
        <w:tc>
          <w:tcPr>
            <w:tcW w:w="2410" w:type="dxa"/>
            <w:tcBorders>
              <w:top w:val="nil"/>
              <w:left w:val="nil"/>
              <w:bottom w:val="single" w:sz="4" w:space="0" w:color="auto"/>
              <w:right w:val="single" w:sz="4" w:space="0" w:color="auto"/>
            </w:tcBorders>
            <w:noWrap/>
            <w:vAlign w:val="center"/>
            <w:hideMark/>
          </w:tcPr>
          <w:p w14:paraId="06F55167"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0,12428082</w:t>
            </w:r>
          </w:p>
        </w:tc>
      </w:tr>
      <w:tr w:rsidR="00647B71" w:rsidRPr="00BB2991" w14:paraId="33E6D85D" w14:textId="77777777" w:rsidTr="00814B65">
        <w:trPr>
          <w:trHeight w:val="58"/>
          <w:jc w:val="center"/>
        </w:trPr>
        <w:tc>
          <w:tcPr>
            <w:tcW w:w="7158" w:type="dxa"/>
            <w:tcBorders>
              <w:top w:val="nil"/>
              <w:left w:val="single" w:sz="4" w:space="0" w:color="auto"/>
              <w:bottom w:val="single" w:sz="4" w:space="0" w:color="auto"/>
              <w:right w:val="single" w:sz="4" w:space="0" w:color="auto"/>
            </w:tcBorders>
            <w:hideMark/>
          </w:tcPr>
          <w:p w14:paraId="250AE849"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3-көрсеткіш. Ұйымдастырылған шаруашылықтардағы акваөсіру өнімдерін өндіру көлемі, тонна</w:t>
            </w:r>
          </w:p>
        </w:tc>
        <w:tc>
          <w:tcPr>
            <w:tcW w:w="2410" w:type="dxa"/>
            <w:tcBorders>
              <w:top w:val="nil"/>
              <w:left w:val="nil"/>
              <w:bottom w:val="single" w:sz="4" w:space="0" w:color="auto"/>
              <w:right w:val="single" w:sz="4" w:space="0" w:color="auto"/>
            </w:tcBorders>
            <w:noWrap/>
            <w:vAlign w:val="center"/>
            <w:hideMark/>
          </w:tcPr>
          <w:p w14:paraId="2E7E0732"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0,13357833</w:t>
            </w:r>
          </w:p>
        </w:tc>
      </w:tr>
      <w:tr w:rsidR="00647B71" w:rsidRPr="00BB2991" w14:paraId="0C86F5D5" w14:textId="77777777" w:rsidTr="00814B65">
        <w:trPr>
          <w:trHeight w:val="277"/>
          <w:jc w:val="center"/>
        </w:trPr>
        <w:tc>
          <w:tcPr>
            <w:tcW w:w="7158" w:type="dxa"/>
            <w:tcBorders>
              <w:top w:val="nil"/>
              <w:left w:val="single" w:sz="4" w:space="0" w:color="auto"/>
              <w:bottom w:val="single" w:sz="4" w:space="0" w:color="auto"/>
              <w:right w:val="single" w:sz="4" w:space="0" w:color="auto"/>
            </w:tcBorders>
            <w:hideMark/>
          </w:tcPr>
          <w:p w14:paraId="3A074166"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 xml:space="preserve">4-көрсеткіш. Ұйымдастырылған шаруашылықтардағы жеміс-жидек дақылдарын және жүзім өндіру көлемі, мың тонна </w:t>
            </w:r>
          </w:p>
        </w:tc>
        <w:tc>
          <w:tcPr>
            <w:tcW w:w="2410" w:type="dxa"/>
            <w:tcBorders>
              <w:top w:val="nil"/>
              <w:left w:val="nil"/>
              <w:bottom w:val="single" w:sz="4" w:space="0" w:color="auto"/>
              <w:right w:val="single" w:sz="4" w:space="0" w:color="auto"/>
            </w:tcBorders>
            <w:noWrap/>
            <w:vAlign w:val="center"/>
            <w:hideMark/>
          </w:tcPr>
          <w:p w14:paraId="4364C92F"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0,1619421</w:t>
            </w:r>
          </w:p>
        </w:tc>
      </w:tr>
      <w:tr w:rsidR="00647B71" w:rsidRPr="00BB2991" w14:paraId="4BD26D69" w14:textId="77777777" w:rsidTr="00814B65">
        <w:trPr>
          <w:trHeight w:val="410"/>
          <w:jc w:val="center"/>
        </w:trPr>
        <w:tc>
          <w:tcPr>
            <w:tcW w:w="7158" w:type="dxa"/>
            <w:tcBorders>
              <w:top w:val="nil"/>
              <w:left w:val="single" w:sz="4" w:space="0" w:color="auto"/>
              <w:bottom w:val="single" w:sz="4" w:space="0" w:color="auto"/>
              <w:right w:val="single" w:sz="4" w:space="0" w:color="auto"/>
            </w:tcBorders>
            <w:noWrap/>
            <w:hideMark/>
          </w:tcPr>
          <w:p w14:paraId="3091931E"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 xml:space="preserve">5-көрсеткіш. Қазақстанда өндірілген шикізаттан жасалған қант өндірісінің көлемі, мың тонна </w:t>
            </w:r>
          </w:p>
        </w:tc>
        <w:tc>
          <w:tcPr>
            <w:tcW w:w="2410" w:type="dxa"/>
            <w:tcBorders>
              <w:top w:val="nil"/>
              <w:left w:val="nil"/>
              <w:bottom w:val="single" w:sz="4" w:space="0" w:color="auto"/>
              <w:right w:val="single" w:sz="4" w:space="0" w:color="auto"/>
            </w:tcBorders>
            <w:noWrap/>
            <w:vAlign w:val="center"/>
            <w:hideMark/>
          </w:tcPr>
          <w:p w14:paraId="5BC5BC37"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0,10729081</w:t>
            </w:r>
          </w:p>
        </w:tc>
      </w:tr>
      <w:tr w:rsidR="00647B71" w:rsidRPr="00BB2991" w14:paraId="738358A7" w14:textId="77777777" w:rsidTr="00814B65">
        <w:trPr>
          <w:trHeight w:val="559"/>
          <w:jc w:val="center"/>
        </w:trPr>
        <w:tc>
          <w:tcPr>
            <w:tcW w:w="7158" w:type="dxa"/>
            <w:tcBorders>
              <w:top w:val="nil"/>
              <w:left w:val="single" w:sz="4" w:space="0" w:color="auto"/>
              <w:bottom w:val="single" w:sz="4" w:space="0" w:color="auto"/>
              <w:right w:val="single" w:sz="4" w:space="0" w:color="auto"/>
            </w:tcBorders>
            <w:noWrap/>
            <w:hideMark/>
          </w:tcPr>
          <w:p w14:paraId="62BC3068"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 xml:space="preserve">6-көрсеткіш. Ауылдық жерлерде тұратын халықтың ауызсу сапасына қанағаттану деңгейі,  % </w:t>
            </w:r>
          </w:p>
        </w:tc>
        <w:tc>
          <w:tcPr>
            <w:tcW w:w="2410" w:type="dxa"/>
            <w:tcBorders>
              <w:top w:val="nil"/>
              <w:left w:val="nil"/>
              <w:bottom w:val="single" w:sz="4" w:space="0" w:color="auto"/>
              <w:right w:val="single" w:sz="4" w:space="0" w:color="auto"/>
            </w:tcBorders>
            <w:noWrap/>
            <w:vAlign w:val="center"/>
            <w:hideMark/>
          </w:tcPr>
          <w:p w14:paraId="6899E8C2"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0,16194472</w:t>
            </w:r>
          </w:p>
        </w:tc>
      </w:tr>
      <w:tr w:rsidR="00647B71" w:rsidRPr="00BB2991" w14:paraId="42F65B65" w14:textId="77777777" w:rsidTr="00814B65">
        <w:trPr>
          <w:trHeight w:val="146"/>
          <w:jc w:val="center"/>
        </w:trPr>
        <w:tc>
          <w:tcPr>
            <w:tcW w:w="7158" w:type="dxa"/>
            <w:tcBorders>
              <w:top w:val="nil"/>
              <w:left w:val="single" w:sz="4" w:space="0" w:color="auto"/>
              <w:bottom w:val="single" w:sz="4" w:space="0" w:color="auto"/>
              <w:right w:val="single" w:sz="4" w:space="0" w:color="auto"/>
            </w:tcBorders>
            <w:noWrap/>
            <w:hideMark/>
          </w:tcPr>
          <w:p w14:paraId="10ECFA61"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7-көрсеткіш. Жеміс/көкөніс/картоп сақтау орындарының көбеюі, мың</w:t>
            </w:r>
            <w:r w:rsidRPr="00BB2991">
              <w:rPr>
                <w:rFonts w:ascii="Times New Roman" w:hAnsi="Times New Roman" w:cs="Times New Roman"/>
                <w:color w:val="000000"/>
                <w:sz w:val="24"/>
                <w:szCs w:val="24"/>
                <w:lang w:val="kk-KZ"/>
              </w:rPr>
              <w:t xml:space="preserve"> тонна</w:t>
            </w:r>
          </w:p>
        </w:tc>
        <w:tc>
          <w:tcPr>
            <w:tcW w:w="2410" w:type="dxa"/>
            <w:tcBorders>
              <w:top w:val="nil"/>
              <w:left w:val="nil"/>
              <w:bottom w:val="single" w:sz="4" w:space="0" w:color="auto"/>
              <w:right w:val="single" w:sz="4" w:space="0" w:color="auto"/>
            </w:tcBorders>
            <w:noWrap/>
            <w:vAlign w:val="center"/>
            <w:hideMark/>
          </w:tcPr>
          <w:p w14:paraId="6E4E0A84"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0,00395954</w:t>
            </w:r>
          </w:p>
        </w:tc>
      </w:tr>
      <w:tr w:rsidR="00647B71" w:rsidRPr="00BB2991" w14:paraId="59B7AA38" w14:textId="77777777" w:rsidTr="00814B65">
        <w:trPr>
          <w:trHeight w:val="58"/>
          <w:jc w:val="center"/>
        </w:trPr>
        <w:tc>
          <w:tcPr>
            <w:tcW w:w="7158" w:type="dxa"/>
            <w:tcBorders>
              <w:top w:val="nil"/>
              <w:left w:val="single" w:sz="4" w:space="0" w:color="auto"/>
              <w:bottom w:val="single" w:sz="4" w:space="0" w:color="auto"/>
              <w:right w:val="single" w:sz="4" w:space="0" w:color="auto"/>
            </w:tcBorders>
            <w:noWrap/>
            <w:hideMark/>
          </w:tcPr>
          <w:p w14:paraId="001D0BD6"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8-көрсеткіш. Азық-түлік тауарлары көтерме саудасының нақты көлем индексі,</w:t>
            </w:r>
            <w:r w:rsidRPr="00BB2991">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rPr>
              <w:t>%</w:t>
            </w:r>
          </w:p>
        </w:tc>
        <w:tc>
          <w:tcPr>
            <w:tcW w:w="2410" w:type="dxa"/>
            <w:tcBorders>
              <w:top w:val="nil"/>
              <w:left w:val="nil"/>
              <w:bottom w:val="single" w:sz="4" w:space="0" w:color="auto"/>
              <w:right w:val="single" w:sz="4" w:space="0" w:color="auto"/>
            </w:tcBorders>
            <w:noWrap/>
            <w:vAlign w:val="center"/>
            <w:hideMark/>
          </w:tcPr>
          <w:p w14:paraId="755BB18F"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hAnsi="Times New Roman" w:cs="Times New Roman"/>
                <w:sz w:val="24"/>
                <w:szCs w:val="24"/>
              </w:rPr>
              <w:t>0,15178006</w:t>
            </w:r>
          </w:p>
        </w:tc>
      </w:tr>
      <w:tr w:rsidR="00647B71" w:rsidRPr="00BB2991" w14:paraId="795C953E" w14:textId="77777777" w:rsidTr="00814B65">
        <w:trPr>
          <w:trHeight w:val="126"/>
          <w:jc w:val="center"/>
        </w:trPr>
        <w:tc>
          <w:tcPr>
            <w:tcW w:w="9568" w:type="dxa"/>
            <w:gridSpan w:val="2"/>
            <w:tcBorders>
              <w:top w:val="single" w:sz="4" w:space="0" w:color="auto"/>
              <w:left w:val="single" w:sz="4" w:space="0" w:color="auto"/>
              <w:bottom w:val="single" w:sz="4" w:space="0" w:color="auto"/>
              <w:right w:val="single" w:sz="4" w:space="0" w:color="auto"/>
            </w:tcBorders>
            <w:noWrap/>
            <w:hideMark/>
          </w:tcPr>
          <w:p w14:paraId="760A0487" w14:textId="089C9BDF" w:rsidR="00647B71" w:rsidRPr="00BB2991" w:rsidRDefault="00647B71" w:rsidP="00814B65">
            <w:pPr>
              <w:spacing w:after="0" w:line="240" w:lineRule="auto"/>
              <w:ind w:firstLine="599"/>
              <w:jc w:val="both"/>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val="kk-KZ" w:eastAsia="ru-RU"/>
              </w:rPr>
              <w:t xml:space="preserve">Ескерту – </w:t>
            </w:r>
            <w:r w:rsidR="00814B65" w:rsidRPr="00BB2991">
              <w:rPr>
                <w:rFonts w:ascii="Times New Roman" w:eastAsia="Times New Roman" w:hAnsi="Times New Roman" w:cs="Times New Roman"/>
                <w:color w:val="000000"/>
                <w:sz w:val="24"/>
                <w:szCs w:val="24"/>
                <w:lang w:val="kk-KZ" w:eastAsia="ru-RU"/>
              </w:rPr>
              <w:t>Е</w:t>
            </w:r>
            <w:r w:rsidRPr="00BB2991">
              <w:rPr>
                <w:rFonts w:ascii="Times New Roman" w:eastAsia="Times New Roman" w:hAnsi="Times New Roman" w:cs="Times New Roman"/>
                <w:color w:val="000000"/>
                <w:sz w:val="24"/>
                <w:szCs w:val="24"/>
                <w:lang w:val="kk-KZ" w:eastAsia="ru-RU"/>
              </w:rPr>
              <w:t>септеу негізінде автормен құрастырылған</w:t>
            </w:r>
          </w:p>
        </w:tc>
      </w:tr>
    </w:tbl>
    <w:p w14:paraId="0E8B205B" w14:textId="77777777" w:rsidR="00647B71" w:rsidRPr="00457CE9" w:rsidRDefault="00647B71" w:rsidP="00457CE9">
      <w:pPr>
        <w:spacing w:after="0" w:line="240" w:lineRule="auto"/>
        <w:ind w:firstLine="709"/>
        <w:jc w:val="both"/>
        <w:rPr>
          <w:rFonts w:ascii="Times New Roman" w:eastAsia="Times New Roman" w:hAnsi="Times New Roman" w:cs="Times New Roman"/>
          <w:color w:val="000000"/>
          <w:sz w:val="28"/>
          <w:szCs w:val="28"/>
          <w:lang w:val="kk-KZ" w:eastAsia="ru-RU"/>
        </w:rPr>
      </w:pPr>
      <w:r w:rsidRPr="00457CE9">
        <w:rPr>
          <w:rFonts w:ascii="Times New Roman" w:eastAsia="Times New Roman" w:hAnsi="Times New Roman" w:cs="Times New Roman"/>
          <w:color w:val="000000"/>
          <w:sz w:val="28"/>
          <w:szCs w:val="28"/>
          <w:lang w:val="kk-KZ" w:eastAsia="ru-RU"/>
        </w:rPr>
        <w:t xml:space="preserve">2017 жылға әр көрсеткіштің жоспарлы мәндерінің үлестері бойынша жұптық матрицалық салыстыру бойынша мәндерінің геометриялық орташасы анықталып, жиынындағы меншікті вектордың үлестері анықталған. Тура солай 9 міндеттер бойынша жалпы 47 көрсеткіштердің үлестік мәндерін жұптық матрицалық салыстыру арқылы меншікті векторлары анықталған. </w:t>
      </w:r>
    </w:p>
    <w:p w14:paraId="0A65096B" w14:textId="324E1F96" w:rsidR="00647B71" w:rsidRPr="00457CE9" w:rsidRDefault="00647B71" w:rsidP="00457CE9">
      <w:pPr>
        <w:spacing w:after="0" w:line="240" w:lineRule="auto"/>
        <w:ind w:firstLine="709"/>
        <w:jc w:val="both"/>
        <w:rPr>
          <w:rFonts w:ascii="Times New Roman" w:eastAsia="Times New Roman" w:hAnsi="Times New Roman" w:cs="Times New Roman"/>
          <w:color w:val="000000"/>
          <w:sz w:val="28"/>
          <w:szCs w:val="28"/>
          <w:lang w:val="kk-KZ" w:eastAsia="ru-RU"/>
        </w:rPr>
      </w:pPr>
      <w:r w:rsidRPr="00457CE9">
        <w:rPr>
          <w:rFonts w:ascii="Times New Roman" w:eastAsia="Times New Roman" w:hAnsi="Times New Roman" w:cs="Times New Roman"/>
          <w:color w:val="000000"/>
          <w:sz w:val="28"/>
          <w:szCs w:val="28"/>
          <w:lang w:val="kk-KZ" w:eastAsia="ru-RU"/>
        </w:rPr>
        <w:t xml:space="preserve">ҚР </w:t>
      </w:r>
      <w:r w:rsidR="00575788">
        <w:rPr>
          <w:rFonts w:ascii="Times New Roman" w:eastAsia="Times New Roman" w:hAnsi="Times New Roman" w:cs="Times New Roman"/>
          <w:color w:val="000000"/>
          <w:sz w:val="28"/>
          <w:szCs w:val="28"/>
          <w:lang w:val="kk-KZ" w:eastAsia="ru-RU"/>
        </w:rPr>
        <w:t>АӨК-н</w:t>
      </w:r>
      <w:r w:rsidRPr="00457CE9">
        <w:rPr>
          <w:rFonts w:ascii="Times New Roman" w:eastAsia="Times New Roman" w:hAnsi="Times New Roman" w:cs="Times New Roman"/>
          <w:color w:val="000000"/>
          <w:sz w:val="28"/>
          <w:szCs w:val="28"/>
          <w:lang w:val="kk-KZ" w:eastAsia="ru-RU"/>
        </w:rPr>
        <w:t xml:space="preserve"> 2017-2021 жж. дамыту үшін нәтижелі көрсеткіштерге жеткізудің іс-шаралары жоспарланған, жалпы саны 159. Іс-шаралар үшінші деңгей факторлары болып анықталды. 1-міндет бойынша келесідей жеті іс-шаралар жоспарланған, әр іс-шараға бөлінген бюджет қаражатының үлестерінің мәндерін жұптық салыстыру матрицасы арқылы алынған мәндерінің </w:t>
      </w:r>
      <w:r w:rsidRPr="00457CE9">
        <w:rPr>
          <w:rFonts w:ascii="Times New Roman" w:eastAsiaTheme="minorEastAsia" w:hAnsi="Times New Roman" w:cs="Times New Roman"/>
          <w:sz w:val="28"/>
          <w:szCs w:val="28"/>
          <w:lang w:val="kk-KZ"/>
        </w:rPr>
        <w:t>1-міндетке қатысты өзара бағалауларға ие болды, нәтижелері</w:t>
      </w:r>
      <w:r w:rsidRPr="00457CE9">
        <w:rPr>
          <w:rFonts w:ascii="Times New Roman" w:eastAsia="Times New Roman" w:hAnsi="Times New Roman" w:cs="Times New Roman"/>
          <w:color w:val="000000"/>
          <w:sz w:val="28"/>
          <w:szCs w:val="28"/>
          <w:lang w:val="kk-KZ" w:eastAsia="ru-RU"/>
        </w:rPr>
        <w:t xml:space="preserve"> </w:t>
      </w:r>
      <w:r w:rsidR="00814B65">
        <w:rPr>
          <w:rFonts w:ascii="Times New Roman" w:eastAsia="Times New Roman" w:hAnsi="Times New Roman" w:cs="Times New Roman"/>
          <w:color w:val="000000"/>
          <w:sz w:val="28"/>
          <w:szCs w:val="28"/>
          <w:lang w:val="kk-KZ" w:eastAsia="ru-RU"/>
        </w:rPr>
        <w:t>5</w:t>
      </w:r>
      <w:r w:rsidR="00EB7D69">
        <w:rPr>
          <w:rFonts w:ascii="Times New Roman" w:eastAsia="Times New Roman" w:hAnsi="Times New Roman" w:cs="Times New Roman"/>
          <w:color w:val="000000"/>
          <w:sz w:val="28"/>
          <w:szCs w:val="28"/>
          <w:lang w:val="kk-KZ" w:eastAsia="ru-RU"/>
        </w:rPr>
        <w:t>6</w:t>
      </w:r>
      <w:r w:rsidRPr="00457CE9">
        <w:rPr>
          <w:rFonts w:ascii="Times New Roman" w:eastAsia="Times New Roman" w:hAnsi="Times New Roman" w:cs="Times New Roman"/>
          <w:color w:val="000000"/>
          <w:sz w:val="28"/>
          <w:szCs w:val="28"/>
          <w:lang w:val="kk-KZ" w:eastAsia="ru-RU"/>
        </w:rPr>
        <w:t>-кестеде келтірілген.</w:t>
      </w:r>
    </w:p>
    <w:p w14:paraId="33A47FE3" w14:textId="77777777" w:rsidR="00647B71" w:rsidRPr="00457CE9" w:rsidRDefault="00647B71" w:rsidP="00457CE9">
      <w:pPr>
        <w:spacing w:after="0" w:line="240" w:lineRule="auto"/>
        <w:jc w:val="both"/>
        <w:rPr>
          <w:rFonts w:ascii="Times New Roman" w:eastAsiaTheme="minorEastAsia" w:hAnsi="Times New Roman" w:cs="Times New Roman"/>
          <w:sz w:val="16"/>
          <w:szCs w:val="16"/>
          <w:lang w:val="kk-KZ"/>
        </w:rPr>
      </w:pPr>
    </w:p>
    <w:p w14:paraId="48CB075F" w14:textId="03979E6F" w:rsidR="00647B71" w:rsidRPr="00F15E5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5</w:t>
      </w:r>
      <w:r w:rsidR="00EB7D69">
        <w:rPr>
          <w:rFonts w:ascii="Times New Roman" w:eastAsiaTheme="minorEastAsia" w:hAnsi="Times New Roman" w:cs="Times New Roman"/>
          <w:sz w:val="28"/>
          <w:szCs w:val="28"/>
          <w:lang w:val="kk-KZ"/>
        </w:rPr>
        <w:t>6</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дамытудың 1-міндеті </w:t>
      </w:r>
      <w:r w:rsidRPr="00F15E51">
        <w:rPr>
          <w:rFonts w:ascii="Times New Roman" w:eastAsiaTheme="minorEastAsia" w:hAnsi="Times New Roman" w:cs="Times New Roman"/>
          <w:sz w:val="28"/>
          <w:szCs w:val="28"/>
          <w:lang w:val="kk-KZ"/>
        </w:rPr>
        <w:t>бойынша үшінші деңгей факторлары әсерінің бағалануы</w:t>
      </w:r>
    </w:p>
    <w:p w14:paraId="5BEC6D8E" w14:textId="77777777" w:rsidR="00814B65" w:rsidRPr="00F15E51" w:rsidRDefault="00814B65" w:rsidP="00457CE9">
      <w:pPr>
        <w:spacing w:after="0" w:line="240" w:lineRule="auto"/>
        <w:jc w:val="both"/>
        <w:rPr>
          <w:rFonts w:ascii="Times New Roman" w:eastAsiaTheme="minorEastAsia" w:hAnsi="Times New Roman" w:cs="Times New Roman"/>
          <w:sz w:val="16"/>
          <w:szCs w:val="16"/>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0"/>
        <w:gridCol w:w="1519"/>
      </w:tblGrid>
      <w:tr w:rsidR="00F15E51" w:rsidRPr="00F15E51" w14:paraId="2198928D" w14:textId="77777777" w:rsidTr="008C015D">
        <w:trPr>
          <w:trHeight w:val="177"/>
        </w:trPr>
        <w:tc>
          <w:tcPr>
            <w:tcW w:w="8120" w:type="dxa"/>
            <w:tcBorders>
              <w:top w:val="single" w:sz="4" w:space="0" w:color="auto"/>
              <w:left w:val="single" w:sz="4" w:space="0" w:color="auto"/>
              <w:bottom w:val="single" w:sz="4" w:space="0" w:color="auto"/>
              <w:right w:val="single" w:sz="4" w:space="0" w:color="auto"/>
            </w:tcBorders>
            <w:noWrap/>
            <w:vAlign w:val="center"/>
            <w:hideMark/>
          </w:tcPr>
          <w:p w14:paraId="2FE6B489" w14:textId="77777777" w:rsidR="00647B71" w:rsidRPr="00F15E51" w:rsidRDefault="00647B71" w:rsidP="00814B65">
            <w:pPr>
              <w:spacing w:after="0" w:line="240" w:lineRule="auto"/>
              <w:jc w:val="center"/>
              <w:rPr>
                <w:rFonts w:ascii="Times New Roman" w:eastAsia="Times New Roman" w:hAnsi="Times New Roman" w:cs="Times New Roman"/>
                <w:sz w:val="24"/>
                <w:szCs w:val="24"/>
                <w:lang w:val="kk-KZ" w:eastAsia="ru-RU"/>
              </w:rPr>
            </w:pPr>
            <w:r w:rsidRPr="00F15E51">
              <w:rPr>
                <w:rFonts w:ascii="Times New Roman" w:eastAsia="Times New Roman" w:hAnsi="Times New Roman" w:cs="Times New Roman"/>
                <w:sz w:val="24"/>
                <w:szCs w:val="24"/>
                <w:lang w:val="kk-KZ" w:eastAsia="ru-RU"/>
              </w:rPr>
              <w:t>Үшінші деңгей факторлары 1-міндетке қатысты іс-шаралар</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40A8AA43" w14:textId="77777777" w:rsidR="00647B71" w:rsidRPr="00F15E51" w:rsidRDefault="00647B71" w:rsidP="00814B65">
            <w:pPr>
              <w:spacing w:after="0" w:line="240" w:lineRule="auto"/>
              <w:jc w:val="center"/>
              <w:rPr>
                <w:rFonts w:ascii="Times New Roman" w:eastAsia="Times New Roman" w:hAnsi="Times New Roman" w:cs="Times New Roman"/>
                <w:sz w:val="24"/>
                <w:szCs w:val="24"/>
                <w:lang w:val="kk-KZ" w:eastAsia="ru-RU"/>
              </w:rPr>
            </w:pPr>
            <w:r w:rsidRPr="00F15E51">
              <w:rPr>
                <w:rFonts w:ascii="Times New Roman" w:eastAsia="Times New Roman" w:hAnsi="Times New Roman" w:cs="Times New Roman"/>
                <w:sz w:val="24"/>
                <w:szCs w:val="24"/>
                <w:lang w:val="kk-KZ" w:eastAsia="ru-RU"/>
              </w:rPr>
              <w:t>Бағалау мәні (М-3.1)</w:t>
            </w:r>
          </w:p>
        </w:tc>
      </w:tr>
      <w:tr w:rsidR="00F15E51" w:rsidRPr="00F15E51" w14:paraId="7FCC5572" w14:textId="77777777" w:rsidTr="008C015D">
        <w:trPr>
          <w:trHeight w:val="1102"/>
        </w:trPr>
        <w:tc>
          <w:tcPr>
            <w:tcW w:w="8120" w:type="dxa"/>
            <w:tcBorders>
              <w:top w:val="single" w:sz="4" w:space="0" w:color="auto"/>
              <w:left w:val="single" w:sz="4" w:space="0" w:color="auto"/>
              <w:bottom w:val="single" w:sz="4" w:space="0" w:color="auto"/>
              <w:right w:val="single" w:sz="4" w:space="0" w:color="auto"/>
            </w:tcBorders>
            <w:noWrap/>
            <w:hideMark/>
          </w:tcPr>
          <w:p w14:paraId="753AE643" w14:textId="77777777" w:rsidR="00647B71" w:rsidRPr="00F15E51" w:rsidRDefault="00647B71" w:rsidP="00457CE9">
            <w:pPr>
              <w:spacing w:after="0" w:line="240" w:lineRule="auto"/>
              <w:rPr>
                <w:rFonts w:ascii="Times New Roman" w:eastAsia="Times New Roman" w:hAnsi="Times New Roman" w:cs="Times New Roman"/>
                <w:sz w:val="24"/>
                <w:szCs w:val="24"/>
                <w:lang w:val="kk-KZ" w:eastAsia="ru-RU"/>
              </w:rPr>
            </w:pPr>
            <w:r w:rsidRPr="00F15E51">
              <w:rPr>
                <w:rFonts w:ascii="Times New Roman" w:eastAsia="Times New Roman" w:hAnsi="Times New Roman" w:cs="Times New Roman"/>
                <w:sz w:val="24"/>
                <w:szCs w:val="24"/>
                <w:lang w:val="kk-KZ" w:eastAsia="ru-RU"/>
              </w:rPr>
              <w:t>1-іс-шара. Ауыл шаруашылығы саласы туралы хронометражы кемінде 30 минут, 30 шығарылым болатын телевизиялық циклдік ток-шоу/ бағдарлама әзірлеп және шығарып, кейіннен республикалық телеарналардың біріне орналастыру, млн.теңге</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6FA09DA2"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0,142862583</w:t>
            </w:r>
          </w:p>
        </w:tc>
      </w:tr>
      <w:tr w:rsidR="00F15E51" w:rsidRPr="00F15E51" w14:paraId="72FF943B" w14:textId="77777777" w:rsidTr="008C015D">
        <w:trPr>
          <w:trHeight w:val="58"/>
        </w:trPr>
        <w:tc>
          <w:tcPr>
            <w:tcW w:w="8120" w:type="dxa"/>
            <w:tcBorders>
              <w:top w:val="single" w:sz="4" w:space="0" w:color="auto"/>
              <w:left w:val="single" w:sz="4" w:space="0" w:color="auto"/>
              <w:bottom w:val="single" w:sz="4" w:space="0" w:color="auto"/>
              <w:right w:val="single" w:sz="4" w:space="0" w:color="auto"/>
            </w:tcBorders>
            <w:noWrap/>
            <w:vAlign w:val="bottom"/>
            <w:hideMark/>
          </w:tcPr>
          <w:p w14:paraId="5CF6F185" w14:textId="77777777" w:rsidR="00647B71" w:rsidRPr="00F15E51" w:rsidRDefault="00647B71" w:rsidP="00457CE9">
            <w:pPr>
              <w:spacing w:after="0" w:line="240" w:lineRule="auto"/>
              <w:jc w:val="both"/>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2-іс-шара. Рейтингі жоғары интернет порталдарда екі аптада бір рет жариялай отырып, жеке айдар форматында ауыл шаруашылығы тақырыбына арнайы жобаларды әзірлеу және енгізу (3 арнайы жоба, 15 жарияланымнан), млн. теңге</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089C65F1"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0,142862583</w:t>
            </w:r>
          </w:p>
        </w:tc>
      </w:tr>
      <w:tr w:rsidR="00F15E51" w:rsidRPr="00F15E51" w14:paraId="53F83EE1" w14:textId="77777777" w:rsidTr="008C015D">
        <w:trPr>
          <w:trHeight w:val="58"/>
        </w:trPr>
        <w:tc>
          <w:tcPr>
            <w:tcW w:w="8120" w:type="dxa"/>
            <w:tcBorders>
              <w:top w:val="single" w:sz="4" w:space="0" w:color="auto"/>
              <w:left w:val="single" w:sz="4" w:space="0" w:color="auto"/>
              <w:bottom w:val="single" w:sz="4" w:space="0" w:color="auto"/>
              <w:right w:val="single" w:sz="4" w:space="0" w:color="auto"/>
            </w:tcBorders>
            <w:vAlign w:val="bottom"/>
            <w:hideMark/>
          </w:tcPr>
          <w:p w14:paraId="51E698CA" w14:textId="256FC430" w:rsidR="00647B71" w:rsidRPr="00F15E51" w:rsidRDefault="00647B71" w:rsidP="00457CE9">
            <w:pPr>
              <w:spacing w:after="0" w:line="240" w:lineRule="auto"/>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 xml:space="preserve">3-іс-шара. </w:t>
            </w:r>
            <w:r w:rsidR="00575788">
              <w:rPr>
                <w:rFonts w:ascii="Times New Roman" w:eastAsia="Times New Roman" w:hAnsi="Times New Roman" w:cs="Times New Roman"/>
                <w:sz w:val="24"/>
                <w:szCs w:val="24"/>
                <w:lang w:eastAsia="ru-RU"/>
              </w:rPr>
              <w:t>АӨК-н</w:t>
            </w:r>
            <w:r w:rsidRPr="00F15E51">
              <w:rPr>
                <w:rFonts w:ascii="Times New Roman" w:eastAsia="Times New Roman" w:hAnsi="Times New Roman" w:cs="Times New Roman"/>
                <w:sz w:val="24"/>
                <w:szCs w:val="24"/>
                <w:lang w:eastAsia="ru-RU"/>
              </w:rPr>
              <w:t xml:space="preserve"> дамыту бағдарламасы шеңберінде Facebook, Instagram, Youtube әлеуметтік желілерінде бірыңғай имидждік жобаның парақшаларын ашу және ілгерілету. Бірегей фото, бейне, мәтіндік контент жасау және парақшаларға жарнама жасау арқылы ілгерілету, млн. теңге</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168052E1"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0,142862583</w:t>
            </w:r>
          </w:p>
        </w:tc>
      </w:tr>
      <w:tr w:rsidR="00F15E51" w:rsidRPr="00F15E51" w14:paraId="7D62A7FA" w14:textId="77777777" w:rsidTr="008C015D">
        <w:trPr>
          <w:trHeight w:val="473"/>
        </w:trPr>
        <w:tc>
          <w:tcPr>
            <w:tcW w:w="8120" w:type="dxa"/>
            <w:tcBorders>
              <w:top w:val="single" w:sz="4" w:space="0" w:color="auto"/>
              <w:left w:val="single" w:sz="4" w:space="0" w:color="auto"/>
              <w:bottom w:val="single" w:sz="4" w:space="0" w:color="auto"/>
              <w:right w:val="single" w:sz="4" w:space="0" w:color="auto"/>
            </w:tcBorders>
            <w:vAlign w:val="bottom"/>
            <w:hideMark/>
          </w:tcPr>
          <w:p w14:paraId="75911FF7" w14:textId="0F371B50" w:rsidR="00647B71" w:rsidRPr="00F15E51" w:rsidRDefault="00647B71" w:rsidP="00457CE9">
            <w:pPr>
              <w:spacing w:after="0" w:line="240" w:lineRule="auto"/>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 xml:space="preserve">4-іс-шара. </w:t>
            </w:r>
            <w:r w:rsidR="00575788">
              <w:rPr>
                <w:rFonts w:ascii="Times New Roman" w:eastAsia="Times New Roman" w:hAnsi="Times New Roman" w:cs="Times New Roman"/>
                <w:sz w:val="24"/>
                <w:szCs w:val="24"/>
                <w:lang w:eastAsia="ru-RU"/>
              </w:rPr>
              <w:t>АӨК-н</w:t>
            </w:r>
            <w:r w:rsidRPr="00F15E51">
              <w:rPr>
                <w:rFonts w:ascii="Times New Roman" w:eastAsia="Times New Roman" w:hAnsi="Times New Roman" w:cs="Times New Roman"/>
                <w:sz w:val="24"/>
                <w:szCs w:val="24"/>
                <w:lang w:eastAsia="ru-RU"/>
              </w:rPr>
              <w:t xml:space="preserve"> дамыту бағдарламасы шеңберінде бастамаларды интер</w:t>
            </w:r>
            <w:r w:rsidR="00814B65" w:rsidRPr="00F15E51">
              <w:rPr>
                <w:rFonts w:ascii="Times New Roman" w:eastAsia="Times New Roman" w:hAnsi="Times New Roman" w:cs="Times New Roman"/>
                <w:sz w:val="24"/>
                <w:szCs w:val="24"/>
                <w:lang w:val="kk-KZ" w:eastAsia="ru-RU"/>
              </w:rPr>
              <w:t xml:space="preserve"> </w:t>
            </w:r>
            <w:r w:rsidRPr="00F15E51">
              <w:rPr>
                <w:rFonts w:ascii="Times New Roman" w:eastAsia="Times New Roman" w:hAnsi="Times New Roman" w:cs="Times New Roman"/>
                <w:sz w:val="24"/>
                <w:szCs w:val="24"/>
                <w:lang w:eastAsia="ru-RU"/>
              </w:rPr>
              <w:t>нет желісінде жарнама жасау ақылы ілгерілету (контекстік жарнама, әлеу</w:t>
            </w:r>
            <w:r w:rsidR="00814B65" w:rsidRPr="00F15E51">
              <w:rPr>
                <w:rFonts w:ascii="Times New Roman" w:eastAsia="Times New Roman" w:hAnsi="Times New Roman" w:cs="Times New Roman"/>
                <w:sz w:val="24"/>
                <w:szCs w:val="24"/>
                <w:lang w:val="kk-KZ" w:eastAsia="ru-RU"/>
              </w:rPr>
              <w:t xml:space="preserve"> </w:t>
            </w:r>
            <w:r w:rsidRPr="00F15E51">
              <w:rPr>
                <w:rFonts w:ascii="Times New Roman" w:eastAsia="Times New Roman" w:hAnsi="Times New Roman" w:cs="Times New Roman"/>
                <w:sz w:val="24"/>
                <w:szCs w:val="24"/>
                <w:lang w:eastAsia="ru-RU"/>
              </w:rPr>
              <w:t>меттік желілердегі жарнама, playable ads, баннерлік жарнама), млн. теңге</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5B844BF4"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0,142862583</w:t>
            </w:r>
          </w:p>
        </w:tc>
      </w:tr>
      <w:tr w:rsidR="00F15E51" w:rsidRPr="00F15E51" w14:paraId="0FF31EB1" w14:textId="77777777" w:rsidTr="008C015D">
        <w:trPr>
          <w:trHeight w:val="772"/>
        </w:trPr>
        <w:tc>
          <w:tcPr>
            <w:tcW w:w="8120" w:type="dxa"/>
            <w:tcBorders>
              <w:top w:val="single" w:sz="4" w:space="0" w:color="auto"/>
              <w:left w:val="single" w:sz="4" w:space="0" w:color="auto"/>
              <w:bottom w:val="single" w:sz="4" w:space="0" w:color="auto"/>
              <w:right w:val="single" w:sz="4" w:space="0" w:color="auto"/>
            </w:tcBorders>
            <w:noWrap/>
            <w:hideMark/>
          </w:tcPr>
          <w:p w14:paraId="4CD327F1" w14:textId="77777777" w:rsidR="00647B71" w:rsidRPr="00F15E51" w:rsidRDefault="00647B71" w:rsidP="00457CE9">
            <w:pPr>
              <w:spacing w:after="0" w:line="240" w:lineRule="auto"/>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5-іс-шара. Республикалық және өңірлік телеарналарда бейнеконтентті (жарнамалық роликтер, бейне дайджесттер, инфографика, жаңалықтар сюжеттері) орналастыруды қамтамасыз ету (40 бейне материал, 1-1,5 минут, прайм таймда 20 рет), млн. теңге</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5BB027C9"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0,142862583</w:t>
            </w:r>
          </w:p>
        </w:tc>
      </w:tr>
      <w:tr w:rsidR="00F15E51" w:rsidRPr="00F15E51" w14:paraId="14B330E9" w14:textId="77777777" w:rsidTr="008C015D">
        <w:trPr>
          <w:trHeight w:val="58"/>
        </w:trPr>
        <w:tc>
          <w:tcPr>
            <w:tcW w:w="8120" w:type="dxa"/>
            <w:tcBorders>
              <w:top w:val="single" w:sz="4" w:space="0" w:color="auto"/>
              <w:left w:val="single" w:sz="4" w:space="0" w:color="auto"/>
              <w:bottom w:val="single" w:sz="4" w:space="0" w:color="auto"/>
              <w:right w:val="single" w:sz="4" w:space="0" w:color="auto"/>
            </w:tcBorders>
            <w:noWrap/>
            <w:hideMark/>
          </w:tcPr>
          <w:p w14:paraId="7CED2984" w14:textId="65720B86" w:rsidR="00647B71" w:rsidRPr="00F15E51" w:rsidRDefault="00647B71" w:rsidP="00457CE9">
            <w:pPr>
              <w:spacing w:after="0" w:line="240" w:lineRule="auto"/>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 xml:space="preserve">6-іс-шара. </w:t>
            </w:r>
            <w:r w:rsidR="00575788">
              <w:rPr>
                <w:rFonts w:ascii="Times New Roman" w:eastAsia="Times New Roman" w:hAnsi="Times New Roman" w:cs="Times New Roman"/>
                <w:sz w:val="24"/>
                <w:szCs w:val="24"/>
                <w:lang w:eastAsia="ru-RU"/>
              </w:rPr>
              <w:t>АӨК-н</w:t>
            </w:r>
            <w:r w:rsidRPr="00F15E51">
              <w:rPr>
                <w:rFonts w:ascii="Times New Roman" w:eastAsia="Times New Roman" w:hAnsi="Times New Roman" w:cs="Times New Roman"/>
                <w:sz w:val="24"/>
                <w:szCs w:val="24"/>
                <w:lang w:eastAsia="ru-RU"/>
              </w:rPr>
              <w:t xml:space="preserve"> дамытудың 2017-2021 жылдарға арналған мемлекеттік бағдарламасы шеңберінде іс-шараларды ақпараттандыру және PR ілгерілету, млн. теңге</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315E9627"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0,142862583</w:t>
            </w:r>
          </w:p>
        </w:tc>
      </w:tr>
      <w:tr w:rsidR="00F15E51" w:rsidRPr="00F15E51" w14:paraId="0C687E13" w14:textId="77777777" w:rsidTr="008C015D">
        <w:trPr>
          <w:trHeight w:val="376"/>
        </w:trPr>
        <w:tc>
          <w:tcPr>
            <w:tcW w:w="8120" w:type="dxa"/>
            <w:tcBorders>
              <w:top w:val="single" w:sz="4" w:space="0" w:color="auto"/>
              <w:left w:val="single" w:sz="4" w:space="0" w:color="auto"/>
              <w:bottom w:val="single" w:sz="4" w:space="0" w:color="auto"/>
              <w:right w:val="single" w:sz="4" w:space="0" w:color="auto"/>
            </w:tcBorders>
            <w:hideMark/>
          </w:tcPr>
          <w:p w14:paraId="39680CD9" w14:textId="77777777" w:rsidR="00647B71" w:rsidRPr="00F15E51" w:rsidRDefault="00647B71" w:rsidP="00457CE9">
            <w:pPr>
              <w:spacing w:after="0" w:line="240" w:lineRule="auto"/>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7-іс-шара. АШМ мен облыстар әкімдіктері арасында ауыл шаруашылығы дақылдары егіс алқаптарының құрылымын әртараптандыру мәселесі бойынша келісім (меморандум) жасасу</w:t>
            </w:r>
          </w:p>
        </w:tc>
        <w:tc>
          <w:tcPr>
            <w:tcW w:w="1519" w:type="dxa"/>
            <w:tcBorders>
              <w:top w:val="single" w:sz="4" w:space="0" w:color="auto"/>
              <w:left w:val="single" w:sz="4" w:space="0" w:color="auto"/>
              <w:bottom w:val="single" w:sz="4" w:space="0" w:color="auto"/>
              <w:right w:val="single" w:sz="4" w:space="0" w:color="auto"/>
            </w:tcBorders>
            <w:noWrap/>
            <w:vAlign w:val="center"/>
            <w:hideMark/>
          </w:tcPr>
          <w:p w14:paraId="67C1AF21" w14:textId="77777777" w:rsidR="00647B71" w:rsidRPr="00F15E51" w:rsidRDefault="00647B71" w:rsidP="00457CE9">
            <w:pPr>
              <w:spacing w:after="0" w:line="240" w:lineRule="auto"/>
              <w:jc w:val="center"/>
              <w:rPr>
                <w:rFonts w:ascii="Times New Roman" w:eastAsia="Times New Roman" w:hAnsi="Times New Roman" w:cs="Times New Roman"/>
                <w:sz w:val="24"/>
                <w:szCs w:val="24"/>
                <w:lang w:eastAsia="ru-RU"/>
              </w:rPr>
            </w:pPr>
            <w:r w:rsidRPr="00F15E51">
              <w:rPr>
                <w:rFonts w:ascii="Times New Roman" w:eastAsia="Times New Roman" w:hAnsi="Times New Roman" w:cs="Times New Roman"/>
                <w:sz w:val="24"/>
                <w:szCs w:val="24"/>
                <w:lang w:eastAsia="ru-RU"/>
              </w:rPr>
              <w:t>0,1428245</w:t>
            </w:r>
          </w:p>
        </w:tc>
      </w:tr>
      <w:tr w:rsidR="00647B71" w:rsidRPr="00BB2991" w14:paraId="26A801BC" w14:textId="77777777" w:rsidTr="008C015D">
        <w:trPr>
          <w:trHeight w:val="58"/>
        </w:trPr>
        <w:tc>
          <w:tcPr>
            <w:tcW w:w="9639" w:type="dxa"/>
            <w:gridSpan w:val="2"/>
            <w:tcBorders>
              <w:top w:val="single" w:sz="4" w:space="0" w:color="auto"/>
              <w:left w:val="single" w:sz="4" w:space="0" w:color="auto"/>
              <w:bottom w:val="single" w:sz="4" w:space="0" w:color="auto"/>
              <w:right w:val="single" w:sz="4" w:space="0" w:color="auto"/>
            </w:tcBorders>
            <w:hideMark/>
          </w:tcPr>
          <w:p w14:paraId="1FB966C3" w14:textId="0BFA11CA" w:rsidR="00647B71" w:rsidRPr="00BB2991" w:rsidRDefault="00647B71" w:rsidP="00814B65">
            <w:pPr>
              <w:spacing w:after="0" w:line="240" w:lineRule="auto"/>
              <w:ind w:firstLine="578"/>
              <w:jc w:val="both"/>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val="kk-KZ" w:eastAsia="ru-RU"/>
              </w:rPr>
              <w:t xml:space="preserve">Ескерту – </w:t>
            </w:r>
            <w:r w:rsidR="00814B65" w:rsidRPr="00BB2991">
              <w:rPr>
                <w:rFonts w:ascii="Times New Roman" w:eastAsia="Times New Roman" w:hAnsi="Times New Roman" w:cs="Times New Roman"/>
                <w:color w:val="000000"/>
                <w:sz w:val="24"/>
                <w:szCs w:val="24"/>
                <w:lang w:val="kk-KZ" w:eastAsia="ru-RU"/>
              </w:rPr>
              <w:t>Е</w:t>
            </w:r>
            <w:r w:rsidRPr="00BB2991">
              <w:rPr>
                <w:rFonts w:ascii="Times New Roman" w:eastAsia="Times New Roman" w:hAnsi="Times New Roman" w:cs="Times New Roman"/>
                <w:color w:val="000000"/>
                <w:sz w:val="24"/>
                <w:szCs w:val="24"/>
                <w:lang w:val="kk-KZ" w:eastAsia="ru-RU"/>
              </w:rPr>
              <w:t>септеу негізінде автормен құрастырылған</w:t>
            </w:r>
          </w:p>
        </w:tc>
      </w:tr>
    </w:tbl>
    <w:p w14:paraId="27ABA5E7" w14:textId="77777777" w:rsidR="00847107" w:rsidRPr="00010EEC" w:rsidRDefault="00847107" w:rsidP="00457CE9">
      <w:pPr>
        <w:widowControl w:val="0"/>
        <w:spacing w:after="0" w:line="240" w:lineRule="auto"/>
        <w:ind w:firstLine="709"/>
        <w:jc w:val="both"/>
        <w:rPr>
          <w:rFonts w:ascii="Times New Roman" w:hAnsi="Times New Roman" w:cs="Times New Roman"/>
          <w:color w:val="000000"/>
          <w:lang w:val="kk-KZ"/>
        </w:rPr>
      </w:pPr>
    </w:p>
    <w:p w14:paraId="02F0F2ED" w14:textId="71B289B2" w:rsidR="00FA5280" w:rsidRDefault="00FA5280" w:rsidP="00FA5280">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2017-2021 жж. дамытудың мемлекеттік бағдарламасында нәтижелі көрсеткіштер мен іс-шаралар арасында байланыс анықталмаған, нәтижелі көрсеткіштер бір деңгейде бағаланса, іс-шаралар міндеттерге қатысты үшінші деңгейде деп анықтап, яғни, бюджет қаражатының тиімділігін объективті бағалау үшін оларды қатар орналасқан деп бағалануы жүргізілді.</w:t>
      </w:r>
    </w:p>
    <w:p w14:paraId="70A41BF3" w14:textId="4994AD32" w:rsidR="00FA5280" w:rsidRDefault="00FA5280" w:rsidP="00FA5280">
      <w:pPr>
        <w:spacing w:after="0" w:line="240" w:lineRule="auto"/>
        <w:ind w:firstLine="709"/>
        <w:jc w:val="both"/>
        <w:rPr>
          <w:rFonts w:ascii="Times New Roman" w:eastAsiaTheme="minorHAnsi" w:hAnsi="Times New Roman" w:cs="Times New Roman"/>
          <w:color w:val="000000"/>
          <w:sz w:val="28"/>
          <w:szCs w:val="28"/>
          <w:lang w:val="kk-KZ"/>
        </w:rPr>
      </w:pPr>
      <w:r>
        <w:rPr>
          <w:rFonts w:ascii="Times New Roman" w:hAnsi="Times New Roman" w:cs="Times New Roman"/>
          <w:color w:val="000000"/>
          <w:sz w:val="28"/>
          <w:szCs w:val="28"/>
          <w:lang w:val="kk-KZ"/>
        </w:rPr>
        <w:t>1-міндет «Азық-түлік қауіпсіздігін қамтамасыз ету» бойынша жоспарланған 1-іс-шара «Ауыл шаруашылығы саласы туралы хронометражы кемінде 30 минут, 30 шығарылым болатын телевизиялық циклдік ток-шоу/бағдарлама әзірлеп және шығарып, кейіннен республикалық телеарналардың біріне орналастыруға» [6</w:t>
      </w:r>
      <w:r w:rsidR="00EF5DE6" w:rsidRPr="00EF5DE6">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әр альтернативаның әсерін эксперттік бағалауы келтірілген. </w:t>
      </w:r>
    </w:p>
    <w:p w14:paraId="60018B5B" w14:textId="71FA5420" w:rsidR="00647B71" w:rsidRDefault="00647B71" w:rsidP="00010EEC">
      <w:pPr>
        <w:widowControl w:val="0"/>
        <w:spacing w:after="0" w:line="240" w:lineRule="auto"/>
        <w:ind w:firstLine="709"/>
        <w:jc w:val="both"/>
        <w:rPr>
          <w:rFonts w:ascii="Times New Roman" w:eastAsia="Times New Roman" w:hAnsi="Times New Roman" w:cs="Times New Roman"/>
          <w:color w:val="000000"/>
          <w:sz w:val="28"/>
          <w:szCs w:val="28"/>
          <w:lang w:val="kk-KZ" w:eastAsia="ru-RU"/>
        </w:rPr>
      </w:pPr>
      <w:r w:rsidRPr="00457CE9">
        <w:rPr>
          <w:rFonts w:ascii="Times New Roman" w:hAnsi="Times New Roman" w:cs="Times New Roman"/>
          <w:color w:val="000000"/>
          <w:sz w:val="28"/>
          <w:szCs w:val="28"/>
          <w:lang w:val="kk-KZ"/>
        </w:rPr>
        <w:t>Мәселен, 1-альтернатива «</w:t>
      </w:r>
      <w:r w:rsidRPr="00457CE9">
        <w:rPr>
          <w:rFonts w:ascii="Times New Roman" w:eastAsia="Times New Roman" w:hAnsi="Times New Roman" w:cs="Times New Roman"/>
          <w:color w:val="000000"/>
          <w:sz w:val="28"/>
          <w:szCs w:val="28"/>
          <w:lang w:val="kk-KZ" w:eastAsia="ru-RU"/>
        </w:rPr>
        <w:t>2015 жылдың деңгейімен салыстырғанда ауыл шаруашылығындағы еңбек өнімділігінің индексі» 10 пайызға, «2015 жылдың деңгейімен салыстырғанда ауыл шаруашылығы жалпы  өнімінің (көрсетілетін қызметтерінің) нақты көлем индексі» 10 пайызға, сол сияқты 5 және 6 альтеринатива 10 пайызға деп бағаланды, яғни, олардың әсері шамалы деп алынған, ал 3-альтернатива «2015 жылдың деңгейімен салыстырғанда ауыл шаруашылығындағы негізгі капиталға салынатын инвестициялардың нақты көлем индексі» және 4-альтернативаның әсері 90 пайызға, яғни, абсолютті басымды деп бағаланып отыр.</w:t>
      </w:r>
      <w:r w:rsidR="002E1D76" w:rsidRPr="00457CE9">
        <w:rPr>
          <w:rFonts w:ascii="Times New Roman" w:eastAsia="Times New Roman" w:hAnsi="Times New Roman" w:cs="Times New Roman"/>
          <w:color w:val="000000"/>
          <w:sz w:val="28"/>
          <w:szCs w:val="28"/>
          <w:lang w:val="kk-KZ" w:eastAsia="ru-RU"/>
        </w:rPr>
        <w:t xml:space="preserve"> </w:t>
      </w:r>
      <w:r w:rsidR="00165A6D" w:rsidRPr="00457CE9">
        <w:rPr>
          <w:rFonts w:ascii="Times New Roman" w:hAnsi="Times New Roman" w:cs="Times New Roman"/>
          <w:color w:val="000000"/>
          <w:sz w:val="28"/>
          <w:szCs w:val="28"/>
          <w:lang w:val="kk-KZ"/>
        </w:rPr>
        <w:t xml:space="preserve">1-міндет бойынша 1-іс-шараға </w:t>
      </w:r>
      <w:r w:rsidR="00165A6D" w:rsidRPr="00457CE9">
        <w:rPr>
          <w:rFonts w:ascii="Times New Roman" w:eastAsia="Times New Roman" w:hAnsi="Times New Roman" w:cs="Times New Roman"/>
          <w:color w:val="000000"/>
          <w:sz w:val="28"/>
          <w:szCs w:val="28"/>
          <w:lang w:val="kk-KZ" w:eastAsia="ru-RU"/>
        </w:rPr>
        <w:t xml:space="preserve">әр нысаналы индикатордың (альтернативаның) әсерін эксперттік бағалауы </w:t>
      </w:r>
      <w:r w:rsidR="00B90011" w:rsidRPr="00457CE9">
        <w:rPr>
          <w:rFonts w:ascii="Times New Roman" w:eastAsia="Times New Roman" w:hAnsi="Times New Roman" w:cs="Times New Roman"/>
          <w:color w:val="000000"/>
          <w:sz w:val="28"/>
          <w:szCs w:val="28"/>
          <w:lang w:val="kk-KZ" w:eastAsia="ru-RU"/>
        </w:rPr>
        <w:t>5</w:t>
      </w:r>
      <w:r w:rsidR="00EB7D69">
        <w:rPr>
          <w:rFonts w:ascii="Times New Roman" w:eastAsia="Times New Roman" w:hAnsi="Times New Roman" w:cs="Times New Roman"/>
          <w:color w:val="000000"/>
          <w:sz w:val="28"/>
          <w:szCs w:val="28"/>
          <w:lang w:val="kk-KZ" w:eastAsia="ru-RU"/>
        </w:rPr>
        <w:t>7</w:t>
      </w:r>
      <w:r w:rsidR="00165A6D" w:rsidRPr="00457CE9">
        <w:rPr>
          <w:rFonts w:ascii="Times New Roman" w:eastAsia="Times New Roman" w:hAnsi="Times New Roman" w:cs="Times New Roman"/>
          <w:color w:val="000000"/>
          <w:sz w:val="28"/>
          <w:szCs w:val="28"/>
          <w:lang w:val="kk-KZ" w:eastAsia="ru-RU"/>
        </w:rPr>
        <w:t>-кестеде келтірілген.</w:t>
      </w:r>
    </w:p>
    <w:p w14:paraId="7B60B32D" w14:textId="77777777" w:rsidR="00F15E51" w:rsidRPr="00457CE9" w:rsidRDefault="00F15E51" w:rsidP="00010EEC">
      <w:pPr>
        <w:widowControl w:val="0"/>
        <w:spacing w:after="0" w:line="240" w:lineRule="auto"/>
        <w:ind w:firstLine="709"/>
        <w:jc w:val="both"/>
        <w:rPr>
          <w:rFonts w:ascii="Times New Roman" w:eastAsia="Times New Roman" w:hAnsi="Times New Roman" w:cs="Times New Roman"/>
          <w:color w:val="000000"/>
          <w:sz w:val="28"/>
          <w:szCs w:val="28"/>
          <w:lang w:val="kk-KZ" w:eastAsia="ru-RU"/>
        </w:rPr>
      </w:pPr>
    </w:p>
    <w:p w14:paraId="364C0DBB" w14:textId="0AF130D3" w:rsidR="00647B71" w:rsidRDefault="00647B71" w:rsidP="00457CE9">
      <w:pPr>
        <w:spacing w:after="0" w:line="240" w:lineRule="auto"/>
        <w:jc w:val="both"/>
        <w:rPr>
          <w:rFonts w:ascii="Times New Roman" w:eastAsia="Times New Roman" w:hAnsi="Times New Roman" w:cs="Times New Roman"/>
          <w:color w:val="000000"/>
          <w:sz w:val="28"/>
          <w:szCs w:val="28"/>
          <w:lang w:val="kk-KZ" w:eastAsia="ru-RU"/>
        </w:rPr>
      </w:pPr>
      <w:r w:rsidRPr="00457CE9">
        <w:rPr>
          <w:rFonts w:ascii="Times New Roman" w:hAnsi="Times New Roman" w:cs="Times New Roman"/>
          <w:color w:val="000000"/>
          <w:sz w:val="28"/>
          <w:szCs w:val="28"/>
          <w:lang w:val="kk-KZ"/>
        </w:rPr>
        <w:t xml:space="preserve">Кесте </w:t>
      </w:r>
      <w:r w:rsidR="00B90011" w:rsidRPr="00457CE9">
        <w:rPr>
          <w:rFonts w:ascii="Times New Roman" w:hAnsi="Times New Roman" w:cs="Times New Roman"/>
          <w:color w:val="000000"/>
          <w:sz w:val="28"/>
          <w:szCs w:val="28"/>
          <w:lang w:val="kk-KZ"/>
        </w:rPr>
        <w:t>5</w:t>
      </w:r>
      <w:r w:rsidR="00EB7D69">
        <w:rPr>
          <w:rFonts w:ascii="Times New Roman" w:hAnsi="Times New Roman" w:cs="Times New Roman"/>
          <w:color w:val="000000"/>
          <w:sz w:val="28"/>
          <w:szCs w:val="28"/>
          <w:lang w:val="kk-KZ"/>
        </w:rPr>
        <w:t>7</w:t>
      </w:r>
      <w:r w:rsidRPr="00457CE9">
        <w:rPr>
          <w:rFonts w:ascii="Times New Roman" w:hAnsi="Times New Roman" w:cs="Times New Roman"/>
          <w:color w:val="000000"/>
          <w:sz w:val="28"/>
          <w:szCs w:val="28"/>
          <w:lang w:val="kk-KZ"/>
        </w:rPr>
        <w:t xml:space="preserve"> – 1-міндет бойынша 1-іс-шараға </w:t>
      </w:r>
      <w:r w:rsidRPr="00457CE9">
        <w:rPr>
          <w:rFonts w:ascii="Times New Roman" w:eastAsia="Times New Roman" w:hAnsi="Times New Roman" w:cs="Times New Roman"/>
          <w:color w:val="000000"/>
          <w:sz w:val="28"/>
          <w:szCs w:val="28"/>
          <w:lang w:val="kk-KZ" w:eastAsia="ru-RU"/>
        </w:rPr>
        <w:t>әр нысаналы индикатордың (альтернативаның) әсерін эксперттік бағалауы</w:t>
      </w:r>
    </w:p>
    <w:p w14:paraId="60772E74" w14:textId="77777777" w:rsidR="00814B65" w:rsidRPr="00814B65" w:rsidRDefault="00814B65" w:rsidP="00457CE9">
      <w:pPr>
        <w:spacing w:after="0" w:line="240" w:lineRule="auto"/>
        <w:jc w:val="both"/>
        <w:rPr>
          <w:rFonts w:ascii="Times New Roman" w:eastAsiaTheme="minorEastAsia" w:hAnsi="Times New Roman" w:cs="Times New Roman"/>
          <w:sz w:val="16"/>
          <w:szCs w:val="16"/>
          <w:lang w:val="kk-KZ"/>
        </w:rPr>
      </w:pPr>
    </w:p>
    <w:tbl>
      <w:tblPr>
        <w:tblW w:w="9617" w:type="dxa"/>
        <w:jc w:val="center"/>
        <w:tblLook w:val="04A0" w:firstRow="1" w:lastRow="0" w:firstColumn="1" w:lastColumn="0" w:noHBand="0" w:noVBand="1"/>
      </w:tblPr>
      <w:tblGrid>
        <w:gridCol w:w="830"/>
        <w:gridCol w:w="7240"/>
        <w:gridCol w:w="1547"/>
      </w:tblGrid>
      <w:tr w:rsidR="00647B71" w:rsidRPr="00BB2991" w14:paraId="2FFEB94B" w14:textId="77777777" w:rsidTr="00814B65">
        <w:trPr>
          <w:trHeight w:val="751"/>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EB79973"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Саны</w:t>
            </w:r>
          </w:p>
        </w:tc>
        <w:tc>
          <w:tcPr>
            <w:tcW w:w="7240" w:type="dxa"/>
            <w:tcBorders>
              <w:top w:val="single" w:sz="4" w:space="0" w:color="auto"/>
              <w:left w:val="nil"/>
              <w:bottom w:val="single" w:sz="4" w:space="0" w:color="auto"/>
              <w:right w:val="single" w:sz="4" w:space="0" w:color="auto"/>
            </w:tcBorders>
            <w:noWrap/>
            <w:vAlign w:val="center"/>
            <w:hideMark/>
          </w:tcPr>
          <w:p w14:paraId="04869471"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Альтернативалар</w:t>
            </w:r>
          </w:p>
        </w:tc>
        <w:tc>
          <w:tcPr>
            <w:tcW w:w="1547" w:type="dxa"/>
            <w:tcBorders>
              <w:top w:val="single" w:sz="4" w:space="0" w:color="auto"/>
              <w:left w:val="nil"/>
              <w:bottom w:val="single" w:sz="4" w:space="0" w:color="auto"/>
              <w:right w:val="single" w:sz="4" w:space="0" w:color="auto"/>
            </w:tcBorders>
            <w:vAlign w:val="center"/>
            <w:hideMark/>
          </w:tcPr>
          <w:p w14:paraId="39F9675A"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Эксперттік бағалау мәні</w:t>
            </w:r>
          </w:p>
        </w:tc>
      </w:tr>
      <w:tr w:rsidR="00647B71" w:rsidRPr="00BB2991" w14:paraId="43B1E3F5"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5A1744A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240" w:type="dxa"/>
            <w:tcBorders>
              <w:top w:val="nil"/>
              <w:left w:val="nil"/>
              <w:bottom w:val="single" w:sz="4" w:space="0" w:color="auto"/>
              <w:right w:val="single" w:sz="4" w:space="0" w:color="auto"/>
            </w:tcBorders>
            <w:hideMark/>
          </w:tcPr>
          <w:p w14:paraId="49B22678"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2015 жылдың деңгейімен салыстырғанда ауыл шаруашылығындағы еңбек өнімділігінің индексі</w:t>
            </w:r>
            <w:r w:rsidRPr="00BB2991">
              <w:rPr>
                <w:rFonts w:ascii="Times New Roman" w:eastAsia="Times New Roman" w:hAnsi="Times New Roman" w:cs="Times New Roman"/>
                <w:color w:val="000000"/>
                <w:sz w:val="24"/>
                <w:szCs w:val="24"/>
                <w:vertAlign w:val="superscript"/>
                <w:lang w:eastAsia="ru-RU"/>
              </w:rPr>
              <w:t>2</w:t>
            </w:r>
            <w:r w:rsidRPr="00BB2991">
              <w:rPr>
                <w:rFonts w:ascii="Times New Roman" w:eastAsia="Times New Roman" w:hAnsi="Times New Roman" w:cs="Times New Roman"/>
                <w:color w:val="000000"/>
                <w:sz w:val="24"/>
                <w:szCs w:val="24"/>
                <w:lang w:eastAsia="ru-RU"/>
              </w:rPr>
              <w:t xml:space="preserve"> %</w:t>
            </w:r>
          </w:p>
        </w:tc>
        <w:tc>
          <w:tcPr>
            <w:tcW w:w="1547" w:type="dxa"/>
            <w:tcBorders>
              <w:top w:val="nil"/>
              <w:left w:val="nil"/>
              <w:bottom w:val="single" w:sz="4" w:space="0" w:color="auto"/>
              <w:right w:val="single" w:sz="4" w:space="0" w:color="auto"/>
            </w:tcBorders>
            <w:noWrap/>
            <w:vAlign w:val="center"/>
            <w:hideMark/>
          </w:tcPr>
          <w:p w14:paraId="527A94F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10</w:t>
            </w:r>
          </w:p>
        </w:tc>
      </w:tr>
      <w:tr w:rsidR="00647B71" w:rsidRPr="00BB2991" w14:paraId="784455D2"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1A82FD2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7240" w:type="dxa"/>
            <w:tcBorders>
              <w:top w:val="nil"/>
              <w:left w:val="nil"/>
              <w:bottom w:val="single" w:sz="4" w:space="0" w:color="auto"/>
              <w:right w:val="single" w:sz="4" w:space="0" w:color="auto"/>
            </w:tcBorders>
            <w:hideMark/>
          </w:tcPr>
          <w:p w14:paraId="2E35ADA3" w14:textId="35FD8C92"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2015  жылдың деңгейімен салыстырғанда ауыл шаруашылығы жал</w:t>
            </w:r>
            <w:r w:rsidR="00814B65">
              <w:rPr>
                <w:rFonts w:ascii="Times New Roman" w:eastAsia="Times New Roman" w:hAnsi="Times New Roman" w:cs="Times New Roman"/>
                <w:color w:val="000000"/>
                <w:sz w:val="24"/>
                <w:szCs w:val="24"/>
                <w:lang w:val="kk-KZ" w:eastAsia="ru-RU"/>
              </w:rPr>
              <w:t xml:space="preserve"> </w:t>
            </w:r>
            <w:r w:rsidRPr="00BB2991">
              <w:rPr>
                <w:rFonts w:ascii="Times New Roman" w:eastAsia="Times New Roman" w:hAnsi="Times New Roman" w:cs="Times New Roman"/>
                <w:color w:val="000000"/>
                <w:sz w:val="24"/>
                <w:szCs w:val="24"/>
                <w:lang w:eastAsia="ru-RU"/>
              </w:rPr>
              <w:t>пы  өнімінің (көрсетілетін қызметтерінің) нақты көлем индексі %</w:t>
            </w:r>
          </w:p>
        </w:tc>
        <w:tc>
          <w:tcPr>
            <w:tcW w:w="1547" w:type="dxa"/>
            <w:tcBorders>
              <w:top w:val="nil"/>
              <w:left w:val="nil"/>
              <w:bottom w:val="single" w:sz="4" w:space="0" w:color="auto"/>
              <w:right w:val="single" w:sz="4" w:space="0" w:color="auto"/>
            </w:tcBorders>
            <w:noWrap/>
            <w:vAlign w:val="center"/>
            <w:hideMark/>
          </w:tcPr>
          <w:p w14:paraId="5C53071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10</w:t>
            </w:r>
          </w:p>
        </w:tc>
      </w:tr>
      <w:tr w:rsidR="00647B71" w:rsidRPr="00BB2991" w14:paraId="0C5CC1FF"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709D504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7240" w:type="dxa"/>
            <w:tcBorders>
              <w:top w:val="nil"/>
              <w:left w:val="nil"/>
              <w:bottom w:val="single" w:sz="4" w:space="0" w:color="auto"/>
              <w:right w:val="single" w:sz="4" w:space="0" w:color="auto"/>
            </w:tcBorders>
            <w:hideMark/>
          </w:tcPr>
          <w:p w14:paraId="5E1D785A" w14:textId="335FFACE" w:rsidR="00647B71" w:rsidRPr="00BB2991" w:rsidRDefault="00814B65" w:rsidP="00457CE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2015 </w:t>
            </w:r>
            <w:r w:rsidR="00647B71" w:rsidRPr="00BB2991">
              <w:rPr>
                <w:rFonts w:ascii="Times New Roman" w:eastAsia="Times New Roman" w:hAnsi="Times New Roman" w:cs="Times New Roman"/>
                <w:color w:val="000000"/>
                <w:sz w:val="24"/>
                <w:szCs w:val="24"/>
                <w:lang w:eastAsia="ru-RU"/>
              </w:rPr>
              <w:t>жылдың деңгейімен салыстырғанда ауыл шаруашылығында</w:t>
            </w:r>
            <w:r>
              <w:rPr>
                <w:rFonts w:ascii="Times New Roman" w:eastAsia="Times New Roman" w:hAnsi="Times New Roman" w:cs="Times New Roman"/>
                <w:color w:val="000000"/>
                <w:sz w:val="24"/>
                <w:szCs w:val="24"/>
                <w:lang w:val="kk-KZ" w:eastAsia="ru-RU"/>
              </w:rPr>
              <w:t xml:space="preserve"> </w:t>
            </w:r>
            <w:r w:rsidR="00647B71" w:rsidRPr="00BB2991">
              <w:rPr>
                <w:rFonts w:ascii="Times New Roman" w:eastAsia="Times New Roman" w:hAnsi="Times New Roman" w:cs="Times New Roman"/>
                <w:color w:val="000000"/>
                <w:sz w:val="24"/>
                <w:szCs w:val="24"/>
                <w:lang w:eastAsia="ru-RU"/>
              </w:rPr>
              <w:t>ғы негізгі капиталға салынатын инвестициялардың нақты көлем индексі, %</w:t>
            </w:r>
          </w:p>
        </w:tc>
        <w:tc>
          <w:tcPr>
            <w:tcW w:w="1547" w:type="dxa"/>
            <w:tcBorders>
              <w:top w:val="nil"/>
              <w:left w:val="nil"/>
              <w:bottom w:val="single" w:sz="4" w:space="0" w:color="auto"/>
              <w:right w:val="single" w:sz="4" w:space="0" w:color="auto"/>
            </w:tcBorders>
            <w:noWrap/>
            <w:vAlign w:val="center"/>
            <w:hideMark/>
          </w:tcPr>
          <w:p w14:paraId="2B9EF65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90</w:t>
            </w:r>
          </w:p>
        </w:tc>
      </w:tr>
      <w:tr w:rsidR="00647B71" w:rsidRPr="00BB2991" w14:paraId="4A54941B"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5D8B001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7240" w:type="dxa"/>
            <w:tcBorders>
              <w:top w:val="nil"/>
              <w:left w:val="nil"/>
              <w:bottom w:val="single" w:sz="4" w:space="0" w:color="auto"/>
              <w:right w:val="single" w:sz="4" w:space="0" w:color="auto"/>
            </w:tcBorders>
            <w:hideMark/>
          </w:tcPr>
          <w:p w14:paraId="388E815D" w14:textId="7437F815" w:rsidR="00647B71" w:rsidRPr="00BB2991" w:rsidRDefault="00814B65" w:rsidP="00457CE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2015 </w:t>
            </w:r>
            <w:r w:rsidR="00647B71" w:rsidRPr="00BB2991">
              <w:rPr>
                <w:rFonts w:ascii="Times New Roman" w:eastAsia="Times New Roman" w:hAnsi="Times New Roman" w:cs="Times New Roman"/>
                <w:color w:val="000000"/>
                <w:sz w:val="24"/>
                <w:szCs w:val="24"/>
                <w:lang w:eastAsia="ru-RU"/>
              </w:rPr>
              <w:t>жылдың деңгейімен салыстырғанда тамақ өнімдері өндірісін</w:t>
            </w:r>
            <w:r>
              <w:rPr>
                <w:rFonts w:ascii="Times New Roman" w:eastAsia="Times New Roman" w:hAnsi="Times New Roman" w:cs="Times New Roman"/>
                <w:color w:val="000000"/>
                <w:sz w:val="24"/>
                <w:szCs w:val="24"/>
                <w:lang w:val="kk-KZ" w:eastAsia="ru-RU"/>
              </w:rPr>
              <w:t xml:space="preserve"> </w:t>
            </w:r>
            <w:r w:rsidR="00647B71" w:rsidRPr="00BB2991">
              <w:rPr>
                <w:rFonts w:ascii="Times New Roman" w:eastAsia="Times New Roman" w:hAnsi="Times New Roman" w:cs="Times New Roman"/>
                <w:color w:val="000000"/>
                <w:sz w:val="24"/>
                <w:szCs w:val="24"/>
                <w:lang w:eastAsia="ru-RU"/>
              </w:rPr>
              <w:t>дегі негізгі капиталға салынатын инвестициялардың нақты көлем индексі, %</w:t>
            </w:r>
          </w:p>
        </w:tc>
        <w:tc>
          <w:tcPr>
            <w:tcW w:w="1547" w:type="dxa"/>
            <w:tcBorders>
              <w:top w:val="nil"/>
              <w:left w:val="nil"/>
              <w:bottom w:val="single" w:sz="4" w:space="0" w:color="auto"/>
              <w:right w:val="single" w:sz="4" w:space="0" w:color="auto"/>
            </w:tcBorders>
            <w:noWrap/>
            <w:vAlign w:val="center"/>
            <w:hideMark/>
          </w:tcPr>
          <w:p w14:paraId="4E05A9E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90</w:t>
            </w:r>
          </w:p>
        </w:tc>
      </w:tr>
      <w:tr w:rsidR="00647B71" w:rsidRPr="00BB2991" w14:paraId="11483704"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29C2B3B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7240" w:type="dxa"/>
            <w:tcBorders>
              <w:top w:val="nil"/>
              <w:left w:val="nil"/>
              <w:bottom w:val="single" w:sz="4" w:space="0" w:color="auto"/>
              <w:right w:val="single" w:sz="4" w:space="0" w:color="auto"/>
            </w:tcBorders>
            <w:hideMark/>
          </w:tcPr>
          <w:p w14:paraId="2D7445A6"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Азық-түлік тауарлары импортының көлемі, млн. АҚШ доллары</w:t>
            </w:r>
          </w:p>
        </w:tc>
        <w:tc>
          <w:tcPr>
            <w:tcW w:w="1547" w:type="dxa"/>
            <w:tcBorders>
              <w:top w:val="nil"/>
              <w:left w:val="nil"/>
              <w:bottom w:val="single" w:sz="4" w:space="0" w:color="auto"/>
              <w:right w:val="single" w:sz="4" w:space="0" w:color="auto"/>
            </w:tcBorders>
            <w:noWrap/>
            <w:vAlign w:val="center"/>
            <w:hideMark/>
          </w:tcPr>
          <w:p w14:paraId="60A0BB8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10</w:t>
            </w:r>
          </w:p>
        </w:tc>
      </w:tr>
      <w:tr w:rsidR="00647B71" w:rsidRPr="00BB2991" w14:paraId="0C76D5B9"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1A7354A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7240" w:type="dxa"/>
            <w:tcBorders>
              <w:top w:val="nil"/>
              <w:left w:val="nil"/>
              <w:bottom w:val="single" w:sz="4" w:space="0" w:color="auto"/>
              <w:right w:val="single" w:sz="4" w:space="0" w:color="auto"/>
            </w:tcBorders>
            <w:hideMark/>
          </w:tcPr>
          <w:p w14:paraId="5583F125"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Өнеркәсіптегі сумен жабдықтау жүйесіндегі судың көлемі, текше  км:</w:t>
            </w:r>
          </w:p>
        </w:tc>
        <w:tc>
          <w:tcPr>
            <w:tcW w:w="1547" w:type="dxa"/>
            <w:tcBorders>
              <w:top w:val="nil"/>
              <w:left w:val="nil"/>
              <w:bottom w:val="single" w:sz="4" w:space="0" w:color="auto"/>
              <w:right w:val="single" w:sz="4" w:space="0" w:color="auto"/>
            </w:tcBorders>
            <w:noWrap/>
            <w:vAlign w:val="center"/>
            <w:hideMark/>
          </w:tcPr>
          <w:p w14:paraId="41C70E2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10</w:t>
            </w:r>
          </w:p>
        </w:tc>
      </w:tr>
      <w:tr w:rsidR="00647B71" w:rsidRPr="00BB2991" w14:paraId="06005ADC" w14:textId="77777777" w:rsidTr="00814B65">
        <w:trPr>
          <w:trHeight w:val="58"/>
          <w:jc w:val="center"/>
        </w:trPr>
        <w:tc>
          <w:tcPr>
            <w:tcW w:w="830" w:type="dxa"/>
            <w:tcBorders>
              <w:top w:val="nil"/>
              <w:left w:val="single" w:sz="4" w:space="0" w:color="auto"/>
              <w:bottom w:val="single" w:sz="4" w:space="0" w:color="auto"/>
              <w:right w:val="single" w:sz="4" w:space="0" w:color="auto"/>
            </w:tcBorders>
            <w:noWrap/>
            <w:vAlign w:val="center"/>
            <w:hideMark/>
          </w:tcPr>
          <w:p w14:paraId="45F1CEB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7240" w:type="dxa"/>
            <w:tcBorders>
              <w:top w:val="nil"/>
              <w:left w:val="nil"/>
              <w:bottom w:val="single" w:sz="4" w:space="0" w:color="auto"/>
              <w:right w:val="single" w:sz="4" w:space="0" w:color="auto"/>
            </w:tcBorders>
            <w:hideMark/>
          </w:tcPr>
          <w:p w14:paraId="6894C26F"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 xml:space="preserve">Өңделген  ауыл шаруашылығы өнімдері экспортының көлемі, млн. АҚШ доллары </w:t>
            </w:r>
          </w:p>
        </w:tc>
        <w:tc>
          <w:tcPr>
            <w:tcW w:w="1547" w:type="dxa"/>
            <w:tcBorders>
              <w:top w:val="nil"/>
              <w:left w:val="nil"/>
              <w:bottom w:val="single" w:sz="4" w:space="0" w:color="auto"/>
              <w:right w:val="single" w:sz="4" w:space="0" w:color="auto"/>
            </w:tcBorders>
            <w:noWrap/>
            <w:vAlign w:val="center"/>
            <w:hideMark/>
          </w:tcPr>
          <w:p w14:paraId="2DF408B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60</w:t>
            </w:r>
          </w:p>
        </w:tc>
      </w:tr>
      <w:tr w:rsidR="00647B71" w:rsidRPr="00BB2991" w14:paraId="2E9A82B0" w14:textId="77777777" w:rsidTr="00814B65">
        <w:trPr>
          <w:trHeight w:val="58"/>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6AA6AB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7240" w:type="dxa"/>
            <w:tcBorders>
              <w:top w:val="single" w:sz="4" w:space="0" w:color="auto"/>
              <w:left w:val="nil"/>
              <w:bottom w:val="single" w:sz="4" w:space="0" w:color="auto"/>
              <w:right w:val="single" w:sz="4" w:space="0" w:color="auto"/>
            </w:tcBorders>
            <w:hideMark/>
          </w:tcPr>
          <w:p w14:paraId="62CD8CB4"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 xml:space="preserve">Суаруға арналған су шығысы, текше метр/га </w:t>
            </w:r>
          </w:p>
        </w:tc>
        <w:tc>
          <w:tcPr>
            <w:tcW w:w="1547" w:type="dxa"/>
            <w:tcBorders>
              <w:top w:val="single" w:sz="4" w:space="0" w:color="auto"/>
              <w:left w:val="nil"/>
              <w:bottom w:val="single" w:sz="4" w:space="0" w:color="auto"/>
              <w:right w:val="single" w:sz="4" w:space="0" w:color="auto"/>
            </w:tcBorders>
            <w:noWrap/>
            <w:vAlign w:val="center"/>
            <w:hideMark/>
          </w:tcPr>
          <w:p w14:paraId="029BD08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color w:val="000000"/>
                <w:sz w:val="24"/>
                <w:szCs w:val="24"/>
              </w:rPr>
              <w:t>15</w:t>
            </w:r>
          </w:p>
        </w:tc>
      </w:tr>
      <w:tr w:rsidR="00647B71" w:rsidRPr="00BB2991" w14:paraId="6E19F0C8" w14:textId="77777777" w:rsidTr="00814B65">
        <w:trPr>
          <w:trHeight w:val="58"/>
          <w:jc w:val="center"/>
        </w:trPr>
        <w:tc>
          <w:tcPr>
            <w:tcW w:w="9617" w:type="dxa"/>
            <w:gridSpan w:val="3"/>
            <w:tcBorders>
              <w:top w:val="single" w:sz="4" w:space="0" w:color="auto"/>
              <w:left w:val="single" w:sz="4" w:space="0" w:color="auto"/>
              <w:bottom w:val="single" w:sz="4" w:space="0" w:color="auto"/>
              <w:right w:val="single" w:sz="4" w:space="0" w:color="auto"/>
            </w:tcBorders>
            <w:noWrap/>
            <w:vAlign w:val="center"/>
            <w:hideMark/>
          </w:tcPr>
          <w:p w14:paraId="789458A7" w14:textId="6B5ED67E" w:rsidR="00647B71" w:rsidRPr="00BB2991" w:rsidRDefault="00647B71" w:rsidP="00457CE9">
            <w:pPr>
              <w:spacing w:after="0" w:line="240" w:lineRule="auto"/>
              <w:ind w:firstLine="601"/>
              <w:jc w:val="both"/>
              <w:rPr>
                <w:rFonts w:ascii="Times New Roman" w:eastAsiaTheme="minorHAnsi" w:hAnsi="Times New Roman" w:cs="Times New Roman"/>
                <w:color w:val="000000"/>
                <w:sz w:val="24"/>
                <w:szCs w:val="24"/>
              </w:rPr>
            </w:pPr>
            <w:r w:rsidRPr="00BB2991">
              <w:rPr>
                <w:rFonts w:ascii="Times New Roman" w:eastAsiaTheme="minorEastAsia" w:hAnsi="Times New Roman" w:cs="Times New Roman"/>
                <w:sz w:val="24"/>
                <w:szCs w:val="24"/>
                <w:lang w:val="kk-KZ"/>
              </w:rPr>
              <w:t xml:space="preserve">Ескерту – </w:t>
            </w:r>
            <w:r w:rsidR="00814B65"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28DE16D1" w14:textId="77777777" w:rsidR="00814B65" w:rsidRDefault="00814B65" w:rsidP="00457CE9">
      <w:pPr>
        <w:spacing w:after="0" w:line="240" w:lineRule="auto"/>
        <w:jc w:val="both"/>
        <w:rPr>
          <w:rFonts w:ascii="Times New Roman" w:hAnsi="Times New Roman" w:cs="Times New Roman"/>
          <w:kern w:val="2"/>
          <w:sz w:val="28"/>
          <w:szCs w:val="28"/>
          <w:lang w:val="kk-KZ"/>
        </w:rPr>
      </w:pPr>
    </w:p>
    <w:p w14:paraId="01166978" w14:textId="244D75E5" w:rsidR="00647B71" w:rsidRPr="00457CE9" w:rsidRDefault="00165A6D" w:rsidP="00814B65">
      <w:pPr>
        <w:spacing w:after="0" w:line="240" w:lineRule="auto"/>
        <w:ind w:firstLine="709"/>
        <w:jc w:val="both"/>
        <w:rPr>
          <w:rFonts w:ascii="Times New Roman" w:hAnsi="Times New Roman" w:cs="Times New Roman"/>
          <w:kern w:val="2"/>
          <w:sz w:val="28"/>
          <w:szCs w:val="28"/>
          <w:lang w:val="kk-KZ"/>
        </w:rPr>
      </w:pPr>
      <w:r w:rsidRPr="00457CE9">
        <w:rPr>
          <w:rFonts w:ascii="Times New Roman" w:hAnsi="Times New Roman" w:cs="Times New Roman"/>
          <w:kern w:val="2"/>
          <w:sz w:val="28"/>
          <w:szCs w:val="28"/>
          <w:lang w:val="kk-KZ"/>
        </w:rPr>
        <w:t>5</w:t>
      </w:r>
      <w:r w:rsidR="00EB7D69">
        <w:rPr>
          <w:rFonts w:ascii="Times New Roman" w:hAnsi="Times New Roman" w:cs="Times New Roman"/>
          <w:kern w:val="2"/>
          <w:sz w:val="28"/>
          <w:szCs w:val="28"/>
          <w:lang w:val="kk-KZ"/>
        </w:rPr>
        <w:t>7</w:t>
      </w:r>
      <w:r w:rsidR="00647B71" w:rsidRPr="00457CE9">
        <w:rPr>
          <w:rFonts w:ascii="Times New Roman" w:hAnsi="Times New Roman" w:cs="Times New Roman"/>
          <w:kern w:val="2"/>
          <w:sz w:val="28"/>
          <w:szCs w:val="28"/>
          <w:lang w:val="kk-KZ"/>
        </w:rPr>
        <w:t xml:space="preserve">-кесте мәліметтерінен аталған іс-шараға абсолютті басымды әсерді 3 және 4 альтернатива береді деп бағаланса, 7 альтернатива күшті басымды, қалған альтернативалар әлсіз басымды деген баға берілген. Осы альтернативалардың жұптық салыстыру матрицасы және меншікті векторы </w:t>
      </w:r>
      <w:r w:rsidR="00B90011" w:rsidRPr="00457CE9">
        <w:rPr>
          <w:rFonts w:ascii="Times New Roman" w:hAnsi="Times New Roman" w:cs="Times New Roman"/>
          <w:kern w:val="2"/>
          <w:sz w:val="28"/>
          <w:szCs w:val="28"/>
          <w:lang w:val="kk-KZ"/>
        </w:rPr>
        <w:t>5</w:t>
      </w:r>
      <w:r w:rsidR="00EB7D69">
        <w:rPr>
          <w:rFonts w:ascii="Times New Roman" w:hAnsi="Times New Roman" w:cs="Times New Roman"/>
          <w:kern w:val="2"/>
          <w:sz w:val="28"/>
          <w:szCs w:val="28"/>
          <w:lang w:val="kk-KZ"/>
        </w:rPr>
        <w:t>8</w:t>
      </w:r>
      <w:r w:rsidR="00647B71" w:rsidRPr="00457CE9">
        <w:rPr>
          <w:rFonts w:ascii="Times New Roman" w:hAnsi="Times New Roman" w:cs="Times New Roman"/>
          <w:kern w:val="2"/>
          <w:sz w:val="28"/>
          <w:szCs w:val="28"/>
          <w:lang w:val="kk-KZ"/>
        </w:rPr>
        <w:t xml:space="preserve">-кестеде келтірілген.  </w:t>
      </w:r>
    </w:p>
    <w:p w14:paraId="53D8D1AC" w14:textId="77777777" w:rsidR="00647B71" w:rsidRPr="00457CE9" w:rsidRDefault="00647B71" w:rsidP="00457CE9">
      <w:pPr>
        <w:spacing w:after="0" w:line="240" w:lineRule="auto"/>
        <w:rPr>
          <w:rFonts w:ascii="Times New Roman" w:hAnsi="Times New Roman" w:cs="Times New Roman"/>
          <w:sz w:val="16"/>
          <w:szCs w:val="16"/>
          <w:lang w:val="kk-KZ"/>
        </w:rPr>
      </w:pPr>
    </w:p>
    <w:p w14:paraId="3FF08C5A" w14:textId="7631E72C"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5</w:t>
      </w:r>
      <w:r w:rsidR="00EB7D69">
        <w:rPr>
          <w:rFonts w:ascii="Times New Roman" w:eastAsiaTheme="minorEastAsia" w:hAnsi="Times New Roman" w:cs="Times New Roman"/>
          <w:sz w:val="28"/>
          <w:szCs w:val="28"/>
          <w:lang w:val="kk-KZ"/>
        </w:rPr>
        <w:t>8</w:t>
      </w:r>
      <w:r w:rsidRPr="00457CE9">
        <w:rPr>
          <w:rFonts w:ascii="Times New Roman" w:eastAsiaTheme="minorEastAsia" w:hAnsi="Times New Roman" w:cs="Times New Roman"/>
          <w:sz w:val="28"/>
          <w:szCs w:val="28"/>
          <w:lang w:val="kk-KZ"/>
        </w:rPr>
        <w:t xml:space="preserve"> – 1-іс-шара бойынша альтернативалардың жұптап салыстыру матрицаның нәтижесі</w:t>
      </w:r>
    </w:p>
    <w:p w14:paraId="0727C062" w14:textId="77777777" w:rsidR="00814B65" w:rsidRPr="00814B65" w:rsidRDefault="00814B65" w:rsidP="00457CE9">
      <w:pPr>
        <w:spacing w:after="0" w:line="240" w:lineRule="auto"/>
        <w:jc w:val="both"/>
        <w:rPr>
          <w:rFonts w:ascii="Times New Roman" w:eastAsiaTheme="minorEastAsia" w:hAnsi="Times New Roman" w:cs="Times New Roman"/>
          <w:sz w:val="16"/>
          <w:szCs w:val="16"/>
          <w:lang w:val="kk-KZ"/>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640"/>
        <w:gridCol w:w="516"/>
        <w:gridCol w:w="640"/>
        <w:gridCol w:w="876"/>
        <w:gridCol w:w="876"/>
        <w:gridCol w:w="640"/>
        <w:gridCol w:w="660"/>
        <w:gridCol w:w="876"/>
        <w:gridCol w:w="876"/>
        <w:gridCol w:w="1143"/>
        <w:gridCol w:w="1418"/>
      </w:tblGrid>
      <w:tr w:rsidR="00647B71" w:rsidRPr="00BB2991" w14:paraId="19087F73" w14:textId="77777777" w:rsidTr="00814B65">
        <w:trPr>
          <w:trHeight w:val="58"/>
          <w:jc w:val="center"/>
        </w:trPr>
        <w:tc>
          <w:tcPr>
            <w:tcW w:w="440" w:type="dxa"/>
            <w:tcBorders>
              <w:top w:val="nil"/>
              <w:left w:val="nil"/>
              <w:bottom w:val="single" w:sz="4" w:space="0" w:color="auto"/>
              <w:right w:val="single" w:sz="4" w:space="0" w:color="auto"/>
            </w:tcBorders>
            <w:noWrap/>
            <w:vAlign w:val="bottom"/>
            <w:hideMark/>
          </w:tcPr>
          <w:p w14:paraId="0A4527F9" w14:textId="77777777" w:rsidR="00647B71" w:rsidRPr="00BB2991" w:rsidRDefault="00647B71" w:rsidP="00457CE9">
            <w:pPr>
              <w:spacing w:after="0" w:line="240" w:lineRule="auto"/>
              <w:rPr>
                <w:rFonts w:ascii="Times New Roman" w:eastAsiaTheme="minorEastAsia" w:hAnsi="Times New Roman" w:cs="Times New Roman"/>
                <w:sz w:val="24"/>
                <w:szCs w:val="24"/>
                <w:lang w:val="kk-KZ"/>
              </w:rPr>
            </w:pP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A1B35AE" w14:textId="77777777" w:rsidR="00647B71" w:rsidRPr="00BB2991" w:rsidRDefault="00647B71" w:rsidP="00457CE9">
            <w:pPr>
              <w:spacing w:after="0" w:line="240" w:lineRule="auto"/>
              <w:jc w:val="center"/>
              <w:rPr>
                <w:rFonts w:ascii="Times New Roman" w:hAnsi="Times New Roman" w:cs="Times New Roman"/>
                <w:sz w:val="24"/>
                <w:szCs w:val="24"/>
                <w:lang w:eastAsia="ru-RU"/>
              </w:rPr>
            </w:pPr>
            <w:r w:rsidRPr="00BB2991">
              <w:rPr>
                <w:rFonts w:ascii="Times New Roman" w:hAnsi="Times New Roman" w:cs="Times New Roman"/>
                <w:sz w:val="24"/>
                <w:szCs w:val="24"/>
                <w:lang w:eastAsia="ru-RU"/>
              </w:rPr>
              <w:t>А</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20E70CD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AE513A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2131108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253800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86371D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6A135B7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03A9931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B7CBA8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1143" w:type="dxa"/>
            <w:vMerge w:val="restart"/>
            <w:tcBorders>
              <w:top w:val="single" w:sz="4" w:space="0" w:color="auto"/>
              <w:left w:val="single" w:sz="4" w:space="0" w:color="auto"/>
              <w:bottom w:val="single" w:sz="4" w:space="0" w:color="auto"/>
              <w:right w:val="single" w:sz="4" w:space="0" w:color="auto"/>
            </w:tcBorders>
            <w:noWrap/>
            <w:vAlign w:val="center"/>
            <w:hideMark/>
          </w:tcPr>
          <w:p w14:paraId="1B0D0A2A"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СГЕОМ</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5E4BB26A" w14:textId="77777777" w:rsidR="00647B71" w:rsidRPr="00BB2991" w:rsidRDefault="00647B71" w:rsidP="00814B65">
            <w:pPr>
              <w:spacing w:after="0" w:line="240" w:lineRule="auto"/>
              <w:jc w:val="center"/>
              <w:rPr>
                <w:rFonts w:ascii="Times New Roman" w:eastAsiaTheme="minorHAnsi"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МВ</w:t>
            </w:r>
          </w:p>
        </w:tc>
      </w:tr>
      <w:tr w:rsidR="00647B71" w:rsidRPr="00BB2991" w14:paraId="3746A5E0"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760E2AAD" w14:textId="77777777" w:rsidR="00647B71" w:rsidRPr="00BB2991" w:rsidRDefault="00647B71" w:rsidP="00457CE9">
            <w:pPr>
              <w:spacing w:after="0" w:line="240" w:lineRule="auto"/>
              <w:rPr>
                <w:rFonts w:ascii="Times New Roman" w:hAnsi="Times New Roman" w:cs="Times New Roman"/>
                <w:sz w:val="24"/>
                <w:szCs w:val="24"/>
                <w:lang w:eastAsia="ru-RU"/>
              </w:rPr>
            </w:pPr>
            <w:r w:rsidRPr="00BB2991">
              <w:rPr>
                <w:rFonts w:ascii="Times New Roman" w:hAnsi="Times New Roman" w:cs="Times New Roman"/>
                <w:sz w:val="24"/>
                <w:szCs w:val="24"/>
                <w:lang w:eastAsia="ru-RU"/>
              </w:rPr>
              <w:t>А</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8882F21" w14:textId="77777777" w:rsidR="00647B71" w:rsidRPr="00BB2991" w:rsidRDefault="00647B71" w:rsidP="00457CE9">
            <w:pPr>
              <w:spacing w:after="0" w:line="240" w:lineRule="auto"/>
              <w:jc w:val="center"/>
              <w:rPr>
                <w:rFonts w:ascii="Times New Roman" w:hAnsi="Times New Roman" w:cs="Times New Roman"/>
                <w:sz w:val="24"/>
                <w:szCs w:val="24"/>
                <w:lang w:eastAsia="ru-RU"/>
              </w:rPr>
            </w:pPr>
            <w:r w:rsidRPr="00BB2991">
              <w:rPr>
                <w:rFonts w:ascii="Times New Roman" w:hAnsi="Times New Roman" w:cs="Times New Roman"/>
                <w:sz w:val="24"/>
                <w:szCs w:val="24"/>
                <w:lang w:eastAsia="ru-RU"/>
              </w:rPr>
              <w:t>М</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3B84B74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D7780F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C9B9F0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90</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931CAC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90</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63C32D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6E765A8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4D7D099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60</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50E610E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3D526" w14:textId="77777777" w:rsidR="00647B71" w:rsidRPr="00BB2991" w:rsidRDefault="00647B71" w:rsidP="00457CE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4DB1C" w14:textId="77777777" w:rsidR="00647B71" w:rsidRPr="00BB2991" w:rsidRDefault="00647B71" w:rsidP="00457CE9">
            <w:pPr>
              <w:spacing w:after="0" w:line="240" w:lineRule="auto"/>
              <w:rPr>
                <w:rFonts w:ascii="Times New Roman" w:hAnsi="Times New Roman" w:cs="Times New Roman"/>
                <w:sz w:val="24"/>
                <w:szCs w:val="24"/>
                <w:lang w:eastAsia="ru-RU"/>
              </w:rPr>
            </w:pPr>
          </w:p>
        </w:tc>
      </w:tr>
      <w:tr w:rsidR="00647B71" w:rsidRPr="00BB2991" w14:paraId="2B5863E8"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2C56610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8D4736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595B080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4510DA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0485903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2FA71F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CF1C38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51E5F1F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D819E1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0,1667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09A21F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641592F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0,438691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AB2E06C"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0,0338983</w:t>
            </w:r>
          </w:p>
        </w:tc>
      </w:tr>
      <w:tr w:rsidR="00647B71" w:rsidRPr="00BB2991" w14:paraId="21D2A065"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78FD787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F04895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5C1582F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04EAFC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25B9270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4B1BF07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9E40D4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0CDDF15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397FCE2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0,1667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7146F3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65FB113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0,438691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BCFE6B5"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0,0338983</w:t>
            </w:r>
          </w:p>
        </w:tc>
      </w:tr>
      <w:tr w:rsidR="00647B71" w:rsidRPr="00BB2991" w14:paraId="6D28A5CC"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2860193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9B4E4C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7BB9287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952415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33A14D7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4E26BF0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3F7B4AB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77EEC3F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DDFF6D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340DDE3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1313AA3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3,948222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475FAEF"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0,3050847</w:t>
            </w:r>
          </w:p>
        </w:tc>
      </w:tr>
      <w:tr w:rsidR="00647B71" w:rsidRPr="00BB2991" w14:paraId="6B718B38"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4B6D706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07F066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4255A1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7FEC2F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538A023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084410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CBEF70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65182AA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6B29115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218B648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7B9BE60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3,948222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6D59994"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0,3050847</w:t>
            </w:r>
          </w:p>
        </w:tc>
      </w:tr>
      <w:tr w:rsidR="00647B71" w:rsidRPr="00BB2991" w14:paraId="2F94A002"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7DF6D5F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17BFB1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0C5C736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1C40C4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6918380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61295AA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A88704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2F48D81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896EB4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0,1667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0CE005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29EF6D0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0,438691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137AA7E"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0,0338983</w:t>
            </w:r>
          </w:p>
        </w:tc>
      </w:tr>
      <w:tr w:rsidR="00647B71" w:rsidRPr="00BB2991" w14:paraId="6CF903EF"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73CB265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38AF1F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147124B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39B2D3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0323816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0428637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C7CF9F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018F585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733D9CD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0,1667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DB7F83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35BADBB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0,438691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C8B7449"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0,0338983</w:t>
            </w:r>
          </w:p>
        </w:tc>
      </w:tr>
      <w:tr w:rsidR="00647B71" w:rsidRPr="00BB2991" w14:paraId="4C4DBAA1"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2818EBD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F1CBFC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60</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6CF5BD8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A7509D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670815B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3C35CA5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0,6667</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769F988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63AAA29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242B91E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3688529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26D502E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2,632148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4DD63E2"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0,2033898</w:t>
            </w:r>
          </w:p>
        </w:tc>
      </w:tr>
      <w:tr w:rsidR="00647B71" w:rsidRPr="00BB2991" w14:paraId="07D16E2A"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5CFD910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6B25C0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0381CDF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5C6560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44DEAB8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0,1667</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2D6705E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0,1667</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459462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4FE62A7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4BF7728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0,25</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6EF10BA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30587CA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0,658037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DB3DA7B" w14:textId="77777777" w:rsidR="00647B71" w:rsidRPr="00814B65" w:rsidRDefault="00647B71" w:rsidP="00457CE9">
            <w:pPr>
              <w:spacing w:after="0" w:line="240" w:lineRule="auto"/>
              <w:jc w:val="center"/>
              <w:rPr>
                <w:rFonts w:ascii="Times New Roman" w:eastAsia="Times New Roman" w:hAnsi="Times New Roman" w:cs="Times New Roman"/>
                <w:bCs/>
                <w:i/>
                <w:sz w:val="24"/>
                <w:szCs w:val="24"/>
                <w:lang w:eastAsia="ru-RU"/>
              </w:rPr>
            </w:pPr>
            <w:r w:rsidRPr="00814B65">
              <w:rPr>
                <w:rFonts w:ascii="Times New Roman" w:eastAsia="Times New Roman" w:hAnsi="Times New Roman" w:cs="Times New Roman"/>
                <w:bCs/>
                <w:i/>
                <w:sz w:val="24"/>
                <w:szCs w:val="24"/>
                <w:lang w:eastAsia="ru-RU"/>
              </w:rPr>
              <w:t>0,0508475</w:t>
            </w:r>
          </w:p>
        </w:tc>
      </w:tr>
      <w:tr w:rsidR="00814B65" w:rsidRPr="00814B65" w14:paraId="7208FEA7" w14:textId="77777777" w:rsidTr="00814B65">
        <w:trPr>
          <w:trHeight w:val="58"/>
          <w:jc w:val="center"/>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087BEDB2" w14:textId="7C9479D3" w:rsidR="00647B71" w:rsidRPr="00814B65" w:rsidRDefault="00814B65" w:rsidP="00457CE9">
            <w:pPr>
              <w:spacing w:after="0" w:line="240" w:lineRule="auto"/>
              <w:rPr>
                <w:rFonts w:ascii="Times New Roman" w:eastAsia="Times New Roman" w:hAnsi="Times New Roman" w:cs="Times New Roman"/>
                <w:b/>
                <w:bCs/>
                <w:sz w:val="24"/>
                <w:szCs w:val="24"/>
                <w:lang w:val="kk-KZ" w:eastAsia="ru-RU"/>
              </w:rPr>
            </w:pPr>
            <w:r w:rsidRPr="00814B65">
              <w:rPr>
                <w:rFonts w:ascii="Times New Roman" w:eastAsia="Times New Roman" w:hAnsi="Times New Roman" w:cs="Times New Roman"/>
                <w:b/>
                <w:bCs/>
                <w:sz w:val="24"/>
                <w:szCs w:val="24"/>
                <w:lang w:val="kk-KZ" w:eastAsia="ru-RU"/>
              </w:rPr>
              <w:t>-</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55A6E21" w14:textId="67128E3C"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491" w:type="dxa"/>
            <w:tcBorders>
              <w:top w:val="single" w:sz="4" w:space="0" w:color="auto"/>
              <w:left w:val="single" w:sz="4" w:space="0" w:color="auto"/>
              <w:bottom w:val="single" w:sz="4" w:space="0" w:color="auto"/>
              <w:right w:val="single" w:sz="4" w:space="0" w:color="auto"/>
            </w:tcBorders>
            <w:noWrap/>
            <w:vAlign w:val="center"/>
            <w:hideMark/>
          </w:tcPr>
          <w:p w14:paraId="493F9EC3" w14:textId="4DE773EE"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8BA7037" w14:textId="43574D06"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136FAB80" w14:textId="0732B7AC"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3E1305D9" w14:textId="3FBD08D1"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7AD42015" w14:textId="520810C4"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660" w:type="dxa"/>
            <w:tcBorders>
              <w:top w:val="single" w:sz="4" w:space="0" w:color="auto"/>
              <w:left w:val="single" w:sz="4" w:space="0" w:color="auto"/>
              <w:bottom w:val="single" w:sz="4" w:space="0" w:color="auto"/>
              <w:right w:val="single" w:sz="4" w:space="0" w:color="auto"/>
            </w:tcBorders>
            <w:noWrap/>
            <w:vAlign w:val="center"/>
            <w:hideMark/>
          </w:tcPr>
          <w:p w14:paraId="36DFC60F" w14:textId="1A781D0D"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41BDEDD0" w14:textId="0CFF3A24"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821" w:type="dxa"/>
            <w:tcBorders>
              <w:top w:val="single" w:sz="4" w:space="0" w:color="auto"/>
              <w:left w:val="single" w:sz="4" w:space="0" w:color="auto"/>
              <w:bottom w:val="single" w:sz="4" w:space="0" w:color="auto"/>
              <w:right w:val="single" w:sz="4" w:space="0" w:color="auto"/>
            </w:tcBorders>
            <w:noWrap/>
            <w:vAlign w:val="center"/>
            <w:hideMark/>
          </w:tcPr>
          <w:p w14:paraId="2E591F87" w14:textId="36663652" w:rsidR="00647B71" w:rsidRPr="00814B65" w:rsidRDefault="00814B65" w:rsidP="00457CE9">
            <w:pPr>
              <w:spacing w:after="0" w:line="240" w:lineRule="auto"/>
              <w:rPr>
                <w:rFonts w:ascii="Times New Roman" w:hAnsi="Times New Roman" w:cs="Times New Roman"/>
                <w:sz w:val="24"/>
                <w:szCs w:val="24"/>
                <w:lang w:val="kk-KZ" w:eastAsia="ru-RU"/>
              </w:rPr>
            </w:pPr>
            <w:r w:rsidRPr="00814B65">
              <w:rPr>
                <w:rFonts w:ascii="Times New Roman" w:hAnsi="Times New Roman" w:cs="Times New Roman"/>
                <w:sz w:val="24"/>
                <w:szCs w:val="24"/>
                <w:lang w:val="kk-KZ" w:eastAsia="ru-RU"/>
              </w:rPr>
              <w:t>-</w:t>
            </w:r>
          </w:p>
        </w:tc>
        <w:tc>
          <w:tcPr>
            <w:tcW w:w="1143" w:type="dxa"/>
            <w:tcBorders>
              <w:top w:val="single" w:sz="4" w:space="0" w:color="auto"/>
              <w:left w:val="single" w:sz="4" w:space="0" w:color="auto"/>
              <w:bottom w:val="single" w:sz="4" w:space="0" w:color="auto"/>
              <w:right w:val="single" w:sz="4" w:space="0" w:color="auto"/>
            </w:tcBorders>
            <w:noWrap/>
            <w:vAlign w:val="center"/>
            <w:hideMark/>
          </w:tcPr>
          <w:p w14:paraId="2C1B4527" w14:textId="77777777" w:rsidR="00647B71" w:rsidRPr="00814B65" w:rsidRDefault="00647B71" w:rsidP="00457CE9">
            <w:pPr>
              <w:spacing w:after="0" w:line="240" w:lineRule="auto"/>
              <w:jc w:val="center"/>
              <w:rPr>
                <w:rFonts w:ascii="Times New Roman" w:eastAsia="Times New Roman" w:hAnsi="Times New Roman" w:cs="Times New Roman"/>
                <w:sz w:val="24"/>
                <w:szCs w:val="24"/>
                <w:lang w:eastAsia="ru-RU"/>
              </w:rPr>
            </w:pPr>
            <w:r w:rsidRPr="00814B65">
              <w:rPr>
                <w:rFonts w:ascii="Times New Roman" w:eastAsia="Times New Roman" w:hAnsi="Times New Roman" w:cs="Times New Roman"/>
                <w:sz w:val="24"/>
                <w:szCs w:val="24"/>
                <w:lang w:eastAsia="ru-RU"/>
              </w:rPr>
              <w:t>12,94139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D38AB1B" w14:textId="77777777" w:rsidR="00647B71" w:rsidRPr="00814B65" w:rsidRDefault="00647B71" w:rsidP="00457CE9">
            <w:pPr>
              <w:spacing w:after="0" w:line="240" w:lineRule="auto"/>
              <w:jc w:val="center"/>
              <w:rPr>
                <w:rFonts w:ascii="Times New Roman" w:eastAsia="Times New Roman" w:hAnsi="Times New Roman" w:cs="Times New Roman"/>
                <w:sz w:val="24"/>
                <w:szCs w:val="24"/>
                <w:lang w:eastAsia="ru-RU"/>
              </w:rPr>
            </w:pPr>
            <w:r w:rsidRPr="00814B65">
              <w:rPr>
                <w:rFonts w:ascii="Times New Roman" w:eastAsia="Times New Roman" w:hAnsi="Times New Roman" w:cs="Times New Roman"/>
                <w:sz w:val="24"/>
                <w:szCs w:val="24"/>
                <w:lang w:eastAsia="ru-RU"/>
              </w:rPr>
              <w:t>1</w:t>
            </w:r>
          </w:p>
        </w:tc>
      </w:tr>
      <w:tr w:rsidR="00647B71" w:rsidRPr="00BB2991" w14:paraId="4730AA1B" w14:textId="77777777" w:rsidTr="00814B65">
        <w:trPr>
          <w:trHeight w:val="419"/>
          <w:jc w:val="center"/>
        </w:trPr>
        <w:tc>
          <w:tcPr>
            <w:tcW w:w="9356" w:type="dxa"/>
            <w:gridSpan w:val="12"/>
            <w:tcBorders>
              <w:top w:val="single" w:sz="4" w:space="0" w:color="auto"/>
              <w:left w:val="single" w:sz="4" w:space="0" w:color="auto"/>
              <w:bottom w:val="single" w:sz="4" w:space="0" w:color="auto"/>
              <w:right w:val="single" w:sz="4" w:space="0" w:color="auto"/>
            </w:tcBorders>
            <w:noWrap/>
            <w:vAlign w:val="center"/>
            <w:hideMark/>
          </w:tcPr>
          <w:p w14:paraId="5E1E3052" w14:textId="1E404390" w:rsidR="00647B71" w:rsidRPr="00BB2991" w:rsidRDefault="00647B71" w:rsidP="00814B65">
            <w:pPr>
              <w:spacing w:after="0" w:line="240" w:lineRule="auto"/>
              <w:ind w:firstLine="601"/>
              <w:rPr>
                <w:rFonts w:ascii="Times New Roman" w:eastAsia="Times New Roman" w:hAnsi="Times New Roman" w:cs="Times New Roman"/>
                <w:color w:val="000000"/>
                <w:sz w:val="24"/>
                <w:szCs w:val="24"/>
                <w:lang w:eastAsia="ru-RU"/>
              </w:rPr>
            </w:pPr>
            <w:r w:rsidRPr="00BB2991">
              <w:rPr>
                <w:rFonts w:ascii="Times New Roman" w:eastAsiaTheme="minorEastAsia" w:hAnsi="Times New Roman" w:cs="Times New Roman"/>
                <w:sz w:val="24"/>
                <w:szCs w:val="24"/>
                <w:lang w:val="kk-KZ"/>
              </w:rPr>
              <w:t xml:space="preserve">Ескерту – </w:t>
            </w:r>
            <w:r w:rsidR="00814B65"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7D646A70" w14:textId="77777777" w:rsidR="00847107" w:rsidRPr="00457CE9" w:rsidRDefault="00847107" w:rsidP="00457CE9">
      <w:pPr>
        <w:spacing w:after="0" w:line="240" w:lineRule="auto"/>
        <w:ind w:firstLine="709"/>
        <w:jc w:val="both"/>
        <w:rPr>
          <w:rFonts w:ascii="Times New Roman" w:eastAsiaTheme="minorEastAsia" w:hAnsi="Times New Roman" w:cs="Times New Roman"/>
          <w:sz w:val="28"/>
          <w:szCs w:val="28"/>
          <w:lang w:val="kk-KZ"/>
        </w:rPr>
      </w:pPr>
    </w:p>
    <w:p w14:paraId="1C996A7C" w14:textId="25F0F4BA"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дамытуға бағытталған бюджет қаражатын пайдалану тиімділігін бағалаудың иерархиялық талдауды І және ІІ нұсқа бойынша бағалау нәтижелері бөлек-бөлек алынып, қорытынды нәтижелері келесі</w:t>
      </w:r>
      <w:r w:rsidR="002E1D76" w:rsidRPr="00457CE9">
        <w:rPr>
          <w:rFonts w:ascii="Times New Roman" w:eastAsiaTheme="minorEastAsia" w:hAnsi="Times New Roman" w:cs="Times New Roman"/>
          <w:sz w:val="28"/>
          <w:szCs w:val="28"/>
          <w:lang w:val="kk-KZ"/>
        </w:rPr>
        <w:t xml:space="preserve"> </w:t>
      </w:r>
      <w:r w:rsidR="00EB7D69">
        <w:rPr>
          <w:rFonts w:ascii="Times New Roman" w:eastAsiaTheme="minorEastAsia" w:hAnsi="Times New Roman" w:cs="Times New Roman"/>
          <w:sz w:val="28"/>
          <w:szCs w:val="28"/>
          <w:lang w:val="kk-KZ"/>
        </w:rPr>
        <w:t>5</w:t>
      </w:r>
      <w:r w:rsidR="00DF4205" w:rsidRPr="00457CE9">
        <w:rPr>
          <w:rFonts w:ascii="Times New Roman" w:eastAsiaTheme="minorEastAsia" w:hAnsi="Times New Roman" w:cs="Times New Roman"/>
          <w:sz w:val="28"/>
          <w:szCs w:val="28"/>
          <w:lang w:val="kk-KZ"/>
        </w:rPr>
        <w:t>9</w:t>
      </w:r>
      <w:r w:rsidR="002E1D76" w:rsidRPr="00457CE9">
        <w:rPr>
          <w:rFonts w:ascii="Times New Roman" w:eastAsiaTheme="minorEastAsia" w:hAnsi="Times New Roman" w:cs="Times New Roman"/>
          <w:sz w:val="28"/>
          <w:szCs w:val="28"/>
          <w:lang w:val="kk-KZ"/>
        </w:rPr>
        <w:t xml:space="preserve">, </w:t>
      </w:r>
      <w:r w:rsidR="00EB7D69">
        <w:rPr>
          <w:rFonts w:ascii="Times New Roman" w:eastAsiaTheme="minorEastAsia" w:hAnsi="Times New Roman" w:cs="Times New Roman"/>
          <w:sz w:val="28"/>
          <w:szCs w:val="28"/>
          <w:lang w:val="kk-KZ"/>
        </w:rPr>
        <w:t>6</w:t>
      </w:r>
      <w:r w:rsidR="00DF4205" w:rsidRPr="00457CE9">
        <w:rPr>
          <w:rFonts w:ascii="Times New Roman" w:eastAsiaTheme="minorEastAsia" w:hAnsi="Times New Roman" w:cs="Times New Roman"/>
          <w:sz w:val="28"/>
          <w:szCs w:val="28"/>
          <w:lang w:val="kk-KZ"/>
        </w:rPr>
        <w:t>0</w:t>
      </w:r>
      <w:r w:rsidR="002E1D76" w:rsidRPr="00457CE9">
        <w:rPr>
          <w:rFonts w:ascii="Times New Roman" w:eastAsiaTheme="minorEastAsia" w:hAnsi="Times New Roman" w:cs="Times New Roman"/>
          <w:sz w:val="28"/>
          <w:szCs w:val="28"/>
          <w:lang w:val="kk-KZ"/>
        </w:rPr>
        <w:t>-</w:t>
      </w:r>
      <w:r w:rsidRPr="00457CE9">
        <w:rPr>
          <w:rFonts w:ascii="Times New Roman" w:eastAsiaTheme="minorEastAsia" w:hAnsi="Times New Roman" w:cs="Times New Roman"/>
          <w:sz w:val="28"/>
          <w:szCs w:val="28"/>
          <w:lang w:val="kk-KZ"/>
        </w:rPr>
        <w:t>кестелерде келтірілген.</w:t>
      </w:r>
    </w:p>
    <w:p w14:paraId="4496E293" w14:textId="3C3053A8"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9 міндеті бойынша және әр міндет бойынша іс-шаралардың әрқайсысының 159 альтернативалары бойынша үлестерінің және 159 іс-шаралар жоспарлы мәндер үлестерінің матрицасы меншікті векторларының көбейтіндісі нәтижелерінің бағаланулары келтірілген.</w:t>
      </w:r>
    </w:p>
    <w:p w14:paraId="6B7EFED6" w14:textId="7777777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p>
    <w:p w14:paraId="020344FE" w14:textId="78C7396E"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5</w:t>
      </w:r>
      <w:r w:rsidR="00EB7D69">
        <w:rPr>
          <w:rFonts w:ascii="Times New Roman" w:eastAsiaTheme="minorEastAsia" w:hAnsi="Times New Roman" w:cs="Times New Roman"/>
          <w:sz w:val="28"/>
          <w:szCs w:val="28"/>
          <w:lang w:val="kk-KZ"/>
        </w:rPr>
        <w:t>9</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іс-шараларының сандық мәліметтерінің және оның альтернативаларының жұптап салыстыру матрицаның нәтижесі</w:t>
      </w:r>
    </w:p>
    <w:p w14:paraId="737A8E70" w14:textId="77777777" w:rsidR="00814B65" w:rsidRPr="00814B65" w:rsidRDefault="00814B65" w:rsidP="00457CE9">
      <w:pPr>
        <w:spacing w:after="0" w:line="240" w:lineRule="auto"/>
        <w:jc w:val="both"/>
        <w:rPr>
          <w:rFonts w:ascii="Times New Roman" w:eastAsiaTheme="minorEastAsia" w:hAnsi="Times New Roman" w:cs="Times New Roman"/>
          <w:sz w:val="16"/>
          <w:szCs w:val="16"/>
          <w:lang w:val="kk-KZ"/>
        </w:rPr>
      </w:pPr>
    </w:p>
    <w:tbl>
      <w:tblPr>
        <w:tblW w:w="9718" w:type="dxa"/>
        <w:jc w:val="center"/>
        <w:tblLook w:val="04A0" w:firstRow="1" w:lastRow="0" w:firstColumn="1" w:lastColumn="0" w:noHBand="0" w:noVBand="1"/>
      </w:tblPr>
      <w:tblGrid>
        <w:gridCol w:w="422"/>
        <w:gridCol w:w="1053"/>
        <w:gridCol w:w="1024"/>
        <w:gridCol w:w="564"/>
        <w:gridCol w:w="1024"/>
        <w:gridCol w:w="1024"/>
        <w:gridCol w:w="1024"/>
        <w:gridCol w:w="847"/>
        <w:gridCol w:w="377"/>
        <w:gridCol w:w="1069"/>
        <w:gridCol w:w="390"/>
        <w:gridCol w:w="1024"/>
      </w:tblGrid>
      <w:tr w:rsidR="00814B65" w:rsidRPr="00BB2991" w14:paraId="43C04F23" w14:textId="77777777" w:rsidTr="00814B65">
        <w:trPr>
          <w:trHeight w:val="288"/>
          <w:jc w:val="center"/>
        </w:trPr>
        <w:tc>
          <w:tcPr>
            <w:tcW w:w="422" w:type="dxa"/>
            <w:tcBorders>
              <w:top w:val="single" w:sz="4" w:space="0" w:color="auto"/>
              <w:left w:val="single" w:sz="4" w:space="0" w:color="auto"/>
              <w:bottom w:val="single" w:sz="4" w:space="0" w:color="auto"/>
              <w:right w:val="nil"/>
            </w:tcBorders>
            <w:noWrap/>
            <w:vAlign w:val="center"/>
            <w:hideMark/>
          </w:tcPr>
          <w:p w14:paraId="527A7174" w14:textId="77777777" w:rsidR="00647B71" w:rsidRPr="00BB2991" w:rsidRDefault="00647B71" w:rsidP="00814B65">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А</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3E5F5D4A"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014" w:type="dxa"/>
            <w:tcBorders>
              <w:top w:val="single" w:sz="4" w:space="0" w:color="auto"/>
              <w:left w:val="nil"/>
              <w:bottom w:val="single" w:sz="4" w:space="0" w:color="auto"/>
              <w:right w:val="single" w:sz="4" w:space="0" w:color="auto"/>
            </w:tcBorders>
            <w:noWrap/>
            <w:vAlign w:val="center"/>
            <w:hideMark/>
          </w:tcPr>
          <w:p w14:paraId="6B8AAACF"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564" w:type="dxa"/>
            <w:tcBorders>
              <w:top w:val="single" w:sz="4" w:space="0" w:color="auto"/>
              <w:left w:val="nil"/>
              <w:bottom w:val="single" w:sz="4" w:space="0" w:color="auto"/>
              <w:right w:val="single" w:sz="4" w:space="0" w:color="auto"/>
            </w:tcBorders>
            <w:noWrap/>
            <w:vAlign w:val="center"/>
            <w:hideMark/>
          </w:tcPr>
          <w:p w14:paraId="41C7B99D"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1014" w:type="dxa"/>
            <w:tcBorders>
              <w:top w:val="single" w:sz="4" w:space="0" w:color="auto"/>
              <w:left w:val="nil"/>
              <w:bottom w:val="single" w:sz="4" w:space="0" w:color="auto"/>
              <w:right w:val="single" w:sz="4" w:space="0" w:color="auto"/>
            </w:tcBorders>
            <w:noWrap/>
            <w:vAlign w:val="center"/>
            <w:hideMark/>
          </w:tcPr>
          <w:p w14:paraId="2628A3F6"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1014" w:type="dxa"/>
            <w:tcBorders>
              <w:top w:val="single" w:sz="4" w:space="0" w:color="auto"/>
              <w:left w:val="nil"/>
              <w:bottom w:val="single" w:sz="4" w:space="0" w:color="auto"/>
              <w:right w:val="single" w:sz="4" w:space="0" w:color="auto"/>
            </w:tcBorders>
            <w:noWrap/>
            <w:vAlign w:val="center"/>
            <w:hideMark/>
          </w:tcPr>
          <w:p w14:paraId="0026EBBD"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1014" w:type="dxa"/>
            <w:tcBorders>
              <w:top w:val="single" w:sz="4" w:space="0" w:color="auto"/>
              <w:left w:val="nil"/>
              <w:bottom w:val="single" w:sz="4" w:space="0" w:color="auto"/>
              <w:right w:val="single" w:sz="4" w:space="0" w:color="auto"/>
            </w:tcBorders>
            <w:noWrap/>
            <w:vAlign w:val="center"/>
            <w:hideMark/>
          </w:tcPr>
          <w:p w14:paraId="702E5D31"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847" w:type="dxa"/>
            <w:tcBorders>
              <w:top w:val="single" w:sz="4" w:space="0" w:color="auto"/>
              <w:left w:val="nil"/>
              <w:bottom w:val="single" w:sz="4" w:space="0" w:color="auto"/>
              <w:right w:val="single" w:sz="4" w:space="0" w:color="auto"/>
            </w:tcBorders>
            <w:noWrap/>
            <w:vAlign w:val="center"/>
            <w:hideMark/>
          </w:tcPr>
          <w:p w14:paraId="3DBA0F19"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306" w:type="dxa"/>
            <w:tcBorders>
              <w:top w:val="single" w:sz="4" w:space="0" w:color="auto"/>
              <w:left w:val="nil"/>
              <w:bottom w:val="single" w:sz="4" w:space="0" w:color="auto"/>
              <w:right w:val="nil"/>
            </w:tcBorders>
            <w:noWrap/>
            <w:vAlign w:val="center"/>
            <w:hideMark/>
          </w:tcPr>
          <w:p w14:paraId="25E20255"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К</w:t>
            </w:r>
          </w:p>
        </w:tc>
        <w:tc>
          <w:tcPr>
            <w:tcW w:w="1069" w:type="dxa"/>
            <w:tcBorders>
              <w:top w:val="single" w:sz="4" w:space="0" w:color="auto"/>
              <w:left w:val="single" w:sz="4" w:space="0" w:color="auto"/>
              <w:bottom w:val="single" w:sz="4" w:space="0" w:color="auto"/>
              <w:right w:val="single" w:sz="4" w:space="0" w:color="auto"/>
            </w:tcBorders>
            <w:noWrap/>
            <w:vAlign w:val="center"/>
            <w:hideMark/>
          </w:tcPr>
          <w:p w14:paraId="6A803EF5"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М-3.1</w:t>
            </w:r>
          </w:p>
        </w:tc>
        <w:tc>
          <w:tcPr>
            <w:tcW w:w="387" w:type="dxa"/>
            <w:tcBorders>
              <w:top w:val="single" w:sz="4" w:space="0" w:color="auto"/>
              <w:left w:val="nil"/>
              <w:bottom w:val="single" w:sz="4" w:space="0" w:color="auto"/>
              <w:right w:val="single" w:sz="4" w:space="0" w:color="auto"/>
            </w:tcBorders>
            <w:noWrap/>
            <w:vAlign w:val="center"/>
            <w:hideMark/>
          </w:tcPr>
          <w:p w14:paraId="54FC332A" w14:textId="77777777" w:rsidR="00647B71" w:rsidRPr="00BB2991" w:rsidRDefault="00647B71" w:rsidP="00814B65">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А</w:t>
            </w:r>
          </w:p>
        </w:tc>
        <w:tc>
          <w:tcPr>
            <w:tcW w:w="1014" w:type="dxa"/>
            <w:tcBorders>
              <w:top w:val="single" w:sz="4" w:space="0" w:color="auto"/>
              <w:left w:val="single" w:sz="4" w:space="0" w:color="auto"/>
              <w:bottom w:val="single" w:sz="4" w:space="0" w:color="auto"/>
              <w:right w:val="single" w:sz="4" w:space="0" w:color="auto"/>
            </w:tcBorders>
            <w:noWrap/>
            <w:vAlign w:val="center"/>
            <w:hideMark/>
          </w:tcPr>
          <w:p w14:paraId="6A43BD41" w14:textId="77777777" w:rsidR="00647B71" w:rsidRPr="00BB2991" w:rsidRDefault="00647B71" w:rsidP="00814B65">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А*М-3.1</w:t>
            </w:r>
          </w:p>
        </w:tc>
      </w:tr>
      <w:tr w:rsidR="00814B65" w:rsidRPr="00BB2991" w14:paraId="1F525903" w14:textId="77777777" w:rsidTr="00814B65">
        <w:trPr>
          <w:trHeight w:val="58"/>
          <w:jc w:val="center"/>
        </w:trPr>
        <w:tc>
          <w:tcPr>
            <w:tcW w:w="422" w:type="dxa"/>
            <w:tcBorders>
              <w:top w:val="single" w:sz="4" w:space="0" w:color="auto"/>
              <w:left w:val="single" w:sz="4" w:space="0" w:color="auto"/>
              <w:bottom w:val="single" w:sz="4" w:space="0" w:color="auto"/>
              <w:right w:val="nil"/>
            </w:tcBorders>
            <w:noWrap/>
            <w:vAlign w:val="bottom"/>
            <w:hideMark/>
          </w:tcPr>
          <w:p w14:paraId="43A8DA7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053" w:type="dxa"/>
            <w:tcBorders>
              <w:top w:val="nil"/>
              <w:left w:val="single" w:sz="4" w:space="0" w:color="auto"/>
              <w:bottom w:val="single" w:sz="4" w:space="0" w:color="auto"/>
              <w:right w:val="single" w:sz="4" w:space="0" w:color="auto"/>
            </w:tcBorders>
            <w:noWrap/>
            <w:vAlign w:val="bottom"/>
            <w:hideMark/>
          </w:tcPr>
          <w:p w14:paraId="3FD1DE86"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0,033898</w:t>
            </w:r>
          </w:p>
        </w:tc>
        <w:tc>
          <w:tcPr>
            <w:tcW w:w="1014" w:type="dxa"/>
            <w:tcBorders>
              <w:top w:val="nil"/>
              <w:left w:val="nil"/>
              <w:bottom w:val="single" w:sz="4" w:space="0" w:color="auto"/>
              <w:right w:val="single" w:sz="4" w:space="0" w:color="auto"/>
            </w:tcBorders>
            <w:noWrap/>
            <w:vAlign w:val="bottom"/>
            <w:hideMark/>
          </w:tcPr>
          <w:p w14:paraId="7152859B"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0,104167</w:t>
            </w:r>
          </w:p>
        </w:tc>
        <w:tc>
          <w:tcPr>
            <w:tcW w:w="564" w:type="dxa"/>
            <w:tcBorders>
              <w:top w:val="nil"/>
              <w:left w:val="nil"/>
              <w:bottom w:val="single" w:sz="4" w:space="0" w:color="auto"/>
              <w:right w:val="single" w:sz="4" w:space="0" w:color="auto"/>
            </w:tcBorders>
            <w:noWrap/>
            <w:vAlign w:val="bottom"/>
            <w:hideMark/>
          </w:tcPr>
          <w:p w14:paraId="05DC7DBA"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w:t>
            </w:r>
          </w:p>
        </w:tc>
        <w:tc>
          <w:tcPr>
            <w:tcW w:w="1014" w:type="dxa"/>
            <w:tcBorders>
              <w:top w:val="nil"/>
              <w:left w:val="nil"/>
              <w:bottom w:val="single" w:sz="4" w:space="0" w:color="auto"/>
              <w:right w:val="single" w:sz="4" w:space="0" w:color="auto"/>
            </w:tcBorders>
            <w:noWrap/>
            <w:vAlign w:val="bottom"/>
            <w:hideMark/>
          </w:tcPr>
          <w:p w14:paraId="76D00A21"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0,036364</w:t>
            </w:r>
          </w:p>
        </w:tc>
        <w:tc>
          <w:tcPr>
            <w:tcW w:w="1014" w:type="dxa"/>
            <w:tcBorders>
              <w:top w:val="nil"/>
              <w:left w:val="nil"/>
              <w:bottom w:val="single" w:sz="4" w:space="0" w:color="auto"/>
              <w:right w:val="single" w:sz="4" w:space="0" w:color="auto"/>
            </w:tcBorders>
            <w:noWrap/>
            <w:vAlign w:val="bottom"/>
            <w:hideMark/>
          </w:tcPr>
          <w:p w14:paraId="262191B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0,070175</w:t>
            </w:r>
          </w:p>
        </w:tc>
        <w:tc>
          <w:tcPr>
            <w:tcW w:w="1014" w:type="dxa"/>
            <w:tcBorders>
              <w:top w:val="nil"/>
              <w:left w:val="nil"/>
              <w:bottom w:val="single" w:sz="4" w:space="0" w:color="auto"/>
              <w:right w:val="single" w:sz="4" w:space="0" w:color="auto"/>
            </w:tcBorders>
            <w:noWrap/>
            <w:vAlign w:val="bottom"/>
            <w:hideMark/>
          </w:tcPr>
          <w:p w14:paraId="70E011E3"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0,071174</w:t>
            </w:r>
          </w:p>
        </w:tc>
        <w:tc>
          <w:tcPr>
            <w:tcW w:w="847" w:type="dxa"/>
            <w:tcBorders>
              <w:top w:val="nil"/>
              <w:left w:val="nil"/>
              <w:bottom w:val="single" w:sz="4" w:space="0" w:color="auto"/>
              <w:right w:val="single" w:sz="4" w:space="0" w:color="auto"/>
            </w:tcBorders>
            <w:noWrap/>
            <w:vAlign w:val="bottom"/>
            <w:hideMark/>
          </w:tcPr>
          <w:p w14:paraId="5F1B2DB2"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c>
          <w:tcPr>
            <w:tcW w:w="306" w:type="dxa"/>
            <w:tcBorders>
              <w:top w:val="single" w:sz="4" w:space="0" w:color="auto"/>
              <w:left w:val="nil"/>
              <w:bottom w:val="single" w:sz="4" w:space="0" w:color="auto"/>
              <w:right w:val="nil"/>
            </w:tcBorders>
            <w:noWrap/>
            <w:vAlign w:val="bottom"/>
            <w:hideMark/>
          </w:tcPr>
          <w:p w14:paraId="30B4E5C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26E09EAC"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0,142863</w:t>
            </w:r>
          </w:p>
        </w:tc>
        <w:tc>
          <w:tcPr>
            <w:tcW w:w="387" w:type="dxa"/>
            <w:tcBorders>
              <w:top w:val="single" w:sz="4" w:space="0" w:color="auto"/>
              <w:left w:val="nil"/>
              <w:bottom w:val="single" w:sz="4" w:space="0" w:color="auto"/>
              <w:right w:val="nil"/>
            </w:tcBorders>
            <w:noWrap/>
            <w:vAlign w:val="bottom"/>
            <w:hideMark/>
          </w:tcPr>
          <w:p w14:paraId="123404FA"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FB226"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0,06868</w:t>
            </w:r>
          </w:p>
        </w:tc>
      </w:tr>
      <w:tr w:rsidR="00814B65" w:rsidRPr="00BB2991" w14:paraId="15CA1D1D"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352D8FA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1053" w:type="dxa"/>
            <w:tcBorders>
              <w:top w:val="nil"/>
              <w:left w:val="single" w:sz="4" w:space="0" w:color="auto"/>
              <w:bottom w:val="single" w:sz="4" w:space="0" w:color="auto"/>
              <w:right w:val="single" w:sz="4" w:space="0" w:color="auto"/>
            </w:tcBorders>
            <w:noWrap/>
            <w:vAlign w:val="bottom"/>
            <w:hideMark/>
          </w:tcPr>
          <w:p w14:paraId="2FEC98B1"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0,033898</w:t>
            </w:r>
          </w:p>
        </w:tc>
        <w:tc>
          <w:tcPr>
            <w:tcW w:w="1014" w:type="dxa"/>
            <w:tcBorders>
              <w:top w:val="nil"/>
              <w:left w:val="nil"/>
              <w:bottom w:val="single" w:sz="4" w:space="0" w:color="auto"/>
              <w:right w:val="single" w:sz="4" w:space="0" w:color="auto"/>
            </w:tcBorders>
            <w:noWrap/>
            <w:vAlign w:val="bottom"/>
            <w:hideMark/>
          </w:tcPr>
          <w:p w14:paraId="22AA796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0,104167</w:t>
            </w:r>
          </w:p>
        </w:tc>
        <w:tc>
          <w:tcPr>
            <w:tcW w:w="564" w:type="dxa"/>
            <w:tcBorders>
              <w:top w:val="nil"/>
              <w:left w:val="nil"/>
              <w:bottom w:val="single" w:sz="4" w:space="0" w:color="auto"/>
              <w:right w:val="single" w:sz="4" w:space="0" w:color="auto"/>
            </w:tcBorders>
            <w:noWrap/>
            <w:vAlign w:val="bottom"/>
            <w:hideMark/>
          </w:tcPr>
          <w:p w14:paraId="0100E3C7"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w:t>
            </w:r>
          </w:p>
        </w:tc>
        <w:tc>
          <w:tcPr>
            <w:tcW w:w="1014" w:type="dxa"/>
            <w:tcBorders>
              <w:top w:val="nil"/>
              <w:left w:val="nil"/>
              <w:bottom w:val="single" w:sz="4" w:space="0" w:color="auto"/>
              <w:right w:val="single" w:sz="4" w:space="0" w:color="auto"/>
            </w:tcBorders>
            <w:noWrap/>
            <w:vAlign w:val="bottom"/>
            <w:hideMark/>
          </w:tcPr>
          <w:p w14:paraId="1A2EFDF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0,036364</w:t>
            </w:r>
          </w:p>
        </w:tc>
        <w:tc>
          <w:tcPr>
            <w:tcW w:w="1014" w:type="dxa"/>
            <w:tcBorders>
              <w:top w:val="nil"/>
              <w:left w:val="nil"/>
              <w:bottom w:val="single" w:sz="4" w:space="0" w:color="auto"/>
              <w:right w:val="single" w:sz="4" w:space="0" w:color="auto"/>
            </w:tcBorders>
            <w:noWrap/>
            <w:vAlign w:val="bottom"/>
            <w:hideMark/>
          </w:tcPr>
          <w:p w14:paraId="17D1E12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0,070175</w:t>
            </w:r>
          </w:p>
        </w:tc>
        <w:tc>
          <w:tcPr>
            <w:tcW w:w="1014" w:type="dxa"/>
            <w:tcBorders>
              <w:top w:val="nil"/>
              <w:left w:val="nil"/>
              <w:bottom w:val="single" w:sz="4" w:space="0" w:color="auto"/>
              <w:right w:val="single" w:sz="4" w:space="0" w:color="auto"/>
            </w:tcBorders>
            <w:noWrap/>
            <w:vAlign w:val="bottom"/>
            <w:hideMark/>
          </w:tcPr>
          <w:p w14:paraId="69B81E4D"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0,071174</w:t>
            </w:r>
          </w:p>
        </w:tc>
        <w:tc>
          <w:tcPr>
            <w:tcW w:w="847" w:type="dxa"/>
            <w:tcBorders>
              <w:top w:val="nil"/>
              <w:left w:val="nil"/>
              <w:bottom w:val="single" w:sz="4" w:space="0" w:color="auto"/>
              <w:right w:val="single" w:sz="4" w:space="0" w:color="auto"/>
            </w:tcBorders>
            <w:noWrap/>
            <w:vAlign w:val="bottom"/>
            <w:hideMark/>
          </w:tcPr>
          <w:p w14:paraId="576F52D7"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c>
          <w:tcPr>
            <w:tcW w:w="306" w:type="dxa"/>
            <w:tcBorders>
              <w:top w:val="single" w:sz="4" w:space="0" w:color="auto"/>
              <w:left w:val="nil"/>
              <w:bottom w:val="single" w:sz="4" w:space="0" w:color="auto"/>
              <w:right w:val="nil"/>
            </w:tcBorders>
            <w:noWrap/>
            <w:vAlign w:val="bottom"/>
            <w:hideMark/>
          </w:tcPr>
          <w:p w14:paraId="64C9E29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30077914"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0,142863</w:t>
            </w:r>
          </w:p>
        </w:tc>
        <w:tc>
          <w:tcPr>
            <w:tcW w:w="387" w:type="dxa"/>
            <w:tcBorders>
              <w:top w:val="single" w:sz="4" w:space="0" w:color="auto"/>
              <w:left w:val="nil"/>
              <w:bottom w:val="single" w:sz="4" w:space="0" w:color="auto"/>
              <w:right w:val="nil"/>
            </w:tcBorders>
            <w:noWrap/>
            <w:vAlign w:val="bottom"/>
            <w:hideMark/>
          </w:tcPr>
          <w:p w14:paraId="29BCB827"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47F1795F"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0,06868</w:t>
            </w:r>
          </w:p>
        </w:tc>
      </w:tr>
      <w:tr w:rsidR="00814B65" w:rsidRPr="00BB2991" w14:paraId="30C68240"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05CB8EB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1053" w:type="dxa"/>
            <w:tcBorders>
              <w:top w:val="nil"/>
              <w:left w:val="single" w:sz="4" w:space="0" w:color="auto"/>
              <w:bottom w:val="single" w:sz="4" w:space="0" w:color="auto"/>
              <w:right w:val="single" w:sz="4" w:space="0" w:color="auto"/>
            </w:tcBorders>
            <w:noWrap/>
            <w:vAlign w:val="bottom"/>
            <w:hideMark/>
          </w:tcPr>
          <w:p w14:paraId="6D2EF09F"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0,305085</w:t>
            </w:r>
          </w:p>
        </w:tc>
        <w:tc>
          <w:tcPr>
            <w:tcW w:w="1014" w:type="dxa"/>
            <w:tcBorders>
              <w:top w:val="nil"/>
              <w:left w:val="nil"/>
              <w:bottom w:val="single" w:sz="4" w:space="0" w:color="auto"/>
              <w:right w:val="single" w:sz="4" w:space="0" w:color="auto"/>
            </w:tcBorders>
            <w:noWrap/>
            <w:vAlign w:val="bottom"/>
            <w:hideMark/>
          </w:tcPr>
          <w:p w14:paraId="3CD2046A"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0,1875</w:t>
            </w:r>
          </w:p>
        </w:tc>
        <w:tc>
          <w:tcPr>
            <w:tcW w:w="564" w:type="dxa"/>
            <w:tcBorders>
              <w:top w:val="nil"/>
              <w:left w:val="nil"/>
              <w:bottom w:val="single" w:sz="4" w:space="0" w:color="auto"/>
              <w:right w:val="single" w:sz="4" w:space="0" w:color="auto"/>
            </w:tcBorders>
            <w:noWrap/>
            <w:vAlign w:val="bottom"/>
            <w:hideMark/>
          </w:tcPr>
          <w:p w14:paraId="60002BB3"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w:t>
            </w:r>
          </w:p>
        </w:tc>
        <w:tc>
          <w:tcPr>
            <w:tcW w:w="1014" w:type="dxa"/>
            <w:tcBorders>
              <w:top w:val="nil"/>
              <w:left w:val="nil"/>
              <w:bottom w:val="single" w:sz="4" w:space="0" w:color="auto"/>
              <w:right w:val="single" w:sz="4" w:space="0" w:color="auto"/>
            </w:tcBorders>
            <w:noWrap/>
            <w:vAlign w:val="bottom"/>
            <w:hideMark/>
          </w:tcPr>
          <w:p w14:paraId="01996007"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0,327273</w:t>
            </w:r>
          </w:p>
        </w:tc>
        <w:tc>
          <w:tcPr>
            <w:tcW w:w="1014" w:type="dxa"/>
            <w:tcBorders>
              <w:top w:val="nil"/>
              <w:left w:val="nil"/>
              <w:bottom w:val="single" w:sz="4" w:space="0" w:color="auto"/>
              <w:right w:val="single" w:sz="4" w:space="0" w:color="auto"/>
            </w:tcBorders>
            <w:noWrap/>
            <w:vAlign w:val="bottom"/>
            <w:hideMark/>
          </w:tcPr>
          <w:p w14:paraId="74059287"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0,280702</w:t>
            </w:r>
          </w:p>
        </w:tc>
        <w:tc>
          <w:tcPr>
            <w:tcW w:w="1014" w:type="dxa"/>
            <w:tcBorders>
              <w:top w:val="nil"/>
              <w:left w:val="nil"/>
              <w:bottom w:val="single" w:sz="4" w:space="0" w:color="auto"/>
              <w:right w:val="single" w:sz="4" w:space="0" w:color="auto"/>
            </w:tcBorders>
            <w:noWrap/>
            <w:vAlign w:val="bottom"/>
            <w:hideMark/>
          </w:tcPr>
          <w:p w14:paraId="14D348C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0,284698</w:t>
            </w:r>
          </w:p>
        </w:tc>
        <w:tc>
          <w:tcPr>
            <w:tcW w:w="847" w:type="dxa"/>
            <w:tcBorders>
              <w:top w:val="nil"/>
              <w:left w:val="nil"/>
              <w:bottom w:val="single" w:sz="4" w:space="0" w:color="auto"/>
              <w:right w:val="single" w:sz="4" w:space="0" w:color="auto"/>
            </w:tcBorders>
            <w:noWrap/>
            <w:vAlign w:val="bottom"/>
            <w:hideMark/>
          </w:tcPr>
          <w:p w14:paraId="089B7906"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0,1875</w:t>
            </w:r>
          </w:p>
        </w:tc>
        <w:tc>
          <w:tcPr>
            <w:tcW w:w="306" w:type="dxa"/>
            <w:tcBorders>
              <w:top w:val="single" w:sz="4" w:space="0" w:color="auto"/>
              <w:left w:val="nil"/>
              <w:bottom w:val="single" w:sz="4" w:space="0" w:color="auto"/>
              <w:right w:val="nil"/>
            </w:tcBorders>
            <w:noWrap/>
            <w:vAlign w:val="bottom"/>
            <w:hideMark/>
          </w:tcPr>
          <w:p w14:paraId="4F7E8B4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3</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44B23A86"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0,142863</w:t>
            </w:r>
          </w:p>
        </w:tc>
        <w:tc>
          <w:tcPr>
            <w:tcW w:w="387" w:type="dxa"/>
            <w:tcBorders>
              <w:top w:val="single" w:sz="4" w:space="0" w:color="auto"/>
              <w:left w:val="nil"/>
              <w:bottom w:val="single" w:sz="4" w:space="0" w:color="auto"/>
              <w:right w:val="nil"/>
            </w:tcBorders>
            <w:noWrap/>
            <w:vAlign w:val="bottom"/>
            <w:hideMark/>
          </w:tcPr>
          <w:p w14:paraId="047BF9B4"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3</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23272BC2"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0,26754</w:t>
            </w:r>
          </w:p>
        </w:tc>
      </w:tr>
      <w:tr w:rsidR="00814B65" w:rsidRPr="00BB2991" w14:paraId="5B07CB00"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4A7FA3B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1053" w:type="dxa"/>
            <w:tcBorders>
              <w:top w:val="nil"/>
              <w:left w:val="single" w:sz="4" w:space="0" w:color="auto"/>
              <w:bottom w:val="single" w:sz="4" w:space="0" w:color="auto"/>
              <w:right w:val="single" w:sz="4" w:space="0" w:color="auto"/>
            </w:tcBorders>
            <w:noWrap/>
            <w:vAlign w:val="bottom"/>
            <w:hideMark/>
          </w:tcPr>
          <w:p w14:paraId="1DB9AFB4"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0,305085</w:t>
            </w:r>
          </w:p>
        </w:tc>
        <w:tc>
          <w:tcPr>
            <w:tcW w:w="1014" w:type="dxa"/>
            <w:tcBorders>
              <w:top w:val="nil"/>
              <w:left w:val="nil"/>
              <w:bottom w:val="single" w:sz="4" w:space="0" w:color="auto"/>
              <w:right w:val="single" w:sz="4" w:space="0" w:color="auto"/>
            </w:tcBorders>
            <w:noWrap/>
            <w:vAlign w:val="bottom"/>
            <w:hideMark/>
          </w:tcPr>
          <w:p w14:paraId="779653A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0,1875</w:t>
            </w:r>
          </w:p>
        </w:tc>
        <w:tc>
          <w:tcPr>
            <w:tcW w:w="564" w:type="dxa"/>
            <w:tcBorders>
              <w:top w:val="nil"/>
              <w:left w:val="nil"/>
              <w:bottom w:val="single" w:sz="4" w:space="0" w:color="auto"/>
              <w:right w:val="single" w:sz="4" w:space="0" w:color="auto"/>
            </w:tcBorders>
            <w:noWrap/>
            <w:vAlign w:val="bottom"/>
            <w:hideMark/>
          </w:tcPr>
          <w:p w14:paraId="5D13D72D"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w:t>
            </w:r>
          </w:p>
        </w:tc>
        <w:tc>
          <w:tcPr>
            <w:tcW w:w="1014" w:type="dxa"/>
            <w:tcBorders>
              <w:top w:val="nil"/>
              <w:left w:val="nil"/>
              <w:bottom w:val="single" w:sz="4" w:space="0" w:color="auto"/>
              <w:right w:val="single" w:sz="4" w:space="0" w:color="auto"/>
            </w:tcBorders>
            <w:noWrap/>
            <w:vAlign w:val="bottom"/>
            <w:hideMark/>
          </w:tcPr>
          <w:p w14:paraId="5D32CB76"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0,327273</w:t>
            </w:r>
          </w:p>
        </w:tc>
        <w:tc>
          <w:tcPr>
            <w:tcW w:w="1014" w:type="dxa"/>
            <w:tcBorders>
              <w:top w:val="nil"/>
              <w:left w:val="nil"/>
              <w:bottom w:val="single" w:sz="4" w:space="0" w:color="auto"/>
              <w:right w:val="single" w:sz="4" w:space="0" w:color="auto"/>
            </w:tcBorders>
            <w:noWrap/>
            <w:vAlign w:val="bottom"/>
            <w:hideMark/>
          </w:tcPr>
          <w:p w14:paraId="00B46036"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0,280702</w:t>
            </w:r>
          </w:p>
        </w:tc>
        <w:tc>
          <w:tcPr>
            <w:tcW w:w="1014" w:type="dxa"/>
            <w:tcBorders>
              <w:top w:val="nil"/>
              <w:left w:val="nil"/>
              <w:bottom w:val="single" w:sz="4" w:space="0" w:color="auto"/>
              <w:right w:val="single" w:sz="4" w:space="0" w:color="auto"/>
            </w:tcBorders>
            <w:noWrap/>
            <w:vAlign w:val="bottom"/>
            <w:hideMark/>
          </w:tcPr>
          <w:p w14:paraId="22DBB223"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0,284698</w:t>
            </w:r>
          </w:p>
        </w:tc>
        <w:tc>
          <w:tcPr>
            <w:tcW w:w="847" w:type="dxa"/>
            <w:tcBorders>
              <w:top w:val="nil"/>
              <w:left w:val="nil"/>
              <w:bottom w:val="single" w:sz="4" w:space="0" w:color="auto"/>
              <w:right w:val="single" w:sz="4" w:space="0" w:color="auto"/>
            </w:tcBorders>
            <w:noWrap/>
            <w:vAlign w:val="bottom"/>
            <w:hideMark/>
          </w:tcPr>
          <w:p w14:paraId="614DBD3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0,1875</w:t>
            </w:r>
          </w:p>
        </w:tc>
        <w:tc>
          <w:tcPr>
            <w:tcW w:w="306" w:type="dxa"/>
            <w:tcBorders>
              <w:top w:val="single" w:sz="4" w:space="0" w:color="auto"/>
              <w:left w:val="nil"/>
              <w:bottom w:val="single" w:sz="4" w:space="0" w:color="auto"/>
              <w:right w:val="nil"/>
            </w:tcBorders>
            <w:noWrap/>
            <w:vAlign w:val="bottom"/>
            <w:hideMark/>
          </w:tcPr>
          <w:p w14:paraId="7E6187F0"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4</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7EA90250"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0,142863</w:t>
            </w:r>
          </w:p>
        </w:tc>
        <w:tc>
          <w:tcPr>
            <w:tcW w:w="387" w:type="dxa"/>
            <w:tcBorders>
              <w:top w:val="single" w:sz="4" w:space="0" w:color="auto"/>
              <w:left w:val="nil"/>
              <w:bottom w:val="single" w:sz="4" w:space="0" w:color="auto"/>
              <w:right w:val="nil"/>
            </w:tcBorders>
            <w:noWrap/>
            <w:vAlign w:val="bottom"/>
            <w:hideMark/>
          </w:tcPr>
          <w:p w14:paraId="34CAA848"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4</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5DA69750"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0,26754</w:t>
            </w:r>
          </w:p>
        </w:tc>
      </w:tr>
      <w:tr w:rsidR="00814B65" w:rsidRPr="00BB2991" w14:paraId="2115ACC3"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5503B14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1053" w:type="dxa"/>
            <w:tcBorders>
              <w:top w:val="nil"/>
              <w:left w:val="single" w:sz="4" w:space="0" w:color="auto"/>
              <w:bottom w:val="single" w:sz="4" w:space="0" w:color="auto"/>
              <w:right w:val="single" w:sz="4" w:space="0" w:color="auto"/>
            </w:tcBorders>
            <w:noWrap/>
            <w:vAlign w:val="bottom"/>
            <w:hideMark/>
          </w:tcPr>
          <w:p w14:paraId="09B4579F"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0,033898</w:t>
            </w:r>
          </w:p>
        </w:tc>
        <w:tc>
          <w:tcPr>
            <w:tcW w:w="1014" w:type="dxa"/>
            <w:tcBorders>
              <w:top w:val="nil"/>
              <w:left w:val="nil"/>
              <w:bottom w:val="single" w:sz="4" w:space="0" w:color="auto"/>
              <w:right w:val="single" w:sz="4" w:space="0" w:color="auto"/>
            </w:tcBorders>
            <w:noWrap/>
            <w:vAlign w:val="bottom"/>
            <w:hideMark/>
          </w:tcPr>
          <w:p w14:paraId="66922109"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c>
          <w:tcPr>
            <w:tcW w:w="564" w:type="dxa"/>
            <w:tcBorders>
              <w:top w:val="nil"/>
              <w:left w:val="nil"/>
              <w:bottom w:val="single" w:sz="4" w:space="0" w:color="auto"/>
              <w:right w:val="single" w:sz="4" w:space="0" w:color="auto"/>
            </w:tcBorders>
            <w:noWrap/>
            <w:vAlign w:val="bottom"/>
            <w:hideMark/>
          </w:tcPr>
          <w:p w14:paraId="0F0A51E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w:t>
            </w:r>
          </w:p>
        </w:tc>
        <w:tc>
          <w:tcPr>
            <w:tcW w:w="1014" w:type="dxa"/>
            <w:tcBorders>
              <w:top w:val="nil"/>
              <w:left w:val="nil"/>
              <w:bottom w:val="single" w:sz="4" w:space="0" w:color="auto"/>
              <w:right w:val="single" w:sz="4" w:space="0" w:color="auto"/>
            </w:tcBorders>
            <w:noWrap/>
            <w:vAlign w:val="bottom"/>
            <w:hideMark/>
          </w:tcPr>
          <w:p w14:paraId="19F4D98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0,036364</w:t>
            </w:r>
          </w:p>
        </w:tc>
        <w:tc>
          <w:tcPr>
            <w:tcW w:w="1014" w:type="dxa"/>
            <w:tcBorders>
              <w:top w:val="nil"/>
              <w:left w:val="nil"/>
              <w:bottom w:val="single" w:sz="4" w:space="0" w:color="auto"/>
              <w:right w:val="single" w:sz="4" w:space="0" w:color="auto"/>
            </w:tcBorders>
            <w:noWrap/>
            <w:vAlign w:val="bottom"/>
            <w:hideMark/>
          </w:tcPr>
          <w:p w14:paraId="61498B8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0,035088</w:t>
            </w:r>
          </w:p>
        </w:tc>
        <w:tc>
          <w:tcPr>
            <w:tcW w:w="1014" w:type="dxa"/>
            <w:tcBorders>
              <w:top w:val="nil"/>
              <w:left w:val="nil"/>
              <w:bottom w:val="single" w:sz="4" w:space="0" w:color="auto"/>
              <w:right w:val="single" w:sz="4" w:space="0" w:color="auto"/>
            </w:tcBorders>
            <w:noWrap/>
            <w:vAlign w:val="bottom"/>
            <w:hideMark/>
          </w:tcPr>
          <w:p w14:paraId="5D7B579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0,035587</w:t>
            </w:r>
          </w:p>
        </w:tc>
        <w:tc>
          <w:tcPr>
            <w:tcW w:w="847" w:type="dxa"/>
            <w:tcBorders>
              <w:top w:val="nil"/>
              <w:left w:val="nil"/>
              <w:bottom w:val="single" w:sz="4" w:space="0" w:color="auto"/>
              <w:right w:val="single" w:sz="4" w:space="0" w:color="auto"/>
            </w:tcBorders>
            <w:noWrap/>
            <w:vAlign w:val="bottom"/>
            <w:hideMark/>
          </w:tcPr>
          <w:p w14:paraId="5FDC44F9"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0,05</w:t>
            </w:r>
          </w:p>
        </w:tc>
        <w:tc>
          <w:tcPr>
            <w:tcW w:w="306" w:type="dxa"/>
            <w:tcBorders>
              <w:top w:val="single" w:sz="4" w:space="0" w:color="auto"/>
              <w:left w:val="nil"/>
              <w:bottom w:val="single" w:sz="4" w:space="0" w:color="auto"/>
              <w:right w:val="nil"/>
            </w:tcBorders>
            <w:noWrap/>
            <w:vAlign w:val="bottom"/>
            <w:hideMark/>
          </w:tcPr>
          <w:p w14:paraId="204EEDBC"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5</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0F0300A5"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0,142863</w:t>
            </w:r>
          </w:p>
        </w:tc>
        <w:tc>
          <w:tcPr>
            <w:tcW w:w="387" w:type="dxa"/>
            <w:tcBorders>
              <w:top w:val="single" w:sz="4" w:space="0" w:color="auto"/>
              <w:left w:val="nil"/>
              <w:bottom w:val="single" w:sz="4" w:space="0" w:color="auto"/>
              <w:right w:val="nil"/>
            </w:tcBorders>
            <w:noWrap/>
            <w:vAlign w:val="bottom"/>
            <w:hideMark/>
          </w:tcPr>
          <w:p w14:paraId="013C6807"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5</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056F7CDC"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0,050848</w:t>
            </w:r>
          </w:p>
        </w:tc>
      </w:tr>
      <w:tr w:rsidR="00814B65" w:rsidRPr="00BB2991" w14:paraId="3FE6FC94"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5791739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1053" w:type="dxa"/>
            <w:tcBorders>
              <w:top w:val="nil"/>
              <w:left w:val="single" w:sz="4" w:space="0" w:color="auto"/>
              <w:bottom w:val="single" w:sz="4" w:space="0" w:color="auto"/>
              <w:right w:val="single" w:sz="4" w:space="0" w:color="auto"/>
            </w:tcBorders>
            <w:noWrap/>
            <w:vAlign w:val="bottom"/>
            <w:hideMark/>
          </w:tcPr>
          <w:p w14:paraId="020C2BA2"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0,033898</w:t>
            </w:r>
          </w:p>
        </w:tc>
        <w:tc>
          <w:tcPr>
            <w:tcW w:w="1014" w:type="dxa"/>
            <w:tcBorders>
              <w:top w:val="nil"/>
              <w:left w:val="nil"/>
              <w:bottom w:val="single" w:sz="4" w:space="0" w:color="auto"/>
              <w:right w:val="single" w:sz="4" w:space="0" w:color="auto"/>
            </w:tcBorders>
            <w:noWrap/>
            <w:vAlign w:val="bottom"/>
            <w:hideMark/>
          </w:tcPr>
          <w:p w14:paraId="27F29176"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0,083333</w:t>
            </w:r>
          </w:p>
        </w:tc>
        <w:tc>
          <w:tcPr>
            <w:tcW w:w="564" w:type="dxa"/>
            <w:tcBorders>
              <w:top w:val="nil"/>
              <w:left w:val="nil"/>
              <w:bottom w:val="single" w:sz="4" w:space="0" w:color="auto"/>
              <w:right w:val="single" w:sz="4" w:space="0" w:color="auto"/>
            </w:tcBorders>
            <w:noWrap/>
            <w:vAlign w:val="bottom"/>
            <w:hideMark/>
          </w:tcPr>
          <w:p w14:paraId="1FC32AC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w:t>
            </w:r>
          </w:p>
        </w:tc>
        <w:tc>
          <w:tcPr>
            <w:tcW w:w="1014" w:type="dxa"/>
            <w:tcBorders>
              <w:top w:val="nil"/>
              <w:left w:val="nil"/>
              <w:bottom w:val="single" w:sz="4" w:space="0" w:color="auto"/>
              <w:right w:val="single" w:sz="4" w:space="0" w:color="auto"/>
            </w:tcBorders>
            <w:noWrap/>
            <w:vAlign w:val="bottom"/>
            <w:hideMark/>
          </w:tcPr>
          <w:p w14:paraId="1D4C9C50"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0,036364</w:t>
            </w:r>
          </w:p>
        </w:tc>
        <w:tc>
          <w:tcPr>
            <w:tcW w:w="1014" w:type="dxa"/>
            <w:tcBorders>
              <w:top w:val="nil"/>
              <w:left w:val="nil"/>
              <w:bottom w:val="single" w:sz="4" w:space="0" w:color="auto"/>
              <w:right w:val="single" w:sz="4" w:space="0" w:color="auto"/>
            </w:tcBorders>
            <w:noWrap/>
            <w:vAlign w:val="bottom"/>
            <w:hideMark/>
          </w:tcPr>
          <w:p w14:paraId="1F156D40"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0,035088</w:t>
            </w:r>
          </w:p>
        </w:tc>
        <w:tc>
          <w:tcPr>
            <w:tcW w:w="1014" w:type="dxa"/>
            <w:tcBorders>
              <w:top w:val="nil"/>
              <w:left w:val="nil"/>
              <w:bottom w:val="single" w:sz="4" w:space="0" w:color="auto"/>
              <w:right w:val="single" w:sz="4" w:space="0" w:color="auto"/>
            </w:tcBorders>
            <w:noWrap/>
            <w:vAlign w:val="bottom"/>
            <w:hideMark/>
          </w:tcPr>
          <w:p w14:paraId="140CEEF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0,035587</w:t>
            </w:r>
          </w:p>
        </w:tc>
        <w:tc>
          <w:tcPr>
            <w:tcW w:w="847" w:type="dxa"/>
            <w:tcBorders>
              <w:top w:val="nil"/>
              <w:left w:val="nil"/>
              <w:bottom w:val="single" w:sz="4" w:space="0" w:color="auto"/>
              <w:right w:val="single" w:sz="4" w:space="0" w:color="auto"/>
            </w:tcBorders>
            <w:noWrap/>
            <w:vAlign w:val="bottom"/>
            <w:hideMark/>
          </w:tcPr>
          <w:p w14:paraId="4F3854D8"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w:t>
            </w:r>
          </w:p>
        </w:tc>
        <w:tc>
          <w:tcPr>
            <w:tcW w:w="306" w:type="dxa"/>
            <w:tcBorders>
              <w:top w:val="single" w:sz="4" w:space="0" w:color="auto"/>
              <w:left w:val="nil"/>
              <w:bottom w:val="single" w:sz="4" w:space="0" w:color="auto"/>
              <w:right w:val="nil"/>
            </w:tcBorders>
            <w:noWrap/>
            <w:vAlign w:val="bottom"/>
            <w:hideMark/>
          </w:tcPr>
          <w:p w14:paraId="3F1BB783"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6</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255BFCA6"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0,142863</w:t>
            </w:r>
          </w:p>
        </w:tc>
        <w:tc>
          <w:tcPr>
            <w:tcW w:w="387" w:type="dxa"/>
            <w:tcBorders>
              <w:top w:val="single" w:sz="4" w:space="0" w:color="auto"/>
              <w:left w:val="nil"/>
              <w:bottom w:val="single" w:sz="4" w:space="0" w:color="auto"/>
              <w:right w:val="nil"/>
            </w:tcBorders>
            <w:noWrap/>
            <w:vAlign w:val="bottom"/>
            <w:hideMark/>
          </w:tcPr>
          <w:p w14:paraId="54F840E6"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6</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52DE942A"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0,059178</w:t>
            </w:r>
          </w:p>
        </w:tc>
      </w:tr>
      <w:tr w:rsidR="00814B65" w:rsidRPr="00BB2991" w14:paraId="540C7A5B"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1B74942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1053" w:type="dxa"/>
            <w:tcBorders>
              <w:top w:val="nil"/>
              <w:left w:val="single" w:sz="4" w:space="0" w:color="auto"/>
              <w:bottom w:val="single" w:sz="4" w:space="0" w:color="auto"/>
              <w:right w:val="single" w:sz="4" w:space="0" w:color="auto"/>
            </w:tcBorders>
            <w:noWrap/>
            <w:vAlign w:val="bottom"/>
            <w:hideMark/>
          </w:tcPr>
          <w:p w14:paraId="62639213"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0,20339</w:t>
            </w:r>
          </w:p>
        </w:tc>
        <w:tc>
          <w:tcPr>
            <w:tcW w:w="1014" w:type="dxa"/>
            <w:tcBorders>
              <w:top w:val="nil"/>
              <w:left w:val="nil"/>
              <w:bottom w:val="single" w:sz="4" w:space="0" w:color="auto"/>
              <w:right w:val="single" w:sz="4" w:space="0" w:color="auto"/>
            </w:tcBorders>
            <w:noWrap/>
            <w:vAlign w:val="bottom"/>
            <w:hideMark/>
          </w:tcPr>
          <w:p w14:paraId="20E7C5CF"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c>
          <w:tcPr>
            <w:tcW w:w="564" w:type="dxa"/>
            <w:tcBorders>
              <w:top w:val="nil"/>
              <w:left w:val="nil"/>
              <w:bottom w:val="single" w:sz="4" w:space="0" w:color="auto"/>
              <w:right w:val="single" w:sz="4" w:space="0" w:color="auto"/>
            </w:tcBorders>
            <w:noWrap/>
            <w:vAlign w:val="bottom"/>
            <w:hideMark/>
          </w:tcPr>
          <w:p w14:paraId="769C670B"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w:t>
            </w:r>
          </w:p>
        </w:tc>
        <w:tc>
          <w:tcPr>
            <w:tcW w:w="1014" w:type="dxa"/>
            <w:tcBorders>
              <w:top w:val="nil"/>
              <w:left w:val="nil"/>
              <w:bottom w:val="single" w:sz="4" w:space="0" w:color="auto"/>
              <w:right w:val="single" w:sz="4" w:space="0" w:color="auto"/>
            </w:tcBorders>
            <w:noWrap/>
            <w:vAlign w:val="bottom"/>
            <w:hideMark/>
          </w:tcPr>
          <w:p w14:paraId="692A10D2"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0,181818</w:t>
            </w:r>
          </w:p>
        </w:tc>
        <w:tc>
          <w:tcPr>
            <w:tcW w:w="1014" w:type="dxa"/>
            <w:tcBorders>
              <w:top w:val="nil"/>
              <w:left w:val="nil"/>
              <w:bottom w:val="single" w:sz="4" w:space="0" w:color="auto"/>
              <w:right w:val="single" w:sz="4" w:space="0" w:color="auto"/>
            </w:tcBorders>
            <w:noWrap/>
            <w:vAlign w:val="bottom"/>
            <w:hideMark/>
          </w:tcPr>
          <w:p w14:paraId="0DD44400"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0,210526</w:t>
            </w:r>
          </w:p>
        </w:tc>
        <w:tc>
          <w:tcPr>
            <w:tcW w:w="1014" w:type="dxa"/>
            <w:tcBorders>
              <w:top w:val="nil"/>
              <w:left w:val="nil"/>
              <w:bottom w:val="single" w:sz="4" w:space="0" w:color="auto"/>
              <w:right w:val="single" w:sz="4" w:space="0" w:color="auto"/>
            </w:tcBorders>
            <w:noWrap/>
            <w:vAlign w:val="bottom"/>
            <w:hideMark/>
          </w:tcPr>
          <w:p w14:paraId="2341633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0,213523</w:t>
            </w:r>
          </w:p>
        </w:tc>
        <w:tc>
          <w:tcPr>
            <w:tcW w:w="847" w:type="dxa"/>
            <w:tcBorders>
              <w:top w:val="nil"/>
              <w:left w:val="nil"/>
              <w:bottom w:val="single" w:sz="4" w:space="0" w:color="auto"/>
              <w:right w:val="single" w:sz="4" w:space="0" w:color="auto"/>
            </w:tcBorders>
            <w:noWrap/>
            <w:vAlign w:val="bottom"/>
            <w:hideMark/>
          </w:tcPr>
          <w:p w14:paraId="1E87AC5E"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w:t>
            </w:r>
          </w:p>
        </w:tc>
        <w:tc>
          <w:tcPr>
            <w:tcW w:w="306" w:type="dxa"/>
            <w:tcBorders>
              <w:top w:val="single" w:sz="4" w:space="0" w:color="auto"/>
              <w:left w:val="nil"/>
              <w:bottom w:val="single" w:sz="4" w:space="0" w:color="auto"/>
              <w:right w:val="nil"/>
            </w:tcBorders>
            <w:noWrap/>
            <w:vAlign w:val="bottom"/>
            <w:hideMark/>
          </w:tcPr>
          <w:p w14:paraId="55EC49E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7</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64DBB56C" w14:textId="77777777" w:rsidR="00647B71" w:rsidRPr="00814B65" w:rsidRDefault="00647B71" w:rsidP="008C015D">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0,142825</w:t>
            </w:r>
          </w:p>
        </w:tc>
        <w:tc>
          <w:tcPr>
            <w:tcW w:w="387" w:type="dxa"/>
            <w:tcBorders>
              <w:top w:val="single" w:sz="4" w:space="0" w:color="auto"/>
              <w:left w:val="nil"/>
              <w:bottom w:val="single" w:sz="4" w:space="0" w:color="auto"/>
              <w:right w:val="nil"/>
            </w:tcBorders>
            <w:noWrap/>
            <w:vAlign w:val="bottom"/>
            <w:hideMark/>
          </w:tcPr>
          <w:p w14:paraId="5BCBEB44" w14:textId="77777777" w:rsidR="00647B71" w:rsidRPr="00BB2991" w:rsidRDefault="00647B71" w:rsidP="00F1749D">
            <w:pPr>
              <w:spacing w:after="0" w:line="240" w:lineRule="auto"/>
              <w:ind w:left="-93" w:right="-86"/>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7</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390D7349"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0,183467</w:t>
            </w:r>
          </w:p>
        </w:tc>
      </w:tr>
      <w:tr w:rsidR="00814B65" w:rsidRPr="00BB2991" w14:paraId="543216A6" w14:textId="77777777" w:rsidTr="00814B65">
        <w:trPr>
          <w:trHeight w:val="58"/>
          <w:jc w:val="center"/>
        </w:trPr>
        <w:tc>
          <w:tcPr>
            <w:tcW w:w="422" w:type="dxa"/>
            <w:tcBorders>
              <w:top w:val="nil"/>
              <w:left w:val="single" w:sz="4" w:space="0" w:color="auto"/>
              <w:bottom w:val="single" w:sz="4" w:space="0" w:color="auto"/>
              <w:right w:val="nil"/>
            </w:tcBorders>
            <w:noWrap/>
            <w:vAlign w:val="bottom"/>
            <w:hideMark/>
          </w:tcPr>
          <w:p w14:paraId="7DBECFC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1053" w:type="dxa"/>
            <w:tcBorders>
              <w:top w:val="nil"/>
              <w:left w:val="single" w:sz="4" w:space="0" w:color="auto"/>
              <w:bottom w:val="single" w:sz="4" w:space="0" w:color="auto"/>
              <w:right w:val="single" w:sz="4" w:space="0" w:color="auto"/>
            </w:tcBorders>
            <w:noWrap/>
            <w:vAlign w:val="bottom"/>
            <w:hideMark/>
          </w:tcPr>
          <w:p w14:paraId="1C369DAD" w14:textId="77777777" w:rsidR="00647B71" w:rsidRPr="00814B65" w:rsidRDefault="00647B71" w:rsidP="00814B65">
            <w:pPr>
              <w:spacing w:after="0" w:line="240" w:lineRule="auto"/>
              <w:ind w:left="-93" w:right="-86"/>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0,050847</w:t>
            </w:r>
          </w:p>
        </w:tc>
        <w:tc>
          <w:tcPr>
            <w:tcW w:w="1014" w:type="dxa"/>
            <w:tcBorders>
              <w:top w:val="nil"/>
              <w:left w:val="nil"/>
              <w:bottom w:val="single" w:sz="4" w:space="0" w:color="auto"/>
              <w:right w:val="single" w:sz="4" w:space="0" w:color="auto"/>
            </w:tcBorders>
            <w:noWrap/>
            <w:vAlign w:val="bottom"/>
            <w:hideMark/>
          </w:tcPr>
          <w:p w14:paraId="764BC44B"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0,083333</w:t>
            </w:r>
          </w:p>
        </w:tc>
        <w:tc>
          <w:tcPr>
            <w:tcW w:w="564" w:type="dxa"/>
            <w:tcBorders>
              <w:top w:val="nil"/>
              <w:left w:val="nil"/>
              <w:bottom w:val="single" w:sz="4" w:space="0" w:color="auto"/>
              <w:right w:val="single" w:sz="4" w:space="0" w:color="auto"/>
            </w:tcBorders>
            <w:noWrap/>
            <w:vAlign w:val="bottom"/>
            <w:hideMark/>
          </w:tcPr>
          <w:p w14:paraId="53B67844"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w:t>
            </w:r>
          </w:p>
        </w:tc>
        <w:tc>
          <w:tcPr>
            <w:tcW w:w="1014" w:type="dxa"/>
            <w:tcBorders>
              <w:top w:val="nil"/>
              <w:left w:val="nil"/>
              <w:bottom w:val="single" w:sz="4" w:space="0" w:color="auto"/>
              <w:right w:val="single" w:sz="4" w:space="0" w:color="auto"/>
            </w:tcBorders>
            <w:noWrap/>
            <w:vAlign w:val="bottom"/>
            <w:hideMark/>
          </w:tcPr>
          <w:p w14:paraId="1A30AED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0,018182</w:t>
            </w:r>
          </w:p>
        </w:tc>
        <w:tc>
          <w:tcPr>
            <w:tcW w:w="1014" w:type="dxa"/>
            <w:tcBorders>
              <w:top w:val="nil"/>
              <w:left w:val="nil"/>
              <w:bottom w:val="single" w:sz="4" w:space="0" w:color="auto"/>
              <w:right w:val="single" w:sz="4" w:space="0" w:color="auto"/>
            </w:tcBorders>
            <w:noWrap/>
            <w:vAlign w:val="bottom"/>
            <w:hideMark/>
          </w:tcPr>
          <w:p w14:paraId="58AFEAF5"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0,017544</w:t>
            </w:r>
          </w:p>
        </w:tc>
        <w:tc>
          <w:tcPr>
            <w:tcW w:w="1014" w:type="dxa"/>
            <w:tcBorders>
              <w:top w:val="nil"/>
              <w:left w:val="nil"/>
              <w:bottom w:val="single" w:sz="4" w:space="0" w:color="auto"/>
              <w:right w:val="single" w:sz="4" w:space="0" w:color="auto"/>
            </w:tcBorders>
            <w:noWrap/>
            <w:vAlign w:val="bottom"/>
            <w:hideMark/>
          </w:tcPr>
          <w:p w14:paraId="6FD5A114"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0,003559</w:t>
            </w:r>
          </w:p>
        </w:tc>
        <w:tc>
          <w:tcPr>
            <w:tcW w:w="847" w:type="dxa"/>
            <w:tcBorders>
              <w:top w:val="nil"/>
              <w:left w:val="nil"/>
              <w:bottom w:val="single" w:sz="4" w:space="0" w:color="auto"/>
              <w:right w:val="single" w:sz="4" w:space="0" w:color="auto"/>
            </w:tcBorders>
            <w:noWrap/>
            <w:vAlign w:val="bottom"/>
            <w:hideMark/>
          </w:tcPr>
          <w:p w14:paraId="71916191" w14:textId="77777777" w:rsidR="00647B71" w:rsidRPr="00BB2991" w:rsidRDefault="00647B71" w:rsidP="00814B65">
            <w:pPr>
              <w:spacing w:after="0" w:line="240" w:lineRule="auto"/>
              <w:ind w:left="-93" w:right="-8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0,025</w:t>
            </w:r>
          </w:p>
        </w:tc>
        <w:tc>
          <w:tcPr>
            <w:tcW w:w="306" w:type="dxa"/>
            <w:tcBorders>
              <w:top w:val="single" w:sz="4" w:space="0" w:color="auto"/>
              <w:left w:val="nil"/>
              <w:bottom w:val="single" w:sz="4" w:space="0" w:color="auto"/>
              <w:right w:val="single" w:sz="4" w:space="0" w:color="auto"/>
            </w:tcBorders>
            <w:noWrap/>
            <w:vAlign w:val="bottom"/>
            <w:hideMark/>
          </w:tcPr>
          <w:p w14:paraId="7158E7B1" w14:textId="77777777" w:rsidR="00647B71" w:rsidRPr="00BB2991" w:rsidRDefault="00647B71" w:rsidP="00814B65">
            <w:pPr>
              <w:spacing w:after="0" w:line="240" w:lineRule="auto"/>
              <w:ind w:left="-93" w:right="-86"/>
              <w:rPr>
                <w:rFonts w:ascii="Times New Roman" w:eastAsia="Times New Roman" w:hAnsi="Times New Roman" w:cs="Times New Roman"/>
                <w:color w:val="000000"/>
                <w:sz w:val="24"/>
                <w:szCs w:val="24"/>
                <w:lang w:eastAsia="ru-RU"/>
              </w:rPr>
            </w:pP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7ABD606B" w14:textId="77777777" w:rsidR="00647B71" w:rsidRPr="00BB2991" w:rsidRDefault="00647B71" w:rsidP="00814B65">
            <w:pPr>
              <w:spacing w:after="0" w:line="240" w:lineRule="auto"/>
              <w:ind w:left="-93" w:right="-86"/>
              <w:rPr>
                <w:rFonts w:ascii="Times New Roman" w:hAnsi="Times New Roman" w:cs="Times New Roman"/>
                <w:sz w:val="24"/>
                <w:szCs w:val="24"/>
                <w:lang w:eastAsia="ru-RU"/>
              </w:rPr>
            </w:pPr>
          </w:p>
        </w:tc>
        <w:tc>
          <w:tcPr>
            <w:tcW w:w="387" w:type="dxa"/>
            <w:tcBorders>
              <w:top w:val="single" w:sz="4" w:space="0" w:color="auto"/>
              <w:left w:val="single" w:sz="4" w:space="0" w:color="auto"/>
              <w:bottom w:val="single" w:sz="4" w:space="0" w:color="auto"/>
              <w:right w:val="nil"/>
            </w:tcBorders>
            <w:noWrap/>
            <w:vAlign w:val="bottom"/>
            <w:hideMark/>
          </w:tcPr>
          <w:p w14:paraId="4E28D119" w14:textId="77777777" w:rsidR="00647B71" w:rsidRPr="00BB2991" w:rsidRDefault="00647B71" w:rsidP="0036356B">
            <w:pPr>
              <w:spacing w:after="0" w:line="240" w:lineRule="auto"/>
              <w:ind w:left="-93" w:right="-86"/>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8</w:t>
            </w:r>
          </w:p>
        </w:tc>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0EEA7909" w14:textId="77777777" w:rsidR="00647B71" w:rsidRPr="00814B65" w:rsidRDefault="00647B71" w:rsidP="00814B65">
            <w:pPr>
              <w:spacing w:after="0" w:line="240" w:lineRule="auto"/>
              <w:ind w:left="-93" w:right="-86"/>
              <w:jc w:val="center"/>
              <w:rPr>
                <w:rFonts w:ascii="Times New Roman" w:eastAsia="Times New Roman" w:hAnsi="Times New Roman" w:cs="Times New Roman"/>
                <w:bCs/>
                <w:i/>
                <w:color w:val="000000"/>
                <w:sz w:val="24"/>
                <w:szCs w:val="24"/>
                <w:lang w:eastAsia="ru-RU"/>
              </w:rPr>
            </w:pPr>
            <w:r w:rsidRPr="00814B65">
              <w:rPr>
                <w:rFonts w:ascii="Times New Roman" w:eastAsia="Times New Roman" w:hAnsi="Times New Roman" w:cs="Times New Roman"/>
                <w:bCs/>
                <w:i/>
                <w:color w:val="000000"/>
                <w:sz w:val="24"/>
                <w:szCs w:val="24"/>
                <w:lang w:eastAsia="ru-RU"/>
              </w:rPr>
              <w:t>0,034067</w:t>
            </w:r>
          </w:p>
        </w:tc>
      </w:tr>
      <w:tr w:rsidR="00647B71" w:rsidRPr="00BB2991" w14:paraId="13A05656" w14:textId="77777777" w:rsidTr="00814B65">
        <w:trPr>
          <w:trHeight w:val="312"/>
          <w:jc w:val="center"/>
        </w:trPr>
        <w:tc>
          <w:tcPr>
            <w:tcW w:w="9718" w:type="dxa"/>
            <w:gridSpan w:val="12"/>
            <w:tcBorders>
              <w:top w:val="nil"/>
              <w:left w:val="single" w:sz="4" w:space="0" w:color="auto"/>
              <w:bottom w:val="single" w:sz="4" w:space="0" w:color="auto"/>
              <w:right w:val="single" w:sz="4" w:space="0" w:color="auto"/>
            </w:tcBorders>
            <w:noWrap/>
            <w:vAlign w:val="center"/>
            <w:hideMark/>
          </w:tcPr>
          <w:p w14:paraId="209BC9FB" w14:textId="1B8ACFB4" w:rsidR="00647B71" w:rsidRPr="00BB2991" w:rsidRDefault="00647B71" w:rsidP="00814B65">
            <w:pPr>
              <w:spacing w:after="0" w:line="240" w:lineRule="auto"/>
              <w:ind w:firstLine="632"/>
              <w:rPr>
                <w:rFonts w:ascii="Times New Roman" w:eastAsia="Times New Roman" w:hAnsi="Times New Roman" w:cs="Times New Roman"/>
                <w:b/>
                <w:bCs/>
                <w:color w:val="000000"/>
                <w:sz w:val="24"/>
                <w:szCs w:val="24"/>
                <w:lang w:eastAsia="ru-RU"/>
              </w:rPr>
            </w:pPr>
            <w:r w:rsidRPr="00BB2991">
              <w:rPr>
                <w:rFonts w:ascii="Times New Roman" w:eastAsiaTheme="minorEastAsia" w:hAnsi="Times New Roman" w:cs="Times New Roman"/>
                <w:sz w:val="24"/>
                <w:szCs w:val="24"/>
                <w:lang w:val="kk-KZ"/>
              </w:rPr>
              <w:t xml:space="preserve">Ескерту – </w:t>
            </w:r>
            <w:r w:rsidR="00814B65"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313E4028" w14:textId="77777777" w:rsidR="00814B65" w:rsidRDefault="00814B65" w:rsidP="00457CE9">
      <w:pPr>
        <w:spacing w:after="0" w:line="240" w:lineRule="auto"/>
        <w:jc w:val="both"/>
        <w:rPr>
          <w:rFonts w:ascii="Times New Roman" w:eastAsiaTheme="minorEastAsia" w:hAnsi="Times New Roman" w:cs="Times New Roman"/>
          <w:sz w:val="28"/>
          <w:szCs w:val="28"/>
          <w:lang w:val="kk-KZ"/>
        </w:rPr>
      </w:pPr>
    </w:p>
    <w:p w14:paraId="1EA15AF5" w14:textId="464A4313" w:rsidR="00647B71" w:rsidRPr="00457CE9" w:rsidRDefault="00B90011" w:rsidP="00814B65">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5</w:t>
      </w:r>
      <w:r w:rsidR="00EB7D69">
        <w:rPr>
          <w:rFonts w:ascii="Times New Roman" w:eastAsiaTheme="minorEastAsia" w:hAnsi="Times New Roman" w:cs="Times New Roman"/>
          <w:sz w:val="28"/>
          <w:szCs w:val="28"/>
          <w:lang w:val="kk-KZ"/>
        </w:rPr>
        <w:t>9</w:t>
      </w:r>
      <w:r w:rsidR="00647B71" w:rsidRPr="00457CE9">
        <w:rPr>
          <w:rFonts w:ascii="Times New Roman" w:eastAsiaTheme="minorEastAsia" w:hAnsi="Times New Roman" w:cs="Times New Roman"/>
          <w:sz w:val="28"/>
          <w:szCs w:val="28"/>
          <w:lang w:val="kk-KZ"/>
        </w:rPr>
        <w:t xml:space="preserve">-кесте мәліметтерінен 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2017-2021 жж. дамытуға белгіленген 1-міндеті бойынша 7 іс-шаралар бойынша бюджет қаражаты үлестерінің матрицасы нәтижесі мен альтернативалар әсерінің матрицасының көбейтіндісін көруге болады. </w:t>
      </w:r>
    </w:p>
    <w:p w14:paraId="2F2B2506" w14:textId="0B0BCE46" w:rsidR="00647B71" w:rsidRPr="00457CE9" w:rsidRDefault="00647B71" w:rsidP="00814B65">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Осылайша барлық қалған 8 міндеттері және оларды орындауға жоспарланған іс-шаралар бойынша сандық үлестерінің матрицасы мен әр іс-шараға альтернативалар әсерінің матрицалар нәтижелерінің көбейтіндісі анықталып, нәтижелері </w:t>
      </w:r>
      <w:r w:rsidR="00EB7D69">
        <w:rPr>
          <w:rFonts w:ascii="Times New Roman" w:eastAsiaTheme="minorEastAsia" w:hAnsi="Times New Roman" w:cs="Times New Roman"/>
          <w:sz w:val="28"/>
          <w:szCs w:val="28"/>
          <w:lang w:val="kk-KZ"/>
        </w:rPr>
        <w:t>60</w:t>
      </w:r>
      <w:r w:rsidRPr="00457CE9">
        <w:rPr>
          <w:rFonts w:ascii="Times New Roman" w:eastAsiaTheme="minorEastAsia" w:hAnsi="Times New Roman" w:cs="Times New Roman"/>
          <w:sz w:val="28"/>
          <w:szCs w:val="28"/>
          <w:lang w:val="kk-KZ"/>
        </w:rPr>
        <w:t xml:space="preserve">-кестеде келтірілген.  </w:t>
      </w:r>
    </w:p>
    <w:p w14:paraId="74D4DFFB" w14:textId="46C09C2B"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 xml:space="preserve">60 </w:t>
      </w:r>
      <w:r w:rsidRPr="00457CE9">
        <w:rPr>
          <w:rFonts w:ascii="Times New Roman" w:eastAsiaTheme="minorEastAsia" w:hAnsi="Times New Roman" w:cs="Times New Roman"/>
          <w:sz w:val="28"/>
          <w:szCs w:val="28"/>
          <w:lang w:val="kk-KZ"/>
        </w:rPr>
        <w:t xml:space="preserve">–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2017 ж. 9 міндеті 159 іс-шаралары альтернативаларының жұптық салыстыру матрицасының мәндері</w:t>
      </w:r>
    </w:p>
    <w:p w14:paraId="7CB3C6A6" w14:textId="77777777" w:rsidR="00814B65" w:rsidRPr="00814B65" w:rsidRDefault="00814B65" w:rsidP="00457CE9">
      <w:pPr>
        <w:spacing w:after="0" w:line="240" w:lineRule="auto"/>
        <w:jc w:val="both"/>
        <w:rPr>
          <w:rFonts w:ascii="Times New Roman" w:eastAsiaTheme="minorEastAsia" w:hAnsi="Times New Roman" w:cs="Times New Roman"/>
          <w:sz w:val="16"/>
          <w:szCs w:val="16"/>
          <w:lang w:val="kk-KZ"/>
        </w:rPr>
      </w:pPr>
    </w:p>
    <w:tbl>
      <w:tblPr>
        <w:tblW w:w="9657" w:type="dxa"/>
        <w:jc w:val="center"/>
        <w:tblLook w:val="04A0" w:firstRow="1" w:lastRow="0" w:firstColumn="1" w:lastColumn="0" w:noHBand="0" w:noVBand="1"/>
      </w:tblPr>
      <w:tblGrid>
        <w:gridCol w:w="390"/>
        <w:gridCol w:w="1248"/>
        <w:gridCol w:w="1157"/>
        <w:gridCol w:w="1116"/>
        <w:gridCol w:w="996"/>
        <w:gridCol w:w="996"/>
        <w:gridCol w:w="1116"/>
        <w:gridCol w:w="996"/>
        <w:gridCol w:w="996"/>
        <w:gridCol w:w="756"/>
      </w:tblGrid>
      <w:tr w:rsidR="00814B65" w:rsidRPr="00BB2991" w14:paraId="6A00CCE5" w14:textId="77777777" w:rsidTr="00814B65">
        <w:trPr>
          <w:trHeight w:val="288"/>
          <w:jc w:val="center"/>
        </w:trPr>
        <w:tc>
          <w:tcPr>
            <w:tcW w:w="389" w:type="dxa"/>
            <w:tcBorders>
              <w:top w:val="single" w:sz="4" w:space="0" w:color="auto"/>
              <w:left w:val="single" w:sz="4" w:space="0" w:color="auto"/>
              <w:bottom w:val="single" w:sz="4" w:space="0" w:color="auto"/>
              <w:right w:val="single" w:sz="4" w:space="0" w:color="auto"/>
            </w:tcBorders>
            <w:vAlign w:val="center"/>
            <w:hideMark/>
          </w:tcPr>
          <w:p w14:paraId="25A1991F"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А</w:t>
            </w:r>
          </w:p>
        </w:tc>
        <w:tc>
          <w:tcPr>
            <w:tcW w:w="1248" w:type="dxa"/>
            <w:tcBorders>
              <w:top w:val="single" w:sz="4" w:space="0" w:color="auto"/>
              <w:left w:val="single" w:sz="4" w:space="0" w:color="auto"/>
              <w:bottom w:val="single" w:sz="4" w:space="0" w:color="auto"/>
              <w:right w:val="single" w:sz="4" w:space="0" w:color="auto"/>
            </w:tcBorders>
            <w:noWrap/>
            <w:vAlign w:val="center"/>
            <w:hideMark/>
          </w:tcPr>
          <w:p w14:paraId="437BF455"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157" w:type="dxa"/>
            <w:tcBorders>
              <w:top w:val="single" w:sz="4" w:space="0" w:color="auto"/>
              <w:left w:val="single" w:sz="4" w:space="0" w:color="auto"/>
              <w:bottom w:val="single" w:sz="4" w:space="0" w:color="auto"/>
              <w:right w:val="single" w:sz="4" w:space="0" w:color="auto"/>
            </w:tcBorders>
            <w:noWrap/>
            <w:vAlign w:val="center"/>
            <w:hideMark/>
          </w:tcPr>
          <w:p w14:paraId="055931F5"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49DE25A5"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988" w:type="dxa"/>
            <w:tcBorders>
              <w:top w:val="single" w:sz="4" w:space="0" w:color="auto"/>
              <w:left w:val="single" w:sz="4" w:space="0" w:color="auto"/>
              <w:bottom w:val="single" w:sz="4" w:space="0" w:color="auto"/>
              <w:right w:val="single" w:sz="4" w:space="0" w:color="auto"/>
            </w:tcBorders>
            <w:noWrap/>
            <w:vAlign w:val="center"/>
            <w:hideMark/>
          </w:tcPr>
          <w:p w14:paraId="6A571A22"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2A927979"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504AD8BE"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988" w:type="dxa"/>
            <w:tcBorders>
              <w:top w:val="single" w:sz="4" w:space="0" w:color="auto"/>
              <w:left w:val="single" w:sz="4" w:space="0" w:color="auto"/>
              <w:bottom w:val="single" w:sz="4" w:space="0" w:color="auto"/>
              <w:right w:val="single" w:sz="4" w:space="0" w:color="auto"/>
            </w:tcBorders>
            <w:noWrap/>
            <w:vAlign w:val="center"/>
            <w:hideMark/>
          </w:tcPr>
          <w:p w14:paraId="6269DD4B"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988" w:type="dxa"/>
            <w:tcBorders>
              <w:top w:val="single" w:sz="4" w:space="0" w:color="auto"/>
              <w:left w:val="single" w:sz="4" w:space="0" w:color="auto"/>
              <w:bottom w:val="single" w:sz="4" w:space="0" w:color="auto"/>
              <w:right w:val="single" w:sz="4" w:space="0" w:color="auto"/>
            </w:tcBorders>
            <w:noWrap/>
            <w:vAlign w:val="center"/>
            <w:hideMark/>
          </w:tcPr>
          <w:p w14:paraId="125B7225"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5936BE7F" w14:textId="77777777" w:rsidR="00814B65" w:rsidRPr="00BB2991" w:rsidRDefault="00814B65"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r>
      <w:tr w:rsidR="00814B65" w:rsidRPr="00BB2991" w14:paraId="27B45751" w14:textId="77777777" w:rsidTr="00814B65">
        <w:trPr>
          <w:trHeight w:val="58"/>
          <w:jc w:val="center"/>
        </w:trPr>
        <w:tc>
          <w:tcPr>
            <w:tcW w:w="389" w:type="dxa"/>
            <w:tcBorders>
              <w:top w:val="single" w:sz="4" w:space="0" w:color="auto"/>
              <w:left w:val="single" w:sz="4" w:space="0" w:color="auto"/>
              <w:bottom w:val="single" w:sz="4" w:space="0" w:color="auto"/>
              <w:right w:val="single" w:sz="4" w:space="0" w:color="auto"/>
            </w:tcBorders>
            <w:vAlign w:val="center"/>
            <w:hideMark/>
          </w:tcPr>
          <w:p w14:paraId="3BC15A96"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1248" w:type="dxa"/>
            <w:tcBorders>
              <w:top w:val="single" w:sz="4" w:space="0" w:color="auto"/>
              <w:left w:val="single" w:sz="4" w:space="0" w:color="auto"/>
              <w:bottom w:val="single" w:sz="4" w:space="0" w:color="auto"/>
              <w:right w:val="single" w:sz="4" w:space="0" w:color="auto"/>
            </w:tcBorders>
            <w:noWrap/>
            <w:vAlign w:val="center"/>
            <w:hideMark/>
          </w:tcPr>
          <w:p w14:paraId="03BD0DD4" w14:textId="77777777" w:rsidR="00814B65" w:rsidRPr="00814B65" w:rsidRDefault="00814B65" w:rsidP="00814B65">
            <w:pPr>
              <w:spacing w:after="0" w:line="240" w:lineRule="auto"/>
              <w:ind w:right="-95"/>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0,0686805</w:t>
            </w:r>
          </w:p>
        </w:tc>
        <w:tc>
          <w:tcPr>
            <w:tcW w:w="1157" w:type="dxa"/>
            <w:tcBorders>
              <w:top w:val="single" w:sz="4" w:space="0" w:color="auto"/>
              <w:left w:val="nil"/>
              <w:bottom w:val="single" w:sz="4" w:space="0" w:color="auto"/>
              <w:right w:val="single" w:sz="4" w:space="0" w:color="auto"/>
            </w:tcBorders>
            <w:noWrap/>
            <w:vAlign w:val="center"/>
            <w:hideMark/>
          </w:tcPr>
          <w:p w14:paraId="06C82F9F"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0,12565</w:t>
            </w:r>
          </w:p>
        </w:tc>
        <w:tc>
          <w:tcPr>
            <w:tcW w:w="1107" w:type="dxa"/>
            <w:tcBorders>
              <w:top w:val="single" w:sz="4" w:space="0" w:color="auto"/>
              <w:left w:val="nil"/>
              <w:bottom w:val="single" w:sz="4" w:space="0" w:color="auto"/>
              <w:right w:val="single" w:sz="4" w:space="0" w:color="auto"/>
            </w:tcBorders>
            <w:noWrap/>
            <w:vAlign w:val="center"/>
            <w:hideMark/>
          </w:tcPr>
          <w:p w14:paraId="48D7A3A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0,116245</w:t>
            </w:r>
          </w:p>
        </w:tc>
        <w:tc>
          <w:tcPr>
            <w:tcW w:w="988" w:type="dxa"/>
            <w:tcBorders>
              <w:top w:val="single" w:sz="4" w:space="0" w:color="auto"/>
              <w:left w:val="nil"/>
              <w:bottom w:val="single" w:sz="4" w:space="0" w:color="auto"/>
              <w:right w:val="single" w:sz="4" w:space="0" w:color="auto"/>
            </w:tcBorders>
            <w:noWrap/>
            <w:vAlign w:val="center"/>
            <w:hideMark/>
          </w:tcPr>
          <w:p w14:paraId="13AF178A"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0,11535</w:t>
            </w:r>
          </w:p>
        </w:tc>
        <w:tc>
          <w:tcPr>
            <w:tcW w:w="995" w:type="dxa"/>
            <w:tcBorders>
              <w:top w:val="single" w:sz="4" w:space="0" w:color="auto"/>
              <w:left w:val="nil"/>
              <w:bottom w:val="single" w:sz="4" w:space="0" w:color="auto"/>
              <w:right w:val="single" w:sz="4" w:space="0" w:color="auto"/>
            </w:tcBorders>
            <w:noWrap/>
            <w:vAlign w:val="center"/>
            <w:hideMark/>
          </w:tcPr>
          <w:p w14:paraId="3F26CDF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0,13361</w:t>
            </w:r>
          </w:p>
        </w:tc>
        <w:tc>
          <w:tcPr>
            <w:tcW w:w="1107" w:type="dxa"/>
            <w:tcBorders>
              <w:top w:val="single" w:sz="4" w:space="0" w:color="auto"/>
              <w:left w:val="nil"/>
              <w:bottom w:val="single" w:sz="4" w:space="0" w:color="auto"/>
              <w:right w:val="single" w:sz="4" w:space="0" w:color="auto"/>
            </w:tcBorders>
            <w:noWrap/>
            <w:vAlign w:val="center"/>
            <w:hideMark/>
          </w:tcPr>
          <w:p w14:paraId="4EB96057"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0,118998</w:t>
            </w:r>
          </w:p>
        </w:tc>
        <w:tc>
          <w:tcPr>
            <w:tcW w:w="988" w:type="dxa"/>
            <w:tcBorders>
              <w:top w:val="single" w:sz="4" w:space="0" w:color="auto"/>
              <w:left w:val="nil"/>
              <w:bottom w:val="single" w:sz="4" w:space="0" w:color="auto"/>
              <w:right w:val="single" w:sz="4" w:space="0" w:color="auto"/>
            </w:tcBorders>
            <w:noWrap/>
            <w:vAlign w:val="center"/>
            <w:hideMark/>
          </w:tcPr>
          <w:p w14:paraId="38B1C5F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0,12245</w:t>
            </w:r>
          </w:p>
        </w:tc>
        <w:tc>
          <w:tcPr>
            <w:tcW w:w="988" w:type="dxa"/>
            <w:tcBorders>
              <w:top w:val="single" w:sz="4" w:space="0" w:color="auto"/>
              <w:left w:val="nil"/>
              <w:bottom w:val="single" w:sz="4" w:space="0" w:color="auto"/>
              <w:right w:val="single" w:sz="4" w:space="0" w:color="auto"/>
            </w:tcBorders>
            <w:noWrap/>
            <w:vAlign w:val="center"/>
            <w:hideMark/>
          </w:tcPr>
          <w:p w14:paraId="170579B1"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0,09091</w:t>
            </w:r>
          </w:p>
        </w:tc>
        <w:tc>
          <w:tcPr>
            <w:tcW w:w="690" w:type="dxa"/>
            <w:tcBorders>
              <w:top w:val="single" w:sz="4" w:space="0" w:color="auto"/>
              <w:left w:val="nil"/>
              <w:bottom w:val="single" w:sz="4" w:space="0" w:color="auto"/>
              <w:right w:val="single" w:sz="4" w:space="0" w:color="auto"/>
            </w:tcBorders>
            <w:noWrap/>
            <w:vAlign w:val="center"/>
            <w:hideMark/>
          </w:tcPr>
          <w:p w14:paraId="481A3BAA"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6533DD2C"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4C86805D"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1248" w:type="dxa"/>
            <w:tcBorders>
              <w:top w:val="nil"/>
              <w:left w:val="single" w:sz="4" w:space="0" w:color="auto"/>
              <w:bottom w:val="single" w:sz="4" w:space="0" w:color="auto"/>
              <w:right w:val="single" w:sz="4" w:space="0" w:color="auto"/>
            </w:tcBorders>
            <w:noWrap/>
            <w:vAlign w:val="center"/>
            <w:hideMark/>
          </w:tcPr>
          <w:p w14:paraId="5EF743A1" w14:textId="77777777" w:rsidR="00814B65" w:rsidRPr="00814B65" w:rsidRDefault="00814B65" w:rsidP="00814B65">
            <w:pPr>
              <w:spacing w:after="0" w:line="240" w:lineRule="auto"/>
              <w:ind w:right="-95"/>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0,0686805</w:t>
            </w:r>
          </w:p>
        </w:tc>
        <w:tc>
          <w:tcPr>
            <w:tcW w:w="1157" w:type="dxa"/>
            <w:tcBorders>
              <w:top w:val="nil"/>
              <w:left w:val="nil"/>
              <w:bottom w:val="single" w:sz="4" w:space="0" w:color="auto"/>
              <w:right w:val="single" w:sz="4" w:space="0" w:color="auto"/>
            </w:tcBorders>
            <w:noWrap/>
            <w:vAlign w:val="center"/>
            <w:hideMark/>
          </w:tcPr>
          <w:p w14:paraId="4EEA5B24"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0,124998</w:t>
            </w:r>
          </w:p>
        </w:tc>
        <w:tc>
          <w:tcPr>
            <w:tcW w:w="1107" w:type="dxa"/>
            <w:tcBorders>
              <w:top w:val="nil"/>
              <w:left w:val="nil"/>
              <w:bottom w:val="single" w:sz="4" w:space="0" w:color="auto"/>
              <w:right w:val="single" w:sz="4" w:space="0" w:color="auto"/>
            </w:tcBorders>
            <w:noWrap/>
            <w:vAlign w:val="center"/>
            <w:hideMark/>
          </w:tcPr>
          <w:p w14:paraId="0FB76440"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0,116245</w:t>
            </w:r>
          </w:p>
        </w:tc>
        <w:tc>
          <w:tcPr>
            <w:tcW w:w="988" w:type="dxa"/>
            <w:tcBorders>
              <w:top w:val="nil"/>
              <w:left w:val="nil"/>
              <w:bottom w:val="single" w:sz="4" w:space="0" w:color="auto"/>
              <w:right w:val="single" w:sz="4" w:space="0" w:color="auto"/>
            </w:tcBorders>
            <w:noWrap/>
            <w:vAlign w:val="center"/>
            <w:hideMark/>
          </w:tcPr>
          <w:p w14:paraId="098D9B82"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0,11265</w:t>
            </w:r>
          </w:p>
        </w:tc>
        <w:tc>
          <w:tcPr>
            <w:tcW w:w="995" w:type="dxa"/>
            <w:tcBorders>
              <w:top w:val="nil"/>
              <w:left w:val="nil"/>
              <w:bottom w:val="single" w:sz="4" w:space="0" w:color="auto"/>
              <w:right w:val="single" w:sz="4" w:space="0" w:color="auto"/>
            </w:tcBorders>
            <w:noWrap/>
            <w:vAlign w:val="center"/>
            <w:hideMark/>
          </w:tcPr>
          <w:p w14:paraId="18937CC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0,13662</w:t>
            </w:r>
          </w:p>
        </w:tc>
        <w:tc>
          <w:tcPr>
            <w:tcW w:w="1107" w:type="dxa"/>
            <w:tcBorders>
              <w:top w:val="nil"/>
              <w:left w:val="nil"/>
              <w:bottom w:val="single" w:sz="4" w:space="0" w:color="auto"/>
              <w:right w:val="single" w:sz="4" w:space="0" w:color="auto"/>
            </w:tcBorders>
            <w:noWrap/>
            <w:vAlign w:val="center"/>
            <w:hideMark/>
          </w:tcPr>
          <w:p w14:paraId="6D27B59D"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0,118998</w:t>
            </w:r>
          </w:p>
        </w:tc>
        <w:tc>
          <w:tcPr>
            <w:tcW w:w="988" w:type="dxa"/>
            <w:tcBorders>
              <w:top w:val="nil"/>
              <w:left w:val="nil"/>
              <w:bottom w:val="single" w:sz="4" w:space="0" w:color="auto"/>
              <w:right w:val="single" w:sz="4" w:space="0" w:color="auto"/>
            </w:tcBorders>
            <w:noWrap/>
            <w:vAlign w:val="center"/>
            <w:hideMark/>
          </w:tcPr>
          <w:p w14:paraId="276F2C84"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0,12245</w:t>
            </w:r>
          </w:p>
        </w:tc>
        <w:tc>
          <w:tcPr>
            <w:tcW w:w="988" w:type="dxa"/>
            <w:tcBorders>
              <w:top w:val="nil"/>
              <w:left w:val="nil"/>
              <w:bottom w:val="single" w:sz="4" w:space="0" w:color="auto"/>
              <w:right w:val="single" w:sz="4" w:space="0" w:color="auto"/>
            </w:tcBorders>
            <w:noWrap/>
            <w:vAlign w:val="center"/>
            <w:hideMark/>
          </w:tcPr>
          <w:p w14:paraId="6F0B8DC1"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0,15909</w:t>
            </w:r>
          </w:p>
        </w:tc>
        <w:tc>
          <w:tcPr>
            <w:tcW w:w="690" w:type="dxa"/>
            <w:tcBorders>
              <w:top w:val="nil"/>
              <w:left w:val="nil"/>
              <w:bottom w:val="single" w:sz="4" w:space="0" w:color="auto"/>
              <w:right w:val="single" w:sz="4" w:space="0" w:color="auto"/>
            </w:tcBorders>
            <w:noWrap/>
            <w:vAlign w:val="center"/>
            <w:hideMark/>
          </w:tcPr>
          <w:p w14:paraId="294A2218"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50A41DE6"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11B8C577"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3</w:t>
            </w:r>
          </w:p>
        </w:tc>
        <w:tc>
          <w:tcPr>
            <w:tcW w:w="1248" w:type="dxa"/>
            <w:tcBorders>
              <w:top w:val="nil"/>
              <w:left w:val="single" w:sz="4" w:space="0" w:color="auto"/>
              <w:bottom w:val="single" w:sz="4" w:space="0" w:color="auto"/>
              <w:right w:val="single" w:sz="4" w:space="0" w:color="auto"/>
            </w:tcBorders>
            <w:noWrap/>
            <w:vAlign w:val="center"/>
            <w:hideMark/>
          </w:tcPr>
          <w:p w14:paraId="787C2FF5" w14:textId="77777777" w:rsidR="00814B65" w:rsidRPr="00814B65" w:rsidRDefault="00814B65" w:rsidP="00814B65">
            <w:pPr>
              <w:spacing w:after="0" w:line="240" w:lineRule="auto"/>
              <w:ind w:right="-95"/>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0,2675397</w:t>
            </w:r>
          </w:p>
        </w:tc>
        <w:tc>
          <w:tcPr>
            <w:tcW w:w="1157" w:type="dxa"/>
            <w:tcBorders>
              <w:top w:val="nil"/>
              <w:left w:val="nil"/>
              <w:bottom w:val="single" w:sz="4" w:space="0" w:color="auto"/>
              <w:right w:val="single" w:sz="4" w:space="0" w:color="auto"/>
            </w:tcBorders>
            <w:noWrap/>
            <w:vAlign w:val="center"/>
            <w:hideMark/>
          </w:tcPr>
          <w:p w14:paraId="4F48C004"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0,133803</w:t>
            </w:r>
          </w:p>
        </w:tc>
        <w:tc>
          <w:tcPr>
            <w:tcW w:w="1107" w:type="dxa"/>
            <w:tcBorders>
              <w:top w:val="nil"/>
              <w:left w:val="nil"/>
              <w:bottom w:val="single" w:sz="4" w:space="0" w:color="auto"/>
              <w:right w:val="single" w:sz="4" w:space="0" w:color="auto"/>
            </w:tcBorders>
            <w:noWrap/>
            <w:vAlign w:val="center"/>
            <w:hideMark/>
          </w:tcPr>
          <w:p w14:paraId="34FB3697"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0,152193</w:t>
            </w:r>
          </w:p>
        </w:tc>
        <w:tc>
          <w:tcPr>
            <w:tcW w:w="988" w:type="dxa"/>
            <w:tcBorders>
              <w:top w:val="nil"/>
              <w:left w:val="nil"/>
              <w:bottom w:val="single" w:sz="4" w:space="0" w:color="auto"/>
              <w:right w:val="single" w:sz="4" w:space="0" w:color="auto"/>
            </w:tcBorders>
            <w:noWrap/>
            <w:vAlign w:val="center"/>
            <w:hideMark/>
          </w:tcPr>
          <w:p w14:paraId="246A103B"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0,14403</w:t>
            </w:r>
          </w:p>
        </w:tc>
        <w:tc>
          <w:tcPr>
            <w:tcW w:w="995" w:type="dxa"/>
            <w:tcBorders>
              <w:top w:val="nil"/>
              <w:left w:val="nil"/>
              <w:bottom w:val="single" w:sz="4" w:space="0" w:color="auto"/>
              <w:right w:val="single" w:sz="4" w:space="0" w:color="auto"/>
            </w:tcBorders>
            <w:noWrap/>
            <w:vAlign w:val="center"/>
            <w:hideMark/>
          </w:tcPr>
          <w:p w14:paraId="13FD64F4"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0,14754</w:t>
            </w:r>
          </w:p>
        </w:tc>
        <w:tc>
          <w:tcPr>
            <w:tcW w:w="1107" w:type="dxa"/>
            <w:tcBorders>
              <w:top w:val="nil"/>
              <w:left w:val="nil"/>
              <w:bottom w:val="single" w:sz="4" w:space="0" w:color="auto"/>
              <w:right w:val="single" w:sz="4" w:space="0" w:color="auto"/>
            </w:tcBorders>
            <w:noWrap/>
            <w:vAlign w:val="center"/>
            <w:hideMark/>
          </w:tcPr>
          <w:p w14:paraId="7B169CFC"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0,125998</w:t>
            </w:r>
          </w:p>
        </w:tc>
        <w:tc>
          <w:tcPr>
            <w:tcW w:w="988" w:type="dxa"/>
            <w:tcBorders>
              <w:top w:val="nil"/>
              <w:left w:val="nil"/>
              <w:bottom w:val="single" w:sz="4" w:space="0" w:color="auto"/>
              <w:right w:val="single" w:sz="4" w:space="0" w:color="auto"/>
            </w:tcBorders>
            <w:noWrap/>
            <w:vAlign w:val="center"/>
            <w:hideMark/>
          </w:tcPr>
          <w:p w14:paraId="2D91602A"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0,12925</w:t>
            </w:r>
          </w:p>
        </w:tc>
        <w:tc>
          <w:tcPr>
            <w:tcW w:w="988" w:type="dxa"/>
            <w:tcBorders>
              <w:top w:val="nil"/>
              <w:left w:val="nil"/>
              <w:bottom w:val="single" w:sz="4" w:space="0" w:color="auto"/>
              <w:right w:val="single" w:sz="4" w:space="0" w:color="auto"/>
            </w:tcBorders>
            <w:noWrap/>
            <w:vAlign w:val="center"/>
            <w:hideMark/>
          </w:tcPr>
          <w:p w14:paraId="3D230566"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0,15909</w:t>
            </w:r>
          </w:p>
        </w:tc>
        <w:tc>
          <w:tcPr>
            <w:tcW w:w="690" w:type="dxa"/>
            <w:tcBorders>
              <w:top w:val="nil"/>
              <w:left w:val="nil"/>
              <w:bottom w:val="single" w:sz="4" w:space="0" w:color="auto"/>
              <w:right w:val="single" w:sz="4" w:space="0" w:color="auto"/>
            </w:tcBorders>
            <w:noWrap/>
            <w:vAlign w:val="center"/>
            <w:hideMark/>
          </w:tcPr>
          <w:p w14:paraId="0392E13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7AA09D76"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431BE496"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4</w:t>
            </w:r>
          </w:p>
        </w:tc>
        <w:tc>
          <w:tcPr>
            <w:tcW w:w="1248" w:type="dxa"/>
            <w:tcBorders>
              <w:top w:val="nil"/>
              <w:left w:val="single" w:sz="4" w:space="0" w:color="auto"/>
              <w:bottom w:val="single" w:sz="4" w:space="0" w:color="auto"/>
              <w:right w:val="single" w:sz="4" w:space="0" w:color="auto"/>
            </w:tcBorders>
            <w:noWrap/>
            <w:vAlign w:val="center"/>
            <w:hideMark/>
          </w:tcPr>
          <w:p w14:paraId="201D14C7" w14:textId="77777777" w:rsidR="00814B65" w:rsidRPr="00814B65" w:rsidRDefault="00814B65" w:rsidP="00814B65">
            <w:pPr>
              <w:spacing w:after="0" w:line="240" w:lineRule="auto"/>
              <w:ind w:right="-95"/>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0,2675397</w:t>
            </w:r>
          </w:p>
        </w:tc>
        <w:tc>
          <w:tcPr>
            <w:tcW w:w="1157" w:type="dxa"/>
            <w:tcBorders>
              <w:top w:val="nil"/>
              <w:left w:val="nil"/>
              <w:bottom w:val="single" w:sz="4" w:space="0" w:color="auto"/>
              <w:right w:val="single" w:sz="4" w:space="0" w:color="auto"/>
            </w:tcBorders>
            <w:noWrap/>
            <w:vAlign w:val="center"/>
            <w:hideMark/>
          </w:tcPr>
          <w:p w14:paraId="16B2D84F"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0,130945</w:t>
            </w:r>
          </w:p>
        </w:tc>
        <w:tc>
          <w:tcPr>
            <w:tcW w:w="1107" w:type="dxa"/>
            <w:tcBorders>
              <w:top w:val="nil"/>
              <w:left w:val="nil"/>
              <w:bottom w:val="single" w:sz="4" w:space="0" w:color="auto"/>
              <w:right w:val="single" w:sz="4" w:space="0" w:color="auto"/>
            </w:tcBorders>
            <w:noWrap/>
            <w:vAlign w:val="center"/>
            <w:hideMark/>
          </w:tcPr>
          <w:p w14:paraId="66210326"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0,152193</w:t>
            </w:r>
          </w:p>
        </w:tc>
        <w:tc>
          <w:tcPr>
            <w:tcW w:w="988" w:type="dxa"/>
            <w:tcBorders>
              <w:top w:val="nil"/>
              <w:left w:val="nil"/>
              <w:bottom w:val="single" w:sz="4" w:space="0" w:color="auto"/>
              <w:right w:val="single" w:sz="4" w:space="0" w:color="auto"/>
            </w:tcBorders>
            <w:noWrap/>
            <w:vAlign w:val="center"/>
            <w:hideMark/>
          </w:tcPr>
          <w:p w14:paraId="1B82A857"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0,14403</w:t>
            </w:r>
          </w:p>
        </w:tc>
        <w:tc>
          <w:tcPr>
            <w:tcW w:w="995" w:type="dxa"/>
            <w:tcBorders>
              <w:top w:val="nil"/>
              <w:left w:val="nil"/>
              <w:bottom w:val="single" w:sz="4" w:space="0" w:color="auto"/>
              <w:right w:val="single" w:sz="4" w:space="0" w:color="auto"/>
            </w:tcBorders>
            <w:noWrap/>
            <w:vAlign w:val="center"/>
            <w:hideMark/>
          </w:tcPr>
          <w:p w14:paraId="7E80DBC8"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0,14754</w:t>
            </w:r>
          </w:p>
        </w:tc>
        <w:tc>
          <w:tcPr>
            <w:tcW w:w="1107" w:type="dxa"/>
            <w:tcBorders>
              <w:top w:val="nil"/>
              <w:left w:val="nil"/>
              <w:bottom w:val="single" w:sz="4" w:space="0" w:color="auto"/>
              <w:right w:val="single" w:sz="4" w:space="0" w:color="auto"/>
            </w:tcBorders>
            <w:noWrap/>
            <w:vAlign w:val="center"/>
            <w:hideMark/>
          </w:tcPr>
          <w:p w14:paraId="307C811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0,125998</w:t>
            </w:r>
          </w:p>
        </w:tc>
        <w:tc>
          <w:tcPr>
            <w:tcW w:w="988" w:type="dxa"/>
            <w:tcBorders>
              <w:top w:val="nil"/>
              <w:left w:val="nil"/>
              <w:bottom w:val="single" w:sz="4" w:space="0" w:color="auto"/>
              <w:right w:val="single" w:sz="4" w:space="0" w:color="auto"/>
            </w:tcBorders>
            <w:noWrap/>
            <w:vAlign w:val="center"/>
            <w:hideMark/>
          </w:tcPr>
          <w:p w14:paraId="3372204F"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0,12925</w:t>
            </w:r>
          </w:p>
        </w:tc>
        <w:tc>
          <w:tcPr>
            <w:tcW w:w="988" w:type="dxa"/>
            <w:tcBorders>
              <w:top w:val="nil"/>
              <w:left w:val="nil"/>
              <w:bottom w:val="single" w:sz="4" w:space="0" w:color="auto"/>
              <w:right w:val="single" w:sz="4" w:space="0" w:color="auto"/>
            </w:tcBorders>
            <w:noWrap/>
            <w:vAlign w:val="center"/>
            <w:hideMark/>
          </w:tcPr>
          <w:p w14:paraId="3C4E4A52"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0,15909</w:t>
            </w:r>
          </w:p>
        </w:tc>
        <w:tc>
          <w:tcPr>
            <w:tcW w:w="690" w:type="dxa"/>
            <w:tcBorders>
              <w:top w:val="nil"/>
              <w:left w:val="nil"/>
              <w:bottom w:val="single" w:sz="4" w:space="0" w:color="auto"/>
              <w:right w:val="single" w:sz="4" w:space="0" w:color="auto"/>
            </w:tcBorders>
            <w:noWrap/>
            <w:vAlign w:val="center"/>
            <w:hideMark/>
          </w:tcPr>
          <w:p w14:paraId="2285FA8A"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07EED865"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7EC5C1BB"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5</w:t>
            </w:r>
          </w:p>
        </w:tc>
        <w:tc>
          <w:tcPr>
            <w:tcW w:w="1248" w:type="dxa"/>
            <w:tcBorders>
              <w:top w:val="nil"/>
              <w:left w:val="single" w:sz="4" w:space="0" w:color="auto"/>
              <w:bottom w:val="single" w:sz="4" w:space="0" w:color="auto"/>
              <w:right w:val="single" w:sz="4" w:space="0" w:color="auto"/>
            </w:tcBorders>
            <w:noWrap/>
            <w:vAlign w:val="center"/>
            <w:hideMark/>
          </w:tcPr>
          <w:p w14:paraId="03A62B88" w14:textId="77777777" w:rsidR="00814B65" w:rsidRPr="00814B65" w:rsidRDefault="00814B65" w:rsidP="00814B65">
            <w:pPr>
              <w:spacing w:after="0" w:line="240" w:lineRule="auto"/>
              <w:ind w:right="-95"/>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0,0508482</w:t>
            </w:r>
          </w:p>
        </w:tc>
        <w:tc>
          <w:tcPr>
            <w:tcW w:w="1157" w:type="dxa"/>
            <w:tcBorders>
              <w:top w:val="nil"/>
              <w:left w:val="nil"/>
              <w:bottom w:val="single" w:sz="4" w:space="0" w:color="auto"/>
              <w:right w:val="single" w:sz="4" w:space="0" w:color="auto"/>
            </w:tcBorders>
            <w:noWrap/>
            <w:vAlign w:val="center"/>
            <w:hideMark/>
          </w:tcPr>
          <w:p w14:paraId="18E0B8FB"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0,121316</w:t>
            </w:r>
          </w:p>
        </w:tc>
        <w:tc>
          <w:tcPr>
            <w:tcW w:w="1107" w:type="dxa"/>
            <w:tcBorders>
              <w:top w:val="nil"/>
              <w:left w:val="nil"/>
              <w:bottom w:val="single" w:sz="4" w:space="0" w:color="auto"/>
              <w:right w:val="single" w:sz="4" w:space="0" w:color="auto"/>
            </w:tcBorders>
            <w:noWrap/>
            <w:vAlign w:val="center"/>
            <w:hideMark/>
          </w:tcPr>
          <w:p w14:paraId="00252DFC"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0,069801</w:t>
            </w:r>
          </w:p>
        </w:tc>
        <w:tc>
          <w:tcPr>
            <w:tcW w:w="988" w:type="dxa"/>
            <w:tcBorders>
              <w:top w:val="nil"/>
              <w:left w:val="nil"/>
              <w:bottom w:val="single" w:sz="4" w:space="0" w:color="auto"/>
              <w:right w:val="single" w:sz="4" w:space="0" w:color="auto"/>
            </w:tcBorders>
            <w:noWrap/>
            <w:vAlign w:val="center"/>
            <w:hideMark/>
          </w:tcPr>
          <w:p w14:paraId="2D61C3E3"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0,08885</w:t>
            </w:r>
          </w:p>
        </w:tc>
        <w:tc>
          <w:tcPr>
            <w:tcW w:w="995" w:type="dxa"/>
            <w:tcBorders>
              <w:top w:val="nil"/>
              <w:left w:val="nil"/>
              <w:bottom w:val="single" w:sz="4" w:space="0" w:color="auto"/>
              <w:right w:val="single" w:sz="4" w:space="0" w:color="auto"/>
            </w:tcBorders>
            <w:noWrap/>
            <w:vAlign w:val="center"/>
            <w:hideMark/>
          </w:tcPr>
          <w:p w14:paraId="1AA49CCE"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0,17217</w:t>
            </w:r>
          </w:p>
        </w:tc>
        <w:tc>
          <w:tcPr>
            <w:tcW w:w="1107" w:type="dxa"/>
            <w:tcBorders>
              <w:top w:val="nil"/>
              <w:left w:val="nil"/>
              <w:bottom w:val="single" w:sz="4" w:space="0" w:color="auto"/>
              <w:right w:val="single" w:sz="4" w:space="0" w:color="auto"/>
            </w:tcBorders>
            <w:noWrap/>
            <w:vAlign w:val="center"/>
            <w:hideMark/>
          </w:tcPr>
          <w:p w14:paraId="38205BAF"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0,125998</w:t>
            </w:r>
          </w:p>
        </w:tc>
        <w:tc>
          <w:tcPr>
            <w:tcW w:w="988" w:type="dxa"/>
            <w:tcBorders>
              <w:top w:val="nil"/>
              <w:left w:val="nil"/>
              <w:bottom w:val="single" w:sz="4" w:space="0" w:color="auto"/>
              <w:right w:val="single" w:sz="4" w:space="0" w:color="auto"/>
            </w:tcBorders>
            <w:noWrap/>
            <w:vAlign w:val="center"/>
            <w:hideMark/>
          </w:tcPr>
          <w:p w14:paraId="4C6A220A"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0,12245</w:t>
            </w:r>
          </w:p>
        </w:tc>
        <w:tc>
          <w:tcPr>
            <w:tcW w:w="988" w:type="dxa"/>
            <w:tcBorders>
              <w:top w:val="nil"/>
              <w:left w:val="nil"/>
              <w:bottom w:val="single" w:sz="4" w:space="0" w:color="auto"/>
              <w:right w:val="single" w:sz="4" w:space="0" w:color="auto"/>
            </w:tcBorders>
            <w:noWrap/>
            <w:vAlign w:val="center"/>
            <w:hideMark/>
          </w:tcPr>
          <w:p w14:paraId="1EA8AED4"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0,11364</w:t>
            </w:r>
          </w:p>
        </w:tc>
        <w:tc>
          <w:tcPr>
            <w:tcW w:w="690" w:type="dxa"/>
            <w:tcBorders>
              <w:top w:val="nil"/>
              <w:left w:val="nil"/>
              <w:bottom w:val="single" w:sz="4" w:space="0" w:color="auto"/>
              <w:right w:val="single" w:sz="4" w:space="0" w:color="auto"/>
            </w:tcBorders>
            <w:noWrap/>
            <w:vAlign w:val="center"/>
            <w:hideMark/>
          </w:tcPr>
          <w:p w14:paraId="4847C2A6" w14:textId="77777777" w:rsidR="00814B65" w:rsidRPr="00BB2991" w:rsidRDefault="00814B65" w:rsidP="00814B65">
            <w:pPr>
              <w:spacing w:after="0" w:line="240" w:lineRule="auto"/>
              <w:ind w:right="-95"/>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56B2DB3B"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70F05A9A"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6</w:t>
            </w:r>
          </w:p>
        </w:tc>
        <w:tc>
          <w:tcPr>
            <w:tcW w:w="1248" w:type="dxa"/>
            <w:tcBorders>
              <w:top w:val="nil"/>
              <w:left w:val="single" w:sz="4" w:space="0" w:color="auto"/>
              <w:bottom w:val="single" w:sz="4" w:space="0" w:color="auto"/>
              <w:right w:val="single" w:sz="4" w:space="0" w:color="auto"/>
            </w:tcBorders>
            <w:noWrap/>
            <w:vAlign w:val="center"/>
            <w:hideMark/>
          </w:tcPr>
          <w:p w14:paraId="4FD0C3D3" w14:textId="77777777" w:rsidR="00814B65" w:rsidRPr="00814B65" w:rsidRDefault="00814B65" w:rsidP="00814B65">
            <w:pPr>
              <w:spacing w:after="0" w:line="240" w:lineRule="auto"/>
              <w:ind w:left="-40" w:right="-49"/>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0,059178</w:t>
            </w:r>
          </w:p>
        </w:tc>
        <w:tc>
          <w:tcPr>
            <w:tcW w:w="1157" w:type="dxa"/>
            <w:tcBorders>
              <w:top w:val="nil"/>
              <w:left w:val="nil"/>
              <w:bottom w:val="single" w:sz="4" w:space="0" w:color="auto"/>
              <w:right w:val="single" w:sz="4" w:space="0" w:color="auto"/>
            </w:tcBorders>
            <w:noWrap/>
            <w:vAlign w:val="center"/>
            <w:hideMark/>
          </w:tcPr>
          <w:p w14:paraId="16F5557D"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0,113751</w:t>
            </w:r>
          </w:p>
        </w:tc>
        <w:tc>
          <w:tcPr>
            <w:tcW w:w="1107" w:type="dxa"/>
            <w:tcBorders>
              <w:top w:val="nil"/>
              <w:left w:val="nil"/>
              <w:bottom w:val="single" w:sz="4" w:space="0" w:color="auto"/>
              <w:right w:val="single" w:sz="4" w:space="0" w:color="auto"/>
            </w:tcBorders>
            <w:noWrap/>
            <w:vAlign w:val="center"/>
            <w:hideMark/>
          </w:tcPr>
          <w:p w14:paraId="5CDD5C19"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0,14674</w:t>
            </w:r>
          </w:p>
        </w:tc>
        <w:tc>
          <w:tcPr>
            <w:tcW w:w="988" w:type="dxa"/>
            <w:tcBorders>
              <w:top w:val="nil"/>
              <w:left w:val="nil"/>
              <w:bottom w:val="single" w:sz="4" w:space="0" w:color="auto"/>
              <w:right w:val="single" w:sz="4" w:space="0" w:color="auto"/>
            </w:tcBorders>
            <w:noWrap/>
            <w:vAlign w:val="center"/>
            <w:hideMark/>
          </w:tcPr>
          <w:p w14:paraId="3323140F"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0,15092</w:t>
            </w:r>
          </w:p>
        </w:tc>
        <w:tc>
          <w:tcPr>
            <w:tcW w:w="995" w:type="dxa"/>
            <w:tcBorders>
              <w:top w:val="nil"/>
              <w:left w:val="nil"/>
              <w:bottom w:val="single" w:sz="4" w:space="0" w:color="auto"/>
              <w:right w:val="single" w:sz="4" w:space="0" w:color="auto"/>
            </w:tcBorders>
            <w:noWrap/>
            <w:vAlign w:val="center"/>
            <w:hideMark/>
          </w:tcPr>
          <w:p w14:paraId="63C54948"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0,04673</w:t>
            </w:r>
          </w:p>
        </w:tc>
        <w:tc>
          <w:tcPr>
            <w:tcW w:w="1107" w:type="dxa"/>
            <w:tcBorders>
              <w:top w:val="nil"/>
              <w:left w:val="nil"/>
              <w:bottom w:val="single" w:sz="4" w:space="0" w:color="auto"/>
              <w:right w:val="single" w:sz="4" w:space="0" w:color="auto"/>
            </w:tcBorders>
            <w:noWrap/>
            <w:vAlign w:val="center"/>
            <w:hideMark/>
          </w:tcPr>
          <w:p w14:paraId="22993416"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0,132998</w:t>
            </w:r>
          </w:p>
        </w:tc>
        <w:tc>
          <w:tcPr>
            <w:tcW w:w="988" w:type="dxa"/>
            <w:tcBorders>
              <w:top w:val="nil"/>
              <w:left w:val="nil"/>
              <w:bottom w:val="single" w:sz="4" w:space="0" w:color="auto"/>
              <w:right w:val="single" w:sz="4" w:space="0" w:color="auto"/>
            </w:tcBorders>
            <w:noWrap/>
            <w:vAlign w:val="center"/>
            <w:hideMark/>
          </w:tcPr>
          <w:p w14:paraId="6A6FFD2B"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0,12245</w:t>
            </w:r>
          </w:p>
        </w:tc>
        <w:tc>
          <w:tcPr>
            <w:tcW w:w="988" w:type="dxa"/>
            <w:tcBorders>
              <w:top w:val="nil"/>
              <w:left w:val="nil"/>
              <w:bottom w:val="single" w:sz="4" w:space="0" w:color="auto"/>
              <w:right w:val="single" w:sz="4" w:space="0" w:color="auto"/>
            </w:tcBorders>
            <w:noWrap/>
            <w:vAlign w:val="center"/>
            <w:hideMark/>
          </w:tcPr>
          <w:p w14:paraId="655037E8"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0,09091</w:t>
            </w:r>
          </w:p>
        </w:tc>
        <w:tc>
          <w:tcPr>
            <w:tcW w:w="690" w:type="dxa"/>
            <w:tcBorders>
              <w:top w:val="nil"/>
              <w:left w:val="nil"/>
              <w:bottom w:val="single" w:sz="4" w:space="0" w:color="auto"/>
              <w:right w:val="single" w:sz="4" w:space="0" w:color="auto"/>
            </w:tcBorders>
            <w:noWrap/>
            <w:vAlign w:val="center"/>
            <w:hideMark/>
          </w:tcPr>
          <w:p w14:paraId="517D9E97"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08A72419"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26915002"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7</w:t>
            </w:r>
          </w:p>
        </w:tc>
        <w:tc>
          <w:tcPr>
            <w:tcW w:w="1248" w:type="dxa"/>
            <w:tcBorders>
              <w:top w:val="nil"/>
              <w:left w:val="single" w:sz="4" w:space="0" w:color="auto"/>
              <w:bottom w:val="single" w:sz="4" w:space="0" w:color="auto"/>
              <w:right w:val="single" w:sz="4" w:space="0" w:color="auto"/>
            </w:tcBorders>
            <w:noWrap/>
            <w:vAlign w:val="center"/>
            <w:hideMark/>
          </w:tcPr>
          <w:p w14:paraId="2FB733F2" w14:textId="77777777" w:rsidR="00814B65" w:rsidRPr="00814B65" w:rsidRDefault="00814B65" w:rsidP="00814B65">
            <w:pPr>
              <w:spacing w:after="0" w:line="240" w:lineRule="auto"/>
              <w:ind w:left="-40" w:right="-49"/>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0,1834666</w:t>
            </w:r>
          </w:p>
        </w:tc>
        <w:tc>
          <w:tcPr>
            <w:tcW w:w="1157" w:type="dxa"/>
            <w:tcBorders>
              <w:top w:val="nil"/>
              <w:left w:val="nil"/>
              <w:bottom w:val="single" w:sz="4" w:space="0" w:color="auto"/>
              <w:right w:val="single" w:sz="4" w:space="0" w:color="auto"/>
            </w:tcBorders>
            <w:noWrap/>
            <w:vAlign w:val="center"/>
            <w:hideMark/>
          </w:tcPr>
          <w:p w14:paraId="22508EE0"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0,132455</w:t>
            </w:r>
          </w:p>
        </w:tc>
        <w:tc>
          <w:tcPr>
            <w:tcW w:w="1107" w:type="dxa"/>
            <w:tcBorders>
              <w:top w:val="nil"/>
              <w:left w:val="nil"/>
              <w:bottom w:val="single" w:sz="4" w:space="0" w:color="auto"/>
              <w:right w:val="single" w:sz="4" w:space="0" w:color="auto"/>
            </w:tcBorders>
            <w:noWrap/>
            <w:vAlign w:val="center"/>
            <w:hideMark/>
          </w:tcPr>
          <w:p w14:paraId="0785F78D"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0,111529</w:t>
            </w:r>
          </w:p>
        </w:tc>
        <w:tc>
          <w:tcPr>
            <w:tcW w:w="988" w:type="dxa"/>
            <w:tcBorders>
              <w:top w:val="nil"/>
              <w:left w:val="nil"/>
              <w:bottom w:val="single" w:sz="4" w:space="0" w:color="auto"/>
              <w:right w:val="single" w:sz="4" w:space="0" w:color="auto"/>
            </w:tcBorders>
            <w:noWrap/>
            <w:vAlign w:val="center"/>
            <w:hideMark/>
          </w:tcPr>
          <w:p w14:paraId="39769D56"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0,08901</w:t>
            </w:r>
          </w:p>
        </w:tc>
        <w:tc>
          <w:tcPr>
            <w:tcW w:w="995" w:type="dxa"/>
            <w:tcBorders>
              <w:top w:val="nil"/>
              <w:left w:val="nil"/>
              <w:bottom w:val="single" w:sz="4" w:space="0" w:color="auto"/>
              <w:right w:val="single" w:sz="4" w:space="0" w:color="auto"/>
            </w:tcBorders>
            <w:noWrap/>
            <w:vAlign w:val="center"/>
            <w:hideMark/>
          </w:tcPr>
          <w:p w14:paraId="167EC02A"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0,16906</w:t>
            </w:r>
          </w:p>
        </w:tc>
        <w:tc>
          <w:tcPr>
            <w:tcW w:w="1107" w:type="dxa"/>
            <w:tcBorders>
              <w:top w:val="nil"/>
              <w:left w:val="nil"/>
              <w:bottom w:val="single" w:sz="4" w:space="0" w:color="auto"/>
              <w:right w:val="single" w:sz="4" w:space="0" w:color="auto"/>
            </w:tcBorders>
            <w:noWrap/>
            <w:vAlign w:val="center"/>
            <w:hideMark/>
          </w:tcPr>
          <w:p w14:paraId="179ECF85"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0,125016</w:t>
            </w:r>
          </w:p>
        </w:tc>
        <w:tc>
          <w:tcPr>
            <w:tcW w:w="988" w:type="dxa"/>
            <w:tcBorders>
              <w:top w:val="nil"/>
              <w:left w:val="nil"/>
              <w:bottom w:val="single" w:sz="4" w:space="0" w:color="auto"/>
              <w:right w:val="single" w:sz="4" w:space="0" w:color="auto"/>
            </w:tcBorders>
            <w:noWrap/>
            <w:vAlign w:val="center"/>
            <w:hideMark/>
          </w:tcPr>
          <w:p w14:paraId="428BE700"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0,12925</w:t>
            </w:r>
          </w:p>
        </w:tc>
        <w:tc>
          <w:tcPr>
            <w:tcW w:w="988" w:type="dxa"/>
            <w:tcBorders>
              <w:top w:val="nil"/>
              <w:left w:val="nil"/>
              <w:bottom w:val="single" w:sz="4" w:space="0" w:color="auto"/>
              <w:right w:val="single" w:sz="4" w:space="0" w:color="auto"/>
            </w:tcBorders>
            <w:noWrap/>
            <w:vAlign w:val="center"/>
            <w:hideMark/>
          </w:tcPr>
          <w:p w14:paraId="0C29C1FF"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0,13636</w:t>
            </w:r>
          </w:p>
        </w:tc>
        <w:tc>
          <w:tcPr>
            <w:tcW w:w="690" w:type="dxa"/>
            <w:tcBorders>
              <w:top w:val="nil"/>
              <w:left w:val="nil"/>
              <w:bottom w:val="single" w:sz="4" w:space="0" w:color="auto"/>
              <w:right w:val="single" w:sz="4" w:space="0" w:color="auto"/>
            </w:tcBorders>
            <w:noWrap/>
            <w:vAlign w:val="center"/>
            <w:hideMark/>
          </w:tcPr>
          <w:p w14:paraId="390402B1"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33A13989" w14:textId="77777777" w:rsidTr="00814B65">
        <w:trPr>
          <w:trHeight w:val="58"/>
          <w:jc w:val="center"/>
        </w:trPr>
        <w:tc>
          <w:tcPr>
            <w:tcW w:w="389" w:type="dxa"/>
            <w:tcBorders>
              <w:top w:val="nil"/>
              <w:left w:val="single" w:sz="4" w:space="0" w:color="auto"/>
              <w:bottom w:val="single" w:sz="4" w:space="0" w:color="auto"/>
              <w:right w:val="single" w:sz="4" w:space="0" w:color="auto"/>
            </w:tcBorders>
            <w:vAlign w:val="center"/>
            <w:hideMark/>
          </w:tcPr>
          <w:p w14:paraId="0F208B35"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8</w:t>
            </w:r>
          </w:p>
        </w:tc>
        <w:tc>
          <w:tcPr>
            <w:tcW w:w="1248" w:type="dxa"/>
            <w:tcBorders>
              <w:top w:val="nil"/>
              <w:left w:val="single" w:sz="4" w:space="0" w:color="auto"/>
              <w:bottom w:val="single" w:sz="4" w:space="0" w:color="auto"/>
              <w:right w:val="single" w:sz="4" w:space="0" w:color="auto"/>
            </w:tcBorders>
            <w:noWrap/>
            <w:vAlign w:val="center"/>
            <w:hideMark/>
          </w:tcPr>
          <w:p w14:paraId="6E89259A" w14:textId="77777777" w:rsidR="00814B65" w:rsidRPr="00814B65" w:rsidRDefault="00814B65" w:rsidP="00814B65">
            <w:pPr>
              <w:spacing w:after="0" w:line="240" w:lineRule="auto"/>
              <w:ind w:left="-40" w:right="-49"/>
              <w:jc w:val="center"/>
              <w:rPr>
                <w:rFonts w:ascii="Times New Roman" w:eastAsia="Times New Roman" w:hAnsi="Times New Roman" w:cs="Times New Roman"/>
                <w:i/>
                <w:sz w:val="24"/>
                <w:szCs w:val="24"/>
                <w:lang w:eastAsia="ru-RU"/>
              </w:rPr>
            </w:pPr>
            <w:r w:rsidRPr="00814B65">
              <w:rPr>
                <w:rFonts w:ascii="Times New Roman" w:eastAsia="Times New Roman" w:hAnsi="Times New Roman" w:cs="Times New Roman"/>
                <w:i/>
                <w:sz w:val="24"/>
                <w:szCs w:val="24"/>
                <w:lang w:eastAsia="ru-RU"/>
              </w:rPr>
              <w:t>0,0340668</w:t>
            </w:r>
          </w:p>
        </w:tc>
        <w:tc>
          <w:tcPr>
            <w:tcW w:w="1157" w:type="dxa"/>
            <w:tcBorders>
              <w:top w:val="nil"/>
              <w:left w:val="nil"/>
              <w:bottom w:val="single" w:sz="4" w:space="0" w:color="auto"/>
              <w:right w:val="single" w:sz="4" w:space="0" w:color="auto"/>
            </w:tcBorders>
            <w:noWrap/>
            <w:vAlign w:val="center"/>
            <w:hideMark/>
          </w:tcPr>
          <w:p w14:paraId="1E746B60"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0,117081</w:t>
            </w:r>
          </w:p>
        </w:tc>
        <w:tc>
          <w:tcPr>
            <w:tcW w:w="1107" w:type="dxa"/>
            <w:tcBorders>
              <w:top w:val="nil"/>
              <w:left w:val="nil"/>
              <w:bottom w:val="single" w:sz="4" w:space="0" w:color="auto"/>
              <w:right w:val="single" w:sz="4" w:space="0" w:color="auto"/>
            </w:tcBorders>
            <w:noWrap/>
            <w:vAlign w:val="center"/>
            <w:hideMark/>
          </w:tcPr>
          <w:p w14:paraId="73480109"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0,135054</w:t>
            </w:r>
          </w:p>
        </w:tc>
        <w:tc>
          <w:tcPr>
            <w:tcW w:w="988" w:type="dxa"/>
            <w:tcBorders>
              <w:top w:val="nil"/>
              <w:left w:val="nil"/>
              <w:bottom w:val="single" w:sz="4" w:space="0" w:color="auto"/>
              <w:right w:val="single" w:sz="4" w:space="0" w:color="auto"/>
            </w:tcBorders>
            <w:noWrap/>
            <w:vAlign w:val="center"/>
            <w:hideMark/>
          </w:tcPr>
          <w:p w14:paraId="2C5CBB32"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0,15516</w:t>
            </w:r>
          </w:p>
        </w:tc>
        <w:tc>
          <w:tcPr>
            <w:tcW w:w="995" w:type="dxa"/>
            <w:tcBorders>
              <w:top w:val="nil"/>
              <w:left w:val="nil"/>
              <w:bottom w:val="single" w:sz="4" w:space="0" w:color="auto"/>
              <w:right w:val="single" w:sz="4" w:space="0" w:color="auto"/>
            </w:tcBorders>
            <w:noWrap/>
            <w:vAlign w:val="center"/>
            <w:hideMark/>
          </w:tcPr>
          <w:p w14:paraId="7C8629A1"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0,04673</w:t>
            </w:r>
          </w:p>
        </w:tc>
        <w:tc>
          <w:tcPr>
            <w:tcW w:w="1107" w:type="dxa"/>
            <w:tcBorders>
              <w:top w:val="nil"/>
              <w:left w:val="nil"/>
              <w:bottom w:val="single" w:sz="4" w:space="0" w:color="auto"/>
              <w:right w:val="single" w:sz="4" w:space="0" w:color="auto"/>
            </w:tcBorders>
            <w:noWrap/>
            <w:vAlign w:val="center"/>
            <w:hideMark/>
          </w:tcPr>
          <w:p w14:paraId="41F7F5BB"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0,125998</w:t>
            </w:r>
          </w:p>
        </w:tc>
        <w:tc>
          <w:tcPr>
            <w:tcW w:w="988" w:type="dxa"/>
            <w:tcBorders>
              <w:top w:val="nil"/>
              <w:left w:val="nil"/>
              <w:bottom w:val="single" w:sz="4" w:space="0" w:color="auto"/>
              <w:right w:val="single" w:sz="4" w:space="0" w:color="auto"/>
            </w:tcBorders>
            <w:noWrap/>
            <w:vAlign w:val="center"/>
            <w:hideMark/>
          </w:tcPr>
          <w:p w14:paraId="609AE4AB"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0,12245</w:t>
            </w:r>
          </w:p>
        </w:tc>
        <w:tc>
          <w:tcPr>
            <w:tcW w:w="988" w:type="dxa"/>
            <w:tcBorders>
              <w:top w:val="nil"/>
              <w:left w:val="nil"/>
              <w:bottom w:val="single" w:sz="4" w:space="0" w:color="auto"/>
              <w:right w:val="single" w:sz="4" w:space="0" w:color="auto"/>
            </w:tcBorders>
            <w:noWrap/>
            <w:vAlign w:val="center"/>
            <w:hideMark/>
          </w:tcPr>
          <w:p w14:paraId="314356E1"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0,09091</w:t>
            </w:r>
          </w:p>
        </w:tc>
        <w:tc>
          <w:tcPr>
            <w:tcW w:w="690" w:type="dxa"/>
            <w:tcBorders>
              <w:top w:val="nil"/>
              <w:left w:val="nil"/>
              <w:bottom w:val="single" w:sz="4" w:space="0" w:color="auto"/>
              <w:right w:val="single" w:sz="4" w:space="0" w:color="auto"/>
            </w:tcBorders>
            <w:noWrap/>
            <w:vAlign w:val="center"/>
            <w:hideMark/>
          </w:tcPr>
          <w:p w14:paraId="7F68B8A5" w14:textId="77777777" w:rsidR="00814B65" w:rsidRPr="00BB2991" w:rsidRDefault="00814B65" w:rsidP="00814B65">
            <w:pPr>
              <w:spacing w:after="0" w:line="240" w:lineRule="auto"/>
              <w:ind w:left="-40" w:right="-49"/>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w:t>
            </w:r>
          </w:p>
        </w:tc>
      </w:tr>
      <w:tr w:rsidR="00814B65" w:rsidRPr="00BB2991" w14:paraId="5877418A" w14:textId="77777777" w:rsidTr="00814B65">
        <w:trPr>
          <w:trHeight w:val="58"/>
          <w:jc w:val="center"/>
        </w:trPr>
        <w:tc>
          <w:tcPr>
            <w:tcW w:w="9657" w:type="dxa"/>
            <w:gridSpan w:val="10"/>
            <w:tcBorders>
              <w:top w:val="nil"/>
              <w:left w:val="single" w:sz="4" w:space="0" w:color="auto"/>
              <w:bottom w:val="single" w:sz="4" w:space="0" w:color="auto"/>
              <w:right w:val="single" w:sz="4" w:space="0" w:color="auto"/>
            </w:tcBorders>
            <w:vAlign w:val="center"/>
            <w:hideMark/>
          </w:tcPr>
          <w:p w14:paraId="4B290B85" w14:textId="0B21F557" w:rsidR="00814B65" w:rsidRPr="00BB2991" w:rsidRDefault="00814B65" w:rsidP="00814B65">
            <w:pPr>
              <w:spacing w:after="0" w:line="240" w:lineRule="auto"/>
              <w:ind w:firstLine="434"/>
              <w:jc w:val="both"/>
              <w:rPr>
                <w:rFonts w:ascii="Times New Roman" w:eastAsia="Times New Roman" w:hAnsi="Times New Roman" w:cs="Times New Roman"/>
                <w:color w:val="000000"/>
                <w:sz w:val="24"/>
                <w:szCs w:val="24"/>
                <w:lang w:eastAsia="ru-RU"/>
              </w:rPr>
            </w:pPr>
            <w:r w:rsidRPr="00BB2991">
              <w:rPr>
                <w:rFonts w:ascii="Times New Roman" w:eastAsiaTheme="minorEastAsia" w:hAnsi="Times New Roman" w:cs="Times New Roman"/>
                <w:sz w:val="24"/>
                <w:szCs w:val="24"/>
                <w:lang w:val="kk-KZ"/>
              </w:rPr>
              <w:t>Ескерту – Автормен құрастырылған</w:t>
            </w:r>
          </w:p>
        </w:tc>
      </w:tr>
    </w:tbl>
    <w:p w14:paraId="575F59BE" w14:textId="77777777" w:rsidR="00010EEC" w:rsidRDefault="00010EEC" w:rsidP="00457CE9">
      <w:pPr>
        <w:spacing w:after="0" w:line="240" w:lineRule="auto"/>
        <w:ind w:firstLine="567"/>
        <w:jc w:val="both"/>
        <w:rPr>
          <w:rFonts w:ascii="Times New Roman" w:eastAsiaTheme="minorEastAsia" w:hAnsi="Times New Roman" w:cs="Times New Roman"/>
          <w:sz w:val="28"/>
          <w:szCs w:val="28"/>
          <w:lang w:val="kk-KZ"/>
        </w:rPr>
      </w:pPr>
    </w:p>
    <w:p w14:paraId="2DF1A14C" w14:textId="6983A672" w:rsidR="00647B71" w:rsidRDefault="00EB7D69" w:rsidP="00F15E51">
      <w:pPr>
        <w:widowControl w:val="0"/>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60</w:t>
      </w:r>
      <w:r w:rsidR="00647B71" w:rsidRPr="00457CE9">
        <w:rPr>
          <w:rFonts w:ascii="Times New Roman" w:eastAsiaTheme="minorEastAsia" w:hAnsi="Times New Roman" w:cs="Times New Roman"/>
          <w:sz w:val="28"/>
          <w:szCs w:val="28"/>
          <w:lang w:val="kk-KZ"/>
        </w:rPr>
        <w:t xml:space="preserve">-кесте мәліметтері бойынша 2017 жылғы тоғыз міндеті 159 іс-шаралары бойынша эксперттік бағалау берілген альтернативалардың матрицасы бойынша алынған нәтижелері бірінші деңгей факторлары мәндерінің матрицасымен көбейтіндісі </w:t>
      </w:r>
      <w:r>
        <w:rPr>
          <w:rFonts w:ascii="Times New Roman" w:eastAsiaTheme="minorEastAsia" w:hAnsi="Times New Roman" w:cs="Times New Roman"/>
          <w:sz w:val="28"/>
          <w:szCs w:val="28"/>
          <w:lang w:val="kk-KZ"/>
        </w:rPr>
        <w:t>61</w:t>
      </w:r>
      <w:r w:rsidR="00647B71" w:rsidRPr="00457CE9">
        <w:rPr>
          <w:rFonts w:ascii="Times New Roman" w:eastAsiaTheme="minorEastAsia" w:hAnsi="Times New Roman" w:cs="Times New Roman"/>
          <w:sz w:val="28"/>
          <w:szCs w:val="28"/>
          <w:lang w:val="kk-KZ"/>
        </w:rPr>
        <w:t>-кестеде келтірілген.</w:t>
      </w:r>
    </w:p>
    <w:p w14:paraId="55EE489F" w14:textId="77777777" w:rsidR="00F15E51" w:rsidRPr="00457CE9" w:rsidRDefault="00F15E51" w:rsidP="00F15E51">
      <w:pPr>
        <w:widowControl w:val="0"/>
        <w:spacing w:after="0" w:line="240" w:lineRule="auto"/>
        <w:ind w:firstLine="567"/>
        <w:jc w:val="both"/>
        <w:rPr>
          <w:rFonts w:ascii="Times New Roman" w:eastAsiaTheme="minorEastAsia" w:hAnsi="Times New Roman" w:cs="Times New Roman"/>
          <w:sz w:val="28"/>
          <w:szCs w:val="28"/>
          <w:lang w:val="kk-KZ"/>
        </w:rPr>
      </w:pPr>
    </w:p>
    <w:p w14:paraId="40F0A634" w14:textId="1F659185" w:rsidR="00647B71" w:rsidRDefault="00647B71" w:rsidP="00F15E51">
      <w:pPr>
        <w:widowControl w:val="0"/>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61</w:t>
      </w:r>
      <w:r w:rsidRPr="00457CE9">
        <w:rPr>
          <w:rFonts w:ascii="Times New Roman" w:eastAsiaTheme="minorEastAsia" w:hAnsi="Times New Roman" w:cs="Times New Roman"/>
          <w:sz w:val="28"/>
          <w:szCs w:val="28"/>
          <w:lang w:val="kk-KZ"/>
        </w:rPr>
        <w:t xml:space="preserve"> – Бірінші деңгей факторлары мен іс-шаралар альтернативаларының матрицаларын көбейту нәтижелері</w:t>
      </w:r>
    </w:p>
    <w:p w14:paraId="4C75099D" w14:textId="77777777" w:rsidR="002E6C9E" w:rsidRPr="002E6C9E" w:rsidRDefault="002E6C9E" w:rsidP="00457CE9">
      <w:pPr>
        <w:spacing w:after="0" w:line="240" w:lineRule="auto"/>
        <w:jc w:val="both"/>
        <w:rPr>
          <w:rFonts w:ascii="Times New Roman" w:eastAsiaTheme="minorEastAsia" w:hAnsi="Times New Roman" w:cs="Times New Roman"/>
          <w:sz w:val="16"/>
          <w:szCs w:val="16"/>
          <w:lang w:val="kk-KZ"/>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3067"/>
        <w:gridCol w:w="1639"/>
        <w:gridCol w:w="3679"/>
      </w:tblGrid>
      <w:tr w:rsidR="00647B71" w:rsidRPr="00805B3E" w14:paraId="63CDF627" w14:textId="77777777" w:rsidTr="002E6C9E">
        <w:trPr>
          <w:trHeight w:val="28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6B24EC6F" w14:textId="77777777" w:rsidR="00647B71" w:rsidRPr="00BB2991" w:rsidRDefault="00647B71" w:rsidP="002E6C9E">
            <w:pPr>
              <w:spacing w:after="0" w:line="240" w:lineRule="auto"/>
              <w:jc w:val="center"/>
              <w:rPr>
                <w:rFonts w:ascii="Times New Roman" w:eastAsiaTheme="minorHAnsi" w:hAnsi="Times New Roman" w:cs="Times New Roman"/>
                <w:sz w:val="24"/>
                <w:szCs w:val="24"/>
                <w:lang w:val="kk-KZ"/>
              </w:rPr>
            </w:pPr>
            <w:r w:rsidRPr="00BB2991">
              <w:rPr>
                <w:rFonts w:ascii="Times New Roman" w:hAnsi="Times New Roman" w:cs="Times New Roman"/>
                <w:sz w:val="24"/>
                <w:szCs w:val="24"/>
                <w:lang w:val="kk-KZ"/>
              </w:rPr>
              <w:t>Міндет саны</w:t>
            </w:r>
          </w:p>
        </w:tc>
        <w:tc>
          <w:tcPr>
            <w:tcW w:w="3067" w:type="dxa"/>
            <w:tcBorders>
              <w:top w:val="single" w:sz="4" w:space="0" w:color="auto"/>
              <w:left w:val="single" w:sz="4" w:space="0" w:color="auto"/>
              <w:bottom w:val="single" w:sz="4" w:space="0" w:color="auto"/>
              <w:right w:val="single" w:sz="4" w:space="0" w:color="auto"/>
            </w:tcBorders>
            <w:vAlign w:val="center"/>
            <w:hideMark/>
          </w:tcPr>
          <w:p w14:paraId="028F4C79" w14:textId="77777777" w:rsidR="00647B71" w:rsidRPr="00BB2991" w:rsidRDefault="00647B71" w:rsidP="002E6C9E">
            <w:pPr>
              <w:spacing w:after="0" w:line="240" w:lineRule="auto"/>
              <w:jc w:val="center"/>
              <w:rPr>
                <w:rFonts w:ascii="Times New Roman" w:hAnsi="Times New Roman" w:cs="Times New Roman"/>
                <w:sz w:val="24"/>
                <w:szCs w:val="24"/>
                <w:lang w:val="kk-KZ" w:eastAsia="ru-RU"/>
              </w:rPr>
            </w:pPr>
            <w:r w:rsidRPr="00BB2991">
              <w:rPr>
                <w:rFonts w:ascii="Times New Roman" w:hAnsi="Times New Roman" w:cs="Times New Roman"/>
                <w:sz w:val="24"/>
                <w:szCs w:val="24"/>
                <w:lang w:val="kk-KZ" w:eastAsia="ru-RU"/>
              </w:rPr>
              <w:t>Бірінші деңгей факторлары мәндері матрицасының бағалау нәтижесі</w:t>
            </w:r>
          </w:p>
        </w:tc>
        <w:tc>
          <w:tcPr>
            <w:tcW w:w="1639" w:type="dxa"/>
            <w:tcBorders>
              <w:top w:val="single" w:sz="4" w:space="0" w:color="auto"/>
              <w:left w:val="single" w:sz="4" w:space="0" w:color="auto"/>
              <w:bottom w:val="single" w:sz="4" w:space="0" w:color="auto"/>
              <w:right w:val="single" w:sz="4" w:space="0" w:color="auto"/>
            </w:tcBorders>
            <w:vAlign w:val="center"/>
            <w:hideMark/>
          </w:tcPr>
          <w:p w14:paraId="4E757208" w14:textId="77777777" w:rsidR="00647B71" w:rsidRPr="00BB2991" w:rsidRDefault="00647B71" w:rsidP="002E6C9E">
            <w:pPr>
              <w:spacing w:after="0" w:line="240" w:lineRule="auto"/>
              <w:jc w:val="center"/>
              <w:rPr>
                <w:rFonts w:ascii="Times New Roman" w:hAnsi="Times New Roman" w:cs="Times New Roman"/>
                <w:sz w:val="24"/>
                <w:szCs w:val="24"/>
                <w:lang w:val="kk-KZ" w:eastAsia="ru-RU"/>
              </w:rPr>
            </w:pPr>
            <w:r w:rsidRPr="00BB2991">
              <w:rPr>
                <w:rFonts w:ascii="Times New Roman" w:hAnsi="Times New Roman" w:cs="Times New Roman"/>
                <w:sz w:val="24"/>
                <w:szCs w:val="24"/>
                <w:lang w:val="kk-KZ" w:eastAsia="ru-RU"/>
              </w:rPr>
              <w:t>Альтернатива саны</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0AA47FF8" w14:textId="77777777" w:rsidR="00647B71" w:rsidRPr="00BB2991" w:rsidRDefault="00647B71" w:rsidP="002E6C9E">
            <w:pPr>
              <w:spacing w:after="0" w:line="240" w:lineRule="auto"/>
              <w:jc w:val="center"/>
              <w:rPr>
                <w:rFonts w:ascii="Times New Roman" w:hAnsi="Times New Roman" w:cs="Times New Roman"/>
                <w:sz w:val="24"/>
                <w:szCs w:val="24"/>
                <w:lang w:val="kk-KZ" w:eastAsia="ru-RU"/>
              </w:rPr>
            </w:pPr>
            <w:r w:rsidRPr="00BB2991">
              <w:rPr>
                <w:rFonts w:ascii="Times New Roman" w:hAnsi="Times New Roman" w:cs="Times New Roman"/>
                <w:sz w:val="24"/>
                <w:szCs w:val="24"/>
                <w:lang w:val="kk-KZ" w:eastAsia="ru-RU"/>
              </w:rPr>
              <w:t>Бірінші деңгей факторлары мен іс-шаралар альтернативаларының матрицасы мәнінің көбейтіндісі</w:t>
            </w:r>
          </w:p>
        </w:tc>
      </w:tr>
      <w:tr w:rsidR="00647B71" w:rsidRPr="00BB2991" w14:paraId="0DC033F5"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6F6924A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3067" w:type="dxa"/>
            <w:tcBorders>
              <w:top w:val="single" w:sz="4" w:space="0" w:color="auto"/>
              <w:left w:val="single" w:sz="4" w:space="0" w:color="auto"/>
              <w:bottom w:val="single" w:sz="4" w:space="0" w:color="auto"/>
              <w:right w:val="single" w:sz="4" w:space="0" w:color="auto"/>
            </w:tcBorders>
            <w:vAlign w:val="center"/>
            <w:hideMark/>
          </w:tcPr>
          <w:p w14:paraId="2FB14AB5"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0,15955</w:t>
            </w:r>
          </w:p>
        </w:tc>
        <w:tc>
          <w:tcPr>
            <w:tcW w:w="1639" w:type="dxa"/>
            <w:tcBorders>
              <w:top w:val="single" w:sz="4" w:space="0" w:color="auto"/>
              <w:left w:val="single" w:sz="4" w:space="0" w:color="auto"/>
              <w:bottom w:val="single" w:sz="4" w:space="0" w:color="auto"/>
              <w:right w:val="single" w:sz="4" w:space="0" w:color="auto"/>
            </w:tcBorders>
            <w:hideMark/>
          </w:tcPr>
          <w:p w14:paraId="3F8BC26B"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1</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6FAE535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0,110907456</w:t>
            </w:r>
          </w:p>
        </w:tc>
      </w:tr>
      <w:tr w:rsidR="00647B71" w:rsidRPr="00BB2991" w14:paraId="5F3AFA14"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2196018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3067" w:type="dxa"/>
            <w:tcBorders>
              <w:top w:val="single" w:sz="4" w:space="0" w:color="auto"/>
              <w:left w:val="single" w:sz="4" w:space="0" w:color="auto"/>
              <w:bottom w:val="single" w:sz="4" w:space="0" w:color="auto"/>
              <w:right w:val="single" w:sz="4" w:space="0" w:color="auto"/>
            </w:tcBorders>
            <w:vAlign w:val="center"/>
            <w:hideMark/>
          </w:tcPr>
          <w:p w14:paraId="12C4F1AF"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0,10419</w:t>
            </w:r>
          </w:p>
        </w:tc>
        <w:tc>
          <w:tcPr>
            <w:tcW w:w="1639" w:type="dxa"/>
            <w:tcBorders>
              <w:top w:val="single" w:sz="4" w:space="0" w:color="auto"/>
              <w:left w:val="single" w:sz="4" w:space="0" w:color="auto"/>
              <w:bottom w:val="single" w:sz="4" w:space="0" w:color="auto"/>
              <w:right w:val="single" w:sz="4" w:space="0" w:color="auto"/>
            </w:tcBorders>
            <w:hideMark/>
          </w:tcPr>
          <w:p w14:paraId="28787A0D"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2</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30EF166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0,120141038</w:t>
            </w:r>
          </w:p>
        </w:tc>
      </w:tr>
      <w:tr w:rsidR="00647B71" w:rsidRPr="00BB2991" w14:paraId="63429D5C"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7498C5D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3</w:t>
            </w:r>
          </w:p>
        </w:tc>
        <w:tc>
          <w:tcPr>
            <w:tcW w:w="3067" w:type="dxa"/>
            <w:tcBorders>
              <w:top w:val="single" w:sz="4" w:space="0" w:color="auto"/>
              <w:left w:val="single" w:sz="4" w:space="0" w:color="auto"/>
              <w:bottom w:val="single" w:sz="4" w:space="0" w:color="auto"/>
              <w:right w:val="single" w:sz="4" w:space="0" w:color="auto"/>
            </w:tcBorders>
            <w:vAlign w:val="center"/>
            <w:hideMark/>
          </w:tcPr>
          <w:p w14:paraId="23EB2E50"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0,01087</w:t>
            </w:r>
          </w:p>
        </w:tc>
        <w:tc>
          <w:tcPr>
            <w:tcW w:w="1639" w:type="dxa"/>
            <w:tcBorders>
              <w:top w:val="single" w:sz="4" w:space="0" w:color="auto"/>
              <w:left w:val="single" w:sz="4" w:space="0" w:color="auto"/>
              <w:bottom w:val="single" w:sz="4" w:space="0" w:color="auto"/>
              <w:right w:val="single" w:sz="4" w:space="0" w:color="auto"/>
            </w:tcBorders>
            <w:hideMark/>
          </w:tcPr>
          <w:p w14:paraId="105C7F1E"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3</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4785636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0,160548256</w:t>
            </w:r>
          </w:p>
        </w:tc>
      </w:tr>
      <w:tr w:rsidR="00647B71" w:rsidRPr="00BB2991" w14:paraId="403EBB81"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0D9BCEC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4</w:t>
            </w:r>
          </w:p>
        </w:tc>
        <w:tc>
          <w:tcPr>
            <w:tcW w:w="3067" w:type="dxa"/>
            <w:tcBorders>
              <w:top w:val="single" w:sz="4" w:space="0" w:color="auto"/>
              <w:left w:val="single" w:sz="4" w:space="0" w:color="auto"/>
              <w:bottom w:val="single" w:sz="4" w:space="0" w:color="auto"/>
              <w:right w:val="single" w:sz="4" w:space="0" w:color="auto"/>
            </w:tcBorders>
            <w:vAlign w:val="center"/>
            <w:hideMark/>
          </w:tcPr>
          <w:p w14:paraId="2D597C65"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0,14705</w:t>
            </w:r>
          </w:p>
        </w:tc>
        <w:tc>
          <w:tcPr>
            <w:tcW w:w="1639" w:type="dxa"/>
            <w:tcBorders>
              <w:top w:val="single" w:sz="4" w:space="0" w:color="auto"/>
              <w:left w:val="single" w:sz="4" w:space="0" w:color="auto"/>
              <w:bottom w:val="single" w:sz="4" w:space="0" w:color="auto"/>
              <w:right w:val="single" w:sz="4" w:space="0" w:color="auto"/>
            </w:tcBorders>
            <w:hideMark/>
          </w:tcPr>
          <w:p w14:paraId="5D05F413"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4</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48715E6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0,160250527</w:t>
            </w:r>
          </w:p>
        </w:tc>
      </w:tr>
      <w:tr w:rsidR="00647B71" w:rsidRPr="00BB2991" w14:paraId="5859878C"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41AC1EE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5</w:t>
            </w:r>
          </w:p>
        </w:tc>
        <w:tc>
          <w:tcPr>
            <w:tcW w:w="3067" w:type="dxa"/>
            <w:tcBorders>
              <w:top w:val="single" w:sz="4" w:space="0" w:color="auto"/>
              <w:left w:val="single" w:sz="4" w:space="0" w:color="auto"/>
              <w:bottom w:val="single" w:sz="4" w:space="0" w:color="auto"/>
              <w:right w:val="single" w:sz="4" w:space="0" w:color="auto"/>
            </w:tcBorders>
            <w:vAlign w:val="center"/>
            <w:hideMark/>
          </w:tcPr>
          <w:p w14:paraId="032A51FF"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0,15955</w:t>
            </w:r>
          </w:p>
        </w:tc>
        <w:tc>
          <w:tcPr>
            <w:tcW w:w="1639" w:type="dxa"/>
            <w:tcBorders>
              <w:top w:val="single" w:sz="4" w:space="0" w:color="auto"/>
              <w:left w:val="single" w:sz="4" w:space="0" w:color="auto"/>
              <w:bottom w:val="single" w:sz="4" w:space="0" w:color="auto"/>
              <w:right w:val="single" w:sz="4" w:space="0" w:color="auto"/>
            </w:tcBorders>
            <w:hideMark/>
          </w:tcPr>
          <w:p w14:paraId="09986175"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5</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35DF735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0,112527475</w:t>
            </w:r>
          </w:p>
        </w:tc>
      </w:tr>
      <w:tr w:rsidR="00647B71" w:rsidRPr="00BB2991" w14:paraId="575DA053"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7DB1EF6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6</w:t>
            </w:r>
          </w:p>
        </w:tc>
        <w:tc>
          <w:tcPr>
            <w:tcW w:w="3067" w:type="dxa"/>
            <w:tcBorders>
              <w:top w:val="single" w:sz="4" w:space="0" w:color="auto"/>
              <w:left w:val="single" w:sz="4" w:space="0" w:color="auto"/>
              <w:bottom w:val="single" w:sz="4" w:space="0" w:color="auto"/>
              <w:right w:val="single" w:sz="4" w:space="0" w:color="auto"/>
            </w:tcBorders>
            <w:vAlign w:val="center"/>
            <w:hideMark/>
          </w:tcPr>
          <w:p w14:paraId="2E3B4C8B"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0,01315</w:t>
            </w:r>
          </w:p>
        </w:tc>
        <w:tc>
          <w:tcPr>
            <w:tcW w:w="1639" w:type="dxa"/>
            <w:tcBorders>
              <w:top w:val="single" w:sz="4" w:space="0" w:color="auto"/>
              <w:left w:val="single" w:sz="4" w:space="0" w:color="auto"/>
              <w:bottom w:val="single" w:sz="4" w:space="0" w:color="auto"/>
              <w:right w:val="single" w:sz="4" w:space="0" w:color="auto"/>
            </w:tcBorders>
            <w:hideMark/>
          </w:tcPr>
          <w:p w14:paraId="33F43475"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6</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3A8D3CA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0,100035776</w:t>
            </w:r>
          </w:p>
        </w:tc>
      </w:tr>
      <w:tr w:rsidR="00647B71" w:rsidRPr="00BB2991" w14:paraId="530992EA"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3DDC641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7</w:t>
            </w:r>
          </w:p>
        </w:tc>
        <w:tc>
          <w:tcPr>
            <w:tcW w:w="3067" w:type="dxa"/>
            <w:tcBorders>
              <w:top w:val="single" w:sz="4" w:space="0" w:color="auto"/>
              <w:left w:val="single" w:sz="4" w:space="0" w:color="auto"/>
              <w:bottom w:val="single" w:sz="4" w:space="0" w:color="auto"/>
              <w:right w:val="single" w:sz="4" w:space="0" w:color="auto"/>
            </w:tcBorders>
            <w:vAlign w:val="center"/>
            <w:hideMark/>
          </w:tcPr>
          <w:p w14:paraId="4AF7F129"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0,13521</w:t>
            </w:r>
          </w:p>
        </w:tc>
        <w:tc>
          <w:tcPr>
            <w:tcW w:w="1639" w:type="dxa"/>
            <w:tcBorders>
              <w:top w:val="single" w:sz="4" w:space="0" w:color="auto"/>
              <w:left w:val="single" w:sz="4" w:space="0" w:color="auto"/>
              <w:bottom w:val="single" w:sz="4" w:space="0" w:color="auto"/>
              <w:right w:val="single" w:sz="4" w:space="0" w:color="auto"/>
            </w:tcBorders>
            <w:hideMark/>
          </w:tcPr>
          <w:p w14:paraId="24EB9DF1"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7</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7E16FD8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0,138807707</w:t>
            </w:r>
          </w:p>
        </w:tc>
      </w:tr>
      <w:tr w:rsidR="00647B71" w:rsidRPr="00BB2991" w14:paraId="4B42CC24"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3155F78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8</w:t>
            </w:r>
          </w:p>
        </w:tc>
        <w:tc>
          <w:tcPr>
            <w:tcW w:w="3067" w:type="dxa"/>
            <w:tcBorders>
              <w:top w:val="single" w:sz="4" w:space="0" w:color="auto"/>
              <w:left w:val="single" w:sz="4" w:space="0" w:color="auto"/>
              <w:bottom w:val="single" w:sz="4" w:space="0" w:color="auto"/>
              <w:right w:val="single" w:sz="4" w:space="0" w:color="auto"/>
            </w:tcBorders>
            <w:vAlign w:val="center"/>
            <w:hideMark/>
          </w:tcPr>
          <w:p w14:paraId="4A0675D9"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0,13521</w:t>
            </w:r>
          </w:p>
        </w:tc>
        <w:tc>
          <w:tcPr>
            <w:tcW w:w="1639" w:type="dxa"/>
            <w:tcBorders>
              <w:top w:val="single" w:sz="4" w:space="0" w:color="auto"/>
              <w:left w:val="single" w:sz="4" w:space="0" w:color="auto"/>
              <w:bottom w:val="single" w:sz="4" w:space="0" w:color="auto"/>
              <w:right w:val="single" w:sz="4" w:space="0" w:color="auto"/>
            </w:tcBorders>
            <w:hideMark/>
          </w:tcPr>
          <w:p w14:paraId="74E3E450" w14:textId="77777777" w:rsidR="00647B71" w:rsidRPr="00BB2991" w:rsidRDefault="00647B71" w:rsidP="00457CE9">
            <w:pPr>
              <w:spacing w:after="0" w:line="240" w:lineRule="auto"/>
              <w:jc w:val="center"/>
              <w:rPr>
                <w:rFonts w:ascii="Times New Roman" w:eastAsia="Times New Roman" w:hAnsi="Times New Roman" w:cs="Times New Roman"/>
                <w:color w:val="000000" w:themeColor="text1"/>
                <w:sz w:val="24"/>
                <w:szCs w:val="24"/>
                <w:lang w:val="kk-KZ" w:eastAsia="ru-RU"/>
              </w:rPr>
            </w:pPr>
            <w:r w:rsidRPr="00BB2991">
              <w:rPr>
                <w:rFonts w:ascii="Times New Roman" w:eastAsia="Times New Roman" w:hAnsi="Times New Roman" w:cs="Times New Roman"/>
                <w:color w:val="000000" w:themeColor="text1"/>
                <w:sz w:val="24"/>
                <w:szCs w:val="24"/>
                <w:lang w:val="kk-KZ" w:eastAsia="ru-RU"/>
              </w:rPr>
              <w:t>8</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65BAD32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themeColor="text1"/>
                <w:sz w:val="24"/>
                <w:szCs w:val="24"/>
                <w:lang w:eastAsia="ru-RU"/>
              </w:rPr>
              <w:t>0,096781765</w:t>
            </w:r>
          </w:p>
        </w:tc>
      </w:tr>
      <w:tr w:rsidR="00647B71" w:rsidRPr="00BB2991" w14:paraId="52737BBF" w14:textId="77777777" w:rsidTr="002E6C9E">
        <w:trPr>
          <w:trHeight w:val="58"/>
          <w:jc w:val="center"/>
        </w:trPr>
        <w:tc>
          <w:tcPr>
            <w:tcW w:w="1179" w:type="dxa"/>
            <w:tcBorders>
              <w:top w:val="single" w:sz="4" w:space="0" w:color="auto"/>
              <w:left w:val="single" w:sz="4" w:space="0" w:color="auto"/>
              <w:bottom w:val="single" w:sz="4" w:space="0" w:color="auto"/>
              <w:right w:val="single" w:sz="4" w:space="0" w:color="auto"/>
            </w:tcBorders>
            <w:noWrap/>
            <w:vAlign w:val="center"/>
            <w:hideMark/>
          </w:tcPr>
          <w:p w14:paraId="5C9E668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9</w:t>
            </w:r>
          </w:p>
        </w:tc>
        <w:tc>
          <w:tcPr>
            <w:tcW w:w="3067" w:type="dxa"/>
            <w:tcBorders>
              <w:top w:val="single" w:sz="4" w:space="0" w:color="auto"/>
              <w:left w:val="single" w:sz="4" w:space="0" w:color="auto"/>
              <w:bottom w:val="single" w:sz="4" w:space="0" w:color="auto"/>
              <w:right w:val="single" w:sz="4" w:space="0" w:color="auto"/>
            </w:tcBorders>
            <w:vAlign w:val="center"/>
            <w:hideMark/>
          </w:tcPr>
          <w:p w14:paraId="43D046FF"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0,13521</w:t>
            </w:r>
          </w:p>
        </w:tc>
        <w:tc>
          <w:tcPr>
            <w:tcW w:w="1639" w:type="dxa"/>
            <w:tcBorders>
              <w:top w:val="single" w:sz="4" w:space="0" w:color="auto"/>
              <w:left w:val="single" w:sz="4" w:space="0" w:color="auto"/>
              <w:bottom w:val="single" w:sz="4" w:space="0" w:color="auto"/>
              <w:right w:val="single" w:sz="4" w:space="0" w:color="auto"/>
            </w:tcBorders>
            <w:hideMark/>
          </w:tcPr>
          <w:p w14:paraId="28408B7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х</w:t>
            </w:r>
          </w:p>
        </w:tc>
        <w:tc>
          <w:tcPr>
            <w:tcW w:w="3679" w:type="dxa"/>
            <w:tcBorders>
              <w:top w:val="single" w:sz="4" w:space="0" w:color="auto"/>
              <w:left w:val="single" w:sz="4" w:space="0" w:color="auto"/>
              <w:bottom w:val="single" w:sz="4" w:space="0" w:color="auto"/>
              <w:right w:val="single" w:sz="4" w:space="0" w:color="auto"/>
            </w:tcBorders>
            <w:noWrap/>
            <w:vAlign w:val="center"/>
            <w:hideMark/>
          </w:tcPr>
          <w:p w14:paraId="4F32299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х</w:t>
            </w:r>
          </w:p>
        </w:tc>
      </w:tr>
      <w:tr w:rsidR="00647B71" w:rsidRPr="00BB2991" w14:paraId="66D03122" w14:textId="77777777" w:rsidTr="002E6C9E">
        <w:trPr>
          <w:trHeight w:val="58"/>
          <w:jc w:val="center"/>
        </w:trPr>
        <w:tc>
          <w:tcPr>
            <w:tcW w:w="9564" w:type="dxa"/>
            <w:gridSpan w:val="4"/>
            <w:tcBorders>
              <w:top w:val="single" w:sz="4" w:space="0" w:color="auto"/>
              <w:left w:val="single" w:sz="4" w:space="0" w:color="auto"/>
              <w:bottom w:val="single" w:sz="4" w:space="0" w:color="auto"/>
              <w:right w:val="single" w:sz="4" w:space="0" w:color="auto"/>
            </w:tcBorders>
            <w:noWrap/>
            <w:vAlign w:val="center"/>
            <w:hideMark/>
          </w:tcPr>
          <w:p w14:paraId="335F3710" w14:textId="038ED0F3" w:rsidR="00647B71" w:rsidRPr="00BB2991" w:rsidRDefault="00647B71" w:rsidP="00457CE9">
            <w:pPr>
              <w:spacing w:after="0" w:line="240" w:lineRule="auto"/>
              <w:ind w:firstLine="601"/>
              <w:jc w:val="both"/>
              <w:rPr>
                <w:rFonts w:ascii="Times New Roman" w:eastAsia="Times New Roman" w:hAnsi="Times New Roman" w:cs="Times New Roman"/>
                <w:color w:val="000000"/>
                <w:sz w:val="24"/>
                <w:szCs w:val="24"/>
                <w:lang w:val="kk-KZ" w:eastAsia="ru-RU"/>
              </w:rPr>
            </w:pPr>
            <w:r w:rsidRPr="00BB2991">
              <w:rPr>
                <w:rFonts w:ascii="Times New Roman" w:eastAsiaTheme="minorEastAsia" w:hAnsi="Times New Roman" w:cs="Times New Roman"/>
                <w:sz w:val="24"/>
                <w:szCs w:val="24"/>
                <w:lang w:val="kk-KZ"/>
              </w:rPr>
              <w:t xml:space="preserve">Ескерту – </w:t>
            </w:r>
            <w:r w:rsidR="002E6C9E"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5BF9DAC3" w14:textId="77777777" w:rsidR="00647B71" w:rsidRPr="00457CE9" w:rsidRDefault="00647B71" w:rsidP="00457CE9">
      <w:pPr>
        <w:spacing w:after="0" w:line="240" w:lineRule="auto"/>
        <w:jc w:val="both"/>
        <w:rPr>
          <w:rFonts w:ascii="Times New Roman" w:eastAsiaTheme="minorEastAsia" w:hAnsi="Times New Roman" w:cs="Times New Roman"/>
          <w:sz w:val="28"/>
          <w:lang w:val="kk-KZ"/>
        </w:rPr>
      </w:pPr>
    </w:p>
    <w:p w14:paraId="0EDA0F1D" w14:textId="644DF8EC" w:rsidR="00647B71" w:rsidRPr="00457CE9" w:rsidRDefault="00EB7D69"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61</w:t>
      </w:r>
      <w:r w:rsidR="00647B71" w:rsidRPr="00457CE9">
        <w:rPr>
          <w:rFonts w:ascii="Times New Roman" w:eastAsiaTheme="minorEastAsia" w:hAnsi="Times New Roman" w:cs="Times New Roman"/>
          <w:sz w:val="28"/>
          <w:szCs w:val="28"/>
          <w:lang w:val="kk-KZ"/>
        </w:rPr>
        <w:t xml:space="preserve">-кестеде 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дамытуға жоспарланған міндеттері мен іс-шараларының жеткіліктілігін бағалаудың жалпы иерархиялық талдауы бойынша бірінші және үшінші деңгей факторларының әсерін бағалау нәтижелері келтірілген.</w:t>
      </w:r>
      <w:r w:rsidR="00010EEC">
        <w:rPr>
          <w:rFonts w:ascii="Times New Roman" w:eastAsiaTheme="minorEastAsia" w:hAnsi="Times New Roman" w:cs="Times New Roman"/>
          <w:sz w:val="28"/>
          <w:szCs w:val="28"/>
          <w:lang w:val="kk-KZ"/>
        </w:rPr>
        <w:t xml:space="preserve"> </w:t>
      </w:r>
      <w:r w:rsidR="00647B71"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дамытуға жоспарланған міндеттері, нәтижелі көрсеткіштері мен іс-шаралары аралығында әлсіз байланыс болғандықтан иерархиялық талдауда бірінші және екінші деңгей факторларының әсерін жеке бағалау ұсынылды. Мәселен, 9 міндет бойынша бірінші деңгей факторлары әсерінің матрицасы мен 47 нәтижелі көрсеткіштердің сандық мәндерінің матрицасы және 47 альтернативаларға эксперттік бағалау беру арқылы мәндерінің жұптық салыстыру матрицасының өлшенген мәндері </w:t>
      </w:r>
      <w:r w:rsidR="001968B6" w:rsidRPr="00457CE9">
        <w:rPr>
          <w:rFonts w:ascii="Times New Roman" w:eastAsiaTheme="minorEastAsia" w:hAnsi="Times New Roman" w:cs="Times New Roman"/>
          <w:sz w:val="28"/>
          <w:szCs w:val="28"/>
          <w:lang w:val="kk-KZ"/>
        </w:rPr>
        <w:t>есепте</w:t>
      </w:r>
      <w:r w:rsidR="00647B71" w:rsidRPr="00457CE9">
        <w:rPr>
          <w:rFonts w:ascii="Times New Roman" w:eastAsiaTheme="minorEastAsia" w:hAnsi="Times New Roman" w:cs="Times New Roman"/>
          <w:sz w:val="28"/>
          <w:szCs w:val="28"/>
          <w:lang w:val="kk-KZ"/>
        </w:rPr>
        <w:t xml:space="preserve">лген. 1-міндет бойынша 1-көрсеткішке әсерінің эксперттік бағалау альтернативаларының жұптық салыстыру матрицасының бағалау нәтижелері жоғарыда </w:t>
      </w:r>
      <w:r>
        <w:rPr>
          <w:rFonts w:ascii="Times New Roman" w:eastAsiaTheme="minorEastAsia" w:hAnsi="Times New Roman" w:cs="Times New Roman"/>
          <w:sz w:val="28"/>
          <w:szCs w:val="28"/>
          <w:lang w:val="kk-KZ"/>
        </w:rPr>
        <w:t>62</w:t>
      </w:r>
      <w:r w:rsidR="00647B71" w:rsidRPr="00457CE9">
        <w:rPr>
          <w:rFonts w:ascii="Times New Roman" w:eastAsiaTheme="minorEastAsia" w:hAnsi="Times New Roman" w:cs="Times New Roman"/>
          <w:sz w:val="28"/>
          <w:szCs w:val="28"/>
          <w:lang w:val="kk-KZ"/>
        </w:rPr>
        <w:t>-кестеде көрсетілген.</w:t>
      </w:r>
      <w:r w:rsidR="00010EEC">
        <w:rPr>
          <w:rFonts w:ascii="Times New Roman" w:eastAsiaTheme="minorEastAsia" w:hAnsi="Times New Roman" w:cs="Times New Roman"/>
          <w:sz w:val="28"/>
          <w:szCs w:val="28"/>
          <w:lang w:val="kk-KZ"/>
        </w:rPr>
        <w:t xml:space="preserve"> </w:t>
      </w:r>
    </w:p>
    <w:p w14:paraId="5194E4DA" w14:textId="77777777" w:rsidR="002E6C9E" w:rsidRDefault="002E6C9E" w:rsidP="00457CE9">
      <w:pPr>
        <w:spacing w:after="0" w:line="240" w:lineRule="auto"/>
        <w:ind w:firstLine="709"/>
        <w:jc w:val="both"/>
        <w:rPr>
          <w:rFonts w:ascii="Times New Roman" w:eastAsiaTheme="minorEastAsia" w:hAnsi="Times New Roman" w:cs="Times New Roman"/>
          <w:sz w:val="28"/>
          <w:szCs w:val="28"/>
          <w:lang w:val="kk-KZ"/>
        </w:rPr>
      </w:pPr>
    </w:p>
    <w:p w14:paraId="50FBB47E" w14:textId="026A6F2A"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62</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дамытудың 1-міндет бойынша 8 көрсеткіштерінің жұптық салыстыру матрицасын бағалау нәтижесі</w:t>
      </w:r>
    </w:p>
    <w:p w14:paraId="64C5F3ED" w14:textId="77777777" w:rsidR="002E6C9E" w:rsidRPr="002E6C9E" w:rsidRDefault="002E6C9E" w:rsidP="00457CE9">
      <w:pPr>
        <w:spacing w:after="0" w:line="240" w:lineRule="auto"/>
        <w:jc w:val="both"/>
        <w:rPr>
          <w:rFonts w:ascii="Times New Roman" w:eastAsiaTheme="minorEastAsia" w:hAnsi="Times New Roman" w:cs="Times New Roman"/>
          <w:sz w:val="16"/>
          <w:szCs w:val="16"/>
          <w:lang w:val="kk-KZ"/>
        </w:rPr>
      </w:pPr>
    </w:p>
    <w:tbl>
      <w:tblPr>
        <w:tblW w:w="9718" w:type="dxa"/>
        <w:jc w:val="center"/>
        <w:tblLook w:val="04A0" w:firstRow="1" w:lastRow="0" w:firstColumn="1" w:lastColumn="0" w:noHBand="0" w:noVBand="1"/>
      </w:tblPr>
      <w:tblGrid>
        <w:gridCol w:w="387"/>
        <w:gridCol w:w="818"/>
        <w:gridCol w:w="818"/>
        <w:gridCol w:w="818"/>
        <w:gridCol w:w="818"/>
        <w:gridCol w:w="818"/>
        <w:gridCol w:w="818"/>
        <w:gridCol w:w="818"/>
        <w:gridCol w:w="818"/>
        <w:gridCol w:w="375"/>
        <w:gridCol w:w="1089"/>
        <w:gridCol w:w="240"/>
        <w:gridCol w:w="1083"/>
      </w:tblGrid>
      <w:tr w:rsidR="002E6C9E" w:rsidRPr="00EF5DE6" w14:paraId="1A419274" w14:textId="77777777" w:rsidTr="002E6C9E">
        <w:trPr>
          <w:trHeight w:val="288"/>
          <w:jc w:val="center"/>
        </w:trPr>
        <w:tc>
          <w:tcPr>
            <w:tcW w:w="387" w:type="dxa"/>
            <w:tcBorders>
              <w:top w:val="single" w:sz="4" w:space="0" w:color="auto"/>
              <w:left w:val="single" w:sz="4" w:space="0" w:color="auto"/>
              <w:bottom w:val="single" w:sz="4" w:space="0" w:color="auto"/>
              <w:right w:val="nil"/>
            </w:tcBorders>
            <w:noWrap/>
            <w:vAlign w:val="center"/>
            <w:hideMark/>
          </w:tcPr>
          <w:p w14:paraId="63481EF0" w14:textId="77777777" w:rsidR="00647B71" w:rsidRPr="00EF5DE6" w:rsidRDefault="00647B71" w:rsidP="002E6C9E">
            <w:pPr>
              <w:spacing w:after="0" w:line="240" w:lineRule="auto"/>
              <w:jc w:val="center"/>
              <w:rPr>
                <w:rFonts w:ascii="Times New Roman" w:eastAsia="Times New Roman" w:hAnsi="Times New Roman" w:cs="Times New Roman"/>
                <w:sz w:val="20"/>
                <w:szCs w:val="20"/>
                <w:lang w:val="kk-KZ" w:eastAsia="ru-RU"/>
              </w:rPr>
            </w:pPr>
            <w:r w:rsidRPr="00EF5DE6">
              <w:rPr>
                <w:rFonts w:ascii="Times New Roman" w:eastAsia="Times New Roman" w:hAnsi="Times New Roman" w:cs="Times New Roman"/>
                <w:sz w:val="20"/>
                <w:szCs w:val="20"/>
                <w:lang w:val="kk-KZ" w:eastAsia="ru-RU"/>
              </w:rPr>
              <w:t>А</w:t>
            </w:r>
          </w:p>
        </w:tc>
        <w:tc>
          <w:tcPr>
            <w:tcW w:w="818" w:type="dxa"/>
            <w:tcBorders>
              <w:top w:val="single" w:sz="4" w:space="0" w:color="auto"/>
              <w:left w:val="single" w:sz="4" w:space="0" w:color="auto"/>
              <w:bottom w:val="single" w:sz="4" w:space="0" w:color="auto"/>
              <w:right w:val="single" w:sz="4" w:space="0" w:color="auto"/>
            </w:tcBorders>
            <w:noWrap/>
            <w:vAlign w:val="center"/>
            <w:hideMark/>
          </w:tcPr>
          <w:p w14:paraId="60D7BCDF"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1</w:t>
            </w:r>
          </w:p>
        </w:tc>
        <w:tc>
          <w:tcPr>
            <w:tcW w:w="818" w:type="dxa"/>
            <w:tcBorders>
              <w:top w:val="single" w:sz="4" w:space="0" w:color="auto"/>
              <w:left w:val="nil"/>
              <w:bottom w:val="single" w:sz="4" w:space="0" w:color="auto"/>
              <w:right w:val="single" w:sz="4" w:space="0" w:color="auto"/>
            </w:tcBorders>
            <w:noWrap/>
            <w:vAlign w:val="center"/>
            <w:hideMark/>
          </w:tcPr>
          <w:p w14:paraId="4F758F20"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2</w:t>
            </w:r>
          </w:p>
        </w:tc>
        <w:tc>
          <w:tcPr>
            <w:tcW w:w="818" w:type="dxa"/>
            <w:tcBorders>
              <w:top w:val="single" w:sz="4" w:space="0" w:color="auto"/>
              <w:left w:val="nil"/>
              <w:bottom w:val="single" w:sz="4" w:space="0" w:color="auto"/>
              <w:right w:val="single" w:sz="4" w:space="0" w:color="auto"/>
            </w:tcBorders>
            <w:noWrap/>
            <w:vAlign w:val="center"/>
            <w:hideMark/>
          </w:tcPr>
          <w:p w14:paraId="6C00AFD7"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3</w:t>
            </w:r>
          </w:p>
        </w:tc>
        <w:tc>
          <w:tcPr>
            <w:tcW w:w="818" w:type="dxa"/>
            <w:tcBorders>
              <w:top w:val="single" w:sz="4" w:space="0" w:color="auto"/>
              <w:left w:val="nil"/>
              <w:bottom w:val="single" w:sz="4" w:space="0" w:color="auto"/>
              <w:right w:val="single" w:sz="4" w:space="0" w:color="auto"/>
            </w:tcBorders>
            <w:noWrap/>
            <w:vAlign w:val="center"/>
            <w:hideMark/>
          </w:tcPr>
          <w:p w14:paraId="7166B68D"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4</w:t>
            </w:r>
          </w:p>
        </w:tc>
        <w:tc>
          <w:tcPr>
            <w:tcW w:w="818" w:type="dxa"/>
            <w:tcBorders>
              <w:top w:val="single" w:sz="4" w:space="0" w:color="auto"/>
              <w:left w:val="nil"/>
              <w:bottom w:val="single" w:sz="4" w:space="0" w:color="auto"/>
              <w:right w:val="single" w:sz="4" w:space="0" w:color="auto"/>
            </w:tcBorders>
            <w:noWrap/>
            <w:vAlign w:val="center"/>
            <w:hideMark/>
          </w:tcPr>
          <w:p w14:paraId="0C762B59"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5</w:t>
            </w:r>
          </w:p>
        </w:tc>
        <w:tc>
          <w:tcPr>
            <w:tcW w:w="818" w:type="dxa"/>
            <w:tcBorders>
              <w:top w:val="single" w:sz="4" w:space="0" w:color="auto"/>
              <w:left w:val="nil"/>
              <w:bottom w:val="single" w:sz="4" w:space="0" w:color="auto"/>
              <w:right w:val="single" w:sz="4" w:space="0" w:color="auto"/>
            </w:tcBorders>
            <w:noWrap/>
            <w:vAlign w:val="center"/>
            <w:hideMark/>
          </w:tcPr>
          <w:p w14:paraId="2C69AD01"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6</w:t>
            </w:r>
          </w:p>
        </w:tc>
        <w:tc>
          <w:tcPr>
            <w:tcW w:w="818" w:type="dxa"/>
            <w:tcBorders>
              <w:top w:val="single" w:sz="4" w:space="0" w:color="auto"/>
              <w:left w:val="nil"/>
              <w:bottom w:val="single" w:sz="4" w:space="0" w:color="auto"/>
              <w:right w:val="single" w:sz="4" w:space="0" w:color="auto"/>
            </w:tcBorders>
            <w:noWrap/>
            <w:vAlign w:val="center"/>
            <w:hideMark/>
          </w:tcPr>
          <w:p w14:paraId="6D1ED7A0"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7</w:t>
            </w:r>
          </w:p>
        </w:tc>
        <w:tc>
          <w:tcPr>
            <w:tcW w:w="818" w:type="dxa"/>
            <w:tcBorders>
              <w:top w:val="single" w:sz="4" w:space="0" w:color="auto"/>
              <w:left w:val="nil"/>
              <w:bottom w:val="single" w:sz="4" w:space="0" w:color="auto"/>
              <w:right w:val="single" w:sz="4" w:space="0" w:color="auto"/>
            </w:tcBorders>
            <w:noWrap/>
            <w:vAlign w:val="center"/>
            <w:hideMark/>
          </w:tcPr>
          <w:p w14:paraId="53431447"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8</w:t>
            </w:r>
          </w:p>
        </w:tc>
        <w:tc>
          <w:tcPr>
            <w:tcW w:w="375" w:type="dxa"/>
            <w:tcBorders>
              <w:top w:val="nil"/>
              <w:left w:val="nil"/>
              <w:bottom w:val="nil"/>
              <w:right w:val="single" w:sz="4" w:space="0" w:color="auto"/>
            </w:tcBorders>
            <w:noWrap/>
            <w:vAlign w:val="center"/>
            <w:hideMark/>
          </w:tcPr>
          <w:p w14:paraId="4F6DCB13"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val="kk-KZ" w:eastAsia="ru-RU"/>
              </w:rPr>
            </w:pPr>
            <w:r w:rsidRPr="00EF5DE6">
              <w:rPr>
                <w:rFonts w:ascii="Times New Roman" w:eastAsia="Times New Roman" w:hAnsi="Times New Roman" w:cs="Times New Roman"/>
                <w:color w:val="000000"/>
                <w:sz w:val="20"/>
                <w:szCs w:val="20"/>
                <w:lang w:val="kk-KZ" w:eastAsia="ru-RU"/>
              </w:rPr>
              <w:t>К</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4214653B" w14:textId="77777777" w:rsidR="00647B71" w:rsidRPr="00EF5DE6" w:rsidRDefault="00647B71" w:rsidP="002E6C9E">
            <w:pPr>
              <w:spacing w:after="0" w:line="240" w:lineRule="auto"/>
              <w:jc w:val="center"/>
              <w:rPr>
                <w:rFonts w:ascii="Times New Roman" w:eastAsia="Times New Roman" w:hAnsi="Times New Roman" w:cs="Times New Roman"/>
                <w:sz w:val="20"/>
                <w:szCs w:val="20"/>
                <w:lang w:val="kk-KZ" w:eastAsia="ru-RU"/>
              </w:rPr>
            </w:pPr>
            <w:r w:rsidRPr="00EF5DE6">
              <w:rPr>
                <w:rFonts w:ascii="Times New Roman" w:eastAsia="Times New Roman" w:hAnsi="Times New Roman" w:cs="Times New Roman"/>
                <w:sz w:val="20"/>
                <w:szCs w:val="20"/>
                <w:lang w:val="kk-KZ" w:eastAsia="ru-RU"/>
              </w:rPr>
              <w:t>М-2.1</w:t>
            </w:r>
          </w:p>
        </w:tc>
        <w:tc>
          <w:tcPr>
            <w:tcW w:w="240" w:type="dxa"/>
            <w:tcBorders>
              <w:top w:val="nil"/>
              <w:left w:val="single" w:sz="4" w:space="0" w:color="auto"/>
              <w:bottom w:val="nil"/>
              <w:right w:val="single" w:sz="4" w:space="0" w:color="auto"/>
            </w:tcBorders>
            <w:noWrap/>
            <w:vAlign w:val="center"/>
            <w:hideMark/>
          </w:tcPr>
          <w:p w14:paraId="237C4D4B" w14:textId="77777777" w:rsidR="00647B71" w:rsidRPr="00EF5DE6" w:rsidRDefault="00647B71" w:rsidP="002E6C9E">
            <w:pPr>
              <w:spacing w:after="0" w:line="240" w:lineRule="auto"/>
              <w:jc w:val="center"/>
              <w:rPr>
                <w:rFonts w:ascii="Times New Roman" w:eastAsia="Times New Roman" w:hAnsi="Times New Roman" w:cs="Times New Roman"/>
                <w:sz w:val="20"/>
                <w:szCs w:val="20"/>
                <w:lang w:val="kk-KZ" w:eastAsia="ru-RU"/>
              </w:rPr>
            </w:pPr>
          </w:p>
        </w:tc>
        <w:tc>
          <w:tcPr>
            <w:tcW w:w="1083" w:type="dxa"/>
            <w:tcBorders>
              <w:top w:val="single" w:sz="4" w:space="0" w:color="auto"/>
              <w:left w:val="single" w:sz="4" w:space="0" w:color="auto"/>
              <w:bottom w:val="single" w:sz="4" w:space="0" w:color="auto"/>
              <w:right w:val="single" w:sz="4" w:space="0" w:color="auto"/>
            </w:tcBorders>
            <w:noWrap/>
            <w:vAlign w:val="center"/>
            <w:hideMark/>
          </w:tcPr>
          <w:p w14:paraId="72AE0D4F" w14:textId="77777777" w:rsidR="00647B71" w:rsidRPr="00EF5DE6" w:rsidRDefault="00647B71" w:rsidP="002E6C9E">
            <w:pPr>
              <w:spacing w:after="0" w:line="240" w:lineRule="auto"/>
              <w:jc w:val="center"/>
              <w:rPr>
                <w:rFonts w:ascii="Times New Roman" w:eastAsia="Times New Roman" w:hAnsi="Times New Roman" w:cs="Times New Roman"/>
                <w:color w:val="000000"/>
                <w:sz w:val="20"/>
                <w:szCs w:val="20"/>
                <w:lang w:val="kk-KZ" w:eastAsia="ru-RU"/>
              </w:rPr>
            </w:pPr>
            <w:r w:rsidRPr="00EF5DE6">
              <w:rPr>
                <w:rFonts w:ascii="Times New Roman" w:eastAsia="Times New Roman" w:hAnsi="Times New Roman" w:cs="Times New Roman"/>
                <w:color w:val="000000"/>
                <w:sz w:val="20"/>
                <w:szCs w:val="20"/>
                <w:lang w:val="kk-KZ" w:eastAsia="ru-RU"/>
              </w:rPr>
              <w:t>А*М-2.1</w:t>
            </w:r>
          </w:p>
        </w:tc>
      </w:tr>
      <w:tr w:rsidR="002E6C9E" w:rsidRPr="00EF5DE6" w14:paraId="67BFCF94" w14:textId="77777777" w:rsidTr="002E6C9E">
        <w:trPr>
          <w:trHeight w:val="58"/>
          <w:jc w:val="center"/>
        </w:trPr>
        <w:tc>
          <w:tcPr>
            <w:tcW w:w="387" w:type="dxa"/>
            <w:tcBorders>
              <w:top w:val="single" w:sz="4" w:space="0" w:color="auto"/>
              <w:left w:val="single" w:sz="4" w:space="0" w:color="auto"/>
              <w:bottom w:val="single" w:sz="4" w:space="0" w:color="auto"/>
              <w:right w:val="single" w:sz="4" w:space="0" w:color="auto"/>
            </w:tcBorders>
            <w:noWrap/>
            <w:vAlign w:val="bottom"/>
            <w:hideMark/>
          </w:tcPr>
          <w:p w14:paraId="609C1E44"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1</w:t>
            </w:r>
          </w:p>
        </w:tc>
        <w:tc>
          <w:tcPr>
            <w:tcW w:w="818" w:type="dxa"/>
            <w:tcBorders>
              <w:top w:val="nil"/>
              <w:left w:val="nil"/>
              <w:bottom w:val="single" w:sz="4" w:space="0" w:color="auto"/>
              <w:right w:val="single" w:sz="4" w:space="0" w:color="auto"/>
            </w:tcBorders>
            <w:noWrap/>
            <w:vAlign w:val="center"/>
            <w:hideMark/>
          </w:tcPr>
          <w:p w14:paraId="60420466"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5FAF93E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6DC9A609"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6BF38C0C"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79508E09"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2265DBD8"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0,1087</w:t>
            </w:r>
          </w:p>
        </w:tc>
        <w:tc>
          <w:tcPr>
            <w:tcW w:w="818" w:type="dxa"/>
            <w:tcBorders>
              <w:top w:val="nil"/>
              <w:left w:val="nil"/>
              <w:bottom w:val="single" w:sz="4" w:space="0" w:color="auto"/>
              <w:right w:val="single" w:sz="4" w:space="0" w:color="auto"/>
            </w:tcBorders>
            <w:noWrap/>
            <w:vAlign w:val="center"/>
            <w:hideMark/>
          </w:tcPr>
          <w:p w14:paraId="38AFA897"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45E3686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375" w:type="dxa"/>
            <w:noWrap/>
            <w:vAlign w:val="center"/>
            <w:hideMark/>
          </w:tcPr>
          <w:p w14:paraId="4028C5BB"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1</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77366501"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0,1552236</w:t>
            </w:r>
          </w:p>
        </w:tc>
        <w:tc>
          <w:tcPr>
            <w:tcW w:w="240" w:type="dxa"/>
            <w:noWrap/>
            <w:vAlign w:val="center"/>
            <w:hideMark/>
          </w:tcPr>
          <w:p w14:paraId="7CCDE1E7"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05594"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0,1239231</w:t>
            </w:r>
          </w:p>
        </w:tc>
      </w:tr>
      <w:tr w:rsidR="002E6C9E" w:rsidRPr="00EF5DE6" w14:paraId="0CFAF1E3"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448B3F2D"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2</w:t>
            </w:r>
          </w:p>
        </w:tc>
        <w:tc>
          <w:tcPr>
            <w:tcW w:w="818" w:type="dxa"/>
            <w:tcBorders>
              <w:top w:val="nil"/>
              <w:left w:val="nil"/>
              <w:bottom w:val="single" w:sz="4" w:space="0" w:color="auto"/>
              <w:right w:val="single" w:sz="4" w:space="0" w:color="auto"/>
            </w:tcBorders>
            <w:noWrap/>
            <w:vAlign w:val="center"/>
            <w:hideMark/>
          </w:tcPr>
          <w:p w14:paraId="2D03818F"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7A8E071D"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35B3DE4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5062C4EC"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782972FD"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692D4B4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0,12319</w:t>
            </w:r>
          </w:p>
        </w:tc>
        <w:tc>
          <w:tcPr>
            <w:tcW w:w="818" w:type="dxa"/>
            <w:tcBorders>
              <w:top w:val="nil"/>
              <w:left w:val="nil"/>
              <w:bottom w:val="single" w:sz="4" w:space="0" w:color="auto"/>
              <w:right w:val="single" w:sz="4" w:space="0" w:color="auto"/>
            </w:tcBorders>
            <w:noWrap/>
            <w:vAlign w:val="center"/>
            <w:hideMark/>
          </w:tcPr>
          <w:p w14:paraId="09AD7D8C"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818" w:type="dxa"/>
            <w:tcBorders>
              <w:top w:val="nil"/>
              <w:left w:val="nil"/>
              <w:bottom w:val="single" w:sz="4" w:space="0" w:color="auto"/>
              <w:right w:val="single" w:sz="4" w:space="0" w:color="auto"/>
            </w:tcBorders>
            <w:noWrap/>
            <w:vAlign w:val="center"/>
            <w:hideMark/>
          </w:tcPr>
          <w:p w14:paraId="5FB6116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0,12687</w:t>
            </w:r>
          </w:p>
        </w:tc>
        <w:tc>
          <w:tcPr>
            <w:tcW w:w="375" w:type="dxa"/>
            <w:noWrap/>
            <w:vAlign w:val="center"/>
            <w:hideMark/>
          </w:tcPr>
          <w:p w14:paraId="66C6FA21"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2</w:t>
            </w:r>
          </w:p>
        </w:tc>
        <w:tc>
          <w:tcPr>
            <w:tcW w:w="1089" w:type="dxa"/>
            <w:tcBorders>
              <w:top w:val="nil"/>
              <w:left w:val="single" w:sz="4" w:space="0" w:color="auto"/>
              <w:bottom w:val="single" w:sz="4" w:space="0" w:color="auto"/>
              <w:right w:val="single" w:sz="4" w:space="0" w:color="auto"/>
            </w:tcBorders>
            <w:noWrap/>
            <w:vAlign w:val="center"/>
            <w:hideMark/>
          </w:tcPr>
          <w:p w14:paraId="7A76B008"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0,1242808</w:t>
            </w:r>
          </w:p>
        </w:tc>
        <w:tc>
          <w:tcPr>
            <w:tcW w:w="240" w:type="dxa"/>
            <w:noWrap/>
            <w:vAlign w:val="center"/>
            <w:hideMark/>
          </w:tcPr>
          <w:p w14:paraId="364C2043"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2</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17E7FD6"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0,1262702</w:t>
            </w:r>
          </w:p>
        </w:tc>
      </w:tr>
      <w:tr w:rsidR="002E6C9E" w:rsidRPr="00EF5DE6" w14:paraId="114B98E0"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121E4D56"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3</w:t>
            </w:r>
          </w:p>
        </w:tc>
        <w:tc>
          <w:tcPr>
            <w:tcW w:w="818" w:type="dxa"/>
            <w:tcBorders>
              <w:top w:val="nil"/>
              <w:left w:val="nil"/>
              <w:bottom w:val="single" w:sz="4" w:space="0" w:color="auto"/>
              <w:right w:val="single" w:sz="4" w:space="0" w:color="auto"/>
            </w:tcBorders>
            <w:noWrap/>
            <w:vAlign w:val="center"/>
            <w:hideMark/>
          </w:tcPr>
          <w:p w14:paraId="2F8994BD"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4C1BEED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66A6F304"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2DC5C7C8"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178E09A4"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3F14A51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0,13768</w:t>
            </w:r>
          </w:p>
        </w:tc>
        <w:tc>
          <w:tcPr>
            <w:tcW w:w="818" w:type="dxa"/>
            <w:tcBorders>
              <w:top w:val="nil"/>
              <w:left w:val="nil"/>
              <w:bottom w:val="single" w:sz="4" w:space="0" w:color="auto"/>
              <w:right w:val="single" w:sz="4" w:space="0" w:color="auto"/>
            </w:tcBorders>
            <w:noWrap/>
            <w:vAlign w:val="center"/>
            <w:hideMark/>
          </w:tcPr>
          <w:p w14:paraId="160DDB91"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2CAD0159"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375" w:type="dxa"/>
            <w:noWrap/>
            <w:vAlign w:val="center"/>
            <w:hideMark/>
          </w:tcPr>
          <w:p w14:paraId="04198B9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3</w:t>
            </w:r>
          </w:p>
        </w:tc>
        <w:tc>
          <w:tcPr>
            <w:tcW w:w="1089" w:type="dxa"/>
            <w:tcBorders>
              <w:top w:val="nil"/>
              <w:left w:val="single" w:sz="4" w:space="0" w:color="auto"/>
              <w:bottom w:val="single" w:sz="4" w:space="0" w:color="auto"/>
              <w:right w:val="single" w:sz="4" w:space="0" w:color="auto"/>
            </w:tcBorders>
            <w:noWrap/>
            <w:vAlign w:val="center"/>
            <w:hideMark/>
          </w:tcPr>
          <w:p w14:paraId="630D455F"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0,1335783</w:t>
            </w:r>
          </w:p>
        </w:tc>
        <w:tc>
          <w:tcPr>
            <w:tcW w:w="240" w:type="dxa"/>
            <w:noWrap/>
            <w:vAlign w:val="center"/>
            <w:hideMark/>
          </w:tcPr>
          <w:p w14:paraId="0F2B30B8"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3</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6F8C935"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0,1411255</w:t>
            </w:r>
          </w:p>
        </w:tc>
      </w:tr>
      <w:tr w:rsidR="002E6C9E" w:rsidRPr="00EF5DE6" w14:paraId="4D928448"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1C3479B5"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4</w:t>
            </w:r>
          </w:p>
        </w:tc>
        <w:tc>
          <w:tcPr>
            <w:tcW w:w="818" w:type="dxa"/>
            <w:tcBorders>
              <w:top w:val="nil"/>
              <w:left w:val="nil"/>
              <w:bottom w:val="single" w:sz="4" w:space="0" w:color="auto"/>
              <w:right w:val="single" w:sz="4" w:space="0" w:color="auto"/>
            </w:tcBorders>
            <w:noWrap/>
            <w:vAlign w:val="center"/>
            <w:hideMark/>
          </w:tcPr>
          <w:p w14:paraId="242DCE4D"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0C5026A2"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79E6D357"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27469D2E"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5B08A8D4"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7641B2E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0,13768</w:t>
            </w:r>
          </w:p>
        </w:tc>
        <w:tc>
          <w:tcPr>
            <w:tcW w:w="818" w:type="dxa"/>
            <w:tcBorders>
              <w:top w:val="nil"/>
              <w:left w:val="nil"/>
              <w:bottom w:val="single" w:sz="4" w:space="0" w:color="auto"/>
              <w:right w:val="single" w:sz="4" w:space="0" w:color="auto"/>
            </w:tcBorders>
            <w:noWrap/>
            <w:vAlign w:val="center"/>
            <w:hideMark/>
          </w:tcPr>
          <w:p w14:paraId="5179BC69"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818" w:type="dxa"/>
            <w:tcBorders>
              <w:top w:val="nil"/>
              <w:left w:val="nil"/>
              <w:bottom w:val="single" w:sz="4" w:space="0" w:color="auto"/>
              <w:right w:val="single" w:sz="4" w:space="0" w:color="auto"/>
            </w:tcBorders>
            <w:noWrap/>
            <w:vAlign w:val="center"/>
            <w:hideMark/>
          </w:tcPr>
          <w:p w14:paraId="463DD64B"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0,14179</w:t>
            </w:r>
          </w:p>
        </w:tc>
        <w:tc>
          <w:tcPr>
            <w:tcW w:w="375" w:type="dxa"/>
            <w:noWrap/>
            <w:vAlign w:val="center"/>
            <w:hideMark/>
          </w:tcPr>
          <w:p w14:paraId="4D52E66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4</w:t>
            </w:r>
          </w:p>
        </w:tc>
        <w:tc>
          <w:tcPr>
            <w:tcW w:w="1089" w:type="dxa"/>
            <w:tcBorders>
              <w:top w:val="nil"/>
              <w:left w:val="single" w:sz="4" w:space="0" w:color="auto"/>
              <w:bottom w:val="single" w:sz="4" w:space="0" w:color="auto"/>
              <w:right w:val="single" w:sz="4" w:space="0" w:color="auto"/>
            </w:tcBorders>
            <w:noWrap/>
            <w:vAlign w:val="center"/>
            <w:hideMark/>
          </w:tcPr>
          <w:p w14:paraId="005D80CB"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0,1619421</w:t>
            </w:r>
          </w:p>
        </w:tc>
        <w:tc>
          <w:tcPr>
            <w:tcW w:w="240" w:type="dxa"/>
            <w:noWrap/>
            <w:vAlign w:val="center"/>
            <w:hideMark/>
          </w:tcPr>
          <w:p w14:paraId="1E22A5E5"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4</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242F3DF"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0,1411255</w:t>
            </w:r>
          </w:p>
        </w:tc>
      </w:tr>
      <w:tr w:rsidR="002E6C9E" w:rsidRPr="00EF5DE6" w14:paraId="570A4ABD"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08E9A8EF"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5</w:t>
            </w:r>
          </w:p>
        </w:tc>
        <w:tc>
          <w:tcPr>
            <w:tcW w:w="818" w:type="dxa"/>
            <w:tcBorders>
              <w:top w:val="nil"/>
              <w:left w:val="nil"/>
              <w:bottom w:val="single" w:sz="4" w:space="0" w:color="auto"/>
              <w:right w:val="single" w:sz="4" w:space="0" w:color="auto"/>
            </w:tcBorders>
            <w:noWrap/>
            <w:vAlign w:val="center"/>
            <w:hideMark/>
          </w:tcPr>
          <w:p w14:paraId="07028616"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06DEA262"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26083968"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248F2047"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21D600F0"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29EEB30F"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0,1087</w:t>
            </w:r>
          </w:p>
        </w:tc>
        <w:tc>
          <w:tcPr>
            <w:tcW w:w="818" w:type="dxa"/>
            <w:tcBorders>
              <w:top w:val="nil"/>
              <w:left w:val="nil"/>
              <w:bottom w:val="single" w:sz="4" w:space="0" w:color="auto"/>
              <w:right w:val="single" w:sz="4" w:space="0" w:color="auto"/>
            </w:tcBorders>
            <w:noWrap/>
            <w:vAlign w:val="center"/>
            <w:hideMark/>
          </w:tcPr>
          <w:p w14:paraId="4557FEF2"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5BDC621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375" w:type="dxa"/>
            <w:noWrap/>
            <w:vAlign w:val="center"/>
            <w:hideMark/>
          </w:tcPr>
          <w:p w14:paraId="30AC77A2"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5</w:t>
            </w:r>
          </w:p>
        </w:tc>
        <w:tc>
          <w:tcPr>
            <w:tcW w:w="1089" w:type="dxa"/>
            <w:tcBorders>
              <w:top w:val="nil"/>
              <w:left w:val="single" w:sz="4" w:space="0" w:color="auto"/>
              <w:bottom w:val="single" w:sz="4" w:space="0" w:color="auto"/>
              <w:right w:val="single" w:sz="4" w:space="0" w:color="auto"/>
            </w:tcBorders>
            <w:noWrap/>
            <w:vAlign w:val="center"/>
            <w:hideMark/>
          </w:tcPr>
          <w:p w14:paraId="637642D0"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0,1072908</w:t>
            </w:r>
          </w:p>
        </w:tc>
        <w:tc>
          <w:tcPr>
            <w:tcW w:w="240" w:type="dxa"/>
            <w:noWrap/>
            <w:vAlign w:val="center"/>
            <w:hideMark/>
          </w:tcPr>
          <w:p w14:paraId="4AEE11E9"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5</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A31E426"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0,117669</w:t>
            </w:r>
          </w:p>
        </w:tc>
      </w:tr>
      <w:tr w:rsidR="002E6C9E" w:rsidRPr="00EF5DE6" w14:paraId="48537EEE"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40E212B2"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6</w:t>
            </w:r>
          </w:p>
        </w:tc>
        <w:tc>
          <w:tcPr>
            <w:tcW w:w="818" w:type="dxa"/>
            <w:tcBorders>
              <w:top w:val="nil"/>
              <w:left w:val="nil"/>
              <w:bottom w:val="single" w:sz="4" w:space="0" w:color="auto"/>
              <w:right w:val="single" w:sz="4" w:space="0" w:color="auto"/>
            </w:tcBorders>
            <w:noWrap/>
            <w:vAlign w:val="center"/>
            <w:hideMark/>
          </w:tcPr>
          <w:p w14:paraId="3BF40EEE"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1CED9941"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621D0F74"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0FE6C1DD"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22A80444"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22B87B66"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0,13768</w:t>
            </w:r>
          </w:p>
        </w:tc>
        <w:tc>
          <w:tcPr>
            <w:tcW w:w="818" w:type="dxa"/>
            <w:tcBorders>
              <w:top w:val="nil"/>
              <w:left w:val="nil"/>
              <w:bottom w:val="single" w:sz="4" w:space="0" w:color="auto"/>
              <w:right w:val="single" w:sz="4" w:space="0" w:color="auto"/>
            </w:tcBorders>
            <w:noWrap/>
            <w:vAlign w:val="center"/>
            <w:hideMark/>
          </w:tcPr>
          <w:p w14:paraId="1A62B19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5744279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375" w:type="dxa"/>
            <w:noWrap/>
            <w:vAlign w:val="center"/>
            <w:hideMark/>
          </w:tcPr>
          <w:p w14:paraId="6CB023CC"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6</w:t>
            </w:r>
          </w:p>
        </w:tc>
        <w:tc>
          <w:tcPr>
            <w:tcW w:w="1089" w:type="dxa"/>
            <w:tcBorders>
              <w:top w:val="nil"/>
              <w:left w:val="single" w:sz="4" w:space="0" w:color="auto"/>
              <w:bottom w:val="single" w:sz="4" w:space="0" w:color="auto"/>
              <w:right w:val="single" w:sz="4" w:space="0" w:color="auto"/>
            </w:tcBorders>
            <w:noWrap/>
            <w:vAlign w:val="center"/>
            <w:hideMark/>
          </w:tcPr>
          <w:p w14:paraId="3C5A35AE"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0,1619447</w:t>
            </w:r>
          </w:p>
        </w:tc>
        <w:tc>
          <w:tcPr>
            <w:tcW w:w="240" w:type="dxa"/>
            <w:noWrap/>
            <w:vAlign w:val="center"/>
            <w:hideMark/>
          </w:tcPr>
          <w:p w14:paraId="6BCA35B1"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6</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477AAD34"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0,1161089</w:t>
            </w:r>
          </w:p>
        </w:tc>
      </w:tr>
      <w:tr w:rsidR="002E6C9E" w:rsidRPr="00EF5DE6" w14:paraId="5364D3E4"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46393E89"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7</w:t>
            </w:r>
          </w:p>
        </w:tc>
        <w:tc>
          <w:tcPr>
            <w:tcW w:w="818" w:type="dxa"/>
            <w:tcBorders>
              <w:top w:val="nil"/>
              <w:left w:val="nil"/>
              <w:bottom w:val="single" w:sz="4" w:space="0" w:color="auto"/>
              <w:right w:val="single" w:sz="4" w:space="0" w:color="auto"/>
            </w:tcBorders>
            <w:noWrap/>
            <w:vAlign w:val="center"/>
            <w:hideMark/>
          </w:tcPr>
          <w:p w14:paraId="1D20F1F3"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13EECB80"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4B01A74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197ADDA2"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199541FB"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0E110185"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0,1087</w:t>
            </w:r>
          </w:p>
        </w:tc>
        <w:tc>
          <w:tcPr>
            <w:tcW w:w="818" w:type="dxa"/>
            <w:tcBorders>
              <w:top w:val="nil"/>
              <w:left w:val="nil"/>
              <w:bottom w:val="single" w:sz="4" w:space="0" w:color="auto"/>
              <w:right w:val="single" w:sz="4" w:space="0" w:color="auto"/>
            </w:tcBorders>
            <w:noWrap/>
            <w:vAlign w:val="center"/>
            <w:hideMark/>
          </w:tcPr>
          <w:p w14:paraId="3D73FBCC"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818" w:type="dxa"/>
            <w:tcBorders>
              <w:top w:val="nil"/>
              <w:left w:val="nil"/>
              <w:bottom w:val="single" w:sz="4" w:space="0" w:color="auto"/>
              <w:right w:val="single" w:sz="4" w:space="0" w:color="auto"/>
            </w:tcBorders>
            <w:noWrap/>
            <w:vAlign w:val="center"/>
            <w:hideMark/>
          </w:tcPr>
          <w:p w14:paraId="258F8898"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0,1194</w:t>
            </w:r>
          </w:p>
        </w:tc>
        <w:tc>
          <w:tcPr>
            <w:tcW w:w="375" w:type="dxa"/>
            <w:noWrap/>
            <w:vAlign w:val="center"/>
            <w:hideMark/>
          </w:tcPr>
          <w:p w14:paraId="0E77EDA3"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7</w:t>
            </w:r>
          </w:p>
        </w:tc>
        <w:tc>
          <w:tcPr>
            <w:tcW w:w="1089" w:type="dxa"/>
            <w:tcBorders>
              <w:top w:val="nil"/>
              <w:left w:val="single" w:sz="4" w:space="0" w:color="auto"/>
              <w:bottom w:val="single" w:sz="4" w:space="0" w:color="auto"/>
              <w:right w:val="single" w:sz="4" w:space="0" w:color="auto"/>
            </w:tcBorders>
            <w:noWrap/>
            <w:vAlign w:val="center"/>
            <w:hideMark/>
          </w:tcPr>
          <w:p w14:paraId="29E44575"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0,0039595</w:t>
            </w:r>
          </w:p>
        </w:tc>
        <w:tc>
          <w:tcPr>
            <w:tcW w:w="240" w:type="dxa"/>
            <w:noWrap/>
            <w:vAlign w:val="center"/>
            <w:hideMark/>
          </w:tcPr>
          <w:p w14:paraId="354958AB"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7</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9DB76AE"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0,117669</w:t>
            </w:r>
          </w:p>
        </w:tc>
      </w:tr>
      <w:tr w:rsidR="002E6C9E" w:rsidRPr="00EF5DE6" w14:paraId="1BCE48C2" w14:textId="77777777" w:rsidTr="002E6C9E">
        <w:trPr>
          <w:trHeight w:val="58"/>
          <w:jc w:val="center"/>
        </w:trPr>
        <w:tc>
          <w:tcPr>
            <w:tcW w:w="387" w:type="dxa"/>
            <w:tcBorders>
              <w:top w:val="nil"/>
              <w:left w:val="single" w:sz="4" w:space="0" w:color="auto"/>
              <w:bottom w:val="single" w:sz="4" w:space="0" w:color="auto"/>
              <w:right w:val="single" w:sz="4" w:space="0" w:color="auto"/>
            </w:tcBorders>
            <w:noWrap/>
            <w:vAlign w:val="bottom"/>
            <w:hideMark/>
          </w:tcPr>
          <w:p w14:paraId="5E21B422" w14:textId="77777777" w:rsidR="00647B71" w:rsidRPr="00EF5DE6" w:rsidRDefault="00647B71" w:rsidP="00457CE9">
            <w:pPr>
              <w:spacing w:after="0" w:line="240" w:lineRule="auto"/>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8</w:t>
            </w:r>
          </w:p>
        </w:tc>
        <w:tc>
          <w:tcPr>
            <w:tcW w:w="818" w:type="dxa"/>
            <w:tcBorders>
              <w:top w:val="nil"/>
              <w:left w:val="nil"/>
              <w:bottom w:val="single" w:sz="4" w:space="0" w:color="auto"/>
              <w:right w:val="single" w:sz="4" w:space="0" w:color="auto"/>
            </w:tcBorders>
            <w:noWrap/>
            <w:vAlign w:val="center"/>
            <w:hideMark/>
          </w:tcPr>
          <w:p w14:paraId="4E08622E" w14:textId="77777777" w:rsidR="00647B71" w:rsidRPr="00EF5DE6" w:rsidRDefault="00647B71" w:rsidP="002E6C9E">
            <w:pPr>
              <w:spacing w:after="0" w:line="240" w:lineRule="auto"/>
              <w:ind w:left="-116" w:right="-95"/>
              <w:jc w:val="center"/>
              <w:rPr>
                <w:rFonts w:ascii="Times New Roman" w:eastAsia="Times New Roman" w:hAnsi="Times New Roman" w:cs="Times New Roman"/>
                <w:i/>
                <w:sz w:val="20"/>
                <w:szCs w:val="20"/>
                <w:lang w:eastAsia="ru-RU"/>
              </w:rPr>
            </w:pPr>
            <w:r w:rsidRPr="00EF5DE6">
              <w:rPr>
                <w:rFonts w:ascii="Times New Roman" w:eastAsia="Times New Roman" w:hAnsi="Times New Roman" w:cs="Times New Roman"/>
                <w:i/>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32AB52C8"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719394DA"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45C25300"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4AF6FEBE"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00978D67"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0,13768</w:t>
            </w:r>
          </w:p>
        </w:tc>
        <w:tc>
          <w:tcPr>
            <w:tcW w:w="818" w:type="dxa"/>
            <w:tcBorders>
              <w:top w:val="nil"/>
              <w:left w:val="nil"/>
              <w:bottom w:val="single" w:sz="4" w:space="0" w:color="auto"/>
              <w:right w:val="single" w:sz="4" w:space="0" w:color="auto"/>
            </w:tcBorders>
            <w:noWrap/>
            <w:vAlign w:val="center"/>
            <w:hideMark/>
          </w:tcPr>
          <w:p w14:paraId="51185BBE"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818" w:type="dxa"/>
            <w:tcBorders>
              <w:top w:val="nil"/>
              <w:left w:val="nil"/>
              <w:bottom w:val="single" w:sz="4" w:space="0" w:color="auto"/>
              <w:right w:val="single" w:sz="4" w:space="0" w:color="auto"/>
            </w:tcBorders>
            <w:noWrap/>
            <w:vAlign w:val="center"/>
            <w:hideMark/>
          </w:tcPr>
          <w:p w14:paraId="2E847220"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0,11194</w:t>
            </w:r>
          </w:p>
        </w:tc>
        <w:tc>
          <w:tcPr>
            <w:tcW w:w="375" w:type="dxa"/>
            <w:tcBorders>
              <w:top w:val="nil"/>
              <w:left w:val="nil"/>
              <w:bottom w:val="single" w:sz="4" w:space="0" w:color="auto"/>
              <w:right w:val="nil"/>
            </w:tcBorders>
            <w:noWrap/>
            <w:vAlign w:val="center"/>
            <w:hideMark/>
          </w:tcPr>
          <w:p w14:paraId="2A1AFC5C" w14:textId="77777777" w:rsidR="00647B71" w:rsidRPr="00EF5DE6" w:rsidRDefault="00647B71" w:rsidP="002E6C9E">
            <w:pPr>
              <w:spacing w:after="0" w:line="240" w:lineRule="auto"/>
              <w:ind w:left="-116" w:right="-95"/>
              <w:jc w:val="center"/>
              <w:rPr>
                <w:rFonts w:ascii="Times New Roman" w:eastAsia="Times New Roman" w:hAnsi="Times New Roman" w:cs="Times New Roman"/>
                <w:color w:val="000000"/>
                <w:sz w:val="20"/>
                <w:szCs w:val="20"/>
                <w:lang w:eastAsia="ru-RU"/>
              </w:rPr>
            </w:pPr>
            <w:r w:rsidRPr="00EF5DE6">
              <w:rPr>
                <w:rFonts w:ascii="Times New Roman" w:eastAsia="Times New Roman" w:hAnsi="Times New Roman" w:cs="Times New Roman"/>
                <w:color w:val="000000"/>
                <w:sz w:val="20"/>
                <w:szCs w:val="20"/>
                <w:lang w:eastAsia="ru-RU"/>
              </w:rPr>
              <w:t>8</w:t>
            </w:r>
          </w:p>
        </w:tc>
        <w:tc>
          <w:tcPr>
            <w:tcW w:w="1089" w:type="dxa"/>
            <w:tcBorders>
              <w:top w:val="nil"/>
              <w:left w:val="single" w:sz="4" w:space="0" w:color="auto"/>
              <w:bottom w:val="single" w:sz="4" w:space="0" w:color="auto"/>
              <w:right w:val="single" w:sz="4" w:space="0" w:color="auto"/>
            </w:tcBorders>
            <w:noWrap/>
            <w:vAlign w:val="center"/>
            <w:hideMark/>
          </w:tcPr>
          <w:p w14:paraId="68501AE1"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sz w:val="20"/>
                <w:szCs w:val="20"/>
                <w:lang w:eastAsia="ru-RU"/>
              </w:rPr>
            </w:pPr>
            <w:r w:rsidRPr="00EF5DE6">
              <w:rPr>
                <w:rFonts w:ascii="Times New Roman" w:eastAsia="Times New Roman" w:hAnsi="Times New Roman" w:cs="Times New Roman"/>
                <w:bCs/>
                <w:i/>
                <w:sz w:val="20"/>
                <w:szCs w:val="20"/>
                <w:lang w:eastAsia="ru-RU"/>
              </w:rPr>
              <w:t>0,1517801</w:t>
            </w:r>
          </w:p>
        </w:tc>
        <w:tc>
          <w:tcPr>
            <w:tcW w:w="240" w:type="dxa"/>
            <w:tcBorders>
              <w:top w:val="nil"/>
              <w:left w:val="nil"/>
              <w:bottom w:val="single" w:sz="4" w:space="0" w:color="auto"/>
              <w:right w:val="nil"/>
            </w:tcBorders>
            <w:noWrap/>
            <w:vAlign w:val="center"/>
            <w:hideMark/>
          </w:tcPr>
          <w:p w14:paraId="64241230" w14:textId="77777777" w:rsidR="00647B71" w:rsidRPr="00EF5DE6" w:rsidRDefault="00647B71" w:rsidP="002E6C9E">
            <w:pPr>
              <w:spacing w:after="0" w:line="240" w:lineRule="auto"/>
              <w:ind w:left="-116" w:right="-95"/>
              <w:jc w:val="center"/>
              <w:rPr>
                <w:rFonts w:ascii="Times New Roman" w:eastAsia="Times New Roman" w:hAnsi="Times New Roman" w:cs="Times New Roman"/>
                <w:bCs/>
                <w:color w:val="000000"/>
                <w:sz w:val="20"/>
                <w:szCs w:val="20"/>
                <w:lang w:val="kk-KZ" w:eastAsia="ru-RU"/>
              </w:rPr>
            </w:pPr>
            <w:r w:rsidRPr="00EF5DE6">
              <w:rPr>
                <w:rFonts w:ascii="Times New Roman" w:eastAsia="Times New Roman" w:hAnsi="Times New Roman" w:cs="Times New Roman"/>
                <w:bCs/>
                <w:color w:val="000000"/>
                <w:sz w:val="20"/>
                <w:szCs w:val="20"/>
                <w:lang w:val="kk-KZ" w:eastAsia="ru-RU"/>
              </w:rPr>
              <w:t>8</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6DA9D38" w14:textId="77777777" w:rsidR="00647B71" w:rsidRPr="00EF5DE6" w:rsidRDefault="00647B71" w:rsidP="002E6C9E">
            <w:pPr>
              <w:spacing w:after="0" w:line="240" w:lineRule="auto"/>
              <w:ind w:left="-116" w:right="-95"/>
              <w:jc w:val="center"/>
              <w:rPr>
                <w:rFonts w:ascii="Times New Roman" w:eastAsia="Times New Roman" w:hAnsi="Times New Roman" w:cs="Times New Roman"/>
                <w:bCs/>
                <w:i/>
                <w:color w:val="000000"/>
                <w:sz w:val="20"/>
                <w:szCs w:val="20"/>
                <w:lang w:eastAsia="ru-RU"/>
              </w:rPr>
            </w:pPr>
            <w:r w:rsidRPr="00EF5DE6">
              <w:rPr>
                <w:rFonts w:ascii="Times New Roman" w:eastAsia="Times New Roman" w:hAnsi="Times New Roman" w:cs="Times New Roman"/>
                <w:bCs/>
                <w:i/>
                <w:color w:val="000000"/>
                <w:sz w:val="20"/>
                <w:szCs w:val="20"/>
                <w:lang w:eastAsia="ru-RU"/>
              </w:rPr>
              <w:t>0,1161089</w:t>
            </w:r>
          </w:p>
        </w:tc>
      </w:tr>
      <w:tr w:rsidR="00647B71" w:rsidRPr="00EF5DE6" w14:paraId="082FD37C" w14:textId="77777777" w:rsidTr="002E6C9E">
        <w:trPr>
          <w:trHeight w:val="288"/>
          <w:jc w:val="center"/>
        </w:trPr>
        <w:tc>
          <w:tcPr>
            <w:tcW w:w="9718" w:type="dxa"/>
            <w:gridSpan w:val="13"/>
            <w:tcBorders>
              <w:top w:val="single" w:sz="4" w:space="0" w:color="auto"/>
              <w:left w:val="single" w:sz="4" w:space="0" w:color="auto"/>
              <w:bottom w:val="single" w:sz="4" w:space="0" w:color="auto"/>
              <w:right w:val="single" w:sz="4" w:space="0" w:color="auto"/>
            </w:tcBorders>
            <w:noWrap/>
            <w:vAlign w:val="bottom"/>
            <w:hideMark/>
          </w:tcPr>
          <w:p w14:paraId="53CA0508" w14:textId="5EB72E74" w:rsidR="00647B71" w:rsidRPr="00EF5DE6" w:rsidRDefault="00647B71" w:rsidP="00457CE9">
            <w:pPr>
              <w:spacing w:after="0" w:line="240" w:lineRule="auto"/>
              <w:ind w:firstLine="709"/>
              <w:jc w:val="both"/>
              <w:rPr>
                <w:rFonts w:ascii="Times New Roman" w:eastAsiaTheme="minorEastAsia" w:hAnsi="Times New Roman" w:cs="Times New Roman"/>
                <w:sz w:val="20"/>
                <w:szCs w:val="20"/>
                <w:lang w:val="kk-KZ"/>
              </w:rPr>
            </w:pPr>
            <w:r w:rsidRPr="00EF5DE6">
              <w:rPr>
                <w:rFonts w:ascii="Times New Roman" w:eastAsiaTheme="minorEastAsia" w:hAnsi="Times New Roman" w:cs="Times New Roman"/>
                <w:sz w:val="20"/>
                <w:szCs w:val="20"/>
                <w:lang w:val="kk-KZ"/>
              </w:rPr>
              <w:t xml:space="preserve">Ескерту – </w:t>
            </w:r>
            <w:r w:rsidR="002E6C9E" w:rsidRPr="00EF5DE6">
              <w:rPr>
                <w:rFonts w:ascii="Times New Roman" w:eastAsiaTheme="minorEastAsia" w:hAnsi="Times New Roman" w:cs="Times New Roman"/>
                <w:sz w:val="20"/>
                <w:szCs w:val="20"/>
                <w:lang w:val="kk-KZ"/>
              </w:rPr>
              <w:t>А</w:t>
            </w:r>
            <w:r w:rsidRPr="00EF5DE6">
              <w:rPr>
                <w:rFonts w:ascii="Times New Roman" w:eastAsiaTheme="minorEastAsia" w:hAnsi="Times New Roman" w:cs="Times New Roman"/>
                <w:sz w:val="20"/>
                <w:szCs w:val="20"/>
                <w:lang w:val="kk-KZ"/>
              </w:rPr>
              <w:t>втормен құрастырылған</w:t>
            </w:r>
          </w:p>
        </w:tc>
      </w:tr>
    </w:tbl>
    <w:p w14:paraId="58EFDC8D" w14:textId="77777777" w:rsidR="00647B71" w:rsidRDefault="00647B71" w:rsidP="00F15E51">
      <w:pPr>
        <w:widowControl w:val="0"/>
        <w:spacing w:after="0" w:line="240" w:lineRule="auto"/>
        <w:jc w:val="both"/>
        <w:rPr>
          <w:rFonts w:ascii="Times New Roman" w:eastAsiaTheme="minorEastAsia" w:hAnsi="Times New Roman" w:cs="Times New Roman"/>
          <w:sz w:val="28"/>
          <w:szCs w:val="28"/>
          <w:lang w:val="kk-KZ"/>
        </w:rPr>
      </w:pPr>
    </w:p>
    <w:p w14:paraId="17058A86" w14:textId="0F8930FB" w:rsidR="00010EEC" w:rsidRDefault="00EB7D69" w:rsidP="00F15E51">
      <w:pPr>
        <w:widowControl w:val="0"/>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62</w:t>
      </w:r>
      <w:r w:rsidR="00010EEC">
        <w:rPr>
          <w:rFonts w:ascii="Times New Roman" w:eastAsiaTheme="minorEastAsia" w:hAnsi="Times New Roman" w:cs="Times New Roman"/>
          <w:sz w:val="28"/>
          <w:szCs w:val="28"/>
          <w:lang w:val="kk-KZ"/>
        </w:rPr>
        <w:t xml:space="preserve">-кестеден 1-міндеттің бойынша 8 көрсеткіштері бойынша мәндер бағалауларының нәтижесі келтірілген. Тура осылай ҚР </w:t>
      </w:r>
      <w:r w:rsidR="00575788">
        <w:rPr>
          <w:rFonts w:ascii="Times New Roman" w:eastAsiaTheme="minorEastAsia" w:hAnsi="Times New Roman" w:cs="Times New Roman"/>
          <w:sz w:val="28"/>
          <w:szCs w:val="28"/>
          <w:lang w:val="kk-KZ"/>
        </w:rPr>
        <w:t>АӨК-н</w:t>
      </w:r>
      <w:r w:rsidR="00010EEC">
        <w:rPr>
          <w:rFonts w:ascii="Times New Roman" w:eastAsiaTheme="minorEastAsia" w:hAnsi="Times New Roman" w:cs="Times New Roman"/>
          <w:sz w:val="28"/>
          <w:szCs w:val="28"/>
          <w:lang w:val="kk-KZ"/>
        </w:rPr>
        <w:t xml:space="preserve"> дамытудың 9 міндеті бойынша және әр міндет бойынша көрсеткіштердің әрқайсысының 47 альтернативалары бойынша үлестерінің және 47 көрсеткіштерінің жоспарлы мәндер үлестерінің матрицасы меншікті векторларының көбейтіндісі нәтижелерінің бағаланулары келтірілген, </w:t>
      </w:r>
      <w:r>
        <w:rPr>
          <w:rFonts w:ascii="Times New Roman" w:eastAsiaTheme="minorEastAsia" w:hAnsi="Times New Roman" w:cs="Times New Roman"/>
          <w:sz w:val="28"/>
          <w:szCs w:val="28"/>
          <w:lang w:val="kk-KZ"/>
        </w:rPr>
        <w:t>63</w:t>
      </w:r>
      <w:r w:rsidR="00010EEC">
        <w:rPr>
          <w:rFonts w:ascii="Times New Roman" w:eastAsiaTheme="minorEastAsia" w:hAnsi="Times New Roman" w:cs="Times New Roman"/>
          <w:sz w:val="28"/>
          <w:szCs w:val="28"/>
          <w:lang w:val="kk-KZ"/>
        </w:rPr>
        <w:t xml:space="preserve">-кесте. </w:t>
      </w:r>
    </w:p>
    <w:p w14:paraId="44362982" w14:textId="77777777" w:rsidR="00010EEC" w:rsidRPr="00457CE9" w:rsidRDefault="00010EEC" w:rsidP="00457CE9">
      <w:pPr>
        <w:spacing w:after="0" w:line="240" w:lineRule="auto"/>
        <w:jc w:val="both"/>
        <w:rPr>
          <w:rFonts w:ascii="Times New Roman" w:eastAsiaTheme="minorEastAsia" w:hAnsi="Times New Roman" w:cs="Times New Roman"/>
          <w:sz w:val="28"/>
          <w:szCs w:val="28"/>
          <w:lang w:val="kk-KZ"/>
        </w:rPr>
      </w:pPr>
    </w:p>
    <w:p w14:paraId="04ECEF15" w14:textId="3F6E2553"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63</w:t>
      </w:r>
      <w:r w:rsidR="002E6C9E">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бірінші және екінші деңгей факторларының әсерін жұптық салыстыру матрицасы нәтижесі</w:t>
      </w:r>
    </w:p>
    <w:p w14:paraId="05621AD9" w14:textId="77777777" w:rsidR="002E6C9E" w:rsidRPr="002E6C9E" w:rsidRDefault="002E6C9E" w:rsidP="00457CE9">
      <w:pPr>
        <w:spacing w:after="0" w:line="240" w:lineRule="auto"/>
        <w:jc w:val="both"/>
        <w:rPr>
          <w:rFonts w:ascii="Times New Roman" w:eastAsiaTheme="minorEastAsia" w:hAnsi="Times New Roman" w:cs="Times New Roman"/>
          <w:sz w:val="16"/>
          <w:szCs w:val="16"/>
          <w:lang w:val="kk-KZ"/>
        </w:rPr>
      </w:pP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028"/>
        <w:gridCol w:w="1028"/>
        <w:gridCol w:w="1027"/>
        <w:gridCol w:w="1027"/>
        <w:gridCol w:w="1027"/>
        <w:gridCol w:w="1027"/>
        <w:gridCol w:w="1027"/>
        <w:gridCol w:w="1027"/>
        <w:gridCol w:w="1027"/>
      </w:tblGrid>
      <w:tr w:rsidR="00647B71" w:rsidRPr="00BB2991" w14:paraId="5629259C" w14:textId="77777777" w:rsidTr="002E6C9E">
        <w:trPr>
          <w:trHeight w:val="82"/>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109CB4A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А</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66CB0AB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1667C49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5EE673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5FB95C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FAEE95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43A587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D61A1D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058B1E5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518740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w:t>
            </w:r>
          </w:p>
        </w:tc>
      </w:tr>
      <w:tr w:rsidR="00647B71" w:rsidRPr="00BB2991" w14:paraId="5F50BE40"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0394BA6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7BC09886"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0,123923</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26A83DF9"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0,126836</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F5E4583"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0,11275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E9D7413"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0,132813</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97AF3A9"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0,136364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CE296D9"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0,120171</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BC1F7CC"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0,124138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B4C1569"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0,016262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0DE6836"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0,12234</w:t>
            </w:r>
          </w:p>
        </w:tc>
      </w:tr>
      <w:tr w:rsidR="00647B71" w:rsidRPr="00BB2991" w14:paraId="4B23F808"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379F86E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7E0703BC"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0,12627</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6E274FDC"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0,126836</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52FA1D5"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0,11275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F604C69"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0,132813</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C601E80"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0,143939</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E7F03D8"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0,120997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9C34C50"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0,131034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453608B"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0,020327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DAB9946"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0,12234</w:t>
            </w:r>
          </w:p>
        </w:tc>
      </w:tr>
      <w:tr w:rsidR="00647B71" w:rsidRPr="00BB2991" w14:paraId="014FC702"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3DEF306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3</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1C21F0E3"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0,141125</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5D22F0C8"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0,139065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07C0AF7"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0,155257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1BD6532"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0,140625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9E0033B"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0,136364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1E8E6FE"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0,128344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EF28213"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0,124138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8751101"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0,020327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E1A482D"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0,136675</w:t>
            </w:r>
          </w:p>
        </w:tc>
      </w:tr>
      <w:tr w:rsidR="00647B71" w:rsidRPr="00BB2991" w14:paraId="4B435B00"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6C92577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4</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4533465B"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0,141125</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5B1EDE4F"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0,139065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A4360F4"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0,159112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5EB4BD5"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0,140625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EC8E006"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0,136364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B47487A"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0,128344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8B46BB9"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0,124138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C959EB4"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0,023038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2F63B07"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0,136675</w:t>
            </w:r>
          </w:p>
        </w:tc>
      </w:tr>
      <w:tr w:rsidR="00647B71" w:rsidRPr="00BB2991" w14:paraId="4943E34F"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7206F89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5</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107AF69F"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0,117669</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5853F5B8"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0,112817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8068A62"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0,050923</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DF792B7"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0,078125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DC44A67"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0,075758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E6715AE"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0,119757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3B779E5"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0,117241</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0CC1D2E"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0,013552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188697E"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0,107827</w:t>
            </w:r>
          </w:p>
        </w:tc>
      </w:tr>
      <w:tr w:rsidR="00647B71" w:rsidRPr="00BB2991" w14:paraId="2C3E9077"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4C74340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6</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20FDB536"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0,116109</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401D8DF7"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0,11458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8DC2328"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0,149765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03D9AFC"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0,148438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66F8D24"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0,113636</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0865E84"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0,130082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DE4CFE2"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0,124138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E07FA73"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0,020327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31FF673"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0,136675</w:t>
            </w:r>
          </w:p>
        </w:tc>
      </w:tr>
      <w:tr w:rsidR="00647B71" w:rsidRPr="00BB2991" w14:paraId="51AC99CD"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7738F44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7</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5F0039D5"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0,117669</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26B78BE7"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0,125808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A7EE97E"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0,112233</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1D0790B"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0,078125</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5C04E8C"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0,143939</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D922980"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0,128418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B4EE8C4"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0,131034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D449C2B"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0,023038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6C27E5ED"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0,107969</w:t>
            </w:r>
          </w:p>
        </w:tc>
      </w:tr>
      <w:tr w:rsidR="00647B71" w:rsidRPr="00BB2991" w14:paraId="6F7A7AE9" w14:textId="77777777" w:rsidTr="002E6C9E">
        <w:trPr>
          <w:trHeight w:val="58"/>
          <w:jc w:val="center"/>
        </w:trPr>
        <w:tc>
          <w:tcPr>
            <w:tcW w:w="271" w:type="dxa"/>
            <w:tcBorders>
              <w:top w:val="single" w:sz="4" w:space="0" w:color="auto"/>
              <w:left w:val="single" w:sz="4" w:space="0" w:color="auto"/>
              <w:bottom w:val="single" w:sz="4" w:space="0" w:color="auto"/>
              <w:right w:val="single" w:sz="4" w:space="0" w:color="auto"/>
            </w:tcBorders>
            <w:vAlign w:val="center"/>
            <w:hideMark/>
          </w:tcPr>
          <w:p w14:paraId="65952C1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8</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26C9F176" w14:textId="77777777" w:rsidR="00647B71" w:rsidRPr="002E6C9E" w:rsidRDefault="00647B71" w:rsidP="002E6C9E">
            <w:pPr>
              <w:spacing w:after="0" w:line="240" w:lineRule="auto"/>
              <w:ind w:left="-51" w:right="-116"/>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0,116109</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2C40F3B1"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0,114994</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2D18D24"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0,147211</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C206EA0"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0,148438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340D415"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0,113636</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914E8F2"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0,123887</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239520B"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0,124138</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C0D70CD"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0,018972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AAD253D" w14:textId="77777777" w:rsidR="00647B71" w:rsidRPr="00BB2991" w:rsidRDefault="00647B71" w:rsidP="002E6C9E">
            <w:pPr>
              <w:spacing w:after="0" w:line="240" w:lineRule="auto"/>
              <w:ind w:left="-51" w:right="-116"/>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0,129499</w:t>
            </w:r>
          </w:p>
        </w:tc>
      </w:tr>
      <w:tr w:rsidR="00647B71" w:rsidRPr="00BB2991" w14:paraId="0FA47891" w14:textId="77777777" w:rsidTr="002E6C9E">
        <w:trPr>
          <w:trHeight w:val="58"/>
          <w:jc w:val="center"/>
        </w:trPr>
        <w:tc>
          <w:tcPr>
            <w:tcW w:w="9548" w:type="dxa"/>
            <w:gridSpan w:val="10"/>
            <w:tcBorders>
              <w:top w:val="single" w:sz="4" w:space="0" w:color="auto"/>
              <w:left w:val="single" w:sz="4" w:space="0" w:color="auto"/>
              <w:bottom w:val="single" w:sz="4" w:space="0" w:color="auto"/>
              <w:right w:val="single" w:sz="4" w:space="0" w:color="auto"/>
            </w:tcBorders>
            <w:vAlign w:val="center"/>
            <w:hideMark/>
          </w:tcPr>
          <w:p w14:paraId="48CA301C" w14:textId="4F087551" w:rsidR="00647B71" w:rsidRPr="00BB2991" w:rsidRDefault="00647B71" w:rsidP="00457CE9">
            <w:pPr>
              <w:spacing w:after="0" w:line="240" w:lineRule="auto"/>
              <w:ind w:firstLine="601"/>
              <w:jc w:val="both"/>
              <w:rPr>
                <w:rFonts w:ascii="Times New Roman" w:eastAsia="Times New Roman" w:hAnsi="Times New Roman" w:cs="Times New Roman"/>
                <w:sz w:val="24"/>
                <w:szCs w:val="24"/>
                <w:lang w:eastAsia="ru-RU"/>
              </w:rPr>
            </w:pPr>
            <w:r w:rsidRPr="00BB2991">
              <w:rPr>
                <w:rFonts w:ascii="Times New Roman" w:eastAsiaTheme="minorEastAsia" w:hAnsi="Times New Roman" w:cs="Times New Roman"/>
                <w:sz w:val="24"/>
                <w:szCs w:val="24"/>
                <w:lang w:val="kk-KZ"/>
              </w:rPr>
              <w:t xml:space="preserve">Ескерту – </w:t>
            </w:r>
            <w:r w:rsidR="002E6C9E"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33B216B6" w14:textId="77777777" w:rsidR="00647B71" w:rsidRPr="00457CE9" w:rsidRDefault="00647B71" w:rsidP="00457CE9">
      <w:pPr>
        <w:spacing w:after="0" w:line="240" w:lineRule="auto"/>
        <w:jc w:val="both"/>
        <w:rPr>
          <w:rFonts w:ascii="Times New Roman" w:eastAsiaTheme="minorEastAsia" w:hAnsi="Times New Roman" w:cs="Times New Roman"/>
          <w:sz w:val="28"/>
          <w:lang w:val="kk-KZ"/>
        </w:rPr>
      </w:pPr>
    </w:p>
    <w:p w14:paraId="3F2BD0DD" w14:textId="5B32B42D" w:rsidR="000F1287" w:rsidRPr="00EF5DE6" w:rsidRDefault="00EB7D69"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w:t>
      </w:r>
      <w:r w:rsidR="00EF5DE6" w:rsidRPr="00EF5DE6">
        <w:rPr>
          <w:rFonts w:ascii="Times New Roman" w:eastAsiaTheme="minorEastAsia" w:hAnsi="Times New Roman" w:cs="Times New Roman"/>
          <w:sz w:val="28"/>
          <w:szCs w:val="28"/>
          <w:lang w:val="kk-KZ"/>
        </w:rPr>
        <w:t>3</w:t>
      </w:r>
      <w:r w:rsidR="000F1287" w:rsidRPr="00457CE9">
        <w:rPr>
          <w:rFonts w:ascii="Times New Roman" w:eastAsiaTheme="minorEastAsia" w:hAnsi="Times New Roman" w:cs="Times New Roman"/>
          <w:sz w:val="28"/>
          <w:szCs w:val="28"/>
          <w:lang w:val="kk-KZ"/>
        </w:rPr>
        <w:t>-кестеде АӨК дамытудың бағдарламасында анықталған тоғыз міндеттеме бойынша 8 индикаторға</w:t>
      </w:r>
      <w:r w:rsidR="0097222C">
        <w:rPr>
          <w:rFonts w:ascii="Times New Roman" w:eastAsiaTheme="minorEastAsia" w:hAnsi="Times New Roman" w:cs="Times New Roman"/>
          <w:sz w:val="28"/>
          <w:szCs w:val="28"/>
          <w:lang w:val="kk-KZ"/>
        </w:rPr>
        <w:t xml:space="preserve"> </w:t>
      </w:r>
      <w:r w:rsidR="000F1287" w:rsidRPr="00457CE9">
        <w:rPr>
          <w:rFonts w:ascii="Times New Roman" w:eastAsiaTheme="minorEastAsia" w:hAnsi="Times New Roman" w:cs="Times New Roman"/>
          <w:sz w:val="28"/>
          <w:szCs w:val="28"/>
          <w:lang w:val="kk-KZ"/>
        </w:rPr>
        <w:t xml:space="preserve">эксперттік бағалау беру арқылы анықталған мәндерінің </w:t>
      </w:r>
      <w:r w:rsidR="005E4CCD" w:rsidRPr="00457CE9">
        <w:rPr>
          <w:rFonts w:ascii="Times New Roman" w:eastAsiaTheme="minorEastAsia" w:hAnsi="Times New Roman" w:cs="Times New Roman"/>
          <w:sz w:val="28"/>
          <w:szCs w:val="28"/>
          <w:lang w:val="kk-KZ"/>
        </w:rPr>
        <w:t xml:space="preserve">жұптық салыстыру </w:t>
      </w:r>
      <w:r w:rsidR="000F1287" w:rsidRPr="00457CE9">
        <w:rPr>
          <w:rFonts w:ascii="Times New Roman" w:eastAsiaTheme="minorEastAsia" w:hAnsi="Times New Roman" w:cs="Times New Roman"/>
          <w:sz w:val="28"/>
          <w:szCs w:val="28"/>
          <w:lang w:val="kk-KZ"/>
        </w:rPr>
        <w:t>матрицасы келтірілген</w:t>
      </w:r>
      <w:r w:rsidR="0097222C">
        <w:rPr>
          <w:rFonts w:ascii="Times New Roman" w:eastAsiaTheme="minorEastAsia" w:hAnsi="Times New Roman" w:cs="Times New Roman"/>
          <w:sz w:val="28"/>
          <w:szCs w:val="28"/>
          <w:lang w:val="kk-KZ"/>
        </w:rPr>
        <w:t>. Бұл жерде тоғыз міндет бойынша жоспарланған әр нәтижелі көрсеткіштердің және іс-шаралардың қойылған мақсатқа жету үшін қосқан үлестерін бағалауына мүмкіндік береді. Эксперттік бағалауды ауыл шаруашылығы саласында мамандардың пікірі арқылы бағалауды жүзеге асыруға болады.</w:t>
      </w:r>
    </w:p>
    <w:p w14:paraId="0C3A75EA" w14:textId="6F2F667E" w:rsidR="00FA5280" w:rsidRDefault="00FA5280" w:rsidP="00FA5280">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64-кестеде, 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дамытудың бірінші деңгей факторларының жоспарлы мәндерінің, көрсеткіштері мәндері мен альтернативаларының матрицасының әсері нәтижесінің көбейтіндісі келтірілген.</w:t>
      </w:r>
    </w:p>
    <w:p w14:paraId="1E3BB918" w14:textId="77777777" w:rsidR="002E6C9E" w:rsidRDefault="002E6C9E" w:rsidP="00457CE9">
      <w:pPr>
        <w:spacing w:after="0" w:line="240" w:lineRule="auto"/>
        <w:jc w:val="both"/>
        <w:rPr>
          <w:rFonts w:ascii="Times New Roman" w:eastAsiaTheme="minorEastAsia" w:hAnsi="Times New Roman" w:cs="Times New Roman"/>
          <w:sz w:val="28"/>
          <w:szCs w:val="28"/>
          <w:lang w:val="kk-KZ"/>
        </w:rPr>
      </w:pPr>
    </w:p>
    <w:p w14:paraId="2C7C0F2D" w14:textId="0B333EB8"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64</w:t>
      </w:r>
      <w:r w:rsidR="002E6C9E">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Бірінші деңгей факторлары мен көрсеткіштер альтернативаларының матрицаларын көбейту нәтижелері</w:t>
      </w:r>
    </w:p>
    <w:p w14:paraId="314B92CB" w14:textId="77777777" w:rsidR="002E6C9E" w:rsidRPr="002E6C9E" w:rsidRDefault="002E6C9E" w:rsidP="00457CE9">
      <w:pPr>
        <w:spacing w:after="0" w:line="240" w:lineRule="auto"/>
        <w:jc w:val="both"/>
        <w:rPr>
          <w:rFonts w:ascii="Times New Roman" w:eastAsiaTheme="minorEastAsia" w:hAnsi="Times New Roman" w:cs="Times New Roman"/>
          <w:sz w:val="16"/>
          <w:szCs w:val="16"/>
          <w:lang w:val="kk-KZ"/>
        </w:rPr>
      </w:pP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4098"/>
        <w:gridCol w:w="4315"/>
      </w:tblGrid>
      <w:tr w:rsidR="00647B71" w:rsidRPr="00457CE9" w14:paraId="2678FF9D" w14:textId="77777777" w:rsidTr="00EB7D69">
        <w:trPr>
          <w:trHeight w:val="28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2E5EF216" w14:textId="77777777" w:rsidR="00647B71" w:rsidRPr="00457CE9" w:rsidRDefault="00647B71" w:rsidP="00457CE9">
            <w:pPr>
              <w:spacing w:after="0" w:line="240" w:lineRule="auto"/>
              <w:jc w:val="center"/>
              <w:rPr>
                <w:rFonts w:ascii="Times New Roman" w:eastAsiaTheme="minorHAnsi" w:hAnsi="Times New Roman" w:cs="Times New Roman"/>
                <w:sz w:val="24"/>
                <w:szCs w:val="24"/>
              </w:rPr>
            </w:pPr>
            <w:r w:rsidRPr="00457CE9">
              <w:rPr>
                <w:rFonts w:ascii="Times New Roman" w:hAnsi="Times New Roman" w:cs="Times New Roman"/>
                <w:sz w:val="24"/>
                <w:szCs w:val="24"/>
                <w:lang w:val="kk-KZ"/>
              </w:rPr>
              <w:t>Міндет саны</w:t>
            </w:r>
          </w:p>
        </w:tc>
        <w:tc>
          <w:tcPr>
            <w:tcW w:w="4098" w:type="dxa"/>
            <w:tcBorders>
              <w:top w:val="single" w:sz="4" w:space="0" w:color="auto"/>
              <w:left w:val="single" w:sz="4" w:space="0" w:color="auto"/>
              <w:bottom w:val="single" w:sz="4" w:space="0" w:color="auto"/>
              <w:right w:val="single" w:sz="4" w:space="0" w:color="auto"/>
            </w:tcBorders>
            <w:vAlign w:val="center"/>
            <w:hideMark/>
          </w:tcPr>
          <w:p w14:paraId="0B7A0D70" w14:textId="77777777" w:rsidR="00647B71" w:rsidRPr="00457CE9" w:rsidRDefault="00647B71" w:rsidP="00457CE9">
            <w:pPr>
              <w:spacing w:after="0" w:line="240" w:lineRule="auto"/>
              <w:jc w:val="center"/>
              <w:rPr>
                <w:rFonts w:ascii="Times New Roman" w:hAnsi="Times New Roman" w:cs="Times New Roman"/>
                <w:sz w:val="24"/>
                <w:szCs w:val="24"/>
                <w:lang w:eastAsia="ru-RU"/>
              </w:rPr>
            </w:pPr>
            <w:r w:rsidRPr="00457CE9">
              <w:rPr>
                <w:rFonts w:ascii="Times New Roman" w:hAnsi="Times New Roman" w:cs="Times New Roman"/>
                <w:sz w:val="24"/>
                <w:szCs w:val="24"/>
                <w:lang w:val="kk-KZ" w:eastAsia="ru-RU"/>
              </w:rPr>
              <w:t>Бірінші деңгей факторлары мәндері матрицасының бағалау нәтижесі</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64623430" w14:textId="77777777" w:rsidR="00647B71" w:rsidRPr="00457CE9" w:rsidRDefault="00647B71" w:rsidP="00457CE9">
            <w:pPr>
              <w:spacing w:after="0" w:line="240" w:lineRule="auto"/>
              <w:jc w:val="center"/>
              <w:rPr>
                <w:rFonts w:ascii="Times New Roman" w:hAnsi="Times New Roman" w:cs="Times New Roman"/>
                <w:sz w:val="24"/>
                <w:szCs w:val="24"/>
                <w:lang w:eastAsia="ru-RU"/>
              </w:rPr>
            </w:pPr>
            <w:r w:rsidRPr="00457CE9">
              <w:rPr>
                <w:rFonts w:ascii="Times New Roman" w:hAnsi="Times New Roman" w:cs="Times New Roman"/>
                <w:sz w:val="24"/>
                <w:szCs w:val="24"/>
                <w:lang w:val="kk-KZ" w:eastAsia="ru-RU"/>
              </w:rPr>
              <w:t>Бірінші деңгей факторлары мен көрсеткіштер альтернативалар матрицасы мәнінің көбейтіндісі</w:t>
            </w:r>
          </w:p>
        </w:tc>
      </w:tr>
      <w:tr w:rsidR="00647B71" w:rsidRPr="00457CE9" w14:paraId="0AAC9F1B"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0AF2EC46" w14:textId="77777777" w:rsidR="00647B71" w:rsidRPr="00457CE9" w:rsidRDefault="00647B71" w:rsidP="00457CE9">
            <w:pPr>
              <w:spacing w:after="0" w:line="240" w:lineRule="auto"/>
              <w:jc w:val="center"/>
              <w:rPr>
                <w:rFonts w:ascii="Times New Roman" w:hAnsi="Times New Roman" w:cs="Times New Roman"/>
                <w:sz w:val="24"/>
                <w:szCs w:val="24"/>
                <w:lang w:eastAsia="ru-RU"/>
              </w:rPr>
            </w:pPr>
            <w:r w:rsidRPr="00457CE9">
              <w:rPr>
                <w:rFonts w:ascii="Times New Roman" w:eastAsia="Times New Roman" w:hAnsi="Times New Roman" w:cs="Times New Roman"/>
                <w:color w:val="000000"/>
                <w:sz w:val="24"/>
                <w:szCs w:val="24"/>
                <w:lang w:val="kk-KZ" w:eastAsia="ru-RU"/>
              </w:rPr>
              <w:t>1</w:t>
            </w:r>
          </w:p>
        </w:tc>
        <w:tc>
          <w:tcPr>
            <w:tcW w:w="4098" w:type="dxa"/>
            <w:tcBorders>
              <w:top w:val="single" w:sz="4" w:space="0" w:color="auto"/>
              <w:left w:val="single" w:sz="4" w:space="0" w:color="auto"/>
              <w:bottom w:val="single" w:sz="4" w:space="0" w:color="auto"/>
              <w:right w:val="single" w:sz="4" w:space="0" w:color="auto"/>
            </w:tcBorders>
            <w:vAlign w:val="center"/>
            <w:hideMark/>
          </w:tcPr>
          <w:p w14:paraId="245F02C9"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0,159555</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6BFAAC30"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0,11260554</w:t>
            </w:r>
          </w:p>
        </w:tc>
      </w:tr>
      <w:tr w:rsidR="00647B71" w:rsidRPr="00457CE9" w14:paraId="35142835"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1B60976B"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2</w:t>
            </w:r>
          </w:p>
        </w:tc>
        <w:tc>
          <w:tcPr>
            <w:tcW w:w="4098" w:type="dxa"/>
            <w:tcBorders>
              <w:top w:val="single" w:sz="4" w:space="0" w:color="auto"/>
              <w:left w:val="single" w:sz="4" w:space="0" w:color="auto"/>
              <w:bottom w:val="single" w:sz="4" w:space="0" w:color="auto"/>
              <w:right w:val="single" w:sz="4" w:space="0" w:color="auto"/>
            </w:tcBorders>
            <w:vAlign w:val="center"/>
            <w:hideMark/>
          </w:tcPr>
          <w:p w14:paraId="639D97B8"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0,104187</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2FD2625C"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0,11568186</w:t>
            </w:r>
          </w:p>
        </w:tc>
      </w:tr>
      <w:tr w:rsidR="00647B71" w:rsidRPr="00457CE9" w14:paraId="65D3E0C8"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6157495A"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3</w:t>
            </w:r>
          </w:p>
        </w:tc>
        <w:tc>
          <w:tcPr>
            <w:tcW w:w="4098" w:type="dxa"/>
            <w:tcBorders>
              <w:top w:val="single" w:sz="4" w:space="0" w:color="auto"/>
              <w:left w:val="single" w:sz="4" w:space="0" w:color="auto"/>
              <w:bottom w:val="single" w:sz="4" w:space="0" w:color="auto"/>
              <w:right w:val="single" w:sz="4" w:space="0" w:color="auto"/>
            </w:tcBorders>
            <w:vAlign w:val="center"/>
            <w:hideMark/>
          </w:tcPr>
          <w:p w14:paraId="6CA5E233"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0,010868</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32E3BCEF"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0,12083066</w:t>
            </w:r>
          </w:p>
        </w:tc>
      </w:tr>
      <w:tr w:rsidR="00647B71" w:rsidRPr="00457CE9" w14:paraId="15696DBE"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0C634F32"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4</w:t>
            </w:r>
          </w:p>
        </w:tc>
        <w:tc>
          <w:tcPr>
            <w:tcW w:w="4098" w:type="dxa"/>
            <w:tcBorders>
              <w:top w:val="single" w:sz="4" w:space="0" w:color="auto"/>
              <w:left w:val="single" w:sz="4" w:space="0" w:color="auto"/>
              <w:bottom w:val="single" w:sz="4" w:space="0" w:color="auto"/>
              <w:right w:val="single" w:sz="4" w:space="0" w:color="auto"/>
            </w:tcBorders>
            <w:vAlign w:val="center"/>
            <w:hideMark/>
          </w:tcPr>
          <w:p w14:paraId="58E1F247"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0,147046</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6F1861B6"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0,12123903</w:t>
            </w:r>
          </w:p>
        </w:tc>
      </w:tr>
      <w:tr w:rsidR="00647B71" w:rsidRPr="00457CE9" w14:paraId="60E88893"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08A3D7C9"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5</w:t>
            </w:r>
          </w:p>
        </w:tc>
        <w:tc>
          <w:tcPr>
            <w:tcW w:w="4098" w:type="dxa"/>
            <w:tcBorders>
              <w:top w:val="single" w:sz="4" w:space="0" w:color="auto"/>
              <w:left w:val="single" w:sz="4" w:space="0" w:color="auto"/>
              <w:bottom w:val="single" w:sz="4" w:space="0" w:color="auto"/>
              <w:right w:val="single" w:sz="4" w:space="0" w:color="auto"/>
            </w:tcBorders>
            <w:vAlign w:val="center"/>
            <w:hideMark/>
          </w:tcPr>
          <w:p w14:paraId="1099F19F"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0,159555</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7CD70BB1"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0,0884969</w:t>
            </w:r>
          </w:p>
        </w:tc>
      </w:tr>
      <w:tr w:rsidR="00647B71" w:rsidRPr="00457CE9" w14:paraId="6442B224"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53CC523B"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6</w:t>
            </w:r>
          </w:p>
        </w:tc>
        <w:tc>
          <w:tcPr>
            <w:tcW w:w="4098" w:type="dxa"/>
            <w:tcBorders>
              <w:top w:val="single" w:sz="4" w:space="0" w:color="auto"/>
              <w:left w:val="single" w:sz="4" w:space="0" w:color="auto"/>
              <w:bottom w:val="single" w:sz="4" w:space="0" w:color="auto"/>
              <w:right w:val="single" w:sz="4" w:space="0" w:color="auto"/>
            </w:tcBorders>
            <w:vAlign w:val="center"/>
            <w:hideMark/>
          </w:tcPr>
          <w:p w14:paraId="607B91AD"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0,013148</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7F90776E"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0,1117739</w:t>
            </w:r>
          </w:p>
        </w:tc>
      </w:tr>
      <w:tr w:rsidR="00647B71" w:rsidRPr="00457CE9" w14:paraId="00AB2016"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6DB90098"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7</w:t>
            </w:r>
          </w:p>
        </w:tc>
        <w:tc>
          <w:tcPr>
            <w:tcW w:w="4098" w:type="dxa"/>
            <w:tcBorders>
              <w:top w:val="single" w:sz="4" w:space="0" w:color="auto"/>
              <w:left w:val="single" w:sz="4" w:space="0" w:color="auto"/>
              <w:bottom w:val="single" w:sz="4" w:space="0" w:color="auto"/>
              <w:right w:val="single" w:sz="4" w:space="0" w:color="auto"/>
            </w:tcBorders>
            <w:vAlign w:val="center"/>
            <w:hideMark/>
          </w:tcPr>
          <w:p w14:paraId="6D58A82C"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0,135214</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7D38A1FB"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0,10467613</w:t>
            </w:r>
          </w:p>
        </w:tc>
      </w:tr>
      <w:tr w:rsidR="00647B71" w:rsidRPr="00457CE9" w14:paraId="4646BAFB"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3FFA8FE2"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8</w:t>
            </w:r>
          </w:p>
        </w:tc>
        <w:tc>
          <w:tcPr>
            <w:tcW w:w="4098" w:type="dxa"/>
            <w:tcBorders>
              <w:top w:val="single" w:sz="4" w:space="0" w:color="auto"/>
              <w:left w:val="single" w:sz="4" w:space="0" w:color="auto"/>
              <w:bottom w:val="single" w:sz="4" w:space="0" w:color="auto"/>
              <w:right w:val="single" w:sz="4" w:space="0" w:color="auto"/>
            </w:tcBorders>
            <w:vAlign w:val="center"/>
            <w:hideMark/>
          </w:tcPr>
          <w:p w14:paraId="0A6EAB2C"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0,135214</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52A95C4C"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0,1105542</w:t>
            </w:r>
          </w:p>
        </w:tc>
      </w:tr>
      <w:tr w:rsidR="00647B71" w:rsidRPr="00457CE9" w14:paraId="2D16C6EE" w14:textId="77777777" w:rsidTr="00EB7D69">
        <w:trPr>
          <w:trHeight w:val="58"/>
        </w:trPr>
        <w:tc>
          <w:tcPr>
            <w:tcW w:w="1289" w:type="dxa"/>
            <w:tcBorders>
              <w:top w:val="single" w:sz="4" w:space="0" w:color="auto"/>
              <w:left w:val="single" w:sz="4" w:space="0" w:color="auto"/>
              <w:bottom w:val="single" w:sz="4" w:space="0" w:color="auto"/>
              <w:right w:val="single" w:sz="4" w:space="0" w:color="auto"/>
            </w:tcBorders>
            <w:noWrap/>
            <w:vAlign w:val="center"/>
            <w:hideMark/>
          </w:tcPr>
          <w:p w14:paraId="22801430" w14:textId="77777777" w:rsidR="00647B71" w:rsidRPr="00457CE9" w:rsidRDefault="00647B71" w:rsidP="00457CE9">
            <w:pPr>
              <w:spacing w:after="0" w:line="240" w:lineRule="auto"/>
              <w:jc w:val="center"/>
              <w:rPr>
                <w:rFonts w:ascii="Times New Roman" w:eastAsia="Times New Roman" w:hAnsi="Times New Roman" w:cs="Times New Roman"/>
                <w:b/>
                <w:bCs/>
                <w:color w:val="000000"/>
                <w:sz w:val="24"/>
                <w:szCs w:val="24"/>
                <w:lang w:eastAsia="ru-RU"/>
              </w:rPr>
            </w:pPr>
            <w:r w:rsidRPr="00457CE9">
              <w:rPr>
                <w:rFonts w:ascii="Times New Roman" w:eastAsia="Times New Roman" w:hAnsi="Times New Roman" w:cs="Times New Roman"/>
                <w:color w:val="000000"/>
                <w:sz w:val="24"/>
                <w:szCs w:val="24"/>
                <w:lang w:val="kk-KZ" w:eastAsia="ru-RU"/>
              </w:rPr>
              <w:t>9</w:t>
            </w:r>
          </w:p>
        </w:tc>
        <w:tc>
          <w:tcPr>
            <w:tcW w:w="4098" w:type="dxa"/>
            <w:tcBorders>
              <w:top w:val="single" w:sz="4" w:space="0" w:color="auto"/>
              <w:left w:val="single" w:sz="4" w:space="0" w:color="auto"/>
              <w:bottom w:val="single" w:sz="4" w:space="0" w:color="auto"/>
              <w:right w:val="single" w:sz="4" w:space="0" w:color="auto"/>
            </w:tcBorders>
            <w:vAlign w:val="center"/>
            <w:hideMark/>
          </w:tcPr>
          <w:p w14:paraId="26934995" w14:textId="77777777" w:rsidR="00647B71" w:rsidRPr="002E6C9E" w:rsidRDefault="00647B71" w:rsidP="00457CE9">
            <w:pPr>
              <w:spacing w:after="0" w:line="240" w:lineRule="auto"/>
              <w:jc w:val="center"/>
              <w:rPr>
                <w:rFonts w:ascii="Times New Roman" w:eastAsia="Times New Roman" w:hAnsi="Times New Roman" w:cs="Times New Roman"/>
                <w:i/>
                <w:sz w:val="24"/>
                <w:szCs w:val="24"/>
                <w:lang w:eastAsia="ru-RU"/>
              </w:rPr>
            </w:pPr>
            <w:r w:rsidRPr="002E6C9E">
              <w:rPr>
                <w:rFonts w:ascii="Times New Roman" w:eastAsia="Times New Roman" w:hAnsi="Times New Roman" w:cs="Times New Roman"/>
                <w:i/>
                <w:sz w:val="24"/>
                <w:szCs w:val="24"/>
                <w:lang w:eastAsia="ru-RU"/>
              </w:rPr>
              <w:t>0,135214</w:t>
            </w:r>
          </w:p>
        </w:tc>
        <w:tc>
          <w:tcPr>
            <w:tcW w:w="4315" w:type="dxa"/>
            <w:tcBorders>
              <w:top w:val="single" w:sz="4" w:space="0" w:color="auto"/>
              <w:left w:val="single" w:sz="4" w:space="0" w:color="auto"/>
              <w:bottom w:val="single" w:sz="4" w:space="0" w:color="auto"/>
              <w:right w:val="single" w:sz="4" w:space="0" w:color="auto"/>
            </w:tcBorders>
            <w:noWrap/>
            <w:vAlign w:val="center"/>
            <w:hideMark/>
          </w:tcPr>
          <w:p w14:paraId="7B7AB24A"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х</w:t>
            </w:r>
          </w:p>
        </w:tc>
      </w:tr>
      <w:tr w:rsidR="00647B71" w:rsidRPr="00457CE9" w14:paraId="2020887E" w14:textId="77777777" w:rsidTr="00EB7D69">
        <w:trPr>
          <w:trHeight w:val="58"/>
        </w:trPr>
        <w:tc>
          <w:tcPr>
            <w:tcW w:w="9702" w:type="dxa"/>
            <w:gridSpan w:val="3"/>
            <w:tcBorders>
              <w:top w:val="single" w:sz="4" w:space="0" w:color="auto"/>
              <w:left w:val="single" w:sz="4" w:space="0" w:color="auto"/>
              <w:bottom w:val="single" w:sz="4" w:space="0" w:color="auto"/>
              <w:right w:val="single" w:sz="4" w:space="0" w:color="auto"/>
            </w:tcBorders>
            <w:noWrap/>
            <w:vAlign w:val="center"/>
            <w:hideMark/>
          </w:tcPr>
          <w:p w14:paraId="5DDA70A6" w14:textId="1BD03A29" w:rsidR="00647B71" w:rsidRPr="00457CE9" w:rsidRDefault="00647B71" w:rsidP="002E6C9E">
            <w:pPr>
              <w:spacing w:after="0" w:line="240" w:lineRule="auto"/>
              <w:ind w:firstLine="545"/>
              <w:jc w:val="both"/>
              <w:rPr>
                <w:rFonts w:ascii="Times New Roman" w:eastAsia="Times New Roman" w:hAnsi="Times New Roman" w:cs="Times New Roman"/>
                <w:color w:val="000000"/>
                <w:sz w:val="24"/>
                <w:szCs w:val="24"/>
                <w:lang w:val="kk-KZ" w:eastAsia="ru-RU"/>
              </w:rPr>
            </w:pPr>
            <w:r w:rsidRPr="00457CE9">
              <w:rPr>
                <w:rFonts w:ascii="Times New Roman" w:eastAsiaTheme="minorEastAsia" w:hAnsi="Times New Roman" w:cs="Times New Roman"/>
                <w:sz w:val="24"/>
                <w:szCs w:val="24"/>
                <w:lang w:val="kk-KZ"/>
              </w:rPr>
              <w:t xml:space="preserve">Ескерту – </w:t>
            </w:r>
            <w:r w:rsidR="002E6C9E" w:rsidRPr="00457CE9">
              <w:rPr>
                <w:rFonts w:ascii="Times New Roman" w:eastAsiaTheme="minorEastAsia" w:hAnsi="Times New Roman" w:cs="Times New Roman"/>
                <w:sz w:val="24"/>
                <w:szCs w:val="24"/>
                <w:lang w:val="kk-KZ"/>
              </w:rPr>
              <w:t xml:space="preserve">Автормен </w:t>
            </w:r>
            <w:r w:rsidRPr="00457CE9">
              <w:rPr>
                <w:rFonts w:ascii="Times New Roman" w:eastAsiaTheme="minorEastAsia" w:hAnsi="Times New Roman" w:cs="Times New Roman"/>
                <w:sz w:val="24"/>
                <w:szCs w:val="24"/>
                <w:lang w:val="kk-KZ"/>
              </w:rPr>
              <w:t>құрастырылған</w:t>
            </w:r>
          </w:p>
        </w:tc>
      </w:tr>
    </w:tbl>
    <w:p w14:paraId="77A12C84" w14:textId="77777777" w:rsidR="00010EEC" w:rsidRDefault="00010EEC" w:rsidP="002E6C9E">
      <w:pPr>
        <w:spacing w:after="0" w:line="240" w:lineRule="auto"/>
        <w:ind w:firstLine="709"/>
        <w:jc w:val="both"/>
        <w:rPr>
          <w:rFonts w:ascii="Times New Roman" w:eastAsiaTheme="minorEastAsia" w:hAnsi="Times New Roman" w:cs="Times New Roman"/>
          <w:sz w:val="28"/>
          <w:szCs w:val="28"/>
          <w:lang w:val="kk-KZ"/>
        </w:rPr>
      </w:pPr>
    </w:p>
    <w:p w14:paraId="39F61872" w14:textId="14A9A778" w:rsidR="00647B71" w:rsidRPr="00457CE9" w:rsidRDefault="00647B71" w:rsidP="002E6C9E">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дамытуға пайдаланылған бюджет қаражаттарының тиімділігін бағалау мақсатында иерархиялық талдау моделі бойынша жоспарланған міндеттер, нәтижелі көрсеткіштерді бірінші және екінші деңгей факторлары деп, және міндеттер мен іс-шараларды бірінші және үшінші фактор деңгейлері деп анықтап жұптық салыстыру матрицасы, оларға альтернативалардың эксперттік бағалаулары арқылы қорытынды әсерінің нәтижесі </w:t>
      </w:r>
      <w:r w:rsidR="00EB7D69">
        <w:rPr>
          <w:rFonts w:ascii="Times New Roman" w:eastAsiaTheme="minorEastAsia" w:hAnsi="Times New Roman" w:cs="Times New Roman"/>
          <w:sz w:val="28"/>
          <w:szCs w:val="28"/>
          <w:lang w:val="kk-KZ"/>
        </w:rPr>
        <w:t>65</w:t>
      </w:r>
      <w:r w:rsidRPr="00457CE9">
        <w:rPr>
          <w:rFonts w:ascii="Times New Roman" w:eastAsiaTheme="minorEastAsia" w:hAnsi="Times New Roman" w:cs="Times New Roman"/>
          <w:sz w:val="28"/>
          <w:szCs w:val="28"/>
          <w:lang w:val="kk-KZ"/>
        </w:rPr>
        <w:t>-кестеде келтірілген.</w:t>
      </w:r>
    </w:p>
    <w:p w14:paraId="2654317B" w14:textId="77777777" w:rsidR="00847107" w:rsidRPr="00457CE9" w:rsidRDefault="00847107" w:rsidP="00457CE9">
      <w:pPr>
        <w:spacing w:after="0" w:line="240" w:lineRule="auto"/>
        <w:jc w:val="both"/>
        <w:rPr>
          <w:rFonts w:ascii="Times New Roman" w:eastAsiaTheme="minorEastAsia" w:hAnsi="Times New Roman" w:cs="Times New Roman"/>
          <w:sz w:val="28"/>
          <w:szCs w:val="28"/>
          <w:lang w:val="kk-KZ"/>
        </w:rPr>
      </w:pPr>
    </w:p>
    <w:p w14:paraId="68D709A1" w14:textId="15FBD2B9"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65</w:t>
      </w:r>
      <w:r w:rsidRPr="00457CE9">
        <w:rPr>
          <w:rFonts w:ascii="Times New Roman" w:eastAsiaTheme="minorEastAsia" w:hAnsi="Times New Roman" w:cs="Times New Roman"/>
          <w:sz w:val="28"/>
          <w:szCs w:val="28"/>
          <w:lang w:val="kk-KZ"/>
        </w:rPr>
        <w:t xml:space="preserve">–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нысаналы индикаторларының көрсеткіштерін 2017 жылға қорытынды бағалау нәтижесі</w:t>
      </w:r>
    </w:p>
    <w:p w14:paraId="7E6947C3" w14:textId="77777777" w:rsidR="002E6C9E" w:rsidRPr="002E6C9E" w:rsidRDefault="002E6C9E" w:rsidP="00457CE9">
      <w:pPr>
        <w:spacing w:after="0" w:line="240" w:lineRule="auto"/>
        <w:jc w:val="both"/>
        <w:rPr>
          <w:rFonts w:ascii="Times New Roman" w:eastAsiaTheme="minorEastAsia" w:hAnsi="Times New Roman" w:cs="Times New Roman"/>
          <w:sz w:val="16"/>
          <w:szCs w:val="16"/>
          <w:lang w:val="kk-KZ"/>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640"/>
        <w:gridCol w:w="3236"/>
        <w:gridCol w:w="2268"/>
      </w:tblGrid>
      <w:tr w:rsidR="00647B71" w:rsidRPr="00457CE9" w14:paraId="2C1181FE"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1C9950F0"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Альтернатива саны</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0C2CCCC"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І нұсқа</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0C377E23"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ІІ нұсқа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7EEB7E4"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Орташа геометрия</w:t>
            </w:r>
          </w:p>
        </w:tc>
      </w:tr>
      <w:tr w:rsidR="00647B71" w:rsidRPr="00457CE9" w14:paraId="78ECD469"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36B4B0C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1</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CEEDBBF"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0,110907456</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0271083B"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0,112605544</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5556ABE"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0,111753275</w:t>
            </w:r>
          </w:p>
        </w:tc>
      </w:tr>
      <w:tr w:rsidR="00647B71" w:rsidRPr="00457CE9" w14:paraId="4BEE56A6"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309DCBB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2</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09DD46C"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0,120141038</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31EB0701"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0,115681857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0788E0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0,117890366</w:t>
            </w:r>
          </w:p>
        </w:tc>
      </w:tr>
      <w:tr w:rsidR="00647B71" w:rsidRPr="00457CE9" w14:paraId="4FCB6631"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117EF48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3</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E787B52"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0,160548256</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7F1FD82B"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0,120830659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3B4F298"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0,139280837</w:t>
            </w:r>
          </w:p>
        </w:tc>
      </w:tr>
      <w:tr w:rsidR="00647B71" w:rsidRPr="00457CE9" w14:paraId="65941FEC"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491C4FC0"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4</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E2C4C72"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0,160250527</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647D8721"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0,121239035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EB5F566"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0,139386582</w:t>
            </w:r>
          </w:p>
        </w:tc>
      </w:tr>
      <w:tr w:rsidR="00647B71" w:rsidRPr="00457CE9" w14:paraId="3F5781F8"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7E9980B7"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5</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1EBE078"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0,112527475</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310F3C54"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0,088496897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A291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0,099791444</w:t>
            </w:r>
          </w:p>
        </w:tc>
      </w:tr>
      <w:tr w:rsidR="00647B71" w:rsidRPr="00457CE9" w14:paraId="09D4B542"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1B21D16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6</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B6BFD43"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0,100035776</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78DFFC28"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0,111773897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3D97E72"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0,105742085</w:t>
            </w:r>
          </w:p>
        </w:tc>
      </w:tr>
      <w:tr w:rsidR="00647B71" w:rsidRPr="00457CE9" w14:paraId="5F917E2E"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403A504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7</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826D9E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0,138807707</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25828DDF"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0,104676131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C896FC4"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0,120539843</w:t>
            </w:r>
          </w:p>
        </w:tc>
      </w:tr>
      <w:tr w:rsidR="00647B71" w:rsidRPr="00457CE9" w14:paraId="628655A5" w14:textId="77777777" w:rsidTr="002E6C9E">
        <w:trPr>
          <w:trHeight w:val="58"/>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14:paraId="6BA28B97"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8</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5D21AB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0,096781765</w:t>
            </w:r>
          </w:p>
        </w:tc>
        <w:tc>
          <w:tcPr>
            <w:tcW w:w="3236" w:type="dxa"/>
            <w:tcBorders>
              <w:top w:val="single" w:sz="4" w:space="0" w:color="auto"/>
              <w:left w:val="single" w:sz="4" w:space="0" w:color="auto"/>
              <w:bottom w:val="single" w:sz="4" w:space="0" w:color="auto"/>
              <w:right w:val="single" w:sz="4" w:space="0" w:color="auto"/>
            </w:tcBorders>
            <w:noWrap/>
            <w:vAlign w:val="center"/>
            <w:hideMark/>
          </w:tcPr>
          <w:p w14:paraId="78589A4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0,110554196</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246D6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0,103439017</w:t>
            </w:r>
          </w:p>
        </w:tc>
      </w:tr>
      <w:tr w:rsidR="00647B71" w:rsidRPr="00457CE9" w14:paraId="01D3CC31" w14:textId="77777777" w:rsidTr="002E6C9E">
        <w:trPr>
          <w:trHeight w:val="58"/>
          <w:jc w:val="center"/>
        </w:trPr>
        <w:tc>
          <w:tcPr>
            <w:tcW w:w="9567" w:type="dxa"/>
            <w:gridSpan w:val="4"/>
            <w:tcBorders>
              <w:top w:val="single" w:sz="4" w:space="0" w:color="auto"/>
              <w:left w:val="single" w:sz="4" w:space="0" w:color="auto"/>
              <w:bottom w:val="single" w:sz="4" w:space="0" w:color="auto"/>
              <w:right w:val="single" w:sz="4" w:space="0" w:color="auto"/>
            </w:tcBorders>
            <w:vAlign w:val="center"/>
            <w:hideMark/>
          </w:tcPr>
          <w:p w14:paraId="5690888F" w14:textId="01059A31" w:rsidR="00647B71" w:rsidRPr="00457CE9" w:rsidRDefault="00647B71" w:rsidP="00457CE9">
            <w:pPr>
              <w:spacing w:after="0" w:line="240" w:lineRule="auto"/>
              <w:ind w:firstLine="601"/>
              <w:rPr>
                <w:rFonts w:ascii="Times New Roman" w:eastAsia="Times New Roman" w:hAnsi="Times New Roman" w:cs="Times New Roman"/>
                <w:color w:val="000000"/>
                <w:sz w:val="24"/>
                <w:szCs w:val="24"/>
                <w:lang w:eastAsia="ru-RU"/>
              </w:rPr>
            </w:pPr>
            <w:r w:rsidRPr="00457CE9">
              <w:rPr>
                <w:rFonts w:ascii="Times New Roman" w:eastAsiaTheme="minorEastAsia" w:hAnsi="Times New Roman" w:cs="Times New Roman"/>
                <w:sz w:val="24"/>
                <w:szCs w:val="24"/>
                <w:lang w:val="kk-KZ"/>
              </w:rPr>
              <w:t xml:space="preserve">Ескерту – </w:t>
            </w:r>
            <w:r w:rsidR="002E6C9E" w:rsidRPr="00457CE9">
              <w:rPr>
                <w:rFonts w:ascii="Times New Roman" w:eastAsiaTheme="minorEastAsia" w:hAnsi="Times New Roman" w:cs="Times New Roman"/>
                <w:sz w:val="24"/>
                <w:szCs w:val="24"/>
                <w:lang w:val="kk-KZ"/>
              </w:rPr>
              <w:t>А</w:t>
            </w:r>
            <w:r w:rsidRPr="00457CE9">
              <w:rPr>
                <w:rFonts w:ascii="Times New Roman" w:eastAsiaTheme="minorEastAsia" w:hAnsi="Times New Roman" w:cs="Times New Roman"/>
                <w:sz w:val="24"/>
                <w:szCs w:val="24"/>
                <w:lang w:val="kk-KZ"/>
              </w:rPr>
              <w:t>втормен құрастырылған</w:t>
            </w:r>
          </w:p>
        </w:tc>
      </w:tr>
    </w:tbl>
    <w:p w14:paraId="3931544B" w14:textId="77777777" w:rsidR="002E6C9E" w:rsidRDefault="002E6C9E" w:rsidP="00457CE9">
      <w:pPr>
        <w:tabs>
          <w:tab w:val="left" w:pos="567"/>
        </w:tabs>
        <w:spacing w:after="0" w:line="240" w:lineRule="auto"/>
        <w:ind w:firstLine="709"/>
        <w:jc w:val="both"/>
        <w:rPr>
          <w:rFonts w:ascii="Times New Roman" w:eastAsiaTheme="minorEastAsia" w:hAnsi="Times New Roman" w:cs="Times New Roman"/>
          <w:sz w:val="28"/>
          <w:szCs w:val="28"/>
          <w:lang w:val="kk-KZ"/>
        </w:rPr>
      </w:pPr>
    </w:p>
    <w:p w14:paraId="69C67909" w14:textId="5421836D" w:rsidR="00647B71" w:rsidRPr="00457CE9" w:rsidRDefault="00647B71" w:rsidP="00457CE9">
      <w:pPr>
        <w:tabs>
          <w:tab w:val="left" w:pos="567"/>
        </w:tabs>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Жоғарыда келтірілген әдістемені қолдана отырып,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дамытуға бағытталған бюджет қаражаттарын пайдалану тиімділігін тәуелсіз бағалауда иерархиялық талдау моделі негізінде 201</w:t>
      </w:r>
      <w:r w:rsidR="00170801" w:rsidRPr="00457CE9">
        <w:rPr>
          <w:rFonts w:ascii="Times New Roman" w:eastAsiaTheme="minorEastAsia" w:hAnsi="Times New Roman" w:cs="Times New Roman"/>
          <w:sz w:val="28"/>
          <w:szCs w:val="28"/>
          <w:lang w:val="kk-KZ"/>
        </w:rPr>
        <w:t>7</w:t>
      </w:r>
      <w:r w:rsidRPr="00457CE9">
        <w:rPr>
          <w:rFonts w:ascii="Times New Roman" w:eastAsiaTheme="minorEastAsia" w:hAnsi="Times New Roman" w:cs="Times New Roman"/>
          <w:sz w:val="28"/>
          <w:szCs w:val="28"/>
          <w:lang w:val="kk-KZ"/>
        </w:rPr>
        <w:t xml:space="preserve">-2021 жж. жоспарланған міндеттер, нәтижелі көрсеткіштер мен іс-шаралардың, альтернативаларының әсерін жұптық салыстыру матрицасы әдісімен мәліметтері есептеліп қорытынды бағалауы </w:t>
      </w:r>
      <w:r w:rsidR="00DF4205"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6</w:t>
      </w:r>
      <w:r w:rsidRPr="00457CE9">
        <w:rPr>
          <w:rFonts w:ascii="Times New Roman" w:eastAsiaTheme="minorEastAsia" w:hAnsi="Times New Roman" w:cs="Times New Roman"/>
          <w:sz w:val="28"/>
          <w:szCs w:val="28"/>
          <w:lang w:val="kk-KZ"/>
        </w:rPr>
        <w:t xml:space="preserve">-кестеде келтірілген. </w:t>
      </w:r>
    </w:p>
    <w:p w14:paraId="7E1E4E65" w14:textId="45491BF7" w:rsidR="00647B71" w:rsidRDefault="0097222C" w:rsidP="00457CE9">
      <w:pPr>
        <w:tabs>
          <w:tab w:val="left" w:pos="567"/>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Иерархиялық талдау моделі бойынша шыққан қорытынды нәтижелер мәндерінің эталон мәні 100/8 альтернативаға бөлу арқылы 12,5 деп алынады.</w:t>
      </w:r>
    </w:p>
    <w:p w14:paraId="7B503ED6" w14:textId="77777777" w:rsidR="00FA5280" w:rsidRPr="00457CE9" w:rsidRDefault="00FA5280" w:rsidP="00457CE9">
      <w:pPr>
        <w:tabs>
          <w:tab w:val="left" w:pos="567"/>
        </w:tabs>
        <w:spacing w:after="0" w:line="240" w:lineRule="auto"/>
        <w:ind w:firstLine="709"/>
        <w:jc w:val="both"/>
        <w:rPr>
          <w:rFonts w:ascii="Times New Roman" w:eastAsiaTheme="minorEastAsia" w:hAnsi="Times New Roman" w:cs="Times New Roman"/>
          <w:sz w:val="28"/>
          <w:szCs w:val="28"/>
          <w:lang w:val="kk-KZ"/>
        </w:rPr>
      </w:pPr>
    </w:p>
    <w:p w14:paraId="6BB269C2" w14:textId="539E7E03"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DF4205"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6</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қорытынды бағалау мәндері </w:t>
      </w:r>
    </w:p>
    <w:p w14:paraId="7FE2204B" w14:textId="77777777" w:rsidR="002E6C9E" w:rsidRPr="002E6C9E" w:rsidRDefault="002E6C9E" w:rsidP="002E6C9E">
      <w:pPr>
        <w:spacing w:after="0" w:line="240" w:lineRule="auto"/>
        <w:jc w:val="right"/>
        <w:rPr>
          <w:rFonts w:ascii="Times New Roman" w:eastAsiaTheme="minorEastAsia" w:hAnsi="Times New Roman" w:cs="Times New Roman"/>
          <w:sz w:val="16"/>
          <w:szCs w:val="16"/>
          <w:lang w:val="kk-KZ"/>
        </w:rPr>
      </w:pPr>
    </w:p>
    <w:tbl>
      <w:tblPr>
        <w:tblStyle w:val="a3"/>
        <w:tblW w:w="9639" w:type="dxa"/>
        <w:tblInd w:w="-5" w:type="dxa"/>
        <w:tblLayout w:type="fixed"/>
        <w:tblLook w:val="04A0" w:firstRow="1" w:lastRow="0" w:firstColumn="1" w:lastColumn="0" w:noHBand="0" w:noVBand="1"/>
      </w:tblPr>
      <w:tblGrid>
        <w:gridCol w:w="993"/>
        <w:gridCol w:w="1559"/>
        <w:gridCol w:w="1559"/>
        <w:gridCol w:w="1276"/>
        <w:gridCol w:w="1417"/>
        <w:gridCol w:w="1276"/>
        <w:gridCol w:w="1559"/>
      </w:tblGrid>
      <w:tr w:rsidR="00647B71" w:rsidRPr="00457CE9" w14:paraId="0EBE1E5D" w14:textId="77777777" w:rsidTr="00F15E51">
        <w:tc>
          <w:tcPr>
            <w:tcW w:w="993" w:type="dxa"/>
            <w:tcBorders>
              <w:top w:val="single" w:sz="4" w:space="0" w:color="auto"/>
              <w:left w:val="single" w:sz="4" w:space="0" w:color="auto"/>
              <w:bottom w:val="single" w:sz="4" w:space="0" w:color="auto"/>
              <w:right w:val="single" w:sz="4" w:space="0" w:color="auto"/>
            </w:tcBorders>
            <w:vAlign w:val="center"/>
            <w:hideMark/>
          </w:tcPr>
          <w:p w14:paraId="36901510" w14:textId="340649C5" w:rsidR="00647B71" w:rsidRPr="00BB2991" w:rsidRDefault="00647B71" w:rsidP="002E6C9E">
            <w:pPr>
              <w:ind w:left="-66"/>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Альтер</w:t>
            </w:r>
            <w:r w:rsidR="002E6C9E">
              <w:rPr>
                <w:rFonts w:ascii="Times New Roman" w:eastAsiaTheme="minorEastAsia" w:hAnsi="Times New Roman" w:cs="Times New Roman"/>
                <w:sz w:val="24"/>
                <w:szCs w:val="24"/>
                <w:lang w:val="kk-KZ"/>
              </w:rPr>
              <w:t xml:space="preserve"> </w:t>
            </w:r>
            <w:r w:rsidRPr="00BB2991">
              <w:rPr>
                <w:rFonts w:ascii="Times New Roman" w:eastAsiaTheme="minorEastAsia" w:hAnsi="Times New Roman" w:cs="Times New Roman"/>
                <w:sz w:val="24"/>
                <w:szCs w:val="24"/>
                <w:lang w:val="kk-KZ"/>
              </w:rPr>
              <w:t>натива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84DBB5" w14:textId="77777777" w:rsidR="00647B71" w:rsidRPr="00BB2991" w:rsidRDefault="00647B71" w:rsidP="002E6C9E">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2017 жыл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ED80E1" w14:textId="77777777" w:rsidR="00647B71" w:rsidRPr="00BB2991" w:rsidRDefault="00647B71" w:rsidP="002E6C9E">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2018 жыл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75EE37" w14:textId="77777777" w:rsidR="00647B71" w:rsidRPr="00BB2991" w:rsidRDefault="00647B71" w:rsidP="002E6C9E">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2019 жыл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40697A" w14:textId="77777777" w:rsidR="00647B71" w:rsidRPr="00BB2991" w:rsidRDefault="00647B71" w:rsidP="002E6C9E">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2020 жыл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1B61AF" w14:textId="77777777" w:rsidR="00647B71" w:rsidRPr="00BB2991" w:rsidRDefault="00647B71" w:rsidP="002E6C9E">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2021 жыл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7F53C8" w14:textId="77777777" w:rsidR="00647B71" w:rsidRPr="00BB2991" w:rsidRDefault="00647B71" w:rsidP="002E6C9E">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Орташа геометрия</w:t>
            </w:r>
          </w:p>
        </w:tc>
      </w:tr>
      <w:tr w:rsidR="00647B71" w:rsidRPr="00457CE9" w14:paraId="39C826C0"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2E9F8F42"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A4796AB"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0,111753275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76BE0BB"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0,111682504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0995222" w14:textId="77777777" w:rsidR="00647B71" w:rsidRPr="00BB2991" w:rsidRDefault="00647B71" w:rsidP="002E6C9E">
            <w:pPr>
              <w:ind w:left="-52"/>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0,1117536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4F0A0EC"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0,11523426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E5A248D"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0,1141869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38EC26"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0,112912228</w:t>
            </w:r>
          </w:p>
        </w:tc>
      </w:tr>
      <w:tr w:rsidR="00647B71" w:rsidRPr="00457CE9" w14:paraId="791C3593"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4E836F64"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3551F6E"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0,117890366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3A3791C"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0,117746115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169D8DA" w14:textId="77777777" w:rsidR="00647B71" w:rsidRPr="00BB2991" w:rsidRDefault="00647B71" w:rsidP="002E6C9E">
            <w:pPr>
              <w:ind w:left="-52"/>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0,1178671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4B0E714"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0,11949782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19DD9D6"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0,1192603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BAB771"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0,118449889</w:t>
            </w:r>
          </w:p>
        </w:tc>
      </w:tr>
      <w:tr w:rsidR="00647B71" w:rsidRPr="00457CE9" w14:paraId="796F73C9"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4A404C33"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FB82DDA"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0,139280837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7C3B831"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0,139305597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A7E3241" w14:textId="77777777" w:rsidR="00647B71" w:rsidRPr="00BB2991" w:rsidRDefault="00647B71" w:rsidP="002E6C9E">
            <w:pPr>
              <w:ind w:left="-52"/>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0,1393375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65AA43B"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0,13968627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E5B4340"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0,1378516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2FC398"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0,139090893</w:t>
            </w:r>
          </w:p>
        </w:tc>
      </w:tr>
      <w:tr w:rsidR="00647B71" w:rsidRPr="00457CE9" w14:paraId="77116367"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43B9D07E"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A804FF5"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0,139386582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7885035"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0,139399489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379D1CE" w14:textId="77777777" w:rsidR="00647B71" w:rsidRPr="00BB2991" w:rsidRDefault="00647B71" w:rsidP="002E6C9E">
            <w:pPr>
              <w:ind w:left="-52"/>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0,1394471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372896D"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0,14021305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C0F0047"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0,1383922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8A6A00"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0,139366467</w:t>
            </w:r>
          </w:p>
        </w:tc>
      </w:tr>
      <w:tr w:rsidR="00647B71" w:rsidRPr="00457CE9" w14:paraId="3A9A052C"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711F6BB6"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742AB6"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0,099791444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978339"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0,099692324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B920C41" w14:textId="77777777" w:rsidR="00647B71" w:rsidRPr="00BB2991" w:rsidRDefault="00647B71" w:rsidP="002E6C9E">
            <w:pPr>
              <w:ind w:left="-52"/>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0,0998471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CECFEB1"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0,09678217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AF3A77E"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0,0961903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6D426C"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0,098447208</w:t>
            </w:r>
          </w:p>
        </w:tc>
      </w:tr>
      <w:tr w:rsidR="00647B71" w:rsidRPr="00457CE9" w14:paraId="4442DDB6"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41C53DF4"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6E692BB"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0,105742085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697E8A7"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0,105363625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CC5048A" w14:textId="77777777" w:rsidR="00647B71" w:rsidRPr="00BB2991" w:rsidRDefault="00647B71" w:rsidP="002E6C9E">
            <w:pPr>
              <w:ind w:left="-52"/>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0,1056447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D4C12FA"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0,11600623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A80C96D"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0,1154289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BC34CF"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0,109525802</w:t>
            </w:r>
          </w:p>
        </w:tc>
      </w:tr>
      <w:tr w:rsidR="00647B71" w:rsidRPr="00457CE9" w14:paraId="61511AA9"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54407A57"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8A232AC"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0,120539843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17ECCE0"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0,120365406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8865F6D" w14:textId="77777777" w:rsidR="00647B71" w:rsidRPr="00BB2991" w:rsidRDefault="00647B71" w:rsidP="002E6C9E">
            <w:pPr>
              <w:ind w:left="-66"/>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0,1205527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607BF53"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0,12101751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243AE1D"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0,1216907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7B7C02"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0,120832275</w:t>
            </w:r>
          </w:p>
        </w:tc>
      </w:tr>
      <w:tr w:rsidR="00647B71" w:rsidRPr="00457CE9" w14:paraId="7D3915EB" w14:textId="77777777" w:rsidTr="00F15E51">
        <w:tc>
          <w:tcPr>
            <w:tcW w:w="993" w:type="dxa"/>
            <w:tcBorders>
              <w:top w:val="single" w:sz="4" w:space="0" w:color="auto"/>
              <w:left w:val="single" w:sz="4" w:space="0" w:color="auto"/>
              <w:bottom w:val="single" w:sz="4" w:space="0" w:color="auto"/>
              <w:right w:val="single" w:sz="4" w:space="0" w:color="auto"/>
            </w:tcBorders>
            <w:hideMark/>
          </w:tcPr>
          <w:p w14:paraId="7F78BF99"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65B5A99"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0,103439017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9AF8FE7"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0,103273672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304F1C" w14:textId="77777777" w:rsidR="00647B71" w:rsidRPr="00BB2991" w:rsidRDefault="00647B71" w:rsidP="002E6C9E">
            <w:pPr>
              <w:ind w:left="-66"/>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0,1034045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B57B5DE"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0,11364712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EE8F78B"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0,1127586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D4691"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0,107197398</w:t>
            </w:r>
          </w:p>
        </w:tc>
      </w:tr>
      <w:tr w:rsidR="00647B71" w:rsidRPr="00457CE9" w14:paraId="442C1C45" w14:textId="77777777" w:rsidTr="00F15E51">
        <w:tc>
          <w:tcPr>
            <w:tcW w:w="9639" w:type="dxa"/>
            <w:gridSpan w:val="7"/>
            <w:tcBorders>
              <w:top w:val="single" w:sz="4" w:space="0" w:color="auto"/>
              <w:left w:val="single" w:sz="4" w:space="0" w:color="auto"/>
              <w:bottom w:val="single" w:sz="4" w:space="0" w:color="auto"/>
              <w:right w:val="single" w:sz="4" w:space="0" w:color="auto"/>
            </w:tcBorders>
            <w:hideMark/>
          </w:tcPr>
          <w:p w14:paraId="120AD222" w14:textId="351C3639" w:rsidR="00647B71" w:rsidRPr="00BB2991" w:rsidRDefault="00647B71" w:rsidP="002E6C9E">
            <w:pPr>
              <w:ind w:firstLine="559"/>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 xml:space="preserve">Ескерту – </w:t>
            </w:r>
            <w:r w:rsidR="002E6C9E"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16590B3E" w14:textId="77777777" w:rsidR="002E6C9E" w:rsidRDefault="002E6C9E" w:rsidP="00457CE9">
      <w:pPr>
        <w:spacing w:after="0" w:line="240" w:lineRule="auto"/>
        <w:ind w:firstLine="709"/>
        <w:jc w:val="both"/>
        <w:rPr>
          <w:rFonts w:ascii="Times New Roman" w:eastAsiaTheme="minorEastAsia" w:hAnsi="Times New Roman" w:cs="Times New Roman"/>
          <w:sz w:val="28"/>
          <w:szCs w:val="28"/>
          <w:lang w:val="kk-KZ"/>
        </w:rPr>
      </w:pPr>
    </w:p>
    <w:p w14:paraId="72AE058F" w14:textId="1A15DC9E" w:rsidR="00010EEC"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Орташа геометрия мәні осы эталоннан артық не кем болса, ақаудың не кемшіліктің бар екенін куәландырады. </w:t>
      </w:r>
      <w:r w:rsidR="00A01A21" w:rsidRPr="00457CE9">
        <w:rPr>
          <w:rFonts w:ascii="Times New Roman" w:eastAsiaTheme="minorEastAsia" w:hAnsi="Times New Roman" w:cs="Times New Roman"/>
          <w:sz w:val="28"/>
          <w:szCs w:val="28"/>
          <w:lang w:val="kk-KZ"/>
        </w:rPr>
        <w:t xml:space="preserve">ҚР АӨК 2017 ж. дамыту бойынша индикаторлар орындалуы </w:t>
      </w:r>
      <w:r w:rsidR="0013077A" w:rsidRPr="00457CE9">
        <w:rPr>
          <w:rFonts w:ascii="Times New Roman" w:eastAsiaTheme="minorEastAsia" w:hAnsi="Times New Roman" w:cs="Times New Roman"/>
          <w:sz w:val="28"/>
          <w:szCs w:val="28"/>
          <w:lang w:val="kk-KZ"/>
        </w:rPr>
        <w:t xml:space="preserve">бойынша </w:t>
      </w:r>
      <w:r w:rsidRPr="00457CE9">
        <w:rPr>
          <w:rFonts w:ascii="Times New Roman" w:eastAsiaTheme="minorEastAsia" w:hAnsi="Times New Roman" w:cs="Times New Roman"/>
          <w:sz w:val="28"/>
          <w:szCs w:val="28"/>
          <w:lang w:val="kk-KZ"/>
        </w:rPr>
        <w:t xml:space="preserve">қорытынды нәтижелердің эталоннан ауытқуы </w:t>
      </w:r>
      <w:r w:rsidR="00B90011"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7</w:t>
      </w:r>
      <w:r w:rsidRPr="00457CE9">
        <w:rPr>
          <w:rFonts w:ascii="Times New Roman" w:eastAsiaTheme="minorEastAsia" w:hAnsi="Times New Roman" w:cs="Times New Roman"/>
          <w:sz w:val="28"/>
          <w:szCs w:val="28"/>
          <w:lang w:val="kk-KZ"/>
        </w:rPr>
        <w:t xml:space="preserve">-кестеде келтірілген. </w:t>
      </w:r>
    </w:p>
    <w:p w14:paraId="64976EE9" w14:textId="77777777" w:rsidR="0097222C" w:rsidRPr="00457CE9" w:rsidRDefault="0097222C" w:rsidP="00457CE9">
      <w:pPr>
        <w:spacing w:after="0" w:line="240" w:lineRule="auto"/>
        <w:ind w:firstLine="709"/>
        <w:jc w:val="both"/>
        <w:rPr>
          <w:rFonts w:ascii="Times New Roman" w:eastAsiaTheme="minorEastAsia" w:hAnsi="Times New Roman" w:cs="Times New Roman"/>
          <w:sz w:val="28"/>
          <w:szCs w:val="28"/>
          <w:lang w:val="kk-KZ"/>
        </w:rPr>
      </w:pPr>
    </w:p>
    <w:p w14:paraId="43A5A661" w14:textId="39F826C2"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7</w:t>
      </w:r>
      <w:r w:rsidRPr="00457CE9">
        <w:rPr>
          <w:rFonts w:ascii="Times New Roman" w:eastAsiaTheme="minorEastAsia" w:hAnsi="Times New Roman" w:cs="Times New Roman"/>
          <w:sz w:val="28"/>
          <w:szCs w:val="28"/>
          <w:lang w:val="kk-KZ"/>
        </w:rPr>
        <w:t xml:space="preserve"> – 2017</w:t>
      </w:r>
      <w:r w:rsidR="00A01A21" w:rsidRPr="00457CE9">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ж. қорытынды нәтижелердің эталоннан ауытқуы </w:t>
      </w:r>
    </w:p>
    <w:p w14:paraId="6F66DBA6" w14:textId="77777777" w:rsidR="002E6C9E" w:rsidRPr="002E6C9E" w:rsidRDefault="002E6C9E" w:rsidP="00457CE9">
      <w:pPr>
        <w:spacing w:after="0" w:line="240" w:lineRule="auto"/>
        <w:jc w:val="both"/>
        <w:rPr>
          <w:rFonts w:ascii="Times New Roman" w:eastAsiaTheme="minorEastAsia" w:hAnsi="Times New Roman" w:cs="Times New Roman"/>
          <w:sz w:val="16"/>
          <w:szCs w:val="16"/>
          <w:lang w:val="kk-KZ"/>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134"/>
        <w:gridCol w:w="1843"/>
        <w:gridCol w:w="1843"/>
        <w:gridCol w:w="3907"/>
      </w:tblGrid>
      <w:tr w:rsidR="00A01A21" w:rsidRPr="00BB2991" w14:paraId="6A16280B" w14:textId="77777777" w:rsidTr="00791C93">
        <w:trPr>
          <w:trHeight w:val="160"/>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066F90D2"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1389EE"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Э</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59F276E" w14:textId="424F8729" w:rsidR="00A01A21" w:rsidRPr="00BB2991" w:rsidRDefault="00A01A2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2017 жыл</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5B89B1A" w14:textId="20783542" w:rsidR="00A01A21" w:rsidRPr="00BB2991" w:rsidRDefault="00A01A2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 xml:space="preserve">Ауытқу </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78FF02AA" w14:textId="0C53CB48" w:rsidR="00A01A21" w:rsidRPr="00BB2991" w:rsidRDefault="00A01A2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Индикаторға қол жеткізу фактісі</w:t>
            </w:r>
          </w:p>
        </w:tc>
      </w:tr>
      <w:tr w:rsidR="00A01A21" w:rsidRPr="00BB2991" w14:paraId="3750A28D"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6F0B2A99"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A6E3269"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0909F51"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0,111753275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73CB09C"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0,013246725</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2DB9431E" w14:textId="706E68A7" w:rsidR="00A01A21" w:rsidRPr="00BB2991" w:rsidRDefault="00A01A21" w:rsidP="00457CE9">
            <w:pPr>
              <w:spacing w:after="0" w:line="240" w:lineRule="auto"/>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орындалды</w:t>
            </w:r>
          </w:p>
        </w:tc>
      </w:tr>
      <w:tr w:rsidR="00A01A21" w:rsidRPr="00BB2991" w14:paraId="52830885"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2B78CE18" w14:textId="77777777" w:rsidR="00A01A21" w:rsidRPr="00BB2991" w:rsidRDefault="00A01A21" w:rsidP="00457CE9">
            <w:pPr>
              <w:spacing w:after="0" w:line="240" w:lineRule="auto"/>
              <w:jc w:val="center"/>
              <w:rPr>
                <w:rFonts w:ascii="Times New Roman" w:eastAsia="Times New Roman" w:hAnsi="Times New Roman" w:cs="Times New Roman"/>
                <w:kern w:val="2"/>
                <w:sz w:val="24"/>
                <w:szCs w:val="24"/>
                <w:lang w:eastAsia="ru-RU"/>
              </w:rPr>
            </w:pPr>
            <w:r w:rsidRPr="00BB2991">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4874483"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45C2E9A"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0,117890366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F74C20E"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0,007109634</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6C6AA684" w14:textId="0BE36FC5" w:rsidR="00A01A21" w:rsidRPr="00BB2991" w:rsidRDefault="00A01A21" w:rsidP="00457CE9">
            <w:pPr>
              <w:spacing w:after="0" w:line="240" w:lineRule="auto"/>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Индикатор орындалды</w:t>
            </w:r>
          </w:p>
        </w:tc>
      </w:tr>
      <w:tr w:rsidR="00A01A21" w:rsidRPr="00BB2991" w14:paraId="2C7726D7"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07EAA5D2"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E8120D"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5094F5F"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0,139280837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136B067"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-0,014280837</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670E58F2" w14:textId="4E7FC6BC" w:rsidR="00A01A21" w:rsidRPr="00BB2991" w:rsidRDefault="00A01A21" w:rsidP="00457CE9">
            <w:pPr>
              <w:spacing w:after="0" w:line="240" w:lineRule="auto"/>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Индикатор орындалды</w:t>
            </w:r>
          </w:p>
        </w:tc>
      </w:tr>
      <w:tr w:rsidR="00A01A21" w:rsidRPr="00BB2991" w14:paraId="69853EF1"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7219C14C"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196D7A"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789DEAD"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0,139386582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F306843"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-0,014386582</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002D6B97" w14:textId="42C7E417" w:rsidR="00A01A21" w:rsidRPr="00BB2991" w:rsidRDefault="00A01A21" w:rsidP="00457CE9">
            <w:pPr>
              <w:spacing w:after="0" w:line="240" w:lineRule="auto"/>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Индикатор орындалды</w:t>
            </w:r>
          </w:p>
        </w:tc>
      </w:tr>
      <w:tr w:rsidR="00A01A21" w:rsidRPr="00BB2991" w14:paraId="23647F80"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37CCA182"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5CC70D"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24D1ADC"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0,099791444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30C3B4C"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0,025208556</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18E4FA56" w14:textId="733D74ED" w:rsidR="00A01A21" w:rsidRPr="00BB2991" w:rsidRDefault="00A01A21" w:rsidP="00457CE9">
            <w:pPr>
              <w:spacing w:after="0" w:line="240" w:lineRule="auto"/>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A01A21" w:rsidRPr="00BB2991" w14:paraId="3420A4DE"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617C0533"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E05C1A"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33A44D6"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0,105742085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D6F9516"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0,019257915</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65F2F151" w14:textId="7C28D1D4" w:rsidR="00A01A21" w:rsidRPr="00BB2991" w:rsidRDefault="00A01A21" w:rsidP="00457CE9">
            <w:pPr>
              <w:spacing w:after="0" w:line="240" w:lineRule="auto"/>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Индикатор орындалды</w:t>
            </w:r>
          </w:p>
        </w:tc>
      </w:tr>
      <w:tr w:rsidR="00A01A21" w:rsidRPr="00BB2991" w14:paraId="24902078"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63619676" w14:textId="77777777" w:rsidR="00A01A21" w:rsidRPr="00BB2991" w:rsidRDefault="00A01A21" w:rsidP="00457CE9">
            <w:pPr>
              <w:spacing w:after="0" w:line="240" w:lineRule="auto"/>
              <w:jc w:val="center"/>
              <w:rPr>
                <w:rFonts w:ascii="Times New Roman" w:eastAsia="Times New Roman" w:hAnsi="Times New Roman" w:cs="Times New Roman"/>
                <w:kern w:val="2"/>
                <w:sz w:val="24"/>
                <w:szCs w:val="24"/>
                <w:lang w:eastAsia="ru-RU"/>
              </w:rPr>
            </w:pPr>
            <w:r w:rsidRPr="00BB2991">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D62773"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FB446E8"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0,120539843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2113435"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0,004460157</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6677FF75" w14:textId="1B86C01C" w:rsidR="00A01A21" w:rsidRPr="00BB2991" w:rsidRDefault="00A01A21" w:rsidP="00457CE9">
            <w:pPr>
              <w:spacing w:after="0" w:line="240" w:lineRule="auto"/>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Индикатор орындалды</w:t>
            </w:r>
          </w:p>
        </w:tc>
      </w:tr>
      <w:tr w:rsidR="00A01A21" w:rsidRPr="00BB2991" w14:paraId="72024838" w14:textId="77777777" w:rsidTr="00791C93">
        <w:trPr>
          <w:trHeight w:val="58"/>
          <w:jc w:val="cent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483A63D3"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3147364"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0,125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29B7FB8"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0,103439017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27F9F1E" w14:textId="77777777" w:rsidR="00A01A21" w:rsidRPr="00BB2991" w:rsidRDefault="00A01A2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0,021560983</w:t>
            </w:r>
          </w:p>
        </w:tc>
        <w:tc>
          <w:tcPr>
            <w:tcW w:w="3907" w:type="dxa"/>
            <w:tcBorders>
              <w:top w:val="single" w:sz="4" w:space="0" w:color="auto"/>
              <w:left w:val="single" w:sz="4" w:space="0" w:color="auto"/>
              <w:bottom w:val="single" w:sz="4" w:space="0" w:color="auto"/>
              <w:right w:val="single" w:sz="4" w:space="0" w:color="auto"/>
            </w:tcBorders>
            <w:noWrap/>
            <w:vAlign w:val="center"/>
            <w:hideMark/>
          </w:tcPr>
          <w:p w14:paraId="37BD3E0D" w14:textId="3CC66AE1" w:rsidR="00A01A21" w:rsidRPr="00BB2991" w:rsidRDefault="00A01A21" w:rsidP="00457CE9">
            <w:pPr>
              <w:spacing w:after="0" w:line="240" w:lineRule="auto"/>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Индикатор орындал</w:t>
            </w:r>
            <w:r w:rsidR="0013077A" w:rsidRPr="00BB2991">
              <w:rPr>
                <w:rFonts w:ascii="Times New Roman" w:eastAsia="Times New Roman" w:hAnsi="Times New Roman" w:cs="Times New Roman"/>
                <w:sz w:val="24"/>
                <w:szCs w:val="24"/>
                <w:lang w:val="kk-KZ" w:eastAsia="ru-RU"/>
              </w:rPr>
              <w:t>ма</w:t>
            </w:r>
            <w:r w:rsidRPr="00BB2991">
              <w:rPr>
                <w:rFonts w:ascii="Times New Roman" w:eastAsia="Times New Roman" w:hAnsi="Times New Roman" w:cs="Times New Roman"/>
                <w:sz w:val="24"/>
                <w:szCs w:val="24"/>
                <w:lang w:val="kk-KZ" w:eastAsia="ru-RU"/>
              </w:rPr>
              <w:t>ды</w:t>
            </w:r>
          </w:p>
        </w:tc>
      </w:tr>
    </w:tbl>
    <w:p w14:paraId="3F55E1ED" w14:textId="77777777" w:rsidR="002E6C9E" w:rsidRDefault="002E6C9E" w:rsidP="00457CE9">
      <w:pPr>
        <w:spacing w:after="0" w:line="240" w:lineRule="auto"/>
        <w:ind w:firstLine="709"/>
        <w:jc w:val="both"/>
        <w:rPr>
          <w:rFonts w:ascii="Times New Roman" w:eastAsiaTheme="minorEastAsia" w:hAnsi="Times New Roman" w:cs="Times New Roman"/>
          <w:sz w:val="28"/>
          <w:szCs w:val="28"/>
          <w:lang w:val="kk-KZ"/>
        </w:rPr>
      </w:pPr>
    </w:p>
    <w:p w14:paraId="41DE49B2" w14:textId="65BA48A2" w:rsidR="00647B71" w:rsidRPr="00457CE9" w:rsidRDefault="0097222C"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67-кесте мәліметтерінен эталон мәніне жақыны 7 альтернатива «</w:t>
      </w:r>
      <w:r>
        <w:rPr>
          <w:rFonts w:ascii="Times New Roman" w:eastAsia="Times New Roman" w:hAnsi="Times New Roman" w:cs="Times New Roman"/>
          <w:color w:val="000000"/>
          <w:sz w:val="28"/>
          <w:szCs w:val="28"/>
          <w:lang w:val="kk-KZ" w:eastAsia="ru-RU"/>
        </w:rPr>
        <w:t>Өңделген ауыл шаруашылығы өнімдері экспортының көлемін ұлғайту</w:t>
      </w:r>
      <w:r>
        <w:rPr>
          <w:rFonts w:ascii="Times New Roman" w:eastAsiaTheme="minorEastAsia" w:hAnsi="Times New Roman" w:cs="Times New Roman"/>
          <w:sz w:val="28"/>
          <w:szCs w:val="28"/>
          <w:lang w:val="kk-KZ"/>
        </w:rPr>
        <w:t xml:space="preserve">» индикаторы орындалуына жеткілікті көрсеткіштер мен іс-шаралар жоспарланғанын көрсетеді, ауытқуы 0,0044-ке тең. </w:t>
      </w:r>
      <w:r w:rsidR="00010EEC" w:rsidRPr="00457CE9">
        <w:rPr>
          <w:rFonts w:ascii="Times New Roman" w:eastAsiaTheme="minorEastAsia" w:hAnsi="Times New Roman" w:cs="Times New Roman"/>
          <w:sz w:val="28"/>
          <w:szCs w:val="28"/>
          <w:lang w:val="kk-KZ"/>
        </w:rPr>
        <w:t>Е</w:t>
      </w:r>
      <w:r w:rsidR="00647B71" w:rsidRPr="00457CE9">
        <w:rPr>
          <w:rFonts w:ascii="Times New Roman" w:eastAsiaTheme="minorEastAsia" w:hAnsi="Times New Roman" w:cs="Times New Roman"/>
          <w:sz w:val="28"/>
          <w:szCs w:val="28"/>
          <w:lang w:val="kk-KZ"/>
        </w:rPr>
        <w:t>кінші орында «</w:t>
      </w:r>
      <w:r w:rsidR="00647B71" w:rsidRPr="00457CE9">
        <w:rPr>
          <w:rFonts w:ascii="Times New Roman" w:eastAsia="Times New Roman" w:hAnsi="Times New Roman" w:cs="Times New Roman"/>
          <w:color w:val="000000"/>
          <w:sz w:val="28"/>
          <w:szCs w:val="28"/>
          <w:lang w:val="kk-KZ" w:eastAsia="ru-RU"/>
        </w:rPr>
        <w:t>2015  жылдың деңгейімен салыстырғанда ауыл шаруашылығы жалпы өнімінің (көрсетілетін қызметтерінің) нақты көлем индексін 190,2 пайызға жеткізу</w:t>
      </w:r>
      <w:r w:rsidR="00647B71" w:rsidRPr="00457CE9">
        <w:rPr>
          <w:rFonts w:ascii="Times New Roman" w:eastAsiaTheme="minorEastAsia" w:hAnsi="Times New Roman" w:cs="Times New Roman"/>
          <w:sz w:val="28"/>
          <w:szCs w:val="28"/>
          <w:lang w:val="kk-KZ"/>
        </w:rPr>
        <w:t xml:space="preserve">» индикаторының ауытқуы 0,0071-ді құраған, бұл аталған екі индикатордың орындалу деңгейі жоғары дегенді білдіреді. </w:t>
      </w:r>
    </w:p>
    <w:p w14:paraId="07BE0583" w14:textId="77777777" w:rsidR="00647B71"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1 және 2 альтернатива мәні эталонға жақын, дегенмен 0,1866-ға ауытқуы бар, екінші орында 5 және 7 альтернативаның мәні эталоннан 0,5597-ге ауықыған, үшінші орында 6 және 8 альтернативалар ауытқуы 1,306-ны құраса, төртінші орында 3 және 4 альтернатива ауытқуы 1,6791-ге тең болды. Осылайша 1-міндет бойынша 8 көрсеткішке альтернативалардың әсеріне эксперттік бағалау беру арқылы, әр қайсысының әсер үлесі анықталды. </w:t>
      </w:r>
    </w:p>
    <w:p w14:paraId="0D32F154" w14:textId="1708AC03" w:rsidR="00EB7D69" w:rsidRDefault="00EB7D69" w:rsidP="00EB7D69">
      <w:pPr>
        <w:tabs>
          <w:tab w:val="left" w:pos="993"/>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2017-2021 жж. нысаналы индикаторларының нақты орындалған көрсеткіштер үлестерін бағалау мәндері 68-кестеде келтірілген.</w:t>
      </w:r>
    </w:p>
    <w:p w14:paraId="570F57C7" w14:textId="77777777" w:rsidR="002E1D76" w:rsidRPr="00457CE9" w:rsidRDefault="002E1D76" w:rsidP="00457CE9">
      <w:pPr>
        <w:spacing w:after="0" w:line="240" w:lineRule="auto"/>
        <w:ind w:firstLine="709"/>
        <w:jc w:val="both"/>
        <w:rPr>
          <w:rFonts w:ascii="Times New Roman" w:eastAsiaTheme="minorEastAsia" w:hAnsi="Times New Roman" w:cs="Times New Roman"/>
          <w:sz w:val="28"/>
          <w:szCs w:val="28"/>
          <w:lang w:val="kk-KZ"/>
        </w:rPr>
      </w:pPr>
    </w:p>
    <w:p w14:paraId="5CC7BAE8" w14:textId="3501EA36"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8</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нысаналы индикаторларының нақты орындалған көрсеткіштер үлестерін бағалау мәндері</w:t>
      </w:r>
    </w:p>
    <w:p w14:paraId="21CAE6DA" w14:textId="77777777" w:rsidR="00791C93" w:rsidRPr="00791C93" w:rsidRDefault="00791C93" w:rsidP="00457CE9">
      <w:pPr>
        <w:spacing w:after="0" w:line="240" w:lineRule="auto"/>
        <w:jc w:val="both"/>
        <w:rPr>
          <w:rFonts w:ascii="Times New Roman" w:eastAsiaTheme="minorEastAsia" w:hAnsi="Times New Roman" w:cs="Times New Roman"/>
          <w:sz w:val="16"/>
          <w:szCs w:val="16"/>
          <w:lang w:val="kk-KZ"/>
        </w:rPr>
      </w:pPr>
    </w:p>
    <w:tbl>
      <w:tblPr>
        <w:tblStyle w:val="a3"/>
        <w:tblW w:w="0" w:type="auto"/>
        <w:tblInd w:w="-5" w:type="dxa"/>
        <w:tblLook w:val="04A0" w:firstRow="1" w:lastRow="0" w:firstColumn="1" w:lastColumn="0" w:noHBand="0" w:noVBand="1"/>
      </w:tblPr>
      <w:tblGrid>
        <w:gridCol w:w="1347"/>
        <w:gridCol w:w="1476"/>
        <w:gridCol w:w="1476"/>
        <w:gridCol w:w="1251"/>
        <w:gridCol w:w="1356"/>
        <w:gridCol w:w="1251"/>
        <w:gridCol w:w="1476"/>
      </w:tblGrid>
      <w:tr w:rsidR="00647B71" w:rsidRPr="00BB2991" w14:paraId="0273E82A" w14:textId="77777777" w:rsidTr="00EB7D69">
        <w:trPr>
          <w:trHeight w:val="650"/>
        </w:trPr>
        <w:tc>
          <w:tcPr>
            <w:tcW w:w="1347" w:type="dxa"/>
            <w:tcBorders>
              <w:top w:val="single" w:sz="4" w:space="0" w:color="auto"/>
              <w:left w:val="single" w:sz="4" w:space="0" w:color="auto"/>
              <w:bottom w:val="single" w:sz="4" w:space="0" w:color="auto"/>
              <w:right w:val="single" w:sz="4" w:space="0" w:color="auto"/>
            </w:tcBorders>
            <w:vAlign w:val="center"/>
            <w:hideMark/>
          </w:tcPr>
          <w:p w14:paraId="755A2CE5" w14:textId="39FCE1C5"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Альтер</w:t>
            </w:r>
            <w:r w:rsidR="00791C93">
              <w:rPr>
                <w:rFonts w:ascii="Times New Roman" w:eastAsiaTheme="minorEastAsia" w:hAnsi="Times New Roman" w:cs="Times New Roman"/>
                <w:sz w:val="24"/>
                <w:szCs w:val="24"/>
                <w:lang w:val="kk-KZ"/>
              </w:rPr>
              <w:t xml:space="preserve"> </w:t>
            </w:r>
            <w:r w:rsidRPr="00BB2991">
              <w:rPr>
                <w:rFonts w:ascii="Times New Roman" w:eastAsiaTheme="minorEastAsia" w:hAnsi="Times New Roman" w:cs="Times New Roman"/>
                <w:sz w:val="24"/>
                <w:szCs w:val="24"/>
                <w:lang w:val="kk-KZ"/>
              </w:rPr>
              <w:t>натива</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F794C7F"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2017 жыл</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B786EFE"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2018 жыл</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646CB5C"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2019 жыл</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4F44E09"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2020 жыл</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B6258EE"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2021 жыл</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6FA7BFF"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Орташа геометрия</w:t>
            </w:r>
          </w:p>
        </w:tc>
      </w:tr>
      <w:tr w:rsidR="00647B71" w:rsidRPr="00BB2991" w14:paraId="0F9C2280"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339E56EB"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w:t>
            </w:r>
          </w:p>
        </w:tc>
        <w:tc>
          <w:tcPr>
            <w:tcW w:w="1476" w:type="dxa"/>
            <w:tcBorders>
              <w:top w:val="single" w:sz="4" w:space="0" w:color="auto"/>
              <w:left w:val="single" w:sz="4" w:space="0" w:color="auto"/>
              <w:bottom w:val="single" w:sz="4" w:space="0" w:color="auto"/>
              <w:right w:val="single" w:sz="4" w:space="0" w:color="auto"/>
            </w:tcBorders>
            <w:vAlign w:val="center"/>
            <w:hideMark/>
          </w:tcPr>
          <w:p w14:paraId="5C795009"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0,096166326</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50051DF"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0,097686388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851A15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0,1325193</w:t>
            </w:r>
          </w:p>
        </w:tc>
        <w:tc>
          <w:tcPr>
            <w:tcW w:w="1356" w:type="dxa"/>
            <w:tcBorders>
              <w:top w:val="single" w:sz="4" w:space="0" w:color="auto"/>
              <w:left w:val="single" w:sz="4" w:space="0" w:color="auto"/>
              <w:bottom w:val="single" w:sz="4" w:space="0" w:color="auto"/>
              <w:right w:val="single" w:sz="4" w:space="0" w:color="auto"/>
            </w:tcBorders>
            <w:vAlign w:val="center"/>
            <w:hideMark/>
          </w:tcPr>
          <w:p w14:paraId="1EA86652"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0,13900289</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D6A2318"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0,1423149</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BD11840"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0,119751819</w:t>
            </w:r>
          </w:p>
        </w:tc>
      </w:tr>
      <w:tr w:rsidR="00647B71" w:rsidRPr="00BB2991" w14:paraId="7C6248A9"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73E43468"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4BB648F"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0,116056531</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40D6F47"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0,117076927</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272F2E0"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0,1304813</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EDC4D6C"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0,13009308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7492FE19"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0,1268792</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62B0B6E"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0,123955784</w:t>
            </w:r>
          </w:p>
        </w:tc>
      </w:tr>
      <w:tr w:rsidR="00647B71" w:rsidRPr="00BB2991" w14:paraId="6AFFEF5F"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618A6318"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508788C"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0,080636576</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1054AC3"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0,090459404</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311BB49"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0,1214022</w:t>
            </w:r>
          </w:p>
        </w:tc>
        <w:tc>
          <w:tcPr>
            <w:tcW w:w="1356" w:type="dxa"/>
            <w:tcBorders>
              <w:top w:val="single" w:sz="4" w:space="0" w:color="auto"/>
              <w:left w:val="single" w:sz="4" w:space="0" w:color="auto"/>
              <w:bottom w:val="single" w:sz="4" w:space="0" w:color="auto"/>
              <w:right w:val="single" w:sz="4" w:space="0" w:color="auto"/>
            </w:tcBorders>
            <w:vAlign w:val="center"/>
            <w:hideMark/>
          </w:tcPr>
          <w:p w14:paraId="1A4AABF3"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0,14234616</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DB352B5"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0,1624497</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378C3E5"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0,115413183</w:t>
            </w:r>
          </w:p>
        </w:tc>
      </w:tr>
      <w:tr w:rsidR="00647B71" w:rsidRPr="00BB2991" w14:paraId="66F0B4BF"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778EFEC7"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3D10E74"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0,096530904</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6246337"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0,111319968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7CFEFE1B"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0,1380147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D675CC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0,13741796</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15FFC36"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0,130364</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A5B985B"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0,121583095</w:t>
            </w:r>
          </w:p>
        </w:tc>
      </w:tr>
      <w:tr w:rsidR="00647B71" w:rsidRPr="00BB2991" w14:paraId="5E8C7C37"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3B52ED7C"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76D8FA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0,170582899</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12DD3B0"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0,158532621</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61ED9E3"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0,1246283</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8998FD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0,10785958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7630E62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0,0903917</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CFB44D5"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0,126862023</w:t>
            </w:r>
          </w:p>
        </w:tc>
      </w:tr>
      <w:tr w:rsidR="00647B71" w:rsidRPr="00BB2991" w14:paraId="28F83881"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4E8625D8"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6</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B669D79"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0,154918135</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AB3E1C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0,150481211</w:t>
            </w:r>
          </w:p>
        </w:tc>
        <w:tc>
          <w:tcPr>
            <w:tcW w:w="1251" w:type="dxa"/>
            <w:tcBorders>
              <w:top w:val="single" w:sz="4" w:space="0" w:color="auto"/>
              <w:left w:val="single" w:sz="4" w:space="0" w:color="auto"/>
              <w:bottom w:val="single" w:sz="4" w:space="0" w:color="auto"/>
              <w:right w:val="single" w:sz="4" w:space="0" w:color="auto"/>
            </w:tcBorders>
            <w:vAlign w:val="center"/>
            <w:hideMark/>
          </w:tcPr>
          <w:p w14:paraId="61EA742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0,1244196</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A77C22D"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0,11355996</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F6144C3"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0,1004808</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197D5F7"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0,127044621</w:t>
            </w:r>
          </w:p>
        </w:tc>
      </w:tr>
      <w:tr w:rsidR="00647B71" w:rsidRPr="00BB2991" w14:paraId="6A3FC031"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559C632F"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7</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B95F65C"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0,113210278</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3192406"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0,11611947</w:t>
            </w:r>
          </w:p>
        </w:tc>
        <w:tc>
          <w:tcPr>
            <w:tcW w:w="1251" w:type="dxa"/>
            <w:tcBorders>
              <w:top w:val="single" w:sz="4" w:space="0" w:color="auto"/>
              <w:left w:val="single" w:sz="4" w:space="0" w:color="auto"/>
              <w:bottom w:val="single" w:sz="4" w:space="0" w:color="auto"/>
              <w:right w:val="single" w:sz="4" w:space="0" w:color="auto"/>
            </w:tcBorders>
            <w:vAlign w:val="center"/>
            <w:hideMark/>
          </w:tcPr>
          <w:p w14:paraId="2687FD15"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0,1047326</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A04CEB1"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0,12269535</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57A41C1"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0,1560291</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E3960B5"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0,121389557</w:t>
            </w:r>
          </w:p>
        </w:tc>
      </w:tr>
      <w:tr w:rsidR="00647B71" w:rsidRPr="00BB2991" w14:paraId="6A9E8F8D" w14:textId="77777777" w:rsidTr="00EB7D69">
        <w:trPr>
          <w:trHeight w:hRule="exact" w:val="340"/>
        </w:trPr>
        <w:tc>
          <w:tcPr>
            <w:tcW w:w="1347" w:type="dxa"/>
            <w:tcBorders>
              <w:top w:val="single" w:sz="4" w:space="0" w:color="auto"/>
              <w:left w:val="single" w:sz="4" w:space="0" w:color="auto"/>
              <w:bottom w:val="single" w:sz="4" w:space="0" w:color="auto"/>
              <w:right w:val="single" w:sz="4" w:space="0" w:color="auto"/>
            </w:tcBorders>
            <w:vAlign w:val="center"/>
            <w:hideMark/>
          </w:tcPr>
          <w:p w14:paraId="2ABCF9BC"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8</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EC56449"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0,171898349</w:t>
            </w:r>
          </w:p>
        </w:tc>
        <w:tc>
          <w:tcPr>
            <w:tcW w:w="1476" w:type="dxa"/>
            <w:tcBorders>
              <w:top w:val="single" w:sz="4" w:space="0" w:color="auto"/>
              <w:left w:val="single" w:sz="4" w:space="0" w:color="auto"/>
              <w:bottom w:val="single" w:sz="4" w:space="0" w:color="auto"/>
              <w:right w:val="single" w:sz="4" w:space="0" w:color="auto"/>
            </w:tcBorders>
            <w:vAlign w:val="center"/>
            <w:hideMark/>
          </w:tcPr>
          <w:p w14:paraId="65A506D4"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0,158324009</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703E9B5"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0,123802</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C296D71"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0,10702502</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C5853BB"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0,0910905</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390F1F2" w14:textId="77777777" w:rsidR="00647B71" w:rsidRPr="00BB2991" w:rsidRDefault="00647B71" w:rsidP="00791C93">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0,126853043</w:t>
            </w:r>
          </w:p>
        </w:tc>
      </w:tr>
      <w:tr w:rsidR="00647B71" w:rsidRPr="00BB2991" w14:paraId="7D9FF518" w14:textId="77777777" w:rsidTr="00EB7D69">
        <w:trPr>
          <w:trHeight w:hRule="exact" w:val="340"/>
        </w:trPr>
        <w:tc>
          <w:tcPr>
            <w:tcW w:w="9633" w:type="dxa"/>
            <w:gridSpan w:val="7"/>
            <w:tcBorders>
              <w:top w:val="single" w:sz="4" w:space="0" w:color="auto"/>
              <w:left w:val="single" w:sz="4" w:space="0" w:color="auto"/>
              <w:bottom w:val="single" w:sz="4" w:space="0" w:color="auto"/>
              <w:right w:val="single" w:sz="4" w:space="0" w:color="auto"/>
            </w:tcBorders>
            <w:hideMark/>
          </w:tcPr>
          <w:p w14:paraId="5FF60EBB" w14:textId="2D8E40D0" w:rsidR="00647B71" w:rsidRPr="00BB2991" w:rsidRDefault="00647B71" w:rsidP="00BE2385">
            <w:pPr>
              <w:ind w:firstLine="550"/>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 xml:space="preserve">Ескерту – </w:t>
            </w:r>
            <w:r w:rsidR="00791C93"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2B99EE3A" w14:textId="77777777" w:rsidR="00010EEC" w:rsidRDefault="00010EEC"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p>
    <w:p w14:paraId="6D1FFA64" w14:textId="0E02E5AE" w:rsidR="00647B71" w:rsidRDefault="00647B71"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дамытудың нысаналы индикаторларынның бағалауы, нндикаторлар саны 8-ге тең болғандықтан, олардың өзара әсерлері арқылы бағалануларында тиімді баға әрбір индикатор үшін 0,125-ке тең болуы қажет. </w:t>
      </w:r>
      <w:r w:rsidR="000562A4"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000562A4" w:rsidRPr="00457CE9">
        <w:rPr>
          <w:rFonts w:ascii="Times New Roman" w:eastAsiaTheme="minorEastAsia" w:hAnsi="Times New Roman" w:cs="Times New Roman"/>
          <w:sz w:val="28"/>
          <w:szCs w:val="28"/>
          <w:lang w:val="kk-KZ"/>
        </w:rPr>
        <w:t xml:space="preserve"> дамытудың орындалу тиімділігін 2017</w:t>
      </w:r>
      <w:r w:rsidR="00D84D55" w:rsidRPr="00457CE9">
        <w:rPr>
          <w:rFonts w:ascii="Times New Roman" w:eastAsiaTheme="minorEastAsia" w:hAnsi="Times New Roman" w:cs="Times New Roman"/>
          <w:sz w:val="28"/>
          <w:szCs w:val="28"/>
          <w:lang w:val="kk-KZ"/>
        </w:rPr>
        <w:t>-2021</w:t>
      </w:r>
      <w:r w:rsidR="000562A4" w:rsidRPr="00457CE9">
        <w:rPr>
          <w:rFonts w:ascii="Times New Roman" w:eastAsiaTheme="minorEastAsia" w:hAnsi="Times New Roman" w:cs="Times New Roman"/>
          <w:sz w:val="28"/>
          <w:szCs w:val="28"/>
          <w:lang w:val="kk-KZ"/>
        </w:rPr>
        <w:t xml:space="preserve"> жыл</w:t>
      </w:r>
      <w:r w:rsidR="00D84D55" w:rsidRPr="00457CE9">
        <w:rPr>
          <w:rFonts w:ascii="Times New Roman" w:eastAsiaTheme="minorEastAsia" w:hAnsi="Times New Roman" w:cs="Times New Roman"/>
          <w:sz w:val="28"/>
          <w:szCs w:val="28"/>
          <w:lang w:val="kk-KZ"/>
        </w:rPr>
        <w:t>дар</w:t>
      </w:r>
      <w:r w:rsidR="000562A4" w:rsidRPr="00457CE9">
        <w:rPr>
          <w:rFonts w:ascii="Times New Roman" w:eastAsiaTheme="minorEastAsia" w:hAnsi="Times New Roman" w:cs="Times New Roman"/>
          <w:sz w:val="28"/>
          <w:szCs w:val="28"/>
          <w:lang w:val="kk-KZ"/>
        </w:rPr>
        <w:t>ға бағалау</w:t>
      </w:r>
      <w:r w:rsidR="00D84D55" w:rsidRPr="00457CE9">
        <w:rPr>
          <w:rFonts w:ascii="Times New Roman" w:eastAsiaTheme="minorEastAsia" w:hAnsi="Times New Roman" w:cs="Times New Roman"/>
          <w:sz w:val="28"/>
          <w:szCs w:val="28"/>
          <w:lang w:val="kk-KZ"/>
        </w:rPr>
        <w:t xml:space="preserve"> нәтижелерін</w:t>
      </w:r>
      <w:r w:rsidR="000562A4" w:rsidRPr="00457CE9">
        <w:rPr>
          <w:rFonts w:ascii="Times New Roman" w:eastAsiaTheme="minorEastAsia" w:hAnsi="Times New Roman" w:cs="Times New Roman"/>
          <w:sz w:val="28"/>
          <w:szCs w:val="28"/>
          <w:lang w:val="kk-KZ"/>
        </w:rPr>
        <w:t xml:space="preserve"> </w:t>
      </w:r>
      <w:r w:rsidR="009B4CC2" w:rsidRPr="00457CE9">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4</w:t>
      </w:r>
      <w:r w:rsidR="000562A4" w:rsidRPr="00457CE9">
        <w:rPr>
          <w:rFonts w:ascii="Times New Roman" w:eastAsiaTheme="minorEastAsia" w:hAnsi="Times New Roman" w:cs="Times New Roman"/>
          <w:sz w:val="28"/>
          <w:szCs w:val="28"/>
          <w:lang w:val="kk-KZ"/>
        </w:rPr>
        <w:t>-</w:t>
      </w:r>
      <w:r w:rsidR="00D84D55" w:rsidRPr="00457CE9">
        <w:rPr>
          <w:rFonts w:ascii="Times New Roman" w:eastAsiaTheme="minorEastAsia" w:hAnsi="Times New Roman" w:cs="Times New Roman"/>
          <w:sz w:val="28"/>
          <w:szCs w:val="28"/>
          <w:lang w:val="kk-KZ"/>
        </w:rPr>
        <w:t>суреттен көруге болады.</w:t>
      </w:r>
    </w:p>
    <w:p w14:paraId="00A9A9A0" w14:textId="77777777" w:rsidR="00791C93" w:rsidRPr="00457CE9" w:rsidRDefault="00791C93"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p>
    <w:p w14:paraId="542EC746" w14:textId="0DDD5333" w:rsidR="00D84D55" w:rsidRPr="00457CE9" w:rsidRDefault="00D84D55" w:rsidP="00F15E51">
      <w:pPr>
        <w:tabs>
          <w:tab w:val="left" w:pos="993"/>
        </w:tabs>
        <w:spacing w:after="0" w:line="240" w:lineRule="auto"/>
        <w:jc w:val="center"/>
        <w:rPr>
          <w:rFonts w:ascii="Times New Roman" w:eastAsiaTheme="minorEastAsia" w:hAnsi="Times New Roman" w:cs="Times New Roman"/>
          <w:sz w:val="28"/>
          <w:szCs w:val="28"/>
          <w:lang w:val="kk-KZ"/>
        </w:rPr>
      </w:pPr>
      <w:r w:rsidRPr="00457CE9">
        <w:rPr>
          <w:noProof/>
          <w:lang w:eastAsia="ru-RU"/>
        </w:rPr>
        <w:drawing>
          <wp:inline distT="0" distB="0" distL="0" distR="0" wp14:anchorId="7ECD8392" wp14:editId="235E2BF6">
            <wp:extent cx="5398935" cy="1956021"/>
            <wp:effectExtent l="0" t="0" r="0" b="6350"/>
            <wp:docPr id="715" name="Диаграмма 7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424D4E-3D3F-69A2-DA61-C458C7937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0D941E" w14:textId="77777777" w:rsidR="00BB2991" w:rsidRPr="00791C93" w:rsidRDefault="00BB2991" w:rsidP="00457CE9">
      <w:pPr>
        <w:tabs>
          <w:tab w:val="left" w:pos="993"/>
        </w:tabs>
        <w:spacing w:after="0" w:line="240" w:lineRule="auto"/>
        <w:ind w:firstLine="709"/>
        <w:jc w:val="center"/>
        <w:rPr>
          <w:rFonts w:ascii="Times New Roman" w:eastAsiaTheme="minorEastAsia" w:hAnsi="Times New Roman" w:cs="Times New Roman"/>
          <w:sz w:val="16"/>
          <w:szCs w:val="16"/>
          <w:lang w:val="kk-KZ"/>
        </w:rPr>
      </w:pPr>
    </w:p>
    <w:p w14:paraId="34C0A3D2" w14:textId="3AF1AA57" w:rsidR="006C1E3D" w:rsidRPr="00457CE9" w:rsidRDefault="006C1E3D" w:rsidP="00BB2991">
      <w:pPr>
        <w:tabs>
          <w:tab w:val="left" w:pos="993"/>
        </w:tabs>
        <w:spacing w:after="0" w:line="240" w:lineRule="auto"/>
        <w:jc w:val="center"/>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Сурет </w:t>
      </w:r>
      <w:r w:rsidR="009B4CC2" w:rsidRPr="00457CE9">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4</w:t>
      </w:r>
      <w:r w:rsidRPr="00457CE9">
        <w:rPr>
          <w:rFonts w:ascii="Times New Roman" w:eastAsiaTheme="minorEastAsia" w:hAnsi="Times New Roman" w:cs="Times New Roman"/>
          <w:sz w:val="28"/>
          <w:szCs w:val="28"/>
          <w:lang w:val="kk-KZ"/>
        </w:rPr>
        <w:t xml:space="preserve"> </w:t>
      </w:r>
      <w:r w:rsidR="00791C93">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орындалу тиімділігін 2017-2021 жылдарға бағалау нәтижелері</w:t>
      </w:r>
    </w:p>
    <w:p w14:paraId="401DFA06" w14:textId="77777777" w:rsidR="00BB2991" w:rsidRPr="00791C93" w:rsidRDefault="00BB2991" w:rsidP="00457CE9">
      <w:pPr>
        <w:tabs>
          <w:tab w:val="left" w:pos="993"/>
        </w:tabs>
        <w:spacing w:after="0" w:line="240" w:lineRule="auto"/>
        <w:ind w:firstLine="709"/>
        <w:jc w:val="both"/>
        <w:rPr>
          <w:rFonts w:ascii="Times New Roman" w:eastAsiaTheme="minorEastAsia" w:hAnsi="Times New Roman" w:cs="Times New Roman"/>
          <w:sz w:val="16"/>
          <w:szCs w:val="16"/>
          <w:lang w:val="kk-KZ"/>
        </w:rPr>
      </w:pPr>
    </w:p>
    <w:p w14:paraId="1984EEF2" w14:textId="54307866" w:rsidR="006C1E3D" w:rsidRPr="00457CE9" w:rsidRDefault="006C1E3D" w:rsidP="00457CE9">
      <w:pPr>
        <w:tabs>
          <w:tab w:val="left" w:pos="993"/>
        </w:tabs>
        <w:spacing w:after="0" w:line="240" w:lineRule="auto"/>
        <w:ind w:firstLine="709"/>
        <w:jc w:val="both"/>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791C93" w:rsidRPr="00457CE9">
        <w:rPr>
          <w:rFonts w:ascii="Times New Roman" w:eastAsiaTheme="minorEastAsia" w:hAnsi="Times New Roman" w:cs="Times New Roman"/>
          <w:sz w:val="24"/>
          <w:szCs w:val="24"/>
          <w:lang w:val="kk-KZ"/>
        </w:rPr>
        <w:t>А</w:t>
      </w:r>
      <w:r w:rsidRPr="00457CE9">
        <w:rPr>
          <w:rFonts w:ascii="Times New Roman" w:eastAsiaTheme="minorEastAsia" w:hAnsi="Times New Roman" w:cs="Times New Roman"/>
          <w:sz w:val="24"/>
          <w:szCs w:val="24"/>
          <w:lang w:val="kk-KZ"/>
        </w:rPr>
        <w:t>втормен құрастырылған</w:t>
      </w:r>
    </w:p>
    <w:p w14:paraId="76C35EEF" w14:textId="77777777" w:rsidR="00BB2991" w:rsidRDefault="00BB2991"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p>
    <w:p w14:paraId="1FF70328" w14:textId="50B797C5" w:rsidR="006C1E3D" w:rsidRPr="00457CE9" w:rsidRDefault="006C1E3D"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орындалу тиімділігін 2017-2021 жылдарға бағалау нәтижелерінің орташа мәнінің ауытқуы туралы мәліметтер </w:t>
      </w:r>
      <w:r w:rsidR="00B90011"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9</w:t>
      </w:r>
      <w:r w:rsidRPr="00457CE9">
        <w:rPr>
          <w:rFonts w:ascii="Times New Roman" w:eastAsiaTheme="minorEastAsia" w:hAnsi="Times New Roman" w:cs="Times New Roman"/>
          <w:sz w:val="28"/>
          <w:szCs w:val="28"/>
          <w:lang w:val="kk-KZ"/>
        </w:rPr>
        <w:t>-кестеде келтірілген.</w:t>
      </w:r>
    </w:p>
    <w:p w14:paraId="0FE898B0" w14:textId="3AB8C65C" w:rsidR="006C1E3D" w:rsidRPr="00457CE9" w:rsidRDefault="00FA5280"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69-кесте мәліметтері бойынша индикатордың эталон мәні 12,5-ке тең болса, тиімділігі жоғары деп бағалауға болады. Эталон мәніне жақын бірінші индикатор «</w:t>
      </w:r>
      <w:r>
        <w:rPr>
          <w:rFonts w:ascii="Times New Roman" w:eastAsia="Times New Roman" w:hAnsi="Times New Roman" w:cs="Times New Roman"/>
          <w:color w:val="000000"/>
          <w:sz w:val="28"/>
          <w:szCs w:val="28"/>
          <w:lang w:val="kk-KZ" w:eastAsia="ru-RU"/>
        </w:rPr>
        <w:t>2015 жылдың деңгейімен салыстырғанда ауыл шаруашылығы жалпы өнімінің (көрсетілетін қызметтерінің) нақты көлем индексі</w:t>
      </w:r>
      <w:r>
        <w:rPr>
          <w:rFonts w:ascii="Times New Roman" w:eastAsiaTheme="minorEastAsia" w:hAnsi="Times New Roman" w:cs="Times New Roman"/>
          <w:sz w:val="28"/>
          <w:szCs w:val="28"/>
          <w:lang w:val="kk-KZ"/>
        </w:rPr>
        <w:t xml:space="preserve">» </w:t>
      </w:r>
      <w:r>
        <w:rPr>
          <w:rFonts w:ascii="Times New Roman" w:hAnsi="Times New Roman" w:cs="Times New Roman"/>
          <w:color w:val="000000"/>
          <w:sz w:val="28"/>
          <w:szCs w:val="28"/>
          <w:lang w:val="kk-KZ"/>
        </w:rPr>
        <w:t>0,123955784-ке тең болып, -0,00104 ғана ауытқыған немесе 99,16 пайызға орындалған деуге болады.</w:t>
      </w:r>
    </w:p>
    <w:p w14:paraId="7ED5C696" w14:textId="58FEC526" w:rsidR="00647B71" w:rsidRDefault="00FA59A8" w:rsidP="00457CE9">
      <w:pPr>
        <w:tabs>
          <w:tab w:val="left" w:pos="993"/>
        </w:tabs>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6</w:t>
      </w:r>
      <w:r w:rsidR="00EB7D69">
        <w:rPr>
          <w:rFonts w:ascii="Times New Roman" w:eastAsiaTheme="minorEastAsia" w:hAnsi="Times New Roman" w:cs="Times New Roman"/>
          <w:sz w:val="28"/>
          <w:szCs w:val="28"/>
          <w:lang w:val="kk-KZ"/>
        </w:rPr>
        <w:t>9</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орындалу тиімділігін 2017</w:t>
      </w:r>
      <w:r w:rsidR="00790ABA" w:rsidRPr="00457CE9">
        <w:rPr>
          <w:rFonts w:ascii="Times New Roman" w:eastAsiaTheme="minorEastAsia" w:hAnsi="Times New Roman" w:cs="Times New Roman"/>
          <w:sz w:val="28"/>
          <w:szCs w:val="28"/>
          <w:lang w:val="kk-KZ"/>
        </w:rPr>
        <w:t>-2021 жж.</w:t>
      </w:r>
      <w:r w:rsidRPr="00457CE9">
        <w:rPr>
          <w:rFonts w:ascii="Times New Roman" w:eastAsiaTheme="minorEastAsia" w:hAnsi="Times New Roman" w:cs="Times New Roman"/>
          <w:sz w:val="28"/>
          <w:szCs w:val="28"/>
          <w:lang w:val="kk-KZ"/>
        </w:rPr>
        <w:t xml:space="preserve"> бағалау</w:t>
      </w:r>
      <w:r w:rsidR="006C1E3D" w:rsidRPr="00457CE9">
        <w:rPr>
          <w:rFonts w:ascii="Times New Roman" w:eastAsiaTheme="minorEastAsia" w:hAnsi="Times New Roman" w:cs="Times New Roman"/>
          <w:sz w:val="28"/>
          <w:szCs w:val="28"/>
          <w:lang w:val="kk-KZ"/>
        </w:rPr>
        <w:t>дың орташа мәнінің ауытқуы</w:t>
      </w:r>
      <w:r w:rsidRPr="00457CE9">
        <w:rPr>
          <w:rFonts w:ascii="Times New Roman" w:eastAsiaTheme="minorEastAsia" w:hAnsi="Times New Roman" w:cs="Times New Roman"/>
          <w:sz w:val="28"/>
          <w:szCs w:val="28"/>
          <w:lang w:val="kk-KZ"/>
        </w:rPr>
        <w:t xml:space="preserve"> </w:t>
      </w:r>
    </w:p>
    <w:p w14:paraId="6287B8CB" w14:textId="77777777" w:rsidR="00791C93" w:rsidRPr="00791C93" w:rsidRDefault="00791C93" w:rsidP="00791C93">
      <w:pPr>
        <w:tabs>
          <w:tab w:val="left" w:pos="993"/>
        </w:tabs>
        <w:spacing w:after="0" w:line="240" w:lineRule="auto"/>
        <w:jc w:val="right"/>
        <w:rPr>
          <w:rFonts w:ascii="Times New Roman" w:eastAsiaTheme="minorEastAsia" w:hAnsi="Times New Roman" w:cs="Times New Roman"/>
          <w:sz w:val="16"/>
          <w:szCs w:val="16"/>
          <w:lang w:val="kk-KZ"/>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36"/>
        <w:gridCol w:w="1841"/>
        <w:gridCol w:w="1134"/>
        <w:gridCol w:w="1417"/>
        <w:gridCol w:w="2976"/>
      </w:tblGrid>
      <w:tr w:rsidR="00E3378B" w:rsidRPr="00BB2991" w14:paraId="2766D57C" w14:textId="3633C7E9" w:rsidTr="00BE2385">
        <w:trPr>
          <w:trHeight w:val="360"/>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A3056DC" w14:textId="6AE19E3A" w:rsidR="00E3378B" w:rsidRPr="00BB2991" w:rsidRDefault="00E3378B" w:rsidP="00791C93">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Альтер</w:t>
            </w:r>
            <w:r w:rsidR="00791C93">
              <w:rPr>
                <w:rFonts w:ascii="Times New Roman" w:eastAsia="Times New Roman" w:hAnsi="Times New Roman" w:cs="Times New Roman"/>
                <w:color w:val="000000"/>
                <w:sz w:val="24"/>
                <w:szCs w:val="24"/>
                <w:lang w:val="kk-KZ" w:eastAsia="ru-RU"/>
              </w:rPr>
              <w:t xml:space="preserve"> </w:t>
            </w:r>
            <w:r w:rsidRPr="00BB2991">
              <w:rPr>
                <w:rFonts w:ascii="Times New Roman" w:eastAsia="Times New Roman" w:hAnsi="Times New Roman" w:cs="Times New Roman"/>
                <w:color w:val="000000"/>
                <w:sz w:val="24"/>
                <w:szCs w:val="24"/>
                <w:lang w:val="kk-KZ" w:eastAsia="ru-RU"/>
              </w:rPr>
              <w:t>натива</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5B812530" w14:textId="4AD089C9"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Эталон</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047C9887" w14:textId="0FD472CD"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 xml:space="preserve">2017-2021 жж. орташа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F430B6" w14:textId="353B2AB7"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 xml:space="preserve">Ауытқу </w:t>
            </w:r>
          </w:p>
        </w:tc>
        <w:tc>
          <w:tcPr>
            <w:tcW w:w="1417" w:type="dxa"/>
            <w:tcBorders>
              <w:top w:val="single" w:sz="4" w:space="0" w:color="auto"/>
              <w:left w:val="single" w:sz="4" w:space="0" w:color="auto"/>
              <w:bottom w:val="single" w:sz="4" w:space="0" w:color="auto"/>
              <w:right w:val="single" w:sz="4" w:space="0" w:color="auto"/>
            </w:tcBorders>
            <w:noWrap/>
            <w:vAlign w:val="center"/>
          </w:tcPr>
          <w:p w14:paraId="44FD7C66" w14:textId="45ECFDE7"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Пайыздық шамасы</w:t>
            </w:r>
          </w:p>
        </w:tc>
        <w:tc>
          <w:tcPr>
            <w:tcW w:w="2976" w:type="dxa"/>
            <w:tcBorders>
              <w:top w:val="single" w:sz="4" w:space="0" w:color="auto"/>
              <w:left w:val="single" w:sz="4" w:space="0" w:color="auto"/>
              <w:bottom w:val="single" w:sz="4" w:space="0" w:color="auto"/>
              <w:right w:val="single" w:sz="4" w:space="0" w:color="auto"/>
            </w:tcBorders>
          </w:tcPr>
          <w:p w14:paraId="7B890C69" w14:textId="728C0A16"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val="kk-KZ" w:eastAsia="ru-RU"/>
              </w:rPr>
              <w:t>Индикаторға қол жеткізу фактісі</w:t>
            </w:r>
          </w:p>
        </w:tc>
      </w:tr>
      <w:tr w:rsidR="00E3378B" w:rsidRPr="00BB2991" w14:paraId="0EB272D3" w14:textId="53AE1606"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F18D01D" w14:textId="1DFD8CF8"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1</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65F4A8BF" w14:textId="181492D2"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75FA9AC6" w14:textId="0ED60E63"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0,119751819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A1093A5" w14:textId="2B5CDDE8"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-0,00525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8FCE234" w14:textId="0607B9EF"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95,8</w:t>
            </w:r>
          </w:p>
        </w:tc>
        <w:tc>
          <w:tcPr>
            <w:tcW w:w="2976" w:type="dxa"/>
            <w:tcBorders>
              <w:top w:val="single" w:sz="4" w:space="0" w:color="auto"/>
              <w:left w:val="single" w:sz="4" w:space="0" w:color="auto"/>
              <w:bottom w:val="single" w:sz="4" w:space="0" w:color="auto"/>
              <w:right w:val="single" w:sz="4" w:space="0" w:color="auto"/>
            </w:tcBorders>
          </w:tcPr>
          <w:p w14:paraId="588FC403" w14:textId="318D1A84"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09C68AD4" w14:textId="1E5F8D25"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EEBB0BD" w14:textId="550C3148"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2</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62E82351" w14:textId="4E3E6FD4"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7E9FC08D" w14:textId="73E8B80B"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0,123955784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1AAD12A" w14:textId="3508A2CC"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-0,00104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127207C" w14:textId="4A299041"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99,16</w:t>
            </w:r>
          </w:p>
        </w:tc>
        <w:tc>
          <w:tcPr>
            <w:tcW w:w="2976" w:type="dxa"/>
            <w:tcBorders>
              <w:top w:val="single" w:sz="4" w:space="0" w:color="auto"/>
              <w:left w:val="single" w:sz="4" w:space="0" w:color="auto"/>
              <w:bottom w:val="single" w:sz="4" w:space="0" w:color="auto"/>
              <w:right w:val="single" w:sz="4" w:space="0" w:color="auto"/>
            </w:tcBorders>
          </w:tcPr>
          <w:p w14:paraId="52B6870D" w14:textId="434119F5"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14F5D5CC" w14:textId="3F67E9EB"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0C8AA14" w14:textId="169762D0"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3</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4D318A8C" w14:textId="1DF8F798"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009CE911" w14:textId="5AD66104"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0,115413183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A5DA3D" w14:textId="6735254F"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-0,00959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5BB21E51" w14:textId="01664D38"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92,33</w:t>
            </w:r>
          </w:p>
        </w:tc>
        <w:tc>
          <w:tcPr>
            <w:tcW w:w="2976" w:type="dxa"/>
            <w:tcBorders>
              <w:top w:val="single" w:sz="4" w:space="0" w:color="auto"/>
              <w:left w:val="single" w:sz="4" w:space="0" w:color="auto"/>
              <w:bottom w:val="single" w:sz="4" w:space="0" w:color="auto"/>
              <w:right w:val="single" w:sz="4" w:space="0" w:color="auto"/>
            </w:tcBorders>
          </w:tcPr>
          <w:p w14:paraId="1085C14D" w14:textId="5EC6829E"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543B2138" w14:textId="76557425"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617B246" w14:textId="51509F92"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4</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461F05FD" w14:textId="1F3FD995"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2F359D98" w14:textId="3F549FED"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0,121583095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EB8C2A" w14:textId="7D6FE857"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-0,00342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56CE6BA" w14:textId="0192A12E"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97,27</w:t>
            </w:r>
          </w:p>
        </w:tc>
        <w:tc>
          <w:tcPr>
            <w:tcW w:w="2976" w:type="dxa"/>
            <w:tcBorders>
              <w:top w:val="single" w:sz="4" w:space="0" w:color="auto"/>
              <w:left w:val="single" w:sz="4" w:space="0" w:color="auto"/>
              <w:bottom w:val="single" w:sz="4" w:space="0" w:color="auto"/>
              <w:right w:val="single" w:sz="4" w:space="0" w:color="auto"/>
            </w:tcBorders>
          </w:tcPr>
          <w:p w14:paraId="4755B317" w14:textId="5CE428AC"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3F07A68F" w14:textId="3DC458BD"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B765614" w14:textId="3D60D275"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5</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05D13D52" w14:textId="530ECE82"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472A3699" w14:textId="1B8C010C"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0,126862023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97D742F" w14:textId="52599666"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0,001862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CDEF86E" w14:textId="5651D0D4"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101,5</w:t>
            </w:r>
          </w:p>
        </w:tc>
        <w:tc>
          <w:tcPr>
            <w:tcW w:w="2976" w:type="dxa"/>
            <w:tcBorders>
              <w:top w:val="single" w:sz="4" w:space="0" w:color="auto"/>
              <w:left w:val="single" w:sz="4" w:space="0" w:color="auto"/>
              <w:bottom w:val="single" w:sz="4" w:space="0" w:color="auto"/>
              <w:right w:val="single" w:sz="4" w:space="0" w:color="auto"/>
            </w:tcBorders>
          </w:tcPr>
          <w:p w14:paraId="308D2D44" w14:textId="6C5ED75B"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33AC9641" w14:textId="330E650B"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38D8E39" w14:textId="44CA9DCC"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6</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0895E51F" w14:textId="29B48A7C"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79838384" w14:textId="19B65E02"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0,127044621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5595411" w14:textId="54A81070"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0,002045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EFAE66C" w14:textId="585EE393"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101,6</w:t>
            </w:r>
          </w:p>
        </w:tc>
        <w:tc>
          <w:tcPr>
            <w:tcW w:w="2976" w:type="dxa"/>
            <w:tcBorders>
              <w:top w:val="single" w:sz="4" w:space="0" w:color="auto"/>
              <w:left w:val="single" w:sz="4" w:space="0" w:color="auto"/>
              <w:bottom w:val="single" w:sz="4" w:space="0" w:color="auto"/>
              <w:right w:val="single" w:sz="4" w:space="0" w:color="auto"/>
            </w:tcBorders>
          </w:tcPr>
          <w:p w14:paraId="4A471A95" w14:textId="69452365"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18014894" w14:textId="24D399D3"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F0CFF32" w14:textId="60A3DE3C"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7</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30A71B39" w14:textId="2D99275F"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15CC2F81" w14:textId="6EB64898"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0,121389557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471A84" w14:textId="7AB4049B"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-0,00361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3D10BB4" w14:textId="0FA9E683"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97,11</w:t>
            </w:r>
          </w:p>
        </w:tc>
        <w:tc>
          <w:tcPr>
            <w:tcW w:w="2976" w:type="dxa"/>
            <w:tcBorders>
              <w:top w:val="single" w:sz="4" w:space="0" w:color="auto"/>
              <w:left w:val="single" w:sz="4" w:space="0" w:color="auto"/>
              <w:bottom w:val="single" w:sz="4" w:space="0" w:color="auto"/>
              <w:right w:val="single" w:sz="4" w:space="0" w:color="auto"/>
            </w:tcBorders>
          </w:tcPr>
          <w:p w14:paraId="64C1095E" w14:textId="70569A94"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eastAsia="ru-RU"/>
              </w:rPr>
              <w:t xml:space="preserve">Индикатор </w:t>
            </w:r>
            <w:r w:rsidRPr="00BB2991">
              <w:rPr>
                <w:rFonts w:ascii="Times New Roman" w:eastAsia="Times New Roman" w:hAnsi="Times New Roman" w:cs="Times New Roman"/>
                <w:sz w:val="24"/>
                <w:szCs w:val="24"/>
                <w:lang w:val="kk-KZ" w:eastAsia="ru-RU"/>
              </w:rPr>
              <w:t>орындалмады</w:t>
            </w:r>
          </w:p>
        </w:tc>
      </w:tr>
      <w:tr w:rsidR="00E3378B" w:rsidRPr="00BB2991" w14:paraId="5112037F" w14:textId="5C91538F" w:rsidTr="00BE2385">
        <w:trPr>
          <w:trHeight w:val="58"/>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044A220C" w14:textId="0D86262D"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8</w:t>
            </w:r>
          </w:p>
        </w:tc>
        <w:tc>
          <w:tcPr>
            <w:tcW w:w="1036" w:type="dxa"/>
            <w:tcBorders>
              <w:top w:val="single" w:sz="4" w:space="0" w:color="auto"/>
              <w:left w:val="single" w:sz="4" w:space="0" w:color="auto"/>
              <w:bottom w:val="single" w:sz="4" w:space="0" w:color="auto"/>
              <w:right w:val="single" w:sz="4" w:space="0" w:color="auto"/>
            </w:tcBorders>
            <w:noWrap/>
            <w:vAlign w:val="center"/>
            <w:hideMark/>
          </w:tcPr>
          <w:p w14:paraId="2B08D664" w14:textId="58C2D809"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sz w:val="24"/>
                <w:szCs w:val="24"/>
                <w:lang w:eastAsia="ru-RU"/>
              </w:rPr>
              <w:t>0,125</w:t>
            </w:r>
          </w:p>
        </w:tc>
        <w:tc>
          <w:tcPr>
            <w:tcW w:w="1841" w:type="dxa"/>
            <w:tcBorders>
              <w:top w:val="single" w:sz="4" w:space="0" w:color="auto"/>
              <w:left w:val="single" w:sz="4" w:space="0" w:color="auto"/>
              <w:bottom w:val="single" w:sz="4" w:space="0" w:color="auto"/>
              <w:right w:val="single" w:sz="4" w:space="0" w:color="auto"/>
            </w:tcBorders>
            <w:noWrap/>
            <w:vAlign w:val="center"/>
            <w:hideMark/>
          </w:tcPr>
          <w:p w14:paraId="0D157E5E" w14:textId="3F1C4D60"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0,126853043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C9D8CEE" w14:textId="64EC74CE"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0,001853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3344375" w14:textId="54E85065"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hAnsi="Times New Roman" w:cs="Times New Roman"/>
                <w:sz w:val="24"/>
                <w:szCs w:val="24"/>
              </w:rPr>
              <w:t>101,5</w:t>
            </w:r>
          </w:p>
        </w:tc>
        <w:tc>
          <w:tcPr>
            <w:tcW w:w="2976" w:type="dxa"/>
            <w:tcBorders>
              <w:top w:val="single" w:sz="4" w:space="0" w:color="auto"/>
              <w:left w:val="single" w:sz="4" w:space="0" w:color="auto"/>
              <w:bottom w:val="single" w:sz="4" w:space="0" w:color="auto"/>
              <w:right w:val="single" w:sz="4" w:space="0" w:color="auto"/>
            </w:tcBorders>
            <w:vAlign w:val="center"/>
          </w:tcPr>
          <w:p w14:paraId="4E3F6AD1" w14:textId="42E1B957" w:rsidR="00E3378B" w:rsidRPr="00BB2991" w:rsidRDefault="00E3378B"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sz w:val="24"/>
                <w:szCs w:val="24"/>
                <w:lang w:val="kk-KZ" w:eastAsia="ru-RU"/>
              </w:rPr>
              <w:t>Мәлімет жоқ</w:t>
            </w:r>
          </w:p>
        </w:tc>
      </w:tr>
      <w:tr w:rsidR="00E3378B" w:rsidRPr="00BB2991" w14:paraId="353829D0" w14:textId="77777777" w:rsidTr="00791C93">
        <w:trPr>
          <w:trHeight w:val="58"/>
          <w:jc w:val="center"/>
        </w:trPr>
        <w:tc>
          <w:tcPr>
            <w:tcW w:w="9551" w:type="dxa"/>
            <w:gridSpan w:val="6"/>
            <w:tcBorders>
              <w:top w:val="single" w:sz="4" w:space="0" w:color="auto"/>
              <w:left w:val="single" w:sz="4" w:space="0" w:color="auto"/>
              <w:bottom w:val="single" w:sz="4" w:space="0" w:color="auto"/>
              <w:right w:val="single" w:sz="4" w:space="0" w:color="auto"/>
            </w:tcBorders>
            <w:noWrap/>
            <w:vAlign w:val="center"/>
          </w:tcPr>
          <w:p w14:paraId="402DB9A8" w14:textId="06213724" w:rsidR="00E3378B" w:rsidRPr="00BB2991" w:rsidRDefault="00E3378B" w:rsidP="00791C93">
            <w:pPr>
              <w:tabs>
                <w:tab w:val="left" w:pos="993"/>
              </w:tabs>
              <w:spacing w:after="0" w:line="240" w:lineRule="auto"/>
              <w:ind w:firstLine="591"/>
              <w:jc w:val="both"/>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 xml:space="preserve">Ескерту – </w:t>
            </w:r>
            <w:r w:rsidR="00791C93"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2FE0C754" w14:textId="77777777" w:rsidR="00647B71" w:rsidRPr="00457CE9" w:rsidRDefault="00647B71" w:rsidP="00457CE9">
      <w:pPr>
        <w:tabs>
          <w:tab w:val="left" w:pos="993"/>
        </w:tabs>
        <w:spacing w:after="0" w:line="240" w:lineRule="auto"/>
        <w:ind w:firstLine="709"/>
        <w:jc w:val="both"/>
        <w:rPr>
          <w:rFonts w:ascii="Times New Roman" w:eastAsiaTheme="minorEastAsia" w:hAnsi="Times New Roman" w:cs="Times New Roman"/>
          <w:sz w:val="28"/>
        </w:rPr>
      </w:pPr>
    </w:p>
    <w:p w14:paraId="1C96F0F4" w14:textId="7DB766D4" w:rsidR="00790ABA" w:rsidRPr="00457CE9" w:rsidRDefault="00ED2C31" w:rsidP="00457CE9">
      <w:pPr>
        <w:tabs>
          <w:tab w:val="left" w:pos="993"/>
        </w:tabs>
        <w:spacing w:after="0" w:line="240" w:lineRule="auto"/>
        <w:ind w:firstLine="709"/>
        <w:jc w:val="both"/>
        <w:rPr>
          <w:rFonts w:ascii="Times New Roman" w:hAnsi="Times New Roman" w:cs="Times New Roman"/>
          <w:color w:val="000000"/>
          <w:sz w:val="28"/>
          <w:szCs w:val="28"/>
          <w:lang w:val="kk-KZ"/>
        </w:rPr>
      </w:pPr>
      <w:r w:rsidRPr="00457CE9">
        <w:rPr>
          <w:rFonts w:ascii="Times New Roman" w:hAnsi="Times New Roman" w:cs="Times New Roman"/>
          <w:color w:val="000000"/>
          <w:sz w:val="28"/>
          <w:szCs w:val="28"/>
          <w:lang w:val="kk-KZ"/>
        </w:rPr>
        <w:t>Екінші орындағы индикатор «</w:t>
      </w:r>
      <w:r w:rsidRPr="00457CE9">
        <w:rPr>
          <w:rFonts w:ascii="Times New Roman" w:eastAsia="Times New Roman" w:hAnsi="Times New Roman" w:cs="Times New Roman"/>
          <w:color w:val="000000"/>
          <w:sz w:val="28"/>
          <w:szCs w:val="28"/>
          <w:lang w:val="kk-KZ" w:eastAsia="ru-RU"/>
        </w:rPr>
        <w:t>Суаруға арналған су шығысы</w:t>
      </w:r>
      <w:r w:rsidRPr="00457CE9">
        <w:rPr>
          <w:rFonts w:ascii="Times New Roman" w:hAnsi="Times New Roman" w:cs="Times New Roman"/>
          <w:color w:val="000000"/>
          <w:sz w:val="28"/>
          <w:szCs w:val="28"/>
          <w:lang w:val="kk-KZ"/>
        </w:rPr>
        <w:t>» 0,126853043 тең болып 0,001853-ке ауытқыған. Үшінші орында бесінші индикатор «</w:t>
      </w:r>
      <w:r w:rsidRPr="00457CE9">
        <w:rPr>
          <w:rFonts w:ascii="Times New Roman" w:eastAsia="Times New Roman" w:hAnsi="Times New Roman" w:cs="Times New Roman"/>
          <w:color w:val="000000"/>
          <w:sz w:val="28"/>
          <w:szCs w:val="28"/>
          <w:lang w:val="kk-KZ" w:eastAsia="ru-RU"/>
        </w:rPr>
        <w:t>Азық-түлік тауарлары импортының көлемін азайту</w:t>
      </w:r>
      <w:r w:rsidRPr="00457CE9">
        <w:rPr>
          <w:rFonts w:ascii="Times New Roman" w:hAnsi="Times New Roman" w:cs="Times New Roman"/>
          <w:color w:val="000000"/>
          <w:sz w:val="28"/>
          <w:szCs w:val="28"/>
          <w:lang w:val="kk-KZ"/>
        </w:rPr>
        <w:t xml:space="preserve">»  0,126862023-ке тең болған, 0,001862-ге ауытқыған. </w:t>
      </w:r>
    </w:p>
    <w:p w14:paraId="2F15F404" w14:textId="24B2CF78" w:rsidR="00D57CC6" w:rsidRDefault="00790ABA" w:rsidP="00457CE9">
      <w:pPr>
        <w:tabs>
          <w:tab w:val="left" w:pos="993"/>
        </w:tabs>
        <w:spacing w:after="0" w:line="240" w:lineRule="auto"/>
        <w:ind w:firstLine="709"/>
        <w:jc w:val="both"/>
        <w:rPr>
          <w:rFonts w:ascii="Times New Roman" w:eastAsiaTheme="minorEastAsia" w:hAnsi="Times New Roman" w:cs="Times New Roman"/>
          <w:sz w:val="28"/>
          <w:lang w:val="kk-KZ"/>
        </w:rPr>
      </w:pPr>
      <w:r w:rsidRPr="00457CE9">
        <w:rPr>
          <w:rFonts w:ascii="Times New Roman" w:eastAsiaTheme="minorEastAsia" w:hAnsi="Times New Roman" w:cs="Times New Roman"/>
          <w:sz w:val="28"/>
          <w:lang w:val="kk-KZ"/>
        </w:rPr>
        <w:t xml:space="preserve">ҚР </w:t>
      </w:r>
      <w:r w:rsidR="00575788">
        <w:rPr>
          <w:rFonts w:ascii="Times New Roman" w:eastAsiaTheme="minorEastAsia" w:hAnsi="Times New Roman" w:cs="Times New Roman"/>
          <w:sz w:val="28"/>
          <w:lang w:val="kk-KZ"/>
        </w:rPr>
        <w:t>АӨК-н</w:t>
      </w:r>
      <w:r w:rsidRPr="00457CE9">
        <w:rPr>
          <w:rFonts w:ascii="Times New Roman" w:eastAsiaTheme="minorEastAsia" w:hAnsi="Times New Roman" w:cs="Times New Roman"/>
          <w:sz w:val="28"/>
          <w:lang w:val="kk-KZ"/>
        </w:rPr>
        <w:t xml:space="preserve"> дамытудың 2017-2021 жж. индикаторлардың эталон және нақты мәндері </w:t>
      </w:r>
      <w:r w:rsidR="00B90011" w:rsidRPr="00457CE9">
        <w:rPr>
          <w:rFonts w:ascii="Times New Roman" w:eastAsiaTheme="minorEastAsia" w:hAnsi="Times New Roman" w:cs="Times New Roman"/>
          <w:sz w:val="28"/>
          <w:lang w:val="kk-KZ"/>
        </w:rPr>
        <w:t>2</w:t>
      </w:r>
      <w:r w:rsidR="00A23F7A">
        <w:rPr>
          <w:rFonts w:ascii="Times New Roman" w:eastAsiaTheme="minorEastAsia" w:hAnsi="Times New Roman" w:cs="Times New Roman"/>
          <w:sz w:val="28"/>
          <w:lang w:val="kk-KZ"/>
        </w:rPr>
        <w:t>5</w:t>
      </w:r>
      <w:r w:rsidRPr="00457CE9">
        <w:rPr>
          <w:rFonts w:ascii="Times New Roman" w:eastAsiaTheme="minorEastAsia" w:hAnsi="Times New Roman" w:cs="Times New Roman"/>
          <w:sz w:val="28"/>
          <w:lang w:val="kk-KZ"/>
        </w:rPr>
        <w:t>-суретте келтірілген.</w:t>
      </w:r>
    </w:p>
    <w:p w14:paraId="1A81EA81" w14:textId="77777777" w:rsidR="00BB2991" w:rsidRPr="00457CE9" w:rsidRDefault="00BB2991" w:rsidP="00457CE9">
      <w:pPr>
        <w:tabs>
          <w:tab w:val="left" w:pos="993"/>
        </w:tabs>
        <w:spacing w:after="0" w:line="240" w:lineRule="auto"/>
        <w:ind w:firstLine="709"/>
        <w:jc w:val="both"/>
        <w:rPr>
          <w:rFonts w:ascii="Times New Roman" w:hAnsi="Times New Roman" w:cs="Times New Roman"/>
          <w:color w:val="000000"/>
          <w:sz w:val="28"/>
          <w:szCs w:val="28"/>
          <w:lang w:val="kk-KZ"/>
        </w:rPr>
      </w:pPr>
    </w:p>
    <w:p w14:paraId="47C4C5FB" w14:textId="38E7C8FA" w:rsidR="00FA59A8" w:rsidRPr="00457CE9" w:rsidRDefault="00D57CC6" w:rsidP="00791C93">
      <w:pPr>
        <w:tabs>
          <w:tab w:val="left" w:pos="993"/>
        </w:tabs>
        <w:spacing w:after="0" w:line="240" w:lineRule="auto"/>
        <w:jc w:val="center"/>
        <w:rPr>
          <w:rFonts w:ascii="Times New Roman" w:hAnsi="Times New Roman" w:cs="Times New Roman"/>
          <w:color w:val="000000"/>
          <w:sz w:val="24"/>
          <w:szCs w:val="24"/>
          <w:lang w:val="kk-KZ"/>
        </w:rPr>
      </w:pPr>
      <w:r w:rsidRPr="00457CE9">
        <w:rPr>
          <w:noProof/>
          <w:lang w:eastAsia="ru-RU"/>
        </w:rPr>
        <w:drawing>
          <wp:inline distT="0" distB="0" distL="0" distR="0" wp14:anchorId="6627D38F" wp14:editId="123BEFF5">
            <wp:extent cx="5216056" cy="2086720"/>
            <wp:effectExtent l="0" t="0" r="3810" b="8890"/>
            <wp:docPr id="714" name="Диаграмма 7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D7F47C-E9FB-CF1A-894F-7181E6DF7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0E253E" w14:textId="77777777" w:rsidR="00BB2991" w:rsidRPr="00BB2991" w:rsidRDefault="00BB2991" w:rsidP="00BB2991">
      <w:pPr>
        <w:tabs>
          <w:tab w:val="left" w:pos="993"/>
        </w:tabs>
        <w:spacing w:after="0" w:line="240" w:lineRule="auto"/>
        <w:jc w:val="center"/>
        <w:rPr>
          <w:rFonts w:ascii="Times New Roman" w:eastAsiaTheme="minorEastAsia" w:hAnsi="Times New Roman" w:cs="Times New Roman"/>
          <w:sz w:val="16"/>
          <w:szCs w:val="16"/>
          <w:lang w:val="kk-KZ"/>
        </w:rPr>
      </w:pPr>
    </w:p>
    <w:p w14:paraId="744364E5" w14:textId="48AB6F99" w:rsidR="00D57CC6" w:rsidRPr="00457CE9" w:rsidRDefault="00D57CC6" w:rsidP="00BB2991">
      <w:pPr>
        <w:tabs>
          <w:tab w:val="left" w:pos="993"/>
        </w:tabs>
        <w:spacing w:after="0" w:line="240" w:lineRule="auto"/>
        <w:jc w:val="center"/>
        <w:rPr>
          <w:rFonts w:ascii="Times New Roman" w:eastAsiaTheme="minorEastAsia" w:hAnsi="Times New Roman" w:cs="Times New Roman"/>
          <w:sz w:val="28"/>
          <w:lang w:val="kk-KZ"/>
        </w:rPr>
      </w:pPr>
      <w:r w:rsidRPr="00457CE9">
        <w:rPr>
          <w:rFonts w:ascii="Times New Roman" w:eastAsiaTheme="minorEastAsia" w:hAnsi="Times New Roman" w:cs="Times New Roman"/>
          <w:sz w:val="28"/>
          <w:lang w:val="kk-KZ"/>
        </w:rPr>
        <w:t xml:space="preserve">Сурет </w:t>
      </w:r>
      <w:r w:rsidR="00B90011" w:rsidRPr="00457CE9">
        <w:rPr>
          <w:rFonts w:ascii="Times New Roman" w:eastAsiaTheme="minorEastAsia" w:hAnsi="Times New Roman" w:cs="Times New Roman"/>
          <w:sz w:val="28"/>
          <w:lang w:val="kk-KZ"/>
        </w:rPr>
        <w:t>2</w:t>
      </w:r>
      <w:r w:rsidR="00A23F7A">
        <w:rPr>
          <w:rFonts w:ascii="Times New Roman" w:eastAsiaTheme="minorEastAsia" w:hAnsi="Times New Roman" w:cs="Times New Roman"/>
          <w:sz w:val="28"/>
          <w:lang w:val="kk-KZ"/>
        </w:rPr>
        <w:t>5</w:t>
      </w:r>
      <w:r w:rsidRPr="00457CE9">
        <w:rPr>
          <w:rFonts w:ascii="Times New Roman" w:eastAsiaTheme="minorEastAsia" w:hAnsi="Times New Roman" w:cs="Times New Roman"/>
          <w:sz w:val="28"/>
          <w:lang w:val="kk-KZ"/>
        </w:rPr>
        <w:t xml:space="preserve"> </w:t>
      </w:r>
      <w:r w:rsidR="00791C93">
        <w:rPr>
          <w:rFonts w:ascii="Times New Roman" w:eastAsiaTheme="minorEastAsia" w:hAnsi="Times New Roman" w:cs="Times New Roman"/>
          <w:sz w:val="28"/>
          <w:lang w:val="kk-KZ"/>
        </w:rPr>
        <w:t xml:space="preserve">– </w:t>
      </w:r>
      <w:r w:rsidRPr="00457CE9">
        <w:rPr>
          <w:rFonts w:ascii="Times New Roman" w:eastAsiaTheme="minorEastAsia" w:hAnsi="Times New Roman" w:cs="Times New Roman"/>
          <w:sz w:val="28"/>
          <w:lang w:val="kk-KZ"/>
        </w:rPr>
        <w:t xml:space="preserve">ҚР </w:t>
      </w:r>
      <w:r w:rsidR="00575788">
        <w:rPr>
          <w:rFonts w:ascii="Times New Roman" w:eastAsiaTheme="minorEastAsia" w:hAnsi="Times New Roman" w:cs="Times New Roman"/>
          <w:sz w:val="28"/>
          <w:lang w:val="kk-KZ"/>
        </w:rPr>
        <w:t>АӨК-н</w:t>
      </w:r>
      <w:r w:rsidRPr="00457CE9">
        <w:rPr>
          <w:rFonts w:ascii="Times New Roman" w:eastAsiaTheme="minorEastAsia" w:hAnsi="Times New Roman" w:cs="Times New Roman"/>
          <w:sz w:val="28"/>
          <w:lang w:val="kk-KZ"/>
        </w:rPr>
        <w:t xml:space="preserve"> дамытудың 2017</w:t>
      </w:r>
      <w:r w:rsidR="00790ABA" w:rsidRPr="00457CE9">
        <w:rPr>
          <w:rFonts w:ascii="Times New Roman" w:eastAsiaTheme="minorEastAsia" w:hAnsi="Times New Roman" w:cs="Times New Roman"/>
          <w:sz w:val="28"/>
          <w:lang w:val="kk-KZ"/>
        </w:rPr>
        <w:t>-2021</w:t>
      </w:r>
      <w:r w:rsidRPr="00457CE9">
        <w:rPr>
          <w:rFonts w:ascii="Times New Roman" w:eastAsiaTheme="minorEastAsia" w:hAnsi="Times New Roman" w:cs="Times New Roman"/>
          <w:sz w:val="28"/>
          <w:lang w:val="kk-KZ"/>
        </w:rPr>
        <w:t xml:space="preserve"> ж</w:t>
      </w:r>
      <w:r w:rsidR="00790ABA" w:rsidRPr="00457CE9">
        <w:rPr>
          <w:rFonts w:ascii="Times New Roman" w:eastAsiaTheme="minorEastAsia" w:hAnsi="Times New Roman" w:cs="Times New Roman"/>
          <w:sz w:val="28"/>
          <w:lang w:val="kk-KZ"/>
        </w:rPr>
        <w:t>ж.</w:t>
      </w:r>
      <w:r w:rsidRPr="00457CE9">
        <w:rPr>
          <w:rFonts w:ascii="Times New Roman" w:eastAsiaTheme="minorEastAsia" w:hAnsi="Times New Roman" w:cs="Times New Roman"/>
          <w:sz w:val="28"/>
          <w:lang w:val="kk-KZ"/>
        </w:rPr>
        <w:t xml:space="preserve"> индикаторлардың эталон және нақты мәндері</w:t>
      </w:r>
    </w:p>
    <w:p w14:paraId="7660EB89" w14:textId="77777777" w:rsidR="00BB2991" w:rsidRPr="00BB2991" w:rsidRDefault="00BB2991" w:rsidP="00457CE9">
      <w:pPr>
        <w:tabs>
          <w:tab w:val="left" w:pos="993"/>
        </w:tabs>
        <w:spacing w:after="0" w:line="240" w:lineRule="auto"/>
        <w:ind w:firstLine="709"/>
        <w:jc w:val="both"/>
        <w:rPr>
          <w:rFonts w:ascii="Times New Roman" w:eastAsiaTheme="minorEastAsia" w:hAnsi="Times New Roman" w:cs="Times New Roman"/>
          <w:sz w:val="16"/>
          <w:szCs w:val="16"/>
          <w:lang w:val="kk-KZ"/>
        </w:rPr>
      </w:pPr>
    </w:p>
    <w:p w14:paraId="12EE6C03" w14:textId="70ED01A5" w:rsidR="00FA59A8" w:rsidRPr="00457CE9" w:rsidRDefault="00D57CC6" w:rsidP="00457CE9">
      <w:pPr>
        <w:tabs>
          <w:tab w:val="left" w:pos="993"/>
        </w:tabs>
        <w:spacing w:after="0" w:line="240" w:lineRule="auto"/>
        <w:ind w:firstLine="709"/>
        <w:jc w:val="both"/>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791C93" w:rsidRPr="00457CE9">
        <w:rPr>
          <w:rFonts w:ascii="Times New Roman" w:eastAsiaTheme="minorEastAsia" w:hAnsi="Times New Roman" w:cs="Times New Roman"/>
          <w:sz w:val="24"/>
          <w:szCs w:val="24"/>
          <w:lang w:val="kk-KZ"/>
        </w:rPr>
        <w:t>А</w:t>
      </w:r>
      <w:r w:rsidRPr="00457CE9">
        <w:rPr>
          <w:rFonts w:ascii="Times New Roman" w:eastAsiaTheme="minorEastAsia" w:hAnsi="Times New Roman" w:cs="Times New Roman"/>
          <w:sz w:val="24"/>
          <w:szCs w:val="24"/>
          <w:lang w:val="kk-KZ"/>
        </w:rPr>
        <w:t>втормен құрастырылған</w:t>
      </w:r>
    </w:p>
    <w:p w14:paraId="523F56CA" w14:textId="77777777" w:rsidR="005E4CCD" w:rsidRPr="00457CE9" w:rsidRDefault="005E4CCD"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p>
    <w:p w14:paraId="05AFEA2D" w14:textId="2668BF53" w:rsidR="00647B71" w:rsidRPr="00457CE9" w:rsidRDefault="00B90011" w:rsidP="00457CE9">
      <w:pPr>
        <w:tabs>
          <w:tab w:val="left" w:pos="993"/>
        </w:tabs>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5</w:t>
      </w:r>
      <w:r w:rsidR="00647B71" w:rsidRPr="00457CE9">
        <w:rPr>
          <w:rFonts w:ascii="Times New Roman" w:eastAsiaTheme="minorEastAsia" w:hAnsi="Times New Roman" w:cs="Times New Roman"/>
          <w:sz w:val="28"/>
          <w:szCs w:val="28"/>
          <w:lang w:val="kk-KZ"/>
        </w:rPr>
        <w:t>-</w:t>
      </w:r>
      <w:r w:rsidR="00790ABA" w:rsidRPr="00457CE9">
        <w:rPr>
          <w:rFonts w:ascii="Times New Roman" w:eastAsiaTheme="minorEastAsia" w:hAnsi="Times New Roman" w:cs="Times New Roman"/>
          <w:sz w:val="28"/>
          <w:szCs w:val="28"/>
          <w:lang w:val="kk-KZ"/>
        </w:rPr>
        <w:t>сурет</w:t>
      </w:r>
      <w:r w:rsidR="00647B71" w:rsidRPr="00457CE9">
        <w:rPr>
          <w:rFonts w:ascii="Times New Roman" w:eastAsiaTheme="minorEastAsia" w:hAnsi="Times New Roman" w:cs="Times New Roman"/>
          <w:sz w:val="28"/>
          <w:szCs w:val="28"/>
          <w:lang w:val="kk-KZ"/>
        </w:rPr>
        <w:t xml:space="preserve"> мәліметтерінен</w:t>
      </w:r>
      <w:r w:rsidR="008A35CD" w:rsidRPr="00457CE9">
        <w:rPr>
          <w:rFonts w:ascii="Times New Roman" w:eastAsiaTheme="minorEastAsia" w:hAnsi="Times New Roman" w:cs="Times New Roman"/>
          <w:sz w:val="28"/>
          <w:szCs w:val="28"/>
          <w:lang w:val="kk-KZ"/>
        </w:rPr>
        <w:t xml:space="preserve"> келесідей қорытынды жасауға болады:</w:t>
      </w:r>
    </w:p>
    <w:p w14:paraId="48B77193" w14:textId="4F651053" w:rsidR="00647B71" w:rsidRPr="00457CE9" w:rsidRDefault="005E4CCD" w:rsidP="0097172E">
      <w:pPr>
        <w:pStyle w:val="a5"/>
        <w:numPr>
          <w:ilvl w:val="0"/>
          <w:numId w:val="31"/>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т</w:t>
      </w:r>
      <w:r w:rsidR="00647B71" w:rsidRPr="00457CE9">
        <w:rPr>
          <w:rFonts w:ascii="Times New Roman" w:eastAsiaTheme="minorEastAsia" w:hAnsi="Times New Roman"/>
          <w:sz w:val="28"/>
          <w:szCs w:val="28"/>
          <w:lang w:val="kk-KZ"/>
        </w:rPr>
        <w:t>иімді бағаға ең жақын индикатор «</w:t>
      </w:r>
      <w:r w:rsidR="00790ABA" w:rsidRPr="00457CE9">
        <w:rPr>
          <w:rFonts w:ascii="Times New Roman" w:eastAsia="Times New Roman" w:hAnsi="Times New Roman"/>
          <w:color w:val="000000"/>
          <w:sz w:val="28"/>
          <w:szCs w:val="28"/>
          <w:lang w:val="kk-KZ" w:eastAsia="ru-RU"/>
        </w:rPr>
        <w:t>2015 жылдың деңгейімен салыстырғанда ауыл шаруашылығы жалпы өнімінің (көрсетілетін қызметтерінің) нақты көлем индексі</w:t>
      </w:r>
      <w:r w:rsidR="00647B71" w:rsidRPr="00457CE9">
        <w:rPr>
          <w:rFonts w:ascii="Times New Roman" w:eastAsiaTheme="minorEastAsia" w:hAnsi="Times New Roman"/>
          <w:sz w:val="28"/>
          <w:szCs w:val="28"/>
          <w:lang w:val="kk-KZ"/>
        </w:rPr>
        <w:t>» болып табылады;</w:t>
      </w:r>
    </w:p>
    <w:p w14:paraId="408CFB34" w14:textId="482566E0" w:rsidR="00647B71" w:rsidRPr="00457CE9" w:rsidRDefault="005E4CCD" w:rsidP="0097172E">
      <w:pPr>
        <w:pStyle w:val="a5"/>
        <w:numPr>
          <w:ilvl w:val="0"/>
          <w:numId w:val="31"/>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т</w:t>
      </w:r>
      <w:r w:rsidR="00647B71" w:rsidRPr="00457CE9">
        <w:rPr>
          <w:rFonts w:ascii="Times New Roman" w:eastAsiaTheme="minorEastAsia" w:hAnsi="Times New Roman"/>
          <w:sz w:val="28"/>
          <w:szCs w:val="28"/>
          <w:lang w:val="kk-KZ"/>
        </w:rPr>
        <w:t xml:space="preserve">иімді бағаға </w:t>
      </w:r>
      <w:r w:rsidRPr="00457CE9">
        <w:rPr>
          <w:rFonts w:ascii="Times New Roman" w:eastAsiaTheme="minorEastAsia" w:hAnsi="Times New Roman"/>
          <w:sz w:val="28"/>
          <w:szCs w:val="28"/>
          <w:lang w:val="kk-KZ"/>
        </w:rPr>
        <w:t>«</w:t>
      </w:r>
      <w:r w:rsidR="008A35CD" w:rsidRPr="00457CE9">
        <w:rPr>
          <w:rFonts w:ascii="Times New Roman" w:eastAsia="Times New Roman" w:hAnsi="Times New Roman"/>
          <w:color w:val="000000"/>
          <w:sz w:val="28"/>
          <w:szCs w:val="28"/>
          <w:lang w:val="kk-KZ" w:eastAsia="ru-RU"/>
        </w:rPr>
        <w:t>Суаруға арналған су шығысы</w:t>
      </w:r>
      <w:r w:rsidR="00647B71" w:rsidRPr="00457CE9">
        <w:rPr>
          <w:rFonts w:ascii="Times New Roman" w:eastAsiaTheme="minorEastAsia" w:hAnsi="Times New Roman"/>
          <w:sz w:val="28"/>
          <w:szCs w:val="28"/>
          <w:lang w:val="kk-KZ"/>
        </w:rPr>
        <w:t>» индикаторынан кейінгі  жақын индикаторлар «</w:t>
      </w:r>
      <w:r w:rsidR="008A35CD" w:rsidRPr="00457CE9">
        <w:rPr>
          <w:rFonts w:ascii="Times New Roman" w:eastAsia="Times New Roman" w:hAnsi="Times New Roman"/>
          <w:color w:val="000000"/>
          <w:sz w:val="28"/>
          <w:szCs w:val="28"/>
          <w:lang w:val="kk-KZ" w:eastAsia="ru-RU"/>
        </w:rPr>
        <w:t>Азық-түлік тауарлары импортының көлемін азайту</w:t>
      </w:r>
      <w:r w:rsidR="00647B71" w:rsidRPr="00457CE9">
        <w:rPr>
          <w:rFonts w:ascii="Times New Roman" w:eastAsiaTheme="minorEastAsia" w:hAnsi="Times New Roman"/>
          <w:sz w:val="28"/>
          <w:szCs w:val="28"/>
          <w:lang w:val="kk-KZ"/>
        </w:rPr>
        <w:t>» және «</w:t>
      </w:r>
      <w:r w:rsidR="008A35CD" w:rsidRPr="00457CE9">
        <w:rPr>
          <w:rFonts w:ascii="Times New Roman" w:eastAsia="Times New Roman" w:hAnsi="Times New Roman"/>
          <w:color w:val="000000"/>
          <w:sz w:val="28"/>
          <w:szCs w:val="28"/>
          <w:lang w:val="kk-KZ" w:eastAsia="ru-RU"/>
        </w:rPr>
        <w:t>Өнеркәсіптегі сумен жабдықтау жүйесіндегі судың көлемі</w:t>
      </w:r>
      <w:r w:rsidR="00647B71" w:rsidRPr="00457CE9">
        <w:rPr>
          <w:rFonts w:ascii="Times New Roman" w:eastAsiaTheme="minorEastAsia" w:hAnsi="Times New Roman"/>
          <w:sz w:val="28"/>
          <w:szCs w:val="28"/>
          <w:lang w:val="kk-KZ"/>
        </w:rPr>
        <w:t>»</w:t>
      </w:r>
      <w:r w:rsidR="008A35CD" w:rsidRPr="00457CE9">
        <w:rPr>
          <w:rFonts w:ascii="Times New Roman" w:eastAsiaTheme="minorEastAsia" w:hAnsi="Times New Roman"/>
          <w:sz w:val="28"/>
          <w:szCs w:val="28"/>
          <w:lang w:val="kk-KZ"/>
        </w:rPr>
        <w:t>, алтыншы жақын индикатор «</w:t>
      </w:r>
      <w:r w:rsidR="008A35CD" w:rsidRPr="00457CE9">
        <w:rPr>
          <w:rFonts w:ascii="Times New Roman" w:eastAsia="Times New Roman" w:hAnsi="Times New Roman"/>
          <w:color w:val="000000"/>
          <w:sz w:val="28"/>
          <w:szCs w:val="28"/>
          <w:lang w:val="kk-KZ" w:eastAsia="ru-RU"/>
        </w:rPr>
        <w:t>2015  жылдың деңгейімен салыстырғанда тамақ өнімдері өндірісіндегі негізгі капиталға салынатын инвестициялардың нақты көлем индексі</w:t>
      </w:r>
      <w:r w:rsidR="008A35CD" w:rsidRPr="00457CE9">
        <w:rPr>
          <w:rFonts w:ascii="Times New Roman" w:eastAsiaTheme="minorEastAsia" w:hAnsi="Times New Roman"/>
          <w:sz w:val="28"/>
          <w:szCs w:val="28"/>
          <w:lang w:val="kk-KZ"/>
        </w:rPr>
        <w:t>» және одан кейінгі «Ауыл шаруашылығындағы еңбек өнімділігінің 2,5 есе өсуі»</w:t>
      </w:r>
      <w:r w:rsidR="006E52D3" w:rsidRPr="00457CE9">
        <w:rPr>
          <w:rFonts w:ascii="Times New Roman" w:eastAsiaTheme="minorEastAsia" w:hAnsi="Times New Roman"/>
          <w:sz w:val="28"/>
          <w:szCs w:val="28"/>
          <w:lang w:val="kk-KZ"/>
        </w:rPr>
        <w:t>;</w:t>
      </w:r>
    </w:p>
    <w:p w14:paraId="7B8DDBD2" w14:textId="587FE9E0" w:rsidR="00647B71" w:rsidRPr="00457CE9" w:rsidRDefault="005E4CCD" w:rsidP="0097172E">
      <w:pPr>
        <w:pStyle w:val="a5"/>
        <w:numPr>
          <w:ilvl w:val="0"/>
          <w:numId w:val="31"/>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т</w:t>
      </w:r>
      <w:r w:rsidR="00647B71" w:rsidRPr="00457CE9">
        <w:rPr>
          <w:rFonts w:ascii="Times New Roman" w:eastAsiaTheme="minorEastAsia" w:hAnsi="Times New Roman"/>
          <w:sz w:val="28"/>
          <w:szCs w:val="28"/>
          <w:lang w:val="kk-KZ"/>
        </w:rPr>
        <w:t>иімді бағаға ең төмен сәйкес келетін индикатор «</w:t>
      </w:r>
      <w:r w:rsidR="008A35CD" w:rsidRPr="00457CE9">
        <w:rPr>
          <w:rFonts w:ascii="Times New Roman" w:eastAsia="Times New Roman" w:hAnsi="Times New Roman"/>
          <w:color w:val="000000"/>
          <w:sz w:val="28"/>
          <w:szCs w:val="28"/>
          <w:lang w:val="kk-KZ" w:eastAsia="ru-RU"/>
        </w:rPr>
        <w:t>2015  жылдың деңгейімен салыстырғанда ауыл шаруашылығындағы негізгі капиталға салынатын инвестициялардың нақты көлем индексі</w:t>
      </w:r>
      <w:r w:rsidR="00647B71" w:rsidRPr="00457CE9">
        <w:rPr>
          <w:rFonts w:ascii="Times New Roman" w:eastAsiaTheme="minorEastAsia" w:hAnsi="Times New Roman"/>
          <w:sz w:val="28"/>
          <w:szCs w:val="28"/>
          <w:lang w:val="kk-KZ"/>
        </w:rPr>
        <w:t>».</w:t>
      </w:r>
    </w:p>
    <w:p w14:paraId="39D6A863" w14:textId="3658FCBC" w:rsidR="008A35CD" w:rsidRPr="00457CE9" w:rsidRDefault="008A35CD"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2017-2021 жж. дамытудың мемлекеттік бағдарламасының негізгі нысаналы индикаторларының жоспарлы көрсеткіштері нақты орындалмағанын статистикалық агенттік деректерінен көруге болады </w:t>
      </w:r>
      <w:r w:rsidRPr="00145BBA">
        <w:rPr>
          <w:rFonts w:ascii="Times New Roman" w:eastAsiaTheme="minorEastAsia" w:hAnsi="Times New Roman" w:cs="Times New Roman"/>
          <w:sz w:val="28"/>
          <w:szCs w:val="28"/>
          <w:lang w:val="kk-KZ"/>
        </w:rPr>
        <w:t>(</w:t>
      </w:r>
      <w:r w:rsidR="00145BBA" w:rsidRPr="00145BBA">
        <w:rPr>
          <w:rFonts w:ascii="Times New Roman" w:eastAsiaTheme="minorEastAsia" w:hAnsi="Times New Roman" w:cs="Times New Roman"/>
          <w:sz w:val="28"/>
          <w:szCs w:val="28"/>
          <w:lang w:val="kk-KZ"/>
        </w:rPr>
        <w:t>26</w:t>
      </w:r>
      <w:r w:rsidRPr="00145BBA">
        <w:rPr>
          <w:rFonts w:ascii="Times New Roman" w:eastAsiaTheme="minorEastAsia" w:hAnsi="Times New Roman" w:cs="Times New Roman"/>
          <w:sz w:val="28"/>
          <w:szCs w:val="28"/>
          <w:lang w:val="kk-KZ"/>
        </w:rPr>
        <w:t>-кестеден). Жалпы аталған жылдар аралығындағы жұмсалған бюджет қаражатының пайдалану тиімділігі орташа деген қорытынды жасауға болады</w:t>
      </w:r>
      <w:r w:rsidRPr="00457CE9">
        <w:rPr>
          <w:rFonts w:ascii="Times New Roman" w:eastAsiaTheme="minorEastAsia" w:hAnsi="Times New Roman" w:cs="Times New Roman"/>
          <w:sz w:val="28"/>
          <w:szCs w:val="28"/>
          <w:lang w:val="kk-KZ"/>
        </w:rPr>
        <w:t xml:space="preserve">. Иерархиялық талдау моделі мемлекеттік бағдарламаны іске асыруды бастаған кезде тиімділігін бағалауға мүмкіндік беретін модель болып табылады. </w:t>
      </w:r>
      <w:r w:rsidR="00D84D55" w:rsidRPr="00457CE9">
        <w:rPr>
          <w:rFonts w:ascii="Times New Roman" w:eastAsiaTheme="minorEastAsia" w:hAnsi="Times New Roman" w:cs="Times New Roman"/>
          <w:sz w:val="28"/>
          <w:szCs w:val="28"/>
          <w:lang w:val="kk-KZ"/>
        </w:rPr>
        <w:t>Эталон мәнінен ауытқуы</w:t>
      </w:r>
      <w:r w:rsidR="006E52D3" w:rsidRPr="00457CE9">
        <w:rPr>
          <w:rFonts w:ascii="Times New Roman" w:eastAsiaTheme="minorEastAsia" w:hAnsi="Times New Roman" w:cs="Times New Roman"/>
          <w:sz w:val="28"/>
          <w:szCs w:val="28"/>
          <w:lang w:val="kk-KZ"/>
        </w:rPr>
        <w:t xml:space="preserve"> шаралар жетіспеушілігін білдіреді.</w:t>
      </w:r>
      <w:r w:rsidR="00D84D55" w:rsidRPr="00457CE9">
        <w:rPr>
          <w:rFonts w:ascii="Times New Roman" w:eastAsiaTheme="minorEastAsia" w:hAnsi="Times New Roman" w:cs="Times New Roman"/>
          <w:sz w:val="28"/>
          <w:szCs w:val="28"/>
          <w:lang w:val="kk-KZ"/>
        </w:rPr>
        <w:t xml:space="preserve"> </w:t>
      </w:r>
    </w:p>
    <w:p w14:paraId="6191F9DE" w14:textId="032C4188" w:rsidR="005E4CCD" w:rsidRPr="00457CE9" w:rsidRDefault="005E4CCD"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Аудиторлық пікір: 2017-2021 жж. АӨК дамытуға бағытталған бюджет қаражатын пайдалану тиімділігі төмен деген қорытынды жасауға болады.</w:t>
      </w:r>
    </w:p>
    <w:p w14:paraId="0C36F0A4" w14:textId="72AD100A" w:rsidR="00647B71" w:rsidRPr="00457CE9" w:rsidRDefault="00647B71" w:rsidP="00457CE9">
      <w:pPr>
        <w:spacing w:after="0" w:line="240" w:lineRule="auto"/>
        <w:ind w:firstLine="708"/>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жылдары аралығында дамытуға жоспарланған бюджет қаражатының тиімділігін бағалауда иерархиялық талдау моделі қолданылды. ҚР АӨК 2021-2025 жж. дамытудың ұлттық жобасы бойынша мақсаты анықталған. Ұлттық жобадағы жоспарланған міндеттер, көрсеткіштер және іс-шараларды іске асыруға бағытталған бюджет қаражатының қаншалықты тиімді үлестірілгенін жұптық салыстыру матрицаларының көбейтінділері арқылы баға беру ұсынылды. Ұлттық жобаны іске асырудан күтілетін әсер, келесі негізгі критерийлер анықталды:</w:t>
      </w:r>
    </w:p>
    <w:p w14:paraId="32BA860A" w14:textId="77777777" w:rsidR="00647B71" w:rsidRPr="00457CE9" w:rsidRDefault="00647B71" w:rsidP="0097172E">
      <w:pPr>
        <w:pStyle w:val="a5"/>
        <w:numPr>
          <w:ilvl w:val="0"/>
          <w:numId w:val="32"/>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еңбек өнімділігін 2,5 есе ұлғайту;</w:t>
      </w:r>
    </w:p>
    <w:p w14:paraId="38B50BE5" w14:textId="77777777" w:rsidR="00647B71" w:rsidRPr="00457CE9" w:rsidRDefault="00647B71" w:rsidP="0097172E">
      <w:pPr>
        <w:pStyle w:val="a5"/>
        <w:numPr>
          <w:ilvl w:val="0"/>
          <w:numId w:val="32"/>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ауыл шаруашылық қайта өңделген өнім экспортының көлемін ұлғайту;</w:t>
      </w:r>
    </w:p>
    <w:p w14:paraId="14961700" w14:textId="77777777" w:rsidR="00647B71" w:rsidRPr="00457CE9" w:rsidRDefault="00647B71" w:rsidP="0097172E">
      <w:pPr>
        <w:pStyle w:val="a5"/>
        <w:numPr>
          <w:ilvl w:val="0"/>
          <w:numId w:val="32"/>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ауыл шаруашылық өнім импорт көлемін азайту;</w:t>
      </w:r>
    </w:p>
    <w:p w14:paraId="5CFD276D" w14:textId="77777777" w:rsidR="00647B71" w:rsidRPr="00457CE9" w:rsidRDefault="00647B71" w:rsidP="0097172E">
      <w:pPr>
        <w:pStyle w:val="a5"/>
        <w:numPr>
          <w:ilvl w:val="0"/>
          <w:numId w:val="32"/>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ауыл шаруашылық өнім өндірісіне бағытталған тікелей инвестицияларды ұлғайту;</w:t>
      </w:r>
    </w:p>
    <w:p w14:paraId="76DE64EC" w14:textId="77777777" w:rsidR="00647B71" w:rsidRPr="00457CE9" w:rsidRDefault="00647B71" w:rsidP="0097172E">
      <w:pPr>
        <w:pStyle w:val="a5"/>
        <w:numPr>
          <w:ilvl w:val="0"/>
          <w:numId w:val="32"/>
        </w:numPr>
        <w:tabs>
          <w:tab w:val="left" w:pos="993"/>
        </w:tabs>
        <w:spacing w:after="0" w:line="240" w:lineRule="auto"/>
        <w:ind w:left="0" w:firstLine="709"/>
        <w:jc w:val="both"/>
        <w:rPr>
          <w:rFonts w:ascii="Times New Roman" w:eastAsiaTheme="minorEastAsia" w:hAnsi="Times New Roman"/>
          <w:sz w:val="28"/>
          <w:szCs w:val="28"/>
          <w:lang w:val="kk-KZ"/>
        </w:rPr>
      </w:pPr>
      <w:r w:rsidRPr="00457CE9">
        <w:rPr>
          <w:rFonts w:ascii="Times New Roman" w:eastAsiaTheme="minorEastAsia" w:hAnsi="Times New Roman"/>
          <w:sz w:val="28"/>
          <w:szCs w:val="28"/>
          <w:lang w:val="kk-KZ"/>
        </w:rPr>
        <w:t>ауыл шаруашылық өнімінің ЖІӨ-гі үлесін арттыру.</w:t>
      </w:r>
    </w:p>
    <w:p w14:paraId="41D3368D" w14:textId="51817E94" w:rsidR="00791C93" w:rsidRDefault="00791C93" w:rsidP="00791C93">
      <w:pPr>
        <w:widowControl w:val="0"/>
        <w:tabs>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аралығында дамыту жобасында иерархиялық талдау моделі ерекшеленеді, себебі, ұлттық жобада, қойылған 4-міндеттер, оны орындау үшін көрсеткіштер және көрсеткіштерге іс-шаралар жоспарланған. </w:t>
      </w:r>
      <w:r w:rsidRPr="00457CE9">
        <w:rPr>
          <w:rFonts w:ascii="Times New Roman" w:hAnsi="Times New Roman" w:cs="Times New Roman"/>
          <w:sz w:val="28"/>
          <w:szCs w:val="28"/>
          <w:lang w:val="kk-KZ"/>
        </w:rPr>
        <w:t xml:space="preserve">Мәселен, ұлттық жобаның бірінші тапсырмасы ауыл шаруашылығында жұмыспен қамтылғандардың еңбек өнімділігін 2,5 есеге арттыру деп анықталған тапсырма бойынша негізгі жеті көрсеткіш қойылған. Осы көрсеткіштер тиімділік аудитінің критерийлері ретінде анықтай отырып, кешенді түрде қаншалықты еңбек өнімділігіне әсерін анықтау әдістемесі қажет. </w:t>
      </w:r>
    </w:p>
    <w:p w14:paraId="6BD5C1E4" w14:textId="475125AF" w:rsidR="00FA5280" w:rsidRDefault="00A23F7A" w:rsidP="00FA5280">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2021-2025 жж. аралығында дамытудың ұлттық жобасында 1-міндеті «</w:t>
      </w:r>
      <w:r>
        <w:rPr>
          <w:rFonts w:ascii="Times New Roman" w:eastAsia="Times New Roman" w:hAnsi="Times New Roman" w:cs="Times New Roman"/>
          <w:kern w:val="36"/>
          <w:sz w:val="28"/>
          <w:szCs w:val="28"/>
          <w:lang w:val="kk-KZ" w:eastAsia="ru-RU"/>
        </w:rPr>
        <w:t>Еңбек өнімділігін 2,5 есе ұлғайту</w:t>
      </w:r>
      <w:r>
        <w:rPr>
          <w:rFonts w:ascii="Times New Roman" w:eastAsiaTheme="minorEastAsia" w:hAnsi="Times New Roman" w:cs="Times New Roman"/>
          <w:sz w:val="28"/>
          <w:szCs w:val="28"/>
          <w:lang w:val="kk-KZ"/>
        </w:rPr>
        <w:t>» деп анықталған, осы міндетті орындау үшін 7 көрсеткіш жоспарланған [86]. 1-көрсеткіш «</w:t>
      </w:r>
      <w:r>
        <w:rPr>
          <w:rFonts w:ascii="Times New Roman" w:hAnsi="Times New Roman" w:cs="Times New Roman"/>
          <w:color w:val="000000"/>
          <w:sz w:val="28"/>
          <w:szCs w:val="28"/>
          <w:shd w:val="clear" w:color="auto" w:fill="FFFFFF"/>
          <w:lang w:val="kk-KZ"/>
        </w:rPr>
        <w:t>Субсидиялау көлемін өсіру есебінен ауыл шаруашылығы техникасын сатып алуды 1,5 есе ұлғайту</w:t>
      </w:r>
      <w:r>
        <w:rPr>
          <w:rFonts w:ascii="Times New Roman" w:eastAsiaTheme="minorEastAsia" w:hAnsi="Times New Roman" w:cs="Times New Roman"/>
          <w:sz w:val="28"/>
          <w:szCs w:val="28"/>
          <w:lang w:val="kk-KZ"/>
        </w:rPr>
        <w:t xml:space="preserve">» деп аталады, оған 2 іс-шара бекітілген. </w:t>
      </w:r>
    </w:p>
    <w:p w14:paraId="275310B0" w14:textId="471C28B2" w:rsidR="00A23F7A" w:rsidRDefault="00A23F7A" w:rsidP="00A23F7A">
      <w:pPr>
        <w:widowControl w:val="0"/>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2021-2025 жж. дамытудың ұлттық жобасының міндеттері, көрсеткіштері және іс-шаралары бойынша [107] жалпы иерархиялық модель сызбасы 26-суретте келтірілген.</w:t>
      </w:r>
    </w:p>
    <w:p w14:paraId="6BBBA987" w14:textId="77777777" w:rsidR="00647B71" w:rsidRPr="00457CE9" w:rsidRDefault="00647B71" w:rsidP="00457CE9">
      <w:pPr>
        <w:spacing w:after="0" w:line="240" w:lineRule="auto"/>
        <w:rPr>
          <w:rFonts w:ascii="Times New Roman" w:eastAsiaTheme="minorEastAsia" w:hAnsi="Times New Roman" w:cs="Times New Roman"/>
          <w:lang w:val="kk-KZ"/>
        </w:rPr>
        <w:sectPr w:rsidR="00647B71" w:rsidRPr="00457CE9" w:rsidSect="00D03D0E">
          <w:footerReference w:type="default" r:id="rId48"/>
          <w:pgSz w:w="11906" w:h="16838"/>
          <w:pgMar w:top="1134" w:right="567" w:bottom="1134" w:left="1701" w:header="709" w:footer="709" w:gutter="0"/>
          <w:cols w:space="720"/>
        </w:sectPr>
      </w:pPr>
    </w:p>
    <w:p w14:paraId="6B936F2D" w14:textId="3EBD03FF" w:rsidR="00B10552" w:rsidRDefault="00B10552" w:rsidP="00B10552">
      <w:pPr>
        <w:spacing w:after="0" w:line="240" w:lineRule="auto"/>
        <w:rPr>
          <w:rFonts w:ascii="Times New Roman" w:eastAsiaTheme="minorHAnsi" w:hAnsi="Times New Roman" w:cs="Times New Roman"/>
          <w:sz w:val="28"/>
          <w:szCs w:val="28"/>
          <w:lang w:val="kk-KZ"/>
        </w:rPr>
      </w:pPr>
      <w:r>
        <w:rPr>
          <w:noProof/>
          <w:lang w:eastAsia="ru-RU"/>
        </w:rPr>
        <mc:AlternateContent>
          <mc:Choice Requires="wps">
            <w:drawing>
              <wp:anchor distT="0" distB="0" distL="114299" distR="114299" simplePos="0" relativeHeight="252790784" behindDoc="0" locked="0" layoutInCell="1" allowOverlap="1" wp14:anchorId="0962C40D" wp14:editId="28C900F1">
                <wp:simplePos x="0" y="0"/>
                <wp:positionH relativeFrom="column">
                  <wp:posOffset>6273165</wp:posOffset>
                </wp:positionH>
                <wp:positionV relativeFrom="paragraph">
                  <wp:posOffset>398780</wp:posOffset>
                </wp:positionV>
                <wp:extent cx="0" cy="259080"/>
                <wp:effectExtent l="76200" t="0" r="57150" b="64770"/>
                <wp:wrapNone/>
                <wp:docPr id="1785677475"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F667C" id="Прямая со стрелкой 266" o:spid="_x0000_s1026" type="#_x0000_t32" style="position:absolute;margin-left:493.95pt;margin-top:31.4pt;width:0;height:20.4pt;z-index:25279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791808" behindDoc="0" locked="0" layoutInCell="1" allowOverlap="1" wp14:anchorId="2D07D5A1" wp14:editId="7FEF8D59">
                <wp:simplePos x="0" y="0"/>
                <wp:positionH relativeFrom="column">
                  <wp:posOffset>1588770</wp:posOffset>
                </wp:positionH>
                <wp:positionV relativeFrom="paragraph">
                  <wp:posOffset>9525</wp:posOffset>
                </wp:positionV>
                <wp:extent cx="3390900" cy="335280"/>
                <wp:effectExtent l="0" t="0" r="19050" b="26670"/>
                <wp:wrapNone/>
                <wp:docPr id="322531081"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3352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DD599A6" w14:textId="77777777" w:rsidR="00B10552" w:rsidRDefault="00B10552" w:rsidP="00B10552">
                            <w:pPr>
                              <w:jc w:val="center"/>
                              <w:rPr>
                                <w:rFonts w:ascii="Times New Roman" w:hAnsi="Times New Roman" w:cs="Times New Roman"/>
                                <w:sz w:val="24"/>
                                <w:szCs w:val="24"/>
                                <w:lang w:val="kk-KZ"/>
                              </w:rPr>
                            </w:pPr>
                            <w:r>
                              <w:rPr>
                                <w:rFonts w:ascii="Times New Roman" w:hAnsi="Times New Roman" w:cs="Times New Roman"/>
                                <w:sz w:val="24"/>
                                <w:szCs w:val="24"/>
                              </w:rPr>
                              <w:t>Ти</w:t>
                            </w:r>
                            <w:r>
                              <w:rPr>
                                <w:rFonts w:ascii="Times New Roman" w:hAnsi="Times New Roman" w:cs="Times New Roman"/>
                                <w:sz w:val="24"/>
                                <w:szCs w:val="24"/>
                                <w:lang w:val="kk-KZ"/>
                              </w:rPr>
                              <w:t>імділікті сыртқы тәуелсіз объективті бағалау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7D5A1" id="Прямоугольник 265" o:spid="_x0000_s1283" style="position:absolute;margin-left:125.1pt;margin-top:.75pt;width:267pt;height:26.4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" fillcolor="white [3201]" strokecolor="black [3200]" strokeweight=".25pt">
                <v:path arrowok="t"/>
                <v:textbox>
                  <w:txbxContent>
                    <w:p w14:paraId="7DD599A6" w14:textId="77777777" w:rsidR="00B10552" w:rsidRDefault="00B10552" w:rsidP="00B10552">
                      <w:pPr>
                        <w:jc w:val="center"/>
                        <w:rPr>
                          <w:rFonts w:ascii="Times New Roman" w:hAnsi="Times New Roman" w:cs="Times New Roman"/>
                          <w:sz w:val="24"/>
                          <w:szCs w:val="24"/>
                          <w:lang w:val="kk-KZ"/>
                        </w:rPr>
                      </w:pPr>
                      <w:r>
                        <w:rPr>
                          <w:rFonts w:ascii="Times New Roman" w:hAnsi="Times New Roman" w:cs="Times New Roman"/>
                          <w:sz w:val="24"/>
                          <w:szCs w:val="24"/>
                        </w:rPr>
                        <w:t>Ти</w:t>
                      </w:r>
                      <w:r>
                        <w:rPr>
                          <w:rFonts w:ascii="Times New Roman" w:hAnsi="Times New Roman" w:cs="Times New Roman"/>
                          <w:sz w:val="24"/>
                          <w:szCs w:val="24"/>
                          <w:lang w:val="kk-KZ"/>
                        </w:rPr>
                        <w:t>імділікті сыртқы тәуелсіз объективті бағалау</w:t>
                      </w:r>
                    </w:p>
                  </w:txbxContent>
                </v:textbox>
              </v:rect>
            </w:pict>
          </mc:Fallback>
        </mc:AlternateContent>
      </w:r>
      <w:r>
        <w:rPr>
          <w:noProof/>
          <w:lang w:eastAsia="ru-RU"/>
        </w:rPr>
        <mc:AlternateContent>
          <mc:Choice Requires="wps">
            <w:drawing>
              <wp:anchor distT="4294967295" distB="4294967295" distL="114300" distR="114300" simplePos="0" relativeHeight="252792832" behindDoc="0" locked="0" layoutInCell="1" allowOverlap="1" wp14:anchorId="209B5017" wp14:editId="005F1938">
                <wp:simplePos x="0" y="0"/>
                <wp:positionH relativeFrom="column">
                  <wp:posOffset>1985010</wp:posOffset>
                </wp:positionH>
                <wp:positionV relativeFrom="paragraph">
                  <wp:posOffset>718820</wp:posOffset>
                </wp:positionV>
                <wp:extent cx="6858000" cy="0"/>
                <wp:effectExtent l="0" t="0" r="0" b="0"/>
                <wp:wrapNone/>
                <wp:docPr id="2006245316"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148B2C" id="Прямая соединительная линия 264" o:spid="_x0000_s1026" style="position:absolute;z-index:25279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6.3pt,56.6pt" to="696.3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" strokecolor="black [3040]">
                <o:lock v:ext="edit" shapetype="f"/>
              </v:line>
            </w:pict>
          </mc:Fallback>
        </mc:AlternateContent>
      </w:r>
      <w:r>
        <w:rPr>
          <w:noProof/>
          <w:lang w:eastAsia="ru-RU"/>
        </w:rPr>
        <mc:AlternateContent>
          <mc:Choice Requires="wps">
            <w:drawing>
              <wp:anchor distT="0" distB="0" distL="114299" distR="114299" simplePos="0" relativeHeight="252793856" behindDoc="0" locked="0" layoutInCell="1" allowOverlap="1" wp14:anchorId="015C4A97" wp14:editId="42F5179B">
                <wp:simplePos x="0" y="0"/>
                <wp:positionH relativeFrom="column">
                  <wp:posOffset>4672965</wp:posOffset>
                </wp:positionH>
                <wp:positionV relativeFrom="paragraph">
                  <wp:posOffset>721360</wp:posOffset>
                </wp:positionV>
                <wp:extent cx="0" cy="281940"/>
                <wp:effectExtent l="76200" t="0" r="57150" b="60960"/>
                <wp:wrapNone/>
                <wp:docPr id="990510460"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91BAE" id="Прямая со стрелкой 263" o:spid="_x0000_s1026" type="#_x0000_t32" style="position:absolute;margin-left:367.95pt;margin-top:56.8pt;width:0;height:22.2pt;z-index:25279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94880" behindDoc="0" locked="0" layoutInCell="1" allowOverlap="1" wp14:anchorId="4CA63A3A" wp14:editId="05B935F7">
                <wp:simplePos x="0" y="0"/>
                <wp:positionH relativeFrom="column">
                  <wp:posOffset>6600825</wp:posOffset>
                </wp:positionH>
                <wp:positionV relativeFrom="paragraph">
                  <wp:posOffset>716915</wp:posOffset>
                </wp:positionV>
                <wp:extent cx="0" cy="304800"/>
                <wp:effectExtent l="76200" t="0" r="57150" b="57150"/>
                <wp:wrapNone/>
                <wp:docPr id="1709561150"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E3F07" id="Прямая со стрелкой 262" o:spid="_x0000_s1026" type="#_x0000_t32" style="position:absolute;margin-left:519.75pt;margin-top:56.45pt;width:0;height:24pt;z-index:25279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95904" behindDoc="0" locked="0" layoutInCell="1" allowOverlap="1" wp14:anchorId="2014A5D4" wp14:editId="1AD27134">
                <wp:simplePos x="0" y="0"/>
                <wp:positionH relativeFrom="column">
                  <wp:posOffset>8848725</wp:posOffset>
                </wp:positionH>
                <wp:positionV relativeFrom="paragraph">
                  <wp:posOffset>736600</wp:posOffset>
                </wp:positionV>
                <wp:extent cx="0" cy="281940"/>
                <wp:effectExtent l="76200" t="0" r="57150" b="60960"/>
                <wp:wrapNone/>
                <wp:docPr id="1105417224"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9A1BE" id="Прямая со стрелкой 261" o:spid="_x0000_s1026" type="#_x0000_t32" style="position:absolute;margin-left:696.75pt;margin-top:58pt;width:0;height:22.2pt;z-index:25279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796928" behindDoc="0" locked="0" layoutInCell="1" allowOverlap="1" wp14:anchorId="532A8464" wp14:editId="43F7C6E0">
                <wp:simplePos x="0" y="0"/>
                <wp:positionH relativeFrom="column">
                  <wp:posOffset>1990725</wp:posOffset>
                </wp:positionH>
                <wp:positionV relativeFrom="paragraph">
                  <wp:posOffset>706120</wp:posOffset>
                </wp:positionV>
                <wp:extent cx="0" cy="312420"/>
                <wp:effectExtent l="76200" t="0" r="57150" b="49530"/>
                <wp:wrapNone/>
                <wp:docPr id="79003707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5C69C" id="Прямая со стрелкой 260" o:spid="_x0000_s1026" type="#_x0000_t32" style="position:absolute;margin-left:156.75pt;margin-top:55.6pt;width:0;height:24.6pt;z-index:25279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797952" behindDoc="0" locked="0" layoutInCell="1" allowOverlap="1" wp14:anchorId="2125CA05" wp14:editId="2B62A0C3">
                <wp:simplePos x="0" y="0"/>
                <wp:positionH relativeFrom="column">
                  <wp:posOffset>1581150</wp:posOffset>
                </wp:positionH>
                <wp:positionV relativeFrom="paragraph">
                  <wp:posOffset>1022985</wp:posOffset>
                </wp:positionV>
                <wp:extent cx="2270760" cy="746760"/>
                <wp:effectExtent l="0" t="0" r="15240" b="15240"/>
                <wp:wrapNone/>
                <wp:docPr id="31488156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0760" cy="7467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674633A" w14:textId="77777777" w:rsidR="00B10552" w:rsidRDefault="00B10552" w:rsidP="00B10552">
                            <w:pPr>
                              <w:jc w:val="center"/>
                              <w:rPr>
                                <w:rFonts w:ascii="Times New Roman" w:hAnsi="Times New Roman" w:cs="Times New Roman"/>
                              </w:rPr>
                            </w:pPr>
                            <w:r>
                              <w:rPr>
                                <w:rFonts w:ascii="Times New Roman" w:eastAsia="Times New Roman" w:hAnsi="Times New Roman" w:cs="Times New Roman"/>
                                <w:kern w:val="36"/>
                                <w:lang w:val="kk-KZ" w:eastAsia="ru-RU"/>
                              </w:rPr>
                              <w:t>Критерий 1. Еңбек өнімділігін 2,5 есе ұлғайту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5CA05" id="Прямоугольник 259" o:spid="_x0000_s1284" style="position:absolute;margin-left:124.5pt;margin-top:80.55pt;width:178.8pt;height:58.8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" fillcolor="white [3201]" strokecolor="black [3200]" strokeweight=".25pt">
                <v:path arrowok="t"/>
                <v:textbox>
                  <w:txbxContent>
                    <w:p w14:paraId="0674633A" w14:textId="77777777" w:rsidR="00B10552" w:rsidRDefault="00B10552" w:rsidP="00B10552">
                      <w:pPr>
                        <w:jc w:val="center"/>
                        <w:rPr>
                          <w:rFonts w:ascii="Times New Roman" w:hAnsi="Times New Roman" w:cs="Times New Roman"/>
                        </w:rPr>
                      </w:pPr>
                      <w:r>
                        <w:rPr>
                          <w:rFonts w:ascii="Times New Roman" w:eastAsia="Times New Roman" w:hAnsi="Times New Roman" w:cs="Times New Roman"/>
                          <w:kern w:val="36"/>
                          <w:lang w:val="kk-KZ" w:eastAsia="ru-RU"/>
                        </w:rPr>
                        <w:t>Критерий 1. Еңбек өнімділігін 2,5 есе ұлғайту</w:t>
                      </w:r>
                    </w:p>
                  </w:txbxContent>
                </v:textbox>
              </v:rect>
            </w:pict>
          </mc:Fallback>
        </mc:AlternateContent>
      </w:r>
      <w:r>
        <w:rPr>
          <w:noProof/>
          <w:lang w:eastAsia="ru-RU"/>
        </w:rPr>
        <mc:AlternateContent>
          <mc:Choice Requires="wps">
            <w:drawing>
              <wp:anchor distT="0" distB="0" distL="114300" distR="114300" simplePos="0" relativeHeight="252798976" behindDoc="0" locked="0" layoutInCell="1" allowOverlap="1" wp14:anchorId="41C3E58D" wp14:editId="42B45F6A">
                <wp:simplePos x="0" y="0"/>
                <wp:positionH relativeFrom="column">
                  <wp:posOffset>3890010</wp:posOffset>
                </wp:positionH>
                <wp:positionV relativeFrom="paragraph">
                  <wp:posOffset>1030605</wp:posOffset>
                </wp:positionV>
                <wp:extent cx="1897380" cy="731520"/>
                <wp:effectExtent l="0" t="0" r="26670" b="11430"/>
                <wp:wrapNone/>
                <wp:docPr id="639977443"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7315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0F6D88" w14:textId="77777777" w:rsidR="00B10552" w:rsidRDefault="00B10552" w:rsidP="00B10552">
                            <w:pPr>
                              <w:spacing w:after="0" w:line="240" w:lineRule="auto"/>
                              <w:jc w:val="center"/>
                              <w:rPr>
                                <w:rFonts w:ascii="Times New Roman" w:hAnsi="Times New Roman" w:cs="Times New Roman"/>
                              </w:rPr>
                            </w:pPr>
                            <w:r>
                              <w:rPr>
                                <w:rFonts w:ascii="Times New Roman" w:eastAsia="Times New Roman" w:hAnsi="Times New Roman" w:cs="Times New Roman"/>
                                <w:kern w:val="36"/>
                                <w:lang w:val="kk-KZ" w:eastAsia="ru-RU"/>
                              </w:rPr>
                              <w:t>Критерий 2. Отандық өндірістің негізгі азық-түліктік тауарларымен қамтамасыз етілуі</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3E58D" id="Прямоугольник 258" o:spid="_x0000_s1285" style="position:absolute;margin-left:306.3pt;margin-top:81.15pt;width:149.4pt;height:57.6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" fillcolor="white [3201]" strokecolor="black [3200]" strokeweight=".25pt">
                <v:path arrowok="t"/>
                <v:textbox>
                  <w:txbxContent>
                    <w:p w14:paraId="3A0F6D88" w14:textId="77777777" w:rsidR="00B10552" w:rsidRDefault="00B10552" w:rsidP="00B10552">
                      <w:pPr>
                        <w:spacing w:after="0" w:line="240" w:lineRule="auto"/>
                        <w:jc w:val="center"/>
                        <w:rPr>
                          <w:rFonts w:ascii="Times New Roman" w:hAnsi="Times New Roman" w:cs="Times New Roman"/>
                        </w:rPr>
                      </w:pPr>
                      <w:r>
                        <w:rPr>
                          <w:rFonts w:ascii="Times New Roman" w:eastAsia="Times New Roman" w:hAnsi="Times New Roman" w:cs="Times New Roman"/>
                          <w:kern w:val="36"/>
                          <w:lang w:val="kk-KZ" w:eastAsia="ru-RU"/>
                        </w:rPr>
                        <w:t>Критерий 2. Отандық өндірістің негізгі азық-түліктік тауарларымен қамтамасыз етілуі</w:t>
                      </w:r>
                    </w:p>
                  </w:txbxContent>
                </v:textbox>
              </v:rect>
            </w:pict>
          </mc:Fallback>
        </mc:AlternateContent>
      </w:r>
      <w:r>
        <w:rPr>
          <w:noProof/>
          <w:lang w:eastAsia="ru-RU"/>
        </w:rPr>
        <mc:AlternateContent>
          <mc:Choice Requires="wps">
            <w:drawing>
              <wp:anchor distT="0" distB="0" distL="114300" distR="114300" simplePos="0" relativeHeight="252800000" behindDoc="0" locked="0" layoutInCell="1" allowOverlap="1" wp14:anchorId="134A33DB" wp14:editId="41A9F418">
                <wp:simplePos x="0" y="0"/>
                <wp:positionH relativeFrom="column">
                  <wp:posOffset>5840730</wp:posOffset>
                </wp:positionH>
                <wp:positionV relativeFrom="paragraph">
                  <wp:posOffset>1045845</wp:posOffset>
                </wp:positionV>
                <wp:extent cx="1516380" cy="723900"/>
                <wp:effectExtent l="0" t="0" r="26670" b="19050"/>
                <wp:wrapNone/>
                <wp:docPr id="1535742278"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6380" cy="723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CE9BC7D" w14:textId="77777777" w:rsidR="00B10552" w:rsidRDefault="00B10552" w:rsidP="00B10552">
                            <w:pPr>
                              <w:spacing w:after="0" w:line="240" w:lineRule="auto"/>
                              <w:jc w:val="center"/>
                              <w:rPr>
                                <w:rFonts w:ascii="Times New Roman" w:hAnsi="Times New Roman" w:cs="Times New Roman"/>
                                <w:sz w:val="24"/>
                                <w:szCs w:val="24"/>
                              </w:rPr>
                            </w:pPr>
                            <w:r>
                              <w:rPr>
                                <w:rFonts w:ascii="Times New Roman" w:eastAsia="Times New Roman" w:hAnsi="Times New Roman" w:cs="Times New Roman"/>
                                <w:kern w:val="36"/>
                                <w:sz w:val="18"/>
                                <w:szCs w:val="18"/>
                                <w:lang w:val="kk-KZ" w:eastAsia="ru-RU"/>
                              </w:rPr>
                              <w:t>Критерий 3. Өңделген өнімнің үлесін 70%-ға дейін жеткізе отырып, АӨК өнімдерінің экспортын 2 есе ұлғайту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4A33DB" id="Прямоугольник 257" o:spid="_x0000_s1286" style="position:absolute;margin-left:459.9pt;margin-top:82.35pt;width:119.4pt;height:57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" fillcolor="white [3201]" strokecolor="black [3200]" strokeweight=".25pt">
                <v:path arrowok="t"/>
                <v:textbox>
                  <w:txbxContent>
                    <w:p w14:paraId="7CE9BC7D" w14:textId="77777777" w:rsidR="00B10552" w:rsidRDefault="00B10552" w:rsidP="00B10552">
                      <w:pPr>
                        <w:spacing w:after="0" w:line="240" w:lineRule="auto"/>
                        <w:jc w:val="center"/>
                        <w:rPr>
                          <w:rFonts w:ascii="Times New Roman" w:hAnsi="Times New Roman" w:cs="Times New Roman"/>
                          <w:sz w:val="24"/>
                          <w:szCs w:val="24"/>
                        </w:rPr>
                      </w:pPr>
                      <w:r>
                        <w:rPr>
                          <w:rFonts w:ascii="Times New Roman" w:eastAsia="Times New Roman" w:hAnsi="Times New Roman" w:cs="Times New Roman"/>
                          <w:kern w:val="36"/>
                          <w:sz w:val="18"/>
                          <w:szCs w:val="18"/>
                          <w:lang w:val="kk-KZ" w:eastAsia="ru-RU"/>
                        </w:rPr>
                        <w:t>Критерий 3. Өңделген өнімнің үлесін 70%-ға дейін жеткізе отырып, АӨК өнімдерінің экспортын 2 есе ұлғайту</w:t>
                      </w:r>
                    </w:p>
                  </w:txbxContent>
                </v:textbox>
              </v:rect>
            </w:pict>
          </mc:Fallback>
        </mc:AlternateContent>
      </w:r>
      <w:r>
        <w:rPr>
          <w:noProof/>
          <w:lang w:eastAsia="ru-RU"/>
        </w:rPr>
        <mc:AlternateContent>
          <mc:Choice Requires="wps">
            <w:drawing>
              <wp:anchor distT="0" distB="0" distL="114300" distR="114300" simplePos="0" relativeHeight="252801024" behindDoc="0" locked="0" layoutInCell="1" allowOverlap="1" wp14:anchorId="20B42609" wp14:editId="0DD4C8CF">
                <wp:simplePos x="0" y="0"/>
                <wp:positionH relativeFrom="margin">
                  <wp:posOffset>7402830</wp:posOffset>
                </wp:positionH>
                <wp:positionV relativeFrom="paragraph">
                  <wp:posOffset>1030605</wp:posOffset>
                </wp:positionV>
                <wp:extent cx="1950720" cy="731520"/>
                <wp:effectExtent l="0" t="0" r="11430" b="11430"/>
                <wp:wrapNone/>
                <wp:docPr id="614281208"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0720" cy="7315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F10F8E" w14:textId="77777777" w:rsidR="00B10552" w:rsidRDefault="00B10552" w:rsidP="00B10552">
                            <w:pPr>
                              <w:spacing w:after="0" w:line="240" w:lineRule="auto"/>
                              <w:jc w:val="center"/>
                              <w:rPr>
                                <w:rFonts w:ascii="Times New Roman" w:eastAsia="Times New Roman" w:hAnsi="Times New Roman" w:cs="Times New Roman"/>
                                <w:kern w:val="36"/>
                                <w:sz w:val="18"/>
                                <w:szCs w:val="18"/>
                                <w:lang w:val="kk-KZ" w:eastAsia="ru-RU"/>
                              </w:rPr>
                            </w:pPr>
                            <w:r>
                              <w:rPr>
                                <w:rFonts w:ascii="Times New Roman" w:eastAsia="Times New Roman" w:hAnsi="Times New Roman" w:cs="Times New Roman"/>
                                <w:kern w:val="36"/>
                                <w:sz w:val="18"/>
                                <w:szCs w:val="18"/>
                                <w:lang w:val="kk-KZ" w:eastAsia="ru-RU"/>
                              </w:rPr>
                              <w:t>Критерий 4. 7 ірі экожүйе қалыптастыру және инвестициялық жобаларды іске асыру есебінен 1 млн. ауыл тұрғынының табысын тұрақты арттыру</w:t>
                            </w:r>
                          </w:p>
                          <w:p w14:paraId="13EE9614" w14:textId="77777777" w:rsidR="00B10552" w:rsidRDefault="00B10552" w:rsidP="00B10552">
                            <w:pPr>
                              <w:spacing w:after="0" w:line="240" w:lineRule="auto"/>
                              <w:jc w:val="center"/>
                              <w:rPr>
                                <w:rFonts w:ascii="Times New Roman" w:hAnsi="Times New Roman" w:cs="Times New Roman"/>
                                <w:sz w:val="24"/>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B42609" id="Прямоугольник 256" o:spid="_x0000_s1287" style="position:absolute;margin-left:582.9pt;margin-top:81.15pt;width:153.6pt;height:57.6pt;z-index:2528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" fillcolor="white [3201]" strokecolor="black [3200]" strokeweight=".25pt">
                <v:path arrowok="t"/>
                <v:textbox>
                  <w:txbxContent>
                    <w:p w14:paraId="2DF10F8E" w14:textId="77777777" w:rsidR="00B10552" w:rsidRDefault="00B10552" w:rsidP="00B10552">
                      <w:pPr>
                        <w:spacing w:after="0" w:line="240" w:lineRule="auto"/>
                        <w:jc w:val="center"/>
                        <w:rPr>
                          <w:rFonts w:ascii="Times New Roman" w:eastAsia="Times New Roman" w:hAnsi="Times New Roman" w:cs="Times New Roman"/>
                          <w:kern w:val="36"/>
                          <w:sz w:val="18"/>
                          <w:szCs w:val="18"/>
                          <w:lang w:val="kk-KZ" w:eastAsia="ru-RU"/>
                        </w:rPr>
                      </w:pPr>
                      <w:r>
                        <w:rPr>
                          <w:rFonts w:ascii="Times New Roman" w:eastAsia="Times New Roman" w:hAnsi="Times New Roman" w:cs="Times New Roman"/>
                          <w:kern w:val="36"/>
                          <w:sz w:val="18"/>
                          <w:szCs w:val="18"/>
                          <w:lang w:val="kk-KZ" w:eastAsia="ru-RU"/>
                        </w:rPr>
                        <w:t>Критерий 4. 7 ірі экожүйе қалыптастыру және инвестициялық жобаларды іске асыру есебінен 1 млн. ауыл тұрғынының табысын тұрақты арттыру</w:t>
                      </w:r>
                    </w:p>
                    <w:p w14:paraId="13EE9614" w14:textId="77777777" w:rsidR="00B10552" w:rsidRDefault="00B10552" w:rsidP="00B10552">
                      <w:pPr>
                        <w:spacing w:after="0" w:line="240" w:lineRule="auto"/>
                        <w:jc w:val="center"/>
                        <w:rPr>
                          <w:rFonts w:ascii="Times New Roman" w:hAnsi="Times New Roman" w:cs="Times New Roman"/>
                          <w:sz w:val="24"/>
                          <w:szCs w:val="24"/>
                        </w:rPr>
                      </w:pPr>
                    </w:p>
                  </w:txbxContent>
                </v:textbox>
                <w10:wrap anchorx="margin"/>
              </v:rect>
            </w:pict>
          </mc:Fallback>
        </mc:AlternateContent>
      </w:r>
      <w:r>
        <w:rPr>
          <w:noProof/>
          <w:lang w:eastAsia="ru-RU"/>
        </w:rPr>
        <mc:AlternateContent>
          <mc:Choice Requires="wps">
            <w:drawing>
              <wp:anchor distT="4294967295" distB="4294967295" distL="114300" distR="114300" simplePos="0" relativeHeight="252802048" behindDoc="0" locked="0" layoutInCell="1" allowOverlap="1" wp14:anchorId="3A23FA11" wp14:editId="22A51289">
                <wp:simplePos x="0" y="0"/>
                <wp:positionH relativeFrom="column">
                  <wp:posOffset>1565910</wp:posOffset>
                </wp:positionH>
                <wp:positionV relativeFrom="paragraph">
                  <wp:posOffset>2032635</wp:posOffset>
                </wp:positionV>
                <wp:extent cx="2225040" cy="0"/>
                <wp:effectExtent l="0" t="0" r="0" b="0"/>
                <wp:wrapNone/>
                <wp:docPr id="535041521"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25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51D8A6" id="Прямая соединительная линия 255" o:spid="_x0000_s1026" style="position:absolute;flip:y;z-index:25280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3.3pt,160.05pt" to="298.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" strokecolor="black [3040]">
                <o:lock v:ext="edit" shapetype="f"/>
              </v:line>
            </w:pict>
          </mc:Fallback>
        </mc:AlternateContent>
      </w:r>
      <w:r>
        <w:rPr>
          <w:noProof/>
          <w:lang w:eastAsia="ru-RU"/>
        </w:rPr>
        <mc:AlternateContent>
          <mc:Choice Requires="wps">
            <w:drawing>
              <wp:anchor distT="0" distB="0" distL="114300" distR="114300" simplePos="0" relativeHeight="252803072" behindDoc="0" locked="0" layoutInCell="1" allowOverlap="1" wp14:anchorId="113D2D01" wp14:editId="1578C092">
                <wp:simplePos x="0" y="0"/>
                <wp:positionH relativeFrom="column">
                  <wp:posOffset>5619750</wp:posOffset>
                </wp:positionH>
                <wp:positionV relativeFrom="paragraph">
                  <wp:posOffset>2268855</wp:posOffset>
                </wp:positionV>
                <wp:extent cx="320040" cy="762000"/>
                <wp:effectExtent l="0" t="0" r="22860" b="19050"/>
                <wp:wrapNone/>
                <wp:docPr id="2137215650"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300286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6-көрсеткіш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D2D01" id="Прямоугольник 254" o:spid="_x0000_s1288" style="position:absolute;margin-left:442.5pt;margin-top:178.65pt;width:25.2pt;height:60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" fillcolor="white [3201]" strokecolor="black [3200]" strokeweight=".25pt">
                <v:path arrowok="t"/>
                <v:textbox style="layout-flow:vertical;mso-layout-flow-alt:bottom-to-top">
                  <w:txbxContent>
                    <w:p w14:paraId="4300286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6-көрсеткіш</w:t>
                      </w:r>
                    </w:p>
                  </w:txbxContent>
                </v:textbox>
              </v:rect>
            </w:pict>
          </mc:Fallback>
        </mc:AlternateContent>
      </w:r>
      <w:r>
        <w:rPr>
          <w:noProof/>
          <w:lang w:eastAsia="ru-RU"/>
        </w:rPr>
        <mc:AlternateContent>
          <mc:Choice Requires="wps">
            <w:drawing>
              <wp:anchor distT="0" distB="0" distL="114300" distR="114300" simplePos="0" relativeHeight="252804096" behindDoc="0" locked="0" layoutInCell="1" allowOverlap="1" wp14:anchorId="72F43622" wp14:editId="0D6F6CC5">
                <wp:simplePos x="0" y="0"/>
                <wp:positionH relativeFrom="column">
                  <wp:posOffset>5970270</wp:posOffset>
                </wp:positionH>
                <wp:positionV relativeFrom="paragraph">
                  <wp:posOffset>2261235</wp:posOffset>
                </wp:positionV>
                <wp:extent cx="320040" cy="769620"/>
                <wp:effectExtent l="0" t="0" r="22860" b="11430"/>
                <wp:wrapNone/>
                <wp:docPr id="395934310"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9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81BA90C"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43622" id="Прямоугольник 253" o:spid="_x0000_s1289" style="position:absolute;margin-left:470.1pt;margin-top:178.05pt;width:25.2pt;height:60.6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" fillcolor="white [3201]" strokecolor="black [3200]" strokeweight=".25pt">
                <v:path arrowok="t"/>
                <v:textbox style="layout-flow:vertical;mso-layout-flow-alt:bottom-to-top">
                  <w:txbxContent>
                    <w:p w14:paraId="781BA90C"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v:textbox>
              </v:rect>
            </w:pict>
          </mc:Fallback>
        </mc:AlternateContent>
      </w:r>
      <w:r>
        <w:rPr>
          <w:noProof/>
          <w:lang w:eastAsia="ru-RU"/>
        </w:rPr>
        <mc:AlternateContent>
          <mc:Choice Requires="wps">
            <w:drawing>
              <wp:anchor distT="0" distB="0" distL="114300" distR="114300" simplePos="0" relativeHeight="252805120" behindDoc="0" locked="0" layoutInCell="1" allowOverlap="1" wp14:anchorId="1DCDAE17" wp14:editId="2F1204BD">
                <wp:simplePos x="0" y="0"/>
                <wp:positionH relativeFrom="column">
                  <wp:posOffset>1443990</wp:posOffset>
                </wp:positionH>
                <wp:positionV relativeFrom="paragraph">
                  <wp:posOffset>2261235</wp:posOffset>
                </wp:positionV>
                <wp:extent cx="320040" cy="754380"/>
                <wp:effectExtent l="0" t="0" r="22860" b="26670"/>
                <wp:wrapNone/>
                <wp:docPr id="1503305337"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8312E30"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CDAE17" id="Прямоугольник 252" o:spid="_x0000_s1290" style="position:absolute;margin-left:113.7pt;margin-top:178.05pt;width:25.2pt;height:59.4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" fillcolor="white [3201]" strokecolor="black [3200]" strokeweight=".25pt">
                <v:path arrowok="t"/>
                <v:textbox style="layout-flow:vertical;mso-layout-flow-alt:bottom-to-top">
                  <w:txbxContent>
                    <w:p w14:paraId="58312E30"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v:textbox>
              </v:rect>
            </w:pict>
          </mc:Fallback>
        </mc:AlternateContent>
      </w:r>
      <w:r>
        <w:rPr>
          <w:noProof/>
          <w:lang w:eastAsia="ru-RU"/>
        </w:rPr>
        <mc:AlternateContent>
          <mc:Choice Requires="wps">
            <w:drawing>
              <wp:anchor distT="0" distB="0" distL="114300" distR="114300" simplePos="0" relativeHeight="252806144" behindDoc="0" locked="0" layoutInCell="1" allowOverlap="1" wp14:anchorId="769C6605" wp14:editId="52C1E0B2">
                <wp:simplePos x="0" y="0"/>
                <wp:positionH relativeFrom="column">
                  <wp:posOffset>1794510</wp:posOffset>
                </wp:positionH>
                <wp:positionV relativeFrom="paragraph">
                  <wp:posOffset>2276475</wp:posOffset>
                </wp:positionV>
                <wp:extent cx="320040" cy="746760"/>
                <wp:effectExtent l="0" t="0" r="22860" b="15240"/>
                <wp:wrapNone/>
                <wp:docPr id="695801666"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467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C5D8F3"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C6605" id="Прямоугольник 251" o:spid="_x0000_s1291" style="position:absolute;margin-left:141.3pt;margin-top:179.25pt;width:25.2pt;height:58.8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" fillcolor="white [3201]" strokecolor="black [3200]" strokeweight=".25pt">
                <v:path arrowok="t"/>
                <v:textbox style="layout-flow:vertical;mso-layout-flow-alt:bottom-to-top">
                  <w:txbxContent>
                    <w:p w14:paraId="71C5D8F3"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v:textbox>
              </v:rect>
            </w:pict>
          </mc:Fallback>
        </mc:AlternateContent>
      </w:r>
      <w:r>
        <w:rPr>
          <w:noProof/>
          <w:lang w:eastAsia="ru-RU"/>
        </w:rPr>
        <mc:AlternateContent>
          <mc:Choice Requires="wps">
            <w:drawing>
              <wp:anchor distT="0" distB="0" distL="114300" distR="114300" simplePos="0" relativeHeight="252807168" behindDoc="0" locked="0" layoutInCell="1" allowOverlap="1" wp14:anchorId="6902BA76" wp14:editId="39E9E51E">
                <wp:simplePos x="0" y="0"/>
                <wp:positionH relativeFrom="column">
                  <wp:posOffset>2145030</wp:posOffset>
                </wp:positionH>
                <wp:positionV relativeFrom="paragraph">
                  <wp:posOffset>2261235</wp:posOffset>
                </wp:positionV>
                <wp:extent cx="320040" cy="762000"/>
                <wp:effectExtent l="0" t="0" r="22860" b="19050"/>
                <wp:wrapNone/>
                <wp:docPr id="40486933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20E999"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p w14:paraId="5FAE6E38" w14:textId="77777777" w:rsidR="00B10552" w:rsidRDefault="00B10552" w:rsidP="00B10552">
                            <w:pPr>
                              <w:jc w:val="center"/>
                              <w:rPr>
                                <w:rFonts w:cs="Times New Roman"/>
                                <w:sz w:val="18"/>
                                <w:szCs w:val="18"/>
                                <w:lang w:val="kk-KZ"/>
                              </w:rPr>
                            </w:pP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2BA76" id="Прямоугольник 250" o:spid="_x0000_s1292" style="position:absolute;margin-left:168.9pt;margin-top:178.05pt;width:25.2pt;height:60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" fillcolor="white [3201]" strokecolor="black [3200]" strokeweight=".25pt">
                <v:path arrowok="t"/>
                <v:textbox style="layout-flow:vertical;mso-layout-flow-alt:bottom-to-top">
                  <w:txbxContent>
                    <w:p w14:paraId="4E20E999"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p w14:paraId="5FAE6E38" w14:textId="77777777" w:rsidR="00B10552" w:rsidRDefault="00B10552" w:rsidP="00B10552">
                      <w:pPr>
                        <w:jc w:val="center"/>
                        <w:rPr>
                          <w:rFonts w:cs="Times New Roman"/>
                          <w:sz w:val="18"/>
                          <w:szCs w:val="18"/>
                          <w:lang w:val="kk-KZ"/>
                        </w:rPr>
                      </w:pPr>
                    </w:p>
                  </w:txbxContent>
                </v:textbox>
              </v:rect>
            </w:pict>
          </mc:Fallback>
        </mc:AlternateContent>
      </w:r>
      <w:r>
        <w:rPr>
          <w:noProof/>
          <w:lang w:eastAsia="ru-RU"/>
        </w:rPr>
        <mc:AlternateContent>
          <mc:Choice Requires="wps">
            <w:drawing>
              <wp:anchor distT="0" distB="0" distL="114300" distR="114300" simplePos="0" relativeHeight="252808192" behindDoc="0" locked="0" layoutInCell="1" allowOverlap="1" wp14:anchorId="28B82965" wp14:editId="080CC901">
                <wp:simplePos x="0" y="0"/>
                <wp:positionH relativeFrom="column">
                  <wp:posOffset>2487930</wp:posOffset>
                </wp:positionH>
                <wp:positionV relativeFrom="paragraph">
                  <wp:posOffset>2261235</wp:posOffset>
                </wp:positionV>
                <wp:extent cx="320040" cy="762000"/>
                <wp:effectExtent l="0" t="0" r="22860" b="19050"/>
                <wp:wrapNone/>
                <wp:docPr id="1572971266"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C739C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p w14:paraId="1301570D" w14:textId="77777777" w:rsidR="00B10552" w:rsidRPr="00865D76" w:rsidRDefault="00B10552" w:rsidP="00B10552">
                            <w:pPr>
                              <w:jc w:val="center"/>
                              <w:rPr>
                                <w:rFonts w:ascii="Times New Roman" w:hAnsi="Times New Roman" w:cs="Times New Roman"/>
                                <w:sz w:val="18"/>
                                <w:szCs w:val="18"/>
                                <w:lang w:val="kk-KZ"/>
                              </w:rPr>
                            </w:pP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B82965" id="Прямоугольник 249" o:spid="_x0000_s1293" style="position:absolute;margin-left:195.9pt;margin-top:178.05pt;width:25.2pt;height:60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" fillcolor="white [3201]" strokecolor="black [3200]" strokeweight=".25pt">
                <v:path arrowok="t"/>
                <v:textbox style="layout-flow:vertical;mso-layout-flow-alt:bottom-to-top">
                  <w:txbxContent>
                    <w:p w14:paraId="41C739C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p w14:paraId="1301570D" w14:textId="77777777" w:rsidR="00B10552" w:rsidRPr="00865D76" w:rsidRDefault="00B10552" w:rsidP="00B10552">
                      <w:pPr>
                        <w:jc w:val="center"/>
                        <w:rPr>
                          <w:rFonts w:ascii="Times New Roman" w:hAnsi="Times New Roman" w:cs="Times New Roman"/>
                          <w:sz w:val="18"/>
                          <w:szCs w:val="18"/>
                          <w:lang w:val="kk-KZ"/>
                        </w:rPr>
                      </w:pPr>
                    </w:p>
                  </w:txbxContent>
                </v:textbox>
              </v:rect>
            </w:pict>
          </mc:Fallback>
        </mc:AlternateContent>
      </w:r>
      <w:r>
        <w:rPr>
          <w:noProof/>
          <w:lang w:eastAsia="ru-RU"/>
        </w:rPr>
        <mc:AlternateContent>
          <mc:Choice Requires="wps">
            <w:drawing>
              <wp:anchor distT="0" distB="0" distL="114300" distR="114300" simplePos="0" relativeHeight="252809216" behindDoc="0" locked="0" layoutInCell="1" allowOverlap="1" wp14:anchorId="3C18CA14" wp14:editId="68B952AF">
                <wp:simplePos x="0" y="0"/>
                <wp:positionH relativeFrom="column">
                  <wp:posOffset>2846070</wp:posOffset>
                </wp:positionH>
                <wp:positionV relativeFrom="paragraph">
                  <wp:posOffset>2261235</wp:posOffset>
                </wp:positionV>
                <wp:extent cx="320040" cy="762000"/>
                <wp:effectExtent l="0" t="0" r="22860" b="19050"/>
                <wp:wrapNone/>
                <wp:docPr id="2014891114"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5753E94"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5-көрсеткіш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8CA14" id="Прямоугольник 248" o:spid="_x0000_s1294" style="position:absolute;margin-left:224.1pt;margin-top:178.05pt;width:25.2pt;height:60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" fillcolor="white [3201]" strokecolor="black [3200]" strokeweight=".25pt">
                <v:path arrowok="t"/>
                <v:textbox style="layout-flow:vertical;mso-layout-flow-alt:bottom-to-top">
                  <w:txbxContent>
                    <w:p w14:paraId="35753E94"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5-көрсеткіш</w:t>
                      </w:r>
                    </w:p>
                  </w:txbxContent>
                </v:textbox>
              </v:rect>
            </w:pict>
          </mc:Fallback>
        </mc:AlternateContent>
      </w:r>
      <w:r>
        <w:rPr>
          <w:noProof/>
          <w:lang w:eastAsia="ru-RU"/>
        </w:rPr>
        <mc:AlternateContent>
          <mc:Choice Requires="wps">
            <w:drawing>
              <wp:anchor distT="0" distB="0" distL="114300" distR="114300" simplePos="0" relativeHeight="252810240" behindDoc="0" locked="0" layoutInCell="1" allowOverlap="1" wp14:anchorId="1E0D388F" wp14:editId="73FC7421">
                <wp:simplePos x="0" y="0"/>
                <wp:positionH relativeFrom="column">
                  <wp:posOffset>3204210</wp:posOffset>
                </wp:positionH>
                <wp:positionV relativeFrom="paragraph">
                  <wp:posOffset>2268855</wp:posOffset>
                </wp:positionV>
                <wp:extent cx="320040" cy="754380"/>
                <wp:effectExtent l="0" t="0" r="22860" b="26670"/>
                <wp:wrapNone/>
                <wp:docPr id="290989688"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EE77B9" w14:textId="77777777" w:rsidR="00B10552" w:rsidRDefault="00B10552" w:rsidP="00B10552">
                            <w:pPr>
                              <w:jc w:val="center"/>
                              <w:rPr>
                                <w:rFonts w:cs="Times New Roman"/>
                                <w:sz w:val="18"/>
                                <w:szCs w:val="18"/>
                                <w:lang w:val="kk-KZ"/>
                              </w:rPr>
                            </w:pPr>
                            <w:r>
                              <w:rPr>
                                <w:rFonts w:cs="Times New Roman"/>
                                <w:sz w:val="18"/>
                                <w:szCs w:val="18"/>
                                <w:lang w:val="kk-KZ"/>
                              </w:rPr>
                              <w:t>6-көрсеткіш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D388F" id="Прямоугольник 247" o:spid="_x0000_s1295" style="position:absolute;margin-left:252.3pt;margin-top:178.65pt;width:25.2pt;height:59.4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" fillcolor="white [3201]" strokecolor="black [3200]" strokeweight=".25pt">
                <v:path arrowok="t"/>
                <v:textbox style="layout-flow:vertical;mso-layout-flow-alt:bottom-to-top">
                  <w:txbxContent>
                    <w:p w14:paraId="6DEE77B9" w14:textId="77777777" w:rsidR="00B10552" w:rsidRDefault="00B10552" w:rsidP="00B10552">
                      <w:pPr>
                        <w:jc w:val="center"/>
                        <w:rPr>
                          <w:rFonts w:cs="Times New Roman"/>
                          <w:sz w:val="18"/>
                          <w:szCs w:val="18"/>
                          <w:lang w:val="kk-KZ"/>
                        </w:rPr>
                      </w:pPr>
                      <w:r>
                        <w:rPr>
                          <w:rFonts w:cs="Times New Roman"/>
                          <w:sz w:val="18"/>
                          <w:szCs w:val="18"/>
                          <w:lang w:val="kk-KZ"/>
                        </w:rPr>
                        <w:t>6-көрсеткіш</w:t>
                      </w:r>
                    </w:p>
                  </w:txbxContent>
                </v:textbox>
              </v:rect>
            </w:pict>
          </mc:Fallback>
        </mc:AlternateContent>
      </w:r>
      <w:r>
        <w:rPr>
          <w:noProof/>
          <w:lang w:eastAsia="ru-RU"/>
        </w:rPr>
        <mc:AlternateContent>
          <mc:Choice Requires="wps">
            <w:drawing>
              <wp:anchor distT="0" distB="0" distL="114300" distR="114300" simplePos="0" relativeHeight="252811264" behindDoc="0" locked="0" layoutInCell="1" allowOverlap="1" wp14:anchorId="7C3F90E0" wp14:editId="7E6B9D73">
                <wp:simplePos x="0" y="0"/>
                <wp:positionH relativeFrom="column">
                  <wp:posOffset>3554730</wp:posOffset>
                </wp:positionH>
                <wp:positionV relativeFrom="paragraph">
                  <wp:posOffset>2261235</wp:posOffset>
                </wp:positionV>
                <wp:extent cx="320040" cy="762000"/>
                <wp:effectExtent l="0" t="0" r="22860" b="19050"/>
                <wp:wrapNone/>
                <wp:docPr id="1982305203"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073EAB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7-көрсеткіш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F90E0" id="Прямоугольник 246" o:spid="_x0000_s1296" style="position:absolute;margin-left:279.9pt;margin-top:178.05pt;width:25.2pt;height:60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" fillcolor="white [3201]" strokecolor="black [3200]" strokeweight=".25pt">
                <v:path arrowok="t"/>
                <v:textbox style="layout-flow:vertical;mso-layout-flow-alt:bottom-to-top">
                  <w:txbxContent>
                    <w:p w14:paraId="7073EAB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7-көрсеткіш</w:t>
                      </w:r>
                    </w:p>
                  </w:txbxContent>
                </v:textbox>
              </v:rect>
            </w:pict>
          </mc:Fallback>
        </mc:AlternateContent>
      </w:r>
      <w:r>
        <w:rPr>
          <w:noProof/>
          <w:lang w:eastAsia="ru-RU"/>
        </w:rPr>
        <mc:AlternateContent>
          <mc:Choice Requires="wps">
            <w:drawing>
              <wp:anchor distT="0" distB="0" distL="114300" distR="114300" simplePos="0" relativeHeight="252812288" behindDoc="0" locked="0" layoutInCell="1" allowOverlap="1" wp14:anchorId="2DA5D3CB" wp14:editId="40D846D6">
                <wp:simplePos x="0" y="0"/>
                <wp:positionH relativeFrom="column">
                  <wp:posOffset>3912870</wp:posOffset>
                </wp:positionH>
                <wp:positionV relativeFrom="paragraph">
                  <wp:posOffset>2235200</wp:posOffset>
                </wp:positionV>
                <wp:extent cx="320040" cy="784860"/>
                <wp:effectExtent l="0" t="0" r="22860" b="15240"/>
                <wp:wrapNone/>
                <wp:docPr id="50251907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848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A0162A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5D3CB" id="Прямоугольник 245" o:spid="_x0000_s1297" style="position:absolute;margin-left:308.1pt;margin-top:176pt;width:25.2pt;height:61.8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" fillcolor="white [3201]" strokecolor="black [3200]" strokeweight=".25pt">
                <v:path arrowok="t"/>
                <v:textbox style="layout-flow:vertical;mso-layout-flow-alt:bottom-to-top">
                  <w:txbxContent>
                    <w:p w14:paraId="2A0162A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v:textbox>
              </v:rect>
            </w:pict>
          </mc:Fallback>
        </mc:AlternateContent>
      </w:r>
      <w:r>
        <w:rPr>
          <w:noProof/>
          <w:lang w:eastAsia="ru-RU"/>
        </w:rPr>
        <mc:AlternateContent>
          <mc:Choice Requires="wps">
            <w:drawing>
              <wp:anchor distT="0" distB="0" distL="114300" distR="114300" simplePos="0" relativeHeight="252813312" behindDoc="0" locked="0" layoutInCell="1" allowOverlap="1" wp14:anchorId="4DBAD44F" wp14:editId="46997E6A">
                <wp:simplePos x="0" y="0"/>
                <wp:positionH relativeFrom="column">
                  <wp:posOffset>4255770</wp:posOffset>
                </wp:positionH>
                <wp:positionV relativeFrom="paragraph">
                  <wp:posOffset>2235200</wp:posOffset>
                </wp:positionV>
                <wp:extent cx="320040" cy="784860"/>
                <wp:effectExtent l="0" t="0" r="22860" b="15240"/>
                <wp:wrapNone/>
                <wp:docPr id="1030340848"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848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2325C3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AD44F" id="Прямоугольник 244" o:spid="_x0000_s1298" style="position:absolute;margin-left:335.1pt;margin-top:176pt;width:25.2pt;height:61.8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" fillcolor="white [3201]" strokecolor="black [3200]" strokeweight=".25pt">
                <v:path arrowok="t"/>
                <v:textbox style="layout-flow:vertical;mso-layout-flow-alt:bottom-to-top">
                  <w:txbxContent>
                    <w:p w14:paraId="12325C3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v:textbox>
              </v:rect>
            </w:pict>
          </mc:Fallback>
        </mc:AlternateContent>
      </w:r>
      <w:r>
        <w:rPr>
          <w:noProof/>
          <w:lang w:eastAsia="ru-RU"/>
        </w:rPr>
        <mc:AlternateContent>
          <mc:Choice Requires="wps">
            <w:drawing>
              <wp:anchor distT="0" distB="0" distL="114300" distR="114300" simplePos="0" relativeHeight="252814336" behindDoc="0" locked="0" layoutInCell="1" allowOverlap="1" wp14:anchorId="136FB212" wp14:editId="4B33CA5E">
                <wp:simplePos x="0" y="0"/>
                <wp:positionH relativeFrom="column">
                  <wp:posOffset>4598670</wp:posOffset>
                </wp:positionH>
                <wp:positionV relativeFrom="paragraph">
                  <wp:posOffset>2227580</wp:posOffset>
                </wp:positionV>
                <wp:extent cx="327660" cy="792480"/>
                <wp:effectExtent l="0" t="0" r="15240" b="26670"/>
                <wp:wrapNone/>
                <wp:docPr id="1234153112"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7924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095326"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6FB212" id="Прямоугольник 243" o:spid="_x0000_s1299" style="position:absolute;margin-left:362.1pt;margin-top:175.4pt;width:25.8pt;height:62.4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" fillcolor="white [3201]" strokecolor="black [3200]" strokeweight=".25pt">
                <v:path arrowok="t"/>
                <v:textbox style="layout-flow:vertical;mso-layout-flow-alt:bottom-to-top">
                  <w:txbxContent>
                    <w:p w14:paraId="31095326"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txbxContent>
                </v:textbox>
              </v:rect>
            </w:pict>
          </mc:Fallback>
        </mc:AlternateContent>
      </w:r>
      <w:r>
        <w:rPr>
          <w:noProof/>
          <w:lang w:eastAsia="ru-RU"/>
        </w:rPr>
        <mc:AlternateContent>
          <mc:Choice Requires="wps">
            <w:drawing>
              <wp:anchor distT="0" distB="0" distL="114300" distR="114300" simplePos="0" relativeHeight="252815360" behindDoc="0" locked="0" layoutInCell="1" allowOverlap="1" wp14:anchorId="3F0F0813" wp14:editId="2D74FAC4">
                <wp:simplePos x="0" y="0"/>
                <wp:positionH relativeFrom="column">
                  <wp:posOffset>4956810</wp:posOffset>
                </wp:positionH>
                <wp:positionV relativeFrom="paragraph">
                  <wp:posOffset>2235200</wp:posOffset>
                </wp:positionV>
                <wp:extent cx="304800" cy="784860"/>
                <wp:effectExtent l="0" t="0" r="19050" b="15240"/>
                <wp:wrapNone/>
                <wp:docPr id="1283867957"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7848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C79B1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0F0813" id="Прямоугольник 242" o:spid="_x0000_s1300" style="position:absolute;margin-left:390.3pt;margin-top:176pt;width:24pt;height:61.8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" fillcolor="white [3201]" strokecolor="black [3200]" strokeweight=".25pt">
                <v:path arrowok="t"/>
                <v:textbox style="layout-flow:vertical;mso-layout-flow-alt:bottom-to-top">
                  <w:txbxContent>
                    <w:p w14:paraId="4DC79B1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txbxContent>
                </v:textbox>
              </v:rect>
            </w:pict>
          </mc:Fallback>
        </mc:AlternateContent>
      </w:r>
      <w:r>
        <w:rPr>
          <w:noProof/>
          <w:lang w:eastAsia="ru-RU"/>
        </w:rPr>
        <mc:AlternateContent>
          <mc:Choice Requires="wps">
            <w:drawing>
              <wp:anchor distT="0" distB="0" distL="114300" distR="114300" simplePos="0" relativeHeight="252816384" behindDoc="0" locked="0" layoutInCell="1" allowOverlap="1" wp14:anchorId="3EB588D5" wp14:editId="2139AAFE">
                <wp:simplePos x="0" y="0"/>
                <wp:positionH relativeFrom="column">
                  <wp:posOffset>5284470</wp:posOffset>
                </wp:positionH>
                <wp:positionV relativeFrom="paragraph">
                  <wp:posOffset>2235200</wp:posOffset>
                </wp:positionV>
                <wp:extent cx="304800" cy="792480"/>
                <wp:effectExtent l="0" t="0" r="19050" b="26670"/>
                <wp:wrapNone/>
                <wp:docPr id="240751556"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7924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D969E3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5-көрсеткіш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588D5" id="Прямоугольник 241" o:spid="_x0000_s1301" style="position:absolute;margin-left:416.1pt;margin-top:176pt;width:24pt;height:62.4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" fillcolor="white [3201]" strokecolor="black [3200]" strokeweight=".25pt">
                <v:path arrowok="t"/>
                <v:textbox style="layout-flow:vertical;mso-layout-flow-alt:bottom-to-top">
                  <w:txbxContent>
                    <w:p w14:paraId="7D969E3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5-көрсеткіш</w:t>
                      </w:r>
                    </w:p>
                  </w:txbxContent>
                </v:textbox>
              </v:rect>
            </w:pict>
          </mc:Fallback>
        </mc:AlternateContent>
      </w:r>
      <w:r>
        <w:rPr>
          <w:noProof/>
          <w:lang w:eastAsia="ru-RU"/>
        </w:rPr>
        <mc:AlternateContent>
          <mc:Choice Requires="wps">
            <w:drawing>
              <wp:anchor distT="0" distB="0" distL="114300" distR="114300" simplePos="0" relativeHeight="252817408" behindDoc="0" locked="0" layoutInCell="1" allowOverlap="1" wp14:anchorId="554F3B9A" wp14:editId="7EF9B47D">
                <wp:simplePos x="0" y="0"/>
                <wp:positionH relativeFrom="margin">
                  <wp:posOffset>6343650</wp:posOffset>
                </wp:positionH>
                <wp:positionV relativeFrom="paragraph">
                  <wp:posOffset>2268855</wp:posOffset>
                </wp:positionV>
                <wp:extent cx="320040" cy="762000"/>
                <wp:effectExtent l="0" t="0" r="22860" b="19050"/>
                <wp:wrapNone/>
                <wp:docPr id="306152014"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2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640BFC2"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F3B9A" id="Прямоугольник 240" o:spid="_x0000_s1302" style="position:absolute;margin-left:499.5pt;margin-top:178.65pt;width:25.2pt;height:60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" fillcolor="white [3201]" strokecolor="black [3200]" strokeweight=".25pt">
                <v:path arrowok="t"/>
                <v:textbox style="layout-flow:vertical;mso-layout-flow-alt:bottom-to-top">
                  <w:txbxContent>
                    <w:p w14:paraId="1640BFC2"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v:textbox>
                <w10:wrap anchorx="margin"/>
              </v:rect>
            </w:pict>
          </mc:Fallback>
        </mc:AlternateContent>
      </w:r>
      <w:r>
        <w:rPr>
          <w:noProof/>
          <w:lang w:eastAsia="ru-RU"/>
        </w:rPr>
        <mc:AlternateContent>
          <mc:Choice Requires="wps">
            <w:drawing>
              <wp:anchor distT="0" distB="0" distL="114300" distR="114300" simplePos="0" relativeHeight="252818432" behindDoc="0" locked="0" layoutInCell="1" allowOverlap="1" wp14:anchorId="5BAE762F" wp14:editId="1FE3D7E0">
                <wp:simplePos x="0" y="0"/>
                <wp:positionH relativeFrom="margin">
                  <wp:posOffset>8454390</wp:posOffset>
                </wp:positionH>
                <wp:positionV relativeFrom="paragraph">
                  <wp:posOffset>3305810</wp:posOffset>
                </wp:positionV>
                <wp:extent cx="320040" cy="800100"/>
                <wp:effectExtent l="0" t="0" r="22860" b="19050"/>
                <wp:wrapNone/>
                <wp:docPr id="1747527243"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09413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10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E762F" id="Прямоугольник 239" o:spid="_x0000_s1303" style="position:absolute;margin-left:665.7pt;margin-top:260.3pt;width:25.2pt;height:63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" fillcolor="white [3201]" strokecolor="black [3200]" strokeweight=".25pt">
                <v:path arrowok="t"/>
                <v:textbox style="layout-flow:vertical;mso-layout-flow-alt:bottom-to-top">
                  <w:txbxContent>
                    <w:p w14:paraId="4D09413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10 іс-шара</w:t>
                      </w:r>
                    </w:p>
                  </w:txbxContent>
                </v:textbox>
                <w10:wrap anchorx="margin"/>
              </v:rect>
            </w:pict>
          </mc:Fallback>
        </mc:AlternateContent>
      </w:r>
      <w:r>
        <w:rPr>
          <w:noProof/>
          <w:lang w:eastAsia="ru-RU"/>
        </w:rPr>
        <mc:AlternateContent>
          <mc:Choice Requires="wps">
            <w:drawing>
              <wp:anchor distT="0" distB="0" distL="114300" distR="114300" simplePos="0" relativeHeight="252819456" behindDoc="0" locked="0" layoutInCell="1" allowOverlap="1" wp14:anchorId="4EF8D0D9" wp14:editId="2D764C78">
                <wp:simplePos x="0" y="0"/>
                <wp:positionH relativeFrom="margin">
                  <wp:posOffset>3585210</wp:posOffset>
                </wp:positionH>
                <wp:positionV relativeFrom="paragraph">
                  <wp:posOffset>3305810</wp:posOffset>
                </wp:positionV>
                <wp:extent cx="320040" cy="807720"/>
                <wp:effectExtent l="0" t="0" r="22860" b="11430"/>
                <wp:wrapNone/>
                <wp:docPr id="364539151"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718406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8D0D9" id="Прямоугольник 238" o:spid="_x0000_s1304" style="position:absolute;margin-left:282.3pt;margin-top:260.3pt;width:25.2pt;height:63.6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" fillcolor="white [3201]" strokecolor="black [3200]" strokeweight=".25pt">
                <v:path arrowok="t"/>
                <v:textbox style="layout-flow:vertical;mso-layout-flow-alt:bottom-to-top">
                  <w:txbxContent>
                    <w:p w14:paraId="7718406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 іс-шара</w:t>
                      </w:r>
                    </w:p>
                  </w:txbxContent>
                </v:textbox>
                <w10:wrap anchorx="margin"/>
              </v:rect>
            </w:pict>
          </mc:Fallback>
        </mc:AlternateContent>
      </w:r>
      <w:r>
        <w:rPr>
          <w:noProof/>
          <w:lang w:eastAsia="ru-RU"/>
        </w:rPr>
        <mc:AlternateContent>
          <mc:Choice Requires="wps">
            <w:drawing>
              <wp:anchor distT="0" distB="0" distL="114300" distR="114300" simplePos="0" relativeHeight="252820480" behindDoc="0" locked="0" layoutInCell="1" allowOverlap="1" wp14:anchorId="3A7104A0" wp14:editId="7FDB721D">
                <wp:simplePos x="0" y="0"/>
                <wp:positionH relativeFrom="column">
                  <wp:posOffset>2287905</wp:posOffset>
                </wp:positionH>
                <wp:positionV relativeFrom="paragraph">
                  <wp:posOffset>2044700</wp:posOffset>
                </wp:positionV>
                <wp:extent cx="7620" cy="205740"/>
                <wp:effectExtent l="38100" t="0" r="68580" b="60960"/>
                <wp:wrapNone/>
                <wp:docPr id="175390720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72585" id="Прямая со стрелкой 237" o:spid="_x0000_s1026" type="#_x0000_t32" style="position:absolute;margin-left:180.15pt;margin-top:161pt;width:.6pt;height:16.2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821504" behindDoc="0" locked="0" layoutInCell="1" allowOverlap="1" wp14:anchorId="1CCB4844" wp14:editId="698608A0">
                <wp:simplePos x="0" y="0"/>
                <wp:positionH relativeFrom="margin">
                  <wp:posOffset>8888730</wp:posOffset>
                </wp:positionH>
                <wp:positionV relativeFrom="paragraph">
                  <wp:posOffset>3305810</wp:posOffset>
                </wp:positionV>
                <wp:extent cx="327660" cy="807720"/>
                <wp:effectExtent l="0" t="0" r="15240" b="11430"/>
                <wp:wrapNone/>
                <wp:docPr id="370288825"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86BDD06"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15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B4844" id="Прямоугольник 236" o:spid="_x0000_s1305" style="position:absolute;margin-left:699.9pt;margin-top:260.3pt;width:25.8pt;height:63.6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" fillcolor="white [3201]" strokecolor="black [3200]" strokeweight=".25pt">
                <v:path arrowok="t"/>
                <v:textbox style="layout-flow:vertical;mso-layout-flow-alt:bottom-to-top">
                  <w:txbxContent>
                    <w:p w14:paraId="786BDD06"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15 іс-шара</w:t>
                      </w:r>
                    </w:p>
                  </w:txbxContent>
                </v:textbox>
                <w10:wrap anchorx="margin"/>
              </v:rect>
            </w:pict>
          </mc:Fallback>
        </mc:AlternateContent>
      </w:r>
      <w:r>
        <w:rPr>
          <w:noProof/>
          <w:lang w:eastAsia="ru-RU"/>
        </w:rPr>
        <mc:AlternateContent>
          <mc:Choice Requires="wps">
            <w:drawing>
              <wp:anchor distT="0" distB="0" distL="114300" distR="114300" simplePos="0" relativeHeight="252822528" behindDoc="0" locked="0" layoutInCell="1" allowOverlap="1" wp14:anchorId="3DA01FE3" wp14:editId="74363D38">
                <wp:simplePos x="0" y="0"/>
                <wp:positionH relativeFrom="column">
                  <wp:posOffset>6113145</wp:posOffset>
                </wp:positionH>
                <wp:positionV relativeFrom="paragraph">
                  <wp:posOffset>2021205</wp:posOffset>
                </wp:positionV>
                <wp:extent cx="7620" cy="251460"/>
                <wp:effectExtent l="38100" t="0" r="68580" b="53340"/>
                <wp:wrapNone/>
                <wp:docPr id="1406559820"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38E74" id="Прямая со стрелкой 235" o:spid="_x0000_s1026" type="#_x0000_t32" style="position:absolute;margin-left:481.35pt;margin-top:159.15pt;width:.6pt;height:19.8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23552" behindDoc="0" locked="0" layoutInCell="1" allowOverlap="1" wp14:anchorId="42F4105F" wp14:editId="1CBDF40C">
                <wp:simplePos x="0" y="0"/>
                <wp:positionH relativeFrom="column">
                  <wp:posOffset>6515100</wp:posOffset>
                </wp:positionH>
                <wp:positionV relativeFrom="paragraph">
                  <wp:posOffset>2022475</wp:posOffset>
                </wp:positionV>
                <wp:extent cx="0" cy="220980"/>
                <wp:effectExtent l="76200" t="0" r="57150" b="64770"/>
                <wp:wrapNone/>
                <wp:docPr id="280108779"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3D70B" id="Прямая со стрелкой 234" o:spid="_x0000_s1026" type="#_x0000_t32" style="position:absolute;margin-left:513pt;margin-top:159.25pt;width:0;height:17.4pt;z-index:25282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24576" behindDoc="0" locked="0" layoutInCell="1" allowOverlap="1" wp14:anchorId="2824DC3D" wp14:editId="171BF285">
                <wp:simplePos x="0" y="0"/>
                <wp:positionH relativeFrom="column">
                  <wp:posOffset>3992880</wp:posOffset>
                </wp:positionH>
                <wp:positionV relativeFrom="paragraph">
                  <wp:posOffset>2017395</wp:posOffset>
                </wp:positionV>
                <wp:extent cx="0" cy="220980"/>
                <wp:effectExtent l="76200" t="0" r="57150" b="64770"/>
                <wp:wrapNone/>
                <wp:docPr id="1166457204"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D9454" id="Прямая со стрелкой 233" o:spid="_x0000_s1026" type="#_x0000_t32" style="position:absolute;margin-left:314.4pt;margin-top:158.85pt;width:0;height:17.4pt;z-index:25282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25600" behindDoc="0" locked="0" layoutInCell="1" allowOverlap="1" wp14:anchorId="2921CDD4" wp14:editId="310BCB22">
                <wp:simplePos x="0" y="0"/>
                <wp:positionH relativeFrom="margin">
                  <wp:posOffset>4757420</wp:posOffset>
                </wp:positionH>
                <wp:positionV relativeFrom="paragraph">
                  <wp:posOffset>2011045</wp:posOffset>
                </wp:positionV>
                <wp:extent cx="0" cy="220980"/>
                <wp:effectExtent l="76200" t="0" r="57150" b="64770"/>
                <wp:wrapNone/>
                <wp:docPr id="1775629663"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F5B08" id="Прямая со стрелкой 232" o:spid="_x0000_s1026" type="#_x0000_t32" style="position:absolute;margin-left:374.6pt;margin-top:158.35pt;width:0;height:17.4pt;z-index:2528256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" strokecolor="black [3040]">
                <v:stroke endarrow="block"/>
                <o:lock v:ext="edit" shapetype="f"/>
                <w10:wrap anchorx="margin"/>
              </v:shape>
            </w:pict>
          </mc:Fallback>
        </mc:AlternateContent>
      </w:r>
      <w:r>
        <w:rPr>
          <w:noProof/>
          <w:lang w:eastAsia="ru-RU"/>
        </w:rPr>
        <mc:AlternateContent>
          <mc:Choice Requires="wps">
            <w:drawing>
              <wp:anchor distT="0" distB="0" distL="114299" distR="114299" simplePos="0" relativeHeight="252826624" behindDoc="0" locked="0" layoutInCell="1" allowOverlap="1" wp14:anchorId="10E2044D" wp14:editId="1030504B">
                <wp:simplePos x="0" y="0"/>
                <wp:positionH relativeFrom="column">
                  <wp:posOffset>4381500</wp:posOffset>
                </wp:positionH>
                <wp:positionV relativeFrom="paragraph">
                  <wp:posOffset>2021205</wp:posOffset>
                </wp:positionV>
                <wp:extent cx="0" cy="220980"/>
                <wp:effectExtent l="76200" t="0" r="57150" b="64770"/>
                <wp:wrapNone/>
                <wp:docPr id="1962578463"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AAD31" id="Прямая со стрелкой 231" o:spid="_x0000_s1026" type="#_x0000_t32" style="position:absolute;margin-left:345pt;margin-top:159.15pt;width:0;height:17.4pt;z-index:25282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27648" behindDoc="0" locked="0" layoutInCell="1" allowOverlap="1" wp14:anchorId="49CBBFFC" wp14:editId="6CE6034A">
                <wp:simplePos x="0" y="0"/>
                <wp:positionH relativeFrom="column">
                  <wp:posOffset>5425440</wp:posOffset>
                </wp:positionH>
                <wp:positionV relativeFrom="paragraph">
                  <wp:posOffset>2012315</wp:posOffset>
                </wp:positionV>
                <wp:extent cx="0" cy="220980"/>
                <wp:effectExtent l="76200" t="0" r="57150" b="64770"/>
                <wp:wrapNone/>
                <wp:docPr id="1712297804"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0581E" id="Прямая со стрелкой 230" o:spid="_x0000_s1026" type="#_x0000_t32" style="position:absolute;margin-left:427.2pt;margin-top:158.45pt;width:0;height:17.4pt;z-index:25282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28672" behindDoc="0" locked="0" layoutInCell="1" allowOverlap="1" wp14:anchorId="2891015D" wp14:editId="58D5F776">
                <wp:simplePos x="0" y="0"/>
                <wp:positionH relativeFrom="column">
                  <wp:posOffset>5760720</wp:posOffset>
                </wp:positionH>
                <wp:positionV relativeFrom="paragraph">
                  <wp:posOffset>2017395</wp:posOffset>
                </wp:positionV>
                <wp:extent cx="0" cy="220980"/>
                <wp:effectExtent l="76200" t="0" r="57150" b="64770"/>
                <wp:wrapNone/>
                <wp:docPr id="157709238"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B0890" id="Прямая со стрелкой 229" o:spid="_x0000_s1026" type="#_x0000_t32" style="position:absolute;margin-left:453.6pt;margin-top:158.85pt;width:0;height:17.4pt;z-index:25282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29696" behindDoc="0" locked="0" layoutInCell="1" allowOverlap="1" wp14:anchorId="5DEE05F4" wp14:editId="5E8A7496">
                <wp:simplePos x="0" y="0"/>
                <wp:positionH relativeFrom="margin">
                  <wp:posOffset>5115560</wp:posOffset>
                </wp:positionH>
                <wp:positionV relativeFrom="paragraph">
                  <wp:posOffset>2007235</wp:posOffset>
                </wp:positionV>
                <wp:extent cx="0" cy="220980"/>
                <wp:effectExtent l="76200" t="0" r="57150" b="64770"/>
                <wp:wrapNone/>
                <wp:docPr id="1390567561"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51588" id="Прямая со стрелкой 228" o:spid="_x0000_s1026" type="#_x0000_t32" style="position:absolute;margin-left:402.8pt;margin-top:158.05pt;width:0;height:17.4pt;z-index:2528296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" strokecolor="black [3040]">
                <v:stroke endarrow="block"/>
                <o:lock v:ext="edit" shapetype="f"/>
                <w10:wrap anchorx="margin"/>
              </v:shape>
            </w:pict>
          </mc:Fallback>
        </mc:AlternateContent>
      </w:r>
      <w:r>
        <w:rPr>
          <w:noProof/>
          <w:lang w:eastAsia="ru-RU"/>
        </w:rPr>
        <mc:AlternateContent>
          <mc:Choice Requires="wps">
            <w:drawing>
              <wp:anchor distT="0" distB="0" distL="114300" distR="114300" simplePos="0" relativeHeight="252830720" behindDoc="0" locked="0" layoutInCell="1" allowOverlap="1" wp14:anchorId="0F675230" wp14:editId="68972243">
                <wp:simplePos x="0" y="0"/>
                <wp:positionH relativeFrom="margin">
                  <wp:posOffset>3926205</wp:posOffset>
                </wp:positionH>
                <wp:positionV relativeFrom="paragraph">
                  <wp:posOffset>3308985</wp:posOffset>
                </wp:positionV>
                <wp:extent cx="320040" cy="815340"/>
                <wp:effectExtent l="0" t="0" r="22860" b="22860"/>
                <wp:wrapNone/>
                <wp:docPr id="285042840"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D0B2A23"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75230" id="Прямоугольник 227" o:spid="_x0000_s1306" style="position:absolute;margin-left:309.15pt;margin-top:260.55pt;width:25.2pt;height:64.2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" fillcolor="white [3201]" strokecolor="black [3200]" strokeweight=".25pt">
                <v:path arrowok="t"/>
                <v:textbox style="layout-flow:vertical;mso-layout-flow-alt:bottom-to-top">
                  <w:txbxContent>
                    <w:p w14:paraId="5D0B2A23"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 іс-шара</w:t>
                      </w:r>
                    </w:p>
                  </w:txbxContent>
                </v:textbox>
                <w10:wrap anchorx="margin"/>
              </v:rect>
            </w:pict>
          </mc:Fallback>
        </mc:AlternateContent>
      </w:r>
      <w:r>
        <w:rPr>
          <w:noProof/>
          <w:lang w:eastAsia="ru-RU"/>
        </w:rPr>
        <mc:AlternateContent>
          <mc:Choice Requires="wps">
            <w:drawing>
              <wp:anchor distT="0" distB="0" distL="114300" distR="114300" simplePos="0" relativeHeight="252831744" behindDoc="0" locked="0" layoutInCell="1" allowOverlap="1" wp14:anchorId="09C8A82C" wp14:editId="542792C0">
                <wp:simplePos x="0" y="0"/>
                <wp:positionH relativeFrom="margin">
                  <wp:posOffset>4267200</wp:posOffset>
                </wp:positionH>
                <wp:positionV relativeFrom="paragraph">
                  <wp:posOffset>3305175</wp:posOffset>
                </wp:positionV>
                <wp:extent cx="320040" cy="815340"/>
                <wp:effectExtent l="0" t="0" r="22860" b="22860"/>
                <wp:wrapNone/>
                <wp:docPr id="1317622624"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5C5D6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C8A82C" id="Прямоугольник 226" o:spid="_x0000_s1307" style="position:absolute;margin-left:336pt;margin-top:260.25pt;width:25.2pt;height:64.2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" fillcolor="white [3201]" strokecolor="black [3200]" strokeweight=".25pt">
                <v:path arrowok="t"/>
                <v:textbox style="layout-flow:vertical;mso-layout-flow-alt:bottom-to-top">
                  <w:txbxContent>
                    <w:p w14:paraId="105C5D6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32768" behindDoc="0" locked="0" layoutInCell="1" allowOverlap="1" wp14:anchorId="71E86451" wp14:editId="73EB889B">
                <wp:simplePos x="0" y="0"/>
                <wp:positionH relativeFrom="margin">
                  <wp:posOffset>4602480</wp:posOffset>
                </wp:positionH>
                <wp:positionV relativeFrom="paragraph">
                  <wp:posOffset>3307715</wp:posOffset>
                </wp:positionV>
                <wp:extent cx="320040" cy="815340"/>
                <wp:effectExtent l="0" t="0" r="22860" b="22860"/>
                <wp:wrapNone/>
                <wp:docPr id="207278917"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278065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E86451" id="Прямоугольник 225" o:spid="_x0000_s1308" style="position:absolute;margin-left:362.4pt;margin-top:260.45pt;width:25.2pt;height:64.2pt;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" fillcolor="white [3201]" strokecolor="black [3200]" strokeweight=".25pt">
                <v:path arrowok="t"/>
                <v:textbox style="layout-flow:vertical;mso-layout-flow-alt:bottom-to-top">
                  <w:txbxContent>
                    <w:p w14:paraId="4278065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33792" behindDoc="0" locked="0" layoutInCell="1" allowOverlap="1" wp14:anchorId="7B5D6A70" wp14:editId="7E6157F1">
                <wp:simplePos x="0" y="0"/>
                <wp:positionH relativeFrom="margin">
                  <wp:posOffset>4953000</wp:posOffset>
                </wp:positionH>
                <wp:positionV relativeFrom="paragraph">
                  <wp:posOffset>3303905</wp:posOffset>
                </wp:positionV>
                <wp:extent cx="320040" cy="815340"/>
                <wp:effectExtent l="0" t="0" r="22860" b="22860"/>
                <wp:wrapNone/>
                <wp:docPr id="900258906"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198343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D6A70" id="Прямоугольник 224" o:spid="_x0000_s1309" style="position:absolute;margin-left:390pt;margin-top:260.15pt;width:25.2pt;height:64.2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" fillcolor="white [3201]" strokecolor="black [3200]" strokeweight=".25pt">
                <v:path arrowok="t"/>
                <v:textbox style="layout-flow:vertical;mso-layout-flow-alt:bottom-to-top">
                  <w:txbxContent>
                    <w:p w14:paraId="1198343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34816" behindDoc="0" locked="0" layoutInCell="1" allowOverlap="1" wp14:anchorId="49C943FF" wp14:editId="7E847C2F">
                <wp:simplePos x="0" y="0"/>
                <wp:positionH relativeFrom="margin">
                  <wp:posOffset>5295900</wp:posOffset>
                </wp:positionH>
                <wp:positionV relativeFrom="paragraph">
                  <wp:posOffset>3308985</wp:posOffset>
                </wp:positionV>
                <wp:extent cx="320040" cy="815340"/>
                <wp:effectExtent l="0" t="0" r="22860" b="22860"/>
                <wp:wrapNone/>
                <wp:docPr id="590886131"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717D815"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C943FF" id="Прямоугольник 223" o:spid="_x0000_s1310" style="position:absolute;margin-left:417pt;margin-top:260.55pt;width:25.2pt;height:64.2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" fillcolor="white [3201]" strokecolor="black [3200]" strokeweight=".25pt">
                <v:path arrowok="t"/>
                <v:textbox style="layout-flow:vertical;mso-layout-flow-alt:bottom-to-top">
                  <w:txbxContent>
                    <w:p w14:paraId="1717D815"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35840" behindDoc="0" locked="0" layoutInCell="1" allowOverlap="1" wp14:anchorId="49426A79" wp14:editId="60A88DD7">
                <wp:simplePos x="0" y="0"/>
                <wp:positionH relativeFrom="margin">
                  <wp:posOffset>5638800</wp:posOffset>
                </wp:positionH>
                <wp:positionV relativeFrom="paragraph">
                  <wp:posOffset>3302635</wp:posOffset>
                </wp:positionV>
                <wp:extent cx="320040" cy="815340"/>
                <wp:effectExtent l="0" t="0" r="22860" b="22860"/>
                <wp:wrapNone/>
                <wp:docPr id="1594574840"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C956A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26A79" id="Прямоугольник 222" o:spid="_x0000_s1311" style="position:absolute;margin-left:444pt;margin-top:260.05pt;width:25.2pt;height:64.2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" fillcolor="white [3201]" strokecolor="black [3200]" strokeweight=".25pt">
                <v:path arrowok="t"/>
                <v:textbox style="layout-flow:vertical;mso-layout-flow-alt:bottom-to-top">
                  <w:txbxContent>
                    <w:p w14:paraId="08C956A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36864" behindDoc="0" locked="0" layoutInCell="1" allowOverlap="1" wp14:anchorId="13FB7FD2" wp14:editId="13B1A504">
                <wp:simplePos x="0" y="0"/>
                <wp:positionH relativeFrom="margin">
                  <wp:posOffset>5996940</wp:posOffset>
                </wp:positionH>
                <wp:positionV relativeFrom="paragraph">
                  <wp:posOffset>3308985</wp:posOffset>
                </wp:positionV>
                <wp:extent cx="320040" cy="815340"/>
                <wp:effectExtent l="0" t="0" r="22860" b="22860"/>
                <wp:wrapNone/>
                <wp:docPr id="1326108546"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F0E00E9"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1-іс-шара </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B7FD2" id="Прямоугольник 221" o:spid="_x0000_s1312" style="position:absolute;margin-left:472.2pt;margin-top:260.55pt;width:25.2pt;height:64.2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" fillcolor="white [3201]" strokecolor="black [3200]" strokeweight=".25pt">
                <v:path arrowok="t"/>
                <v:textbox style="layout-flow:vertical;mso-layout-flow-alt:bottom-to-top">
                  <w:txbxContent>
                    <w:p w14:paraId="2F0E00E9"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1-іс-шара </w:t>
                      </w:r>
                    </w:p>
                  </w:txbxContent>
                </v:textbox>
                <w10:wrap anchorx="margin"/>
              </v:rect>
            </w:pict>
          </mc:Fallback>
        </mc:AlternateContent>
      </w:r>
      <w:r>
        <w:rPr>
          <w:noProof/>
          <w:lang w:eastAsia="ru-RU"/>
        </w:rPr>
        <mc:AlternateContent>
          <mc:Choice Requires="wps">
            <w:drawing>
              <wp:anchor distT="0" distB="0" distL="114300" distR="114300" simplePos="0" relativeHeight="252837888" behindDoc="0" locked="0" layoutInCell="1" allowOverlap="1" wp14:anchorId="3263694A" wp14:editId="21E116E6">
                <wp:simplePos x="0" y="0"/>
                <wp:positionH relativeFrom="margin">
                  <wp:posOffset>6355080</wp:posOffset>
                </wp:positionH>
                <wp:positionV relativeFrom="paragraph">
                  <wp:posOffset>3308985</wp:posOffset>
                </wp:positionV>
                <wp:extent cx="320040" cy="815340"/>
                <wp:effectExtent l="0" t="0" r="22860" b="22860"/>
                <wp:wrapNone/>
                <wp:docPr id="1909504472"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45C5F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 2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3694A" id="Прямоугольник 220" o:spid="_x0000_s1313" style="position:absolute;margin-left:500.4pt;margin-top:260.55pt;width:25.2pt;height:64.2pt;z-index:25283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" fillcolor="white [3201]" strokecolor="black [3200]" strokeweight=".25pt">
                <v:path arrowok="t"/>
                <v:textbox style="layout-flow:vertical;mso-layout-flow-alt:bottom-to-top">
                  <w:txbxContent>
                    <w:p w14:paraId="4745C5F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 2 іс-шара</w:t>
                      </w:r>
                    </w:p>
                  </w:txbxContent>
                </v:textbox>
                <w10:wrap anchorx="margin"/>
              </v:rect>
            </w:pict>
          </mc:Fallback>
        </mc:AlternateContent>
      </w:r>
      <w:r>
        <w:rPr>
          <w:noProof/>
          <w:lang w:eastAsia="ru-RU"/>
        </w:rPr>
        <mc:AlternateContent>
          <mc:Choice Requires="wps">
            <w:drawing>
              <wp:anchor distT="0" distB="0" distL="114300" distR="114300" simplePos="0" relativeHeight="252838912" behindDoc="0" locked="0" layoutInCell="1" allowOverlap="1" wp14:anchorId="2ACB1918" wp14:editId="50A91889">
                <wp:simplePos x="0" y="0"/>
                <wp:positionH relativeFrom="margin">
                  <wp:posOffset>6717030</wp:posOffset>
                </wp:positionH>
                <wp:positionV relativeFrom="paragraph">
                  <wp:posOffset>3305810</wp:posOffset>
                </wp:positionV>
                <wp:extent cx="335280" cy="815340"/>
                <wp:effectExtent l="0" t="0" r="26670" b="22860"/>
                <wp:wrapNone/>
                <wp:docPr id="1418780197"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AC91822"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B1918" id="Прямоугольник 219" o:spid="_x0000_s1314" style="position:absolute;margin-left:528.9pt;margin-top:260.3pt;width:26.4pt;height:64.2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" fillcolor="white [3201]" strokecolor="black [3200]" strokeweight=".25pt">
                <v:path arrowok="t"/>
                <v:textbox style="layout-flow:vertical;mso-layout-flow-alt:bottom-to-top">
                  <w:txbxContent>
                    <w:p w14:paraId="5AC91822"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1-іс-шара</w:t>
                      </w:r>
                    </w:p>
                  </w:txbxContent>
                </v:textbox>
                <w10:wrap anchorx="margin"/>
              </v:rect>
            </w:pict>
          </mc:Fallback>
        </mc:AlternateContent>
      </w:r>
      <w:r>
        <w:rPr>
          <w:noProof/>
          <w:lang w:eastAsia="ru-RU"/>
        </w:rPr>
        <mc:AlternateContent>
          <mc:Choice Requires="wps">
            <w:drawing>
              <wp:anchor distT="0" distB="0" distL="114300" distR="114300" simplePos="0" relativeHeight="252839936" behindDoc="0" locked="0" layoutInCell="1" allowOverlap="1" wp14:anchorId="4C8E860F" wp14:editId="4B3D9345">
                <wp:simplePos x="0" y="0"/>
                <wp:positionH relativeFrom="margin">
                  <wp:posOffset>7105650</wp:posOffset>
                </wp:positionH>
                <wp:positionV relativeFrom="paragraph">
                  <wp:posOffset>3305810</wp:posOffset>
                </wp:positionV>
                <wp:extent cx="304800" cy="815340"/>
                <wp:effectExtent l="0" t="0" r="19050" b="22860"/>
                <wp:wrapNone/>
                <wp:docPr id="857677931"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FAFA40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E860F" id="Прямоугольник 218" o:spid="_x0000_s1315" style="position:absolute;margin-left:559.5pt;margin-top:260.3pt;width:24pt;height:64.2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" fillcolor="white [3201]" strokecolor="black [3200]" strokeweight=".25pt">
                <v:path arrowok="t"/>
                <v:textbox style="layout-flow:vertical;mso-layout-flow-alt:bottom-to-top">
                  <w:txbxContent>
                    <w:p w14:paraId="6FAFA40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11 іс-шара</w:t>
                      </w:r>
                    </w:p>
                  </w:txbxContent>
                </v:textbox>
                <w10:wrap anchorx="margin"/>
              </v:rect>
            </w:pict>
          </mc:Fallback>
        </mc:AlternateContent>
      </w:r>
      <w:r>
        <w:rPr>
          <w:noProof/>
          <w:lang w:eastAsia="ru-RU"/>
        </w:rPr>
        <mc:AlternateContent>
          <mc:Choice Requires="wps">
            <w:drawing>
              <wp:anchor distT="0" distB="0" distL="114300" distR="114300" simplePos="0" relativeHeight="252840960" behindDoc="0" locked="0" layoutInCell="1" allowOverlap="1" wp14:anchorId="12B9CD36" wp14:editId="777B21AB">
                <wp:simplePos x="0" y="0"/>
                <wp:positionH relativeFrom="margin">
                  <wp:posOffset>7532370</wp:posOffset>
                </wp:positionH>
                <wp:positionV relativeFrom="paragraph">
                  <wp:posOffset>3305810</wp:posOffset>
                </wp:positionV>
                <wp:extent cx="312420" cy="815340"/>
                <wp:effectExtent l="0" t="0" r="11430" b="22860"/>
                <wp:wrapNone/>
                <wp:docPr id="1171253356"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353614"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1-іс-шара </w:t>
                            </w:r>
                          </w:p>
                          <w:p w14:paraId="54686F50" w14:textId="77777777" w:rsidR="00B10552" w:rsidRPr="00865D76" w:rsidRDefault="00B10552" w:rsidP="00B10552">
                            <w:pPr>
                              <w:jc w:val="center"/>
                              <w:rPr>
                                <w:rFonts w:ascii="Times New Roman" w:hAnsi="Times New Roman" w:cs="Times New Roman"/>
                                <w:sz w:val="18"/>
                                <w:szCs w:val="18"/>
                                <w:lang w:val="kk-KZ"/>
                              </w:rPr>
                            </w:pP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B9CD36" id="Прямоугольник 217" o:spid="_x0000_s1316" style="position:absolute;margin-left:593.1pt;margin-top:260.3pt;width:24.6pt;height:64.2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" fillcolor="white [3201]" strokecolor="black [3200]" strokeweight=".25pt">
                <v:path arrowok="t"/>
                <v:textbox style="layout-flow:vertical;mso-layout-flow-alt:bottom-to-top">
                  <w:txbxContent>
                    <w:p w14:paraId="40353614"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1-іс-шара </w:t>
                      </w:r>
                    </w:p>
                    <w:p w14:paraId="54686F50" w14:textId="77777777" w:rsidR="00B10552" w:rsidRPr="00865D76" w:rsidRDefault="00B10552" w:rsidP="00B10552">
                      <w:pPr>
                        <w:jc w:val="center"/>
                        <w:rPr>
                          <w:rFonts w:ascii="Times New Roman" w:hAnsi="Times New Roman" w:cs="Times New Roman"/>
                          <w:sz w:val="18"/>
                          <w:szCs w:val="18"/>
                          <w:lang w:val="kk-KZ"/>
                        </w:rPr>
                      </w:pPr>
                    </w:p>
                  </w:txbxContent>
                </v:textbox>
                <w10:wrap anchorx="margin"/>
              </v:rect>
            </w:pict>
          </mc:Fallback>
        </mc:AlternateContent>
      </w:r>
      <w:r>
        <w:rPr>
          <w:noProof/>
          <w:lang w:eastAsia="ru-RU"/>
        </w:rPr>
        <mc:AlternateContent>
          <mc:Choice Requires="wps">
            <w:drawing>
              <wp:anchor distT="0" distB="0" distL="114300" distR="114300" simplePos="0" relativeHeight="252841984" behindDoc="0" locked="0" layoutInCell="1" allowOverlap="1" wp14:anchorId="7D024956" wp14:editId="20F8FCEE">
                <wp:simplePos x="0" y="0"/>
                <wp:positionH relativeFrom="margin">
                  <wp:posOffset>7987030</wp:posOffset>
                </wp:positionH>
                <wp:positionV relativeFrom="paragraph">
                  <wp:posOffset>3302635</wp:posOffset>
                </wp:positionV>
                <wp:extent cx="320040" cy="815340"/>
                <wp:effectExtent l="0" t="0" r="22860" b="22860"/>
                <wp:wrapNone/>
                <wp:docPr id="764432513"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153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8325E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14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24956" id="Прямоугольник 216" o:spid="_x0000_s1317" style="position:absolute;margin-left:628.9pt;margin-top:260.05pt;width:25.2pt;height:64.2pt;z-index:2528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" fillcolor="white [3201]" strokecolor="black [3200]" strokeweight=".25pt">
                <v:path arrowok="t"/>
                <v:textbox style="layout-flow:vertical;mso-layout-flow-alt:bottom-to-top">
                  <w:txbxContent>
                    <w:p w14:paraId="458325E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14 іс-шара</w:t>
                      </w:r>
                    </w:p>
                  </w:txbxContent>
                </v:textbox>
                <w10:wrap anchorx="margin"/>
              </v:rect>
            </w:pict>
          </mc:Fallback>
        </mc:AlternateContent>
      </w:r>
      <w:r>
        <w:rPr>
          <w:noProof/>
          <w:lang w:eastAsia="ru-RU"/>
        </w:rPr>
        <mc:AlternateContent>
          <mc:Choice Requires="wps">
            <w:drawing>
              <wp:anchor distT="0" distB="0" distL="114299" distR="114299" simplePos="0" relativeHeight="252843008" behindDoc="0" locked="0" layoutInCell="1" allowOverlap="1" wp14:anchorId="5BC45556" wp14:editId="6DC8FD5E">
                <wp:simplePos x="0" y="0"/>
                <wp:positionH relativeFrom="column">
                  <wp:posOffset>3789045</wp:posOffset>
                </wp:positionH>
                <wp:positionV relativeFrom="paragraph">
                  <wp:posOffset>2033270</wp:posOffset>
                </wp:positionV>
                <wp:extent cx="0" cy="220980"/>
                <wp:effectExtent l="76200" t="0" r="57150" b="64770"/>
                <wp:wrapNone/>
                <wp:docPr id="2137457223"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BC5A4" id="Прямая со стрелкой 215" o:spid="_x0000_s1026" type="#_x0000_t32" style="position:absolute;margin-left:298.35pt;margin-top:160.1pt;width:0;height:17.4pt;z-index:25284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44032" behindDoc="0" locked="0" layoutInCell="1" allowOverlap="1" wp14:anchorId="160AB011" wp14:editId="196F048C">
                <wp:simplePos x="0" y="0"/>
                <wp:positionH relativeFrom="column">
                  <wp:posOffset>1922145</wp:posOffset>
                </wp:positionH>
                <wp:positionV relativeFrom="paragraph">
                  <wp:posOffset>2041525</wp:posOffset>
                </wp:positionV>
                <wp:extent cx="0" cy="220980"/>
                <wp:effectExtent l="76200" t="0" r="57150" b="64770"/>
                <wp:wrapNone/>
                <wp:docPr id="860077149"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790F4" id="Прямая со стрелкой 214" o:spid="_x0000_s1026" type="#_x0000_t32" style="position:absolute;margin-left:151.35pt;margin-top:160.75pt;width:0;height:17.4pt;z-index:25284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45056" behindDoc="0" locked="0" layoutInCell="1" allowOverlap="1" wp14:anchorId="33113E43" wp14:editId="43CF5066">
                <wp:simplePos x="0" y="0"/>
                <wp:positionH relativeFrom="column">
                  <wp:posOffset>1577340</wp:posOffset>
                </wp:positionH>
                <wp:positionV relativeFrom="paragraph">
                  <wp:posOffset>2019935</wp:posOffset>
                </wp:positionV>
                <wp:extent cx="0" cy="220980"/>
                <wp:effectExtent l="76200" t="0" r="57150" b="64770"/>
                <wp:wrapNone/>
                <wp:docPr id="1964552890"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0BEC1" id="Прямая со стрелкой 213" o:spid="_x0000_s1026" type="#_x0000_t32" style="position:absolute;margin-left:124.2pt;margin-top:159.05pt;width:0;height:17.4pt;z-index:25284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46080" behindDoc="0" locked="0" layoutInCell="1" allowOverlap="1" wp14:anchorId="378E721F" wp14:editId="57B5DDF0">
                <wp:simplePos x="0" y="0"/>
                <wp:positionH relativeFrom="page">
                  <wp:posOffset>4102100</wp:posOffset>
                </wp:positionH>
                <wp:positionV relativeFrom="paragraph">
                  <wp:posOffset>2049145</wp:posOffset>
                </wp:positionV>
                <wp:extent cx="0" cy="220980"/>
                <wp:effectExtent l="76200" t="0" r="57150" b="64770"/>
                <wp:wrapNone/>
                <wp:docPr id="697189843"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EE27F" id="Прямая со стрелкой 212" o:spid="_x0000_s1026" type="#_x0000_t32" style="position:absolute;margin-left:323pt;margin-top:161.35pt;width:0;height:17.4pt;z-index:2528460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" strokecolor="black [3040]">
                <v:stroke endarrow="block"/>
                <o:lock v:ext="edit" shapetype="f"/>
                <w10:wrap anchorx="page"/>
              </v:shape>
            </w:pict>
          </mc:Fallback>
        </mc:AlternateContent>
      </w:r>
      <w:r>
        <w:rPr>
          <w:noProof/>
          <w:lang w:eastAsia="ru-RU"/>
        </w:rPr>
        <mc:AlternateContent>
          <mc:Choice Requires="wps">
            <w:drawing>
              <wp:anchor distT="0" distB="0" distL="114299" distR="114299" simplePos="0" relativeHeight="252847104" behindDoc="0" locked="0" layoutInCell="1" allowOverlap="1" wp14:anchorId="6EBCEAAC" wp14:editId="64AD1892">
                <wp:simplePos x="0" y="0"/>
                <wp:positionH relativeFrom="column">
                  <wp:posOffset>2966085</wp:posOffset>
                </wp:positionH>
                <wp:positionV relativeFrom="paragraph">
                  <wp:posOffset>2033905</wp:posOffset>
                </wp:positionV>
                <wp:extent cx="0" cy="220980"/>
                <wp:effectExtent l="76200" t="0" r="57150" b="64770"/>
                <wp:wrapNone/>
                <wp:docPr id="1766970793"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AB4F0" id="Прямая со стрелкой 211" o:spid="_x0000_s1026" type="#_x0000_t32" style="position:absolute;margin-left:233.55pt;margin-top:160.15pt;width:0;height:17.4pt;z-index:25284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48128" behindDoc="0" locked="0" layoutInCell="1" allowOverlap="1" wp14:anchorId="6083B966" wp14:editId="56A6C46F">
                <wp:simplePos x="0" y="0"/>
                <wp:positionH relativeFrom="column">
                  <wp:posOffset>2667000</wp:posOffset>
                </wp:positionH>
                <wp:positionV relativeFrom="paragraph">
                  <wp:posOffset>2034540</wp:posOffset>
                </wp:positionV>
                <wp:extent cx="0" cy="220980"/>
                <wp:effectExtent l="76200" t="0" r="57150" b="64770"/>
                <wp:wrapNone/>
                <wp:docPr id="396293407"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BD7A4" id="Прямая со стрелкой 210" o:spid="_x0000_s1026" type="#_x0000_t32" style="position:absolute;margin-left:210pt;margin-top:160.2pt;width:0;height:17.4pt;z-index:25284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4294967295" distB="4294967295" distL="114300" distR="114300" simplePos="0" relativeHeight="252849152" behindDoc="0" locked="0" layoutInCell="1" allowOverlap="1" wp14:anchorId="386C7411" wp14:editId="6BD7D3FD">
                <wp:simplePos x="0" y="0"/>
                <wp:positionH relativeFrom="column">
                  <wp:posOffset>3981450</wp:posOffset>
                </wp:positionH>
                <wp:positionV relativeFrom="paragraph">
                  <wp:posOffset>2009775</wp:posOffset>
                </wp:positionV>
                <wp:extent cx="1798320" cy="0"/>
                <wp:effectExtent l="0" t="0" r="0" b="0"/>
                <wp:wrapNone/>
                <wp:docPr id="76849855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8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2BDB7" id="Прямая соединительная линия 209" o:spid="_x0000_s1026" style="position:absolute;z-index:25284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3.5pt,158.25pt" to="455.1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" strokecolor="black [3040]">
                <o:lock v:ext="edit" shapetype="f"/>
              </v:line>
            </w:pict>
          </mc:Fallback>
        </mc:AlternateContent>
      </w:r>
      <w:r>
        <w:rPr>
          <w:noProof/>
          <w:lang w:eastAsia="ru-RU"/>
        </w:rPr>
        <mc:AlternateContent>
          <mc:Choice Requires="wps">
            <w:drawing>
              <wp:anchor distT="0" distB="0" distL="114300" distR="114300" simplePos="0" relativeHeight="252850176" behindDoc="0" locked="0" layoutInCell="1" allowOverlap="1" wp14:anchorId="33AD8D3D" wp14:editId="306EDA03">
                <wp:simplePos x="0" y="0"/>
                <wp:positionH relativeFrom="column">
                  <wp:posOffset>6724650</wp:posOffset>
                </wp:positionH>
                <wp:positionV relativeFrom="paragraph">
                  <wp:posOffset>2261235</wp:posOffset>
                </wp:positionV>
                <wp:extent cx="304800" cy="777240"/>
                <wp:effectExtent l="0" t="0" r="19050" b="22860"/>
                <wp:wrapNone/>
                <wp:docPr id="1674778431"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7772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352FB71"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D8D3D" id="Прямоугольник 208" o:spid="_x0000_s1318" style="position:absolute;margin-left:529.5pt;margin-top:178.05pt;width:24pt;height:61.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" fillcolor="white [3201]" strokecolor="black [3200]" strokeweight=".25pt">
                <v:path arrowok="t"/>
                <v:textbox style="layout-flow:vertical;mso-layout-flow-alt:bottom-to-top">
                  <w:txbxContent>
                    <w:p w14:paraId="5352FB71"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txbxContent>
                </v:textbox>
              </v:rect>
            </w:pict>
          </mc:Fallback>
        </mc:AlternateContent>
      </w:r>
      <w:r>
        <w:rPr>
          <w:noProof/>
          <w:lang w:eastAsia="ru-RU"/>
        </w:rPr>
        <mc:AlternateContent>
          <mc:Choice Requires="wps">
            <w:drawing>
              <wp:anchor distT="0" distB="0" distL="114300" distR="114300" simplePos="0" relativeHeight="252851200" behindDoc="0" locked="0" layoutInCell="1" allowOverlap="1" wp14:anchorId="24102791" wp14:editId="4A077DBC">
                <wp:simplePos x="0" y="0"/>
                <wp:positionH relativeFrom="column">
                  <wp:posOffset>7075170</wp:posOffset>
                </wp:positionH>
                <wp:positionV relativeFrom="paragraph">
                  <wp:posOffset>2261235</wp:posOffset>
                </wp:positionV>
                <wp:extent cx="320040" cy="777240"/>
                <wp:effectExtent l="0" t="0" r="22860" b="22860"/>
                <wp:wrapNone/>
                <wp:docPr id="2028088364"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772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85120A"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02791" id="Прямоугольник 207" o:spid="_x0000_s1319" style="position:absolute;margin-left:557.1pt;margin-top:178.05pt;width:25.2pt;height:61.2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" fillcolor="white [3201]" strokecolor="black [3200]" strokeweight=".25pt">
                <v:path arrowok="t"/>
                <v:textbox style="layout-flow:vertical;mso-layout-flow-alt:bottom-to-top">
                  <w:txbxContent>
                    <w:p w14:paraId="3185120A"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txbxContent>
                </v:textbox>
              </v:rect>
            </w:pict>
          </mc:Fallback>
        </mc:AlternateContent>
      </w:r>
      <w:r>
        <w:rPr>
          <w:noProof/>
          <w:lang w:eastAsia="ru-RU"/>
        </w:rPr>
        <mc:AlternateContent>
          <mc:Choice Requires="wps">
            <w:drawing>
              <wp:anchor distT="4294967295" distB="4294967295" distL="114300" distR="114300" simplePos="0" relativeHeight="252852224" behindDoc="0" locked="0" layoutInCell="1" allowOverlap="1" wp14:anchorId="1ACAA751" wp14:editId="33469298">
                <wp:simplePos x="0" y="0"/>
                <wp:positionH relativeFrom="column">
                  <wp:posOffset>6099810</wp:posOffset>
                </wp:positionH>
                <wp:positionV relativeFrom="paragraph">
                  <wp:posOffset>2021840</wp:posOffset>
                </wp:positionV>
                <wp:extent cx="1135380" cy="0"/>
                <wp:effectExtent l="0" t="0" r="0" b="0"/>
                <wp:wrapNone/>
                <wp:docPr id="1244998037"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5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D7461" id="Прямая соединительная линия 206" o:spid="_x0000_s1026" style="position:absolute;flip:y;z-index:25285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0.3pt,159.2pt" to="569.7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" strokecolor="black [3040]">
                <o:lock v:ext="edit" shapetype="f"/>
              </v:line>
            </w:pict>
          </mc:Fallback>
        </mc:AlternateContent>
      </w:r>
      <w:r>
        <w:rPr>
          <w:noProof/>
          <w:lang w:eastAsia="ru-RU"/>
        </w:rPr>
        <mc:AlternateContent>
          <mc:Choice Requires="wps">
            <w:drawing>
              <wp:anchor distT="0" distB="0" distL="114299" distR="114299" simplePos="0" relativeHeight="252853248" behindDoc="0" locked="0" layoutInCell="1" allowOverlap="1" wp14:anchorId="6B818665" wp14:editId="0E1EA428">
                <wp:simplePos x="0" y="0"/>
                <wp:positionH relativeFrom="column">
                  <wp:posOffset>6865620</wp:posOffset>
                </wp:positionH>
                <wp:positionV relativeFrom="paragraph">
                  <wp:posOffset>2009140</wp:posOffset>
                </wp:positionV>
                <wp:extent cx="0" cy="220980"/>
                <wp:effectExtent l="76200" t="0" r="57150" b="64770"/>
                <wp:wrapNone/>
                <wp:docPr id="1147056560"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14441" id="Прямая со стрелкой 205" o:spid="_x0000_s1026" type="#_x0000_t32" style="position:absolute;margin-left:540.6pt;margin-top:158.2pt;width:0;height:17.4pt;z-index:25285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54272" behindDoc="0" locked="0" layoutInCell="1" allowOverlap="1" wp14:anchorId="630DC4D4" wp14:editId="0437BACD">
                <wp:simplePos x="0" y="0"/>
                <wp:positionH relativeFrom="column">
                  <wp:posOffset>7250430</wp:posOffset>
                </wp:positionH>
                <wp:positionV relativeFrom="paragraph">
                  <wp:posOffset>2009775</wp:posOffset>
                </wp:positionV>
                <wp:extent cx="0" cy="220980"/>
                <wp:effectExtent l="76200" t="0" r="57150" b="64770"/>
                <wp:wrapNone/>
                <wp:docPr id="1056604875"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7C06B" id="Прямая со стрелкой 204" o:spid="_x0000_s1026" type="#_x0000_t32" style="position:absolute;margin-left:570.9pt;margin-top:158.25pt;width:0;height:17.4pt;z-index:25285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855296" behindDoc="0" locked="0" layoutInCell="1" allowOverlap="1" wp14:anchorId="2244E7D6" wp14:editId="28744E7B">
                <wp:simplePos x="0" y="0"/>
                <wp:positionH relativeFrom="column">
                  <wp:posOffset>7517130</wp:posOffset>
                </wp:positionH>
                <wp:positionV relativeFrom="paragraph">
                  <wp:posOffset>2261235</wp:posOffset>
                </wp:positionV>
                <wp:extent cx="320040" cy="769620"/>
                <wp:effectExtent l="0" t="0" r="22860" b="11430"/>
                <wp:wrapNone/>
                <wp:docPr id="1498533775"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9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11EA5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4E7D6" id="Прямоугольник 203" o:spid="_x0000_s1320" style="position:absolute;margin-left:591.9pt;margin-top:178.05pt;width:25.2pt;height:60.6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" fillcolor="white [3201]" strokecolor="black [3200]" strokeweight=".25pt">
                <v:path arrowok="t"/>
                <v:textbox style="layout-flow:vertical;mso-layout-flow-alt:bottom-to-top">
                  <w:txbxContent>
                    <w:p w14:paraId="5911EA5D"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1-көрсеткіш</w:t>
                      </w:r>
                    </w:p>
                  </w:txbxContent>
                </v:textbox>
              </v:rect>
            </w:pict>
          </mc:Fallback>
        </mc:AlternateContent>
      </w:r>
      <w:r>
        <w:rPr>
          <w:noProof/>
          <w:lang w:eastAsia="ru-RU"/>
        </w:rPr>
        <mc:AlternateContent>
          <mc:Choice Requires="wps">
            <w:drawing>
              <wp:anchor distT="0" distB="0" distL="114300" distR="114300" simplePos="0" relativeHeight="252856320" behindDoc="0" locked="0" layoutInCell="1" allowOverlap="1" wp14:anchorId="487EC905" wp14:editId="480535B8">
                <wp:simplePos x="0" y="0"/>
                <wp:positionH relativeFrom="column">
                  <wp:posOffset>7989570</wp:posOffset>
                </wp:positionH>
                <wp:positionV relativeFrom="paragraph">
                  <wp:posOffset>2261235</wp:posOffset>
                </wp:positionV>
                <wp:extent cx="320040" cy="777240"/>
                <wp:effectExtent l="0" t="0" r="22860" b="22860"/>
                <wp:wrapNone/>
                <wp:docPr id="1969369801"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772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F58DEBC"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7EC905" id="Прямоугольник 202" o:spid="_x0000_s1321" style="position:absolute;margin-left:629.1pt;margin-top:178.05pt;width:25.2pt;height:61.2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" fillcolor="white [3201]" strokecolor="black [3200]" strokeweight=".25pt">
                <v:path arrowok="t"/>
                <v:textbox style="layout-flow:vertical;mso-layout-flow-alt:bottom-to-top">
                  <w:txbxContent>
                    <w:p w14:paraId="1F58DEBC"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2-көрсеткіш</w:t>
                      </w:r>
                    </w:p>
                  </w:txbxContent>
                </v:textbox>
              </v:rect>
            </w:pict>
          </mc:Fallback>
        </mc:AlternateContent>
      </w:r>
      <w:r>
        <w:rPr>
          <w:noProof/>
          <w:lang w:eastAsia="ru-RU"/>
        </w:rPr>
        <mc:AlternateContent>
          <mc:Choice Requires="wps">
            <w:drawing>
              <wp:anchor distT="0" distB="0" distL="114300" distR="114300" simplePos="0" relativeHeight="252857344" behindDoc="0" locked="0" layoutInCell="1" allowOverlap="1" wp14:anchorId="42F29B35" wp14:editId="2ABAFE6B">
                <wp:simplePos x="0" y="0"/>
                <wp:positionH relativeFrom="column">
                  <wp:posOffset>8462010</wp:posOffset>
                </wp:positionH>
                <wp:positionV relativeFrom="paragraph">
                  <wp:posOffset>2261235</wp:posOffset>
                </wp:positionV>
                <wp:extent cx="320040" cy="754380"/>
                <wp:effectExtent l="0" t="0" r="22860" b="26670"/>
                <wp:wrapNone/>
                <wp:docPr id="987863844"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F6589D2"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29B35" id="Прямоугольник 201" o:spid="_x0000_s1322" style="position:absolute;margin-left:666.3pt;margin-top:178.05pt;width:25.2pt;height:59.4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" fillcolor="white [3201]" strokecolor="black [3200]" strokeweight=".25pt">
                <v:path arrowok="t"/>
                <v:textbox style="layout-flow:vertical;mso-layout-flow-alt:bottom-to-top">
                  <w:txbxContent>
                    <w:p w14:paraId="2F6589D2"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3-көрсеткіш</w:t>
                      </w:r>
                    </w:p>
                  </w:txbxContent>
                </v:textbox>
              </v:rect>
            </w:pict>
          </mc:Fallback>
        </mc:AlternateContent>
      </w:r>
      <w:r>
        <w:rPr>
          <w:noProof/>
          <w:lang w:eastAsia="ru-RU"/>
        </w:rPr>
        <mc:AlternateContent>
          <mc:Choice Requires="wps">
            <w:drawing>
              <wp:anchor distT="0" distB="0" distL="114300" distR="114300" simplePos="0" relativeHeight="252858368" behindDoc="0" locked="0" layoutInCell="1" allowOverlap="1" wp14:anchorId="70392AA6" wp14:editId="3A5ADE8F">
                <wp:simplePos x="0" y="0"/>
                <wp:positionH relativeFrom="margin">
                  <wp:align>right</wp:align>
                </wp:positionH>
                <wp:positionV relativeFrom="paragraph">
                  <wp:posOffset>2261235</wp:posOffset>
                </wp:positionV>
                <wp:extent cx="320040" cy="769620"/>
                <wp:effectExtent l="0" t="0" r="22860" b="11430"/>
                <wp:wrapNone/>
                <wp:docPr id="139511745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769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65079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92AA6" id="Прямоугольник 200" o:spid="_x0000_s1323" style="position:absolute;margin-left:-26pt;margin-top:178.05pt;width:25.2pt;height:60.6pt;z-index:25285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" fillcolor="white [3201]" strokecolor="black [3200]" strokeweight=".25pt">
                <v:path arrowok="t"/>
                <v:textbox style="layout-flow:vertical;mso-layout-flow-alt:bottom-to-top">
                  <w:txbxContent>
                    <w:p w14:paraId="6565079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4-көрсеткіш</w:t>
                      </w:r>
                    </w:p>
                  </w:txbxContent>
                </v:textbox>
                <w10:wrap anchorx="margin"/>
              </v:rect>
            </w:pict>
          </mc:Fallback>
        </mc:AlternateContent>
      </w:r>
      <w:r>
        <w:rPr>
          <w:noProof/>
          <w:lang w:eastAsia="ru-RU"/>
        </w:rPr>
        <mc:AlternateContent>
          <mc:Choice Requires="wps">
            <w:drawing>
              <wp:anchor distT="4294967295" distB="4294967295" distL="114300" distR="114300" simplePos="0" relativeHeight="252859392" behindDoc="0" locked="0" layoutInCell="1" allowOverlap="1" wp14:anchorId="5C261FCF" wp14:editId="08DC8944">
                <wp:simplePos x="0" y="0"/>
                <wp:positionH relativeFrom="column">
                  <wp:posOffset>7562850</wp:posOffset>
                </wp:positionH>
                <wp:positionV relativeFrom="paragraph">
                  <wp:posOffset>2021840</wp:posOffset>
                </wp:positionV>
                <wp:extent cx="1630680" cy="0"/>
                <wp:effectExtent l="0" t="0" r="0" b="0"/>
                <wp:wrapNone/>
                <wp:docPr id="638290953"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454179" id="Прямая соединительная линия 199" o:spid="_x0000_s1026" style="position:absolute;z-index:25285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5pt,159.2pt" to="723.9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" strokecolor="black [3040]">
                <o:lock v:ext="edit" shapetype="f"/>
              </v:line>
            </w:pict>
          </mc:Fallback>
        </mc:AlternateContent>
      </w:r>
      <w:r>
        <w:rPr>
          <w:noProof/>
          <w:lang w:eastAsia="ru-RU"/>
        </w:rPr>
        <mc:AlternateContent>
          <mc:Choice Requires="wps">
            <w:drawing>
              <wp:anchor distT="0" distB="0" distL="114299" distR="114299" simplePos="0" relativeHeight="252860416" behindDoc="0" locked="0" layoutInCell="1" allowOverlap="1" wp14:anchorId="3D9F2BA1" wp14:editId="09C79EA3">
                <wp:simplePos x="0" y="0"/>
                <wp:positionH relativeFrom="column">
                  <wp:posOffset>7562850</wp:posOffset>
                </wp:positionH>
                <wp:positionV relativeFrom="paragraph">
                  <wp:posOffset>2014220</wp:posOffset>
                </wp:positionV>
                <wp:extent cx="0" cy="220980"/>
                <wp:effectExtent l="76200" t="0" r="57150" b="64770"/>
                <wp:wrapNone/>
                <wp:docPr id="146870797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A55E0" id="Прямая со стрелкой 198" o:spid="_x0000_s1026" type="#_x0000_t32" style="position:absolute;margin-left:595.5pt;margin-top:158.6pt;width:0;height:17.4pt;z-index:25286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61440" behindDoc="0" locked="0" layoutInCell="1" allowOverlap="1" wp14:anchorId="1E599AC1" wp14:editId="493DBB0A">
                <wp:simplePos x="0" y="0"/>
                <wp:positionH relativeFrom="column">
                  <wp:posOffset>8107680</wp:posOffset>
                </wp:positionH>
                <wp:positionV relativeFrom="paragraph">
                  <wp:posOffset>2023745</wp:posOffset>
                </wp:positionV>
                <wp:extent cx="0" cy="220980"/>
                <wp:effectExtent l="76200" t="0" r="57150" b="64770"/>
                <wp:wrapNone/>
                <wp:docPr id="1017541502"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F3AA7" id="Прямая со стрелкой 197" o:spid="_x0000_s1026" type="#_x0000_t32" style="position:absolute;margin-left:638.4pt;margin-top:159.35pt;width:0;height:17.4pt;z-index:25286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62464" behindDoc="0" locked="0" layoutInCell="1" allowOverlap="1" wp14:anchorId="6E929ABA" wp14:editId="05DAA887">
                <wp:simplePos x="0" y="0"/>
                <wp:positionH relativeFrom="column">
                  <wp:posOffset>8602980</wp:posOffset>
                </wp:positionH>
                <wp:positionV relativeFrom="paragraph">
                  <wp:posOffset>2018030</wp:posOffset>
                </wp:positionV>
                <wp:extent cx="0" cy="220980"/>
                <wp:effectExtent l="76200" t="0" r="57150" b="64770"/>
                <wp:wrapNone/>
                <wp:docPr id="145515973"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1464F" id="Прямая со стрелкой 196" o:spid="_x0000_s1026" type="#_x0000_t32" style="position:absolute;margin-left:677.4pt;margin-top:158.9pt;width:0;height:17.4pt;z-index:25286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2863488" behindDoc="0" locked="0" layoutInCell="1" allowOverlap="1" wp14:anchorId="0946CFC1" wp14:editId="310C3A67">
                <wp:simplePos x="0" y="0"/>
                <wp:positionH relativeFrom="column">
                  <wp:posOffset>9189720</wp:posOffset>
                </wp:positionH>
                <wp:positionV relativeFrom="paragraph">
                  <wp:posOffset>2024380</wp:posOffset>
                </wp:positionV>
                <wp:extent cx="0" cy="220980"/>
                <wp:effectExtent l="76200" t="0" r="57150" b="64770"/>
                <wp:wrapNone/>
                <wp:docPr id="1415963942"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E74A6" id="Прямая со стрелкой 195" o:spid="_x0000_s1026" type="#_x0000_t32" style="position:absolute;margin-left:723.6pt;margin-top:159.4pt;width:0;height:17.4pt;z-index:25286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864512" behindDoc="0" locked="0" layoutInCell="1" allowOverlap="1" wp14:anchorId="7C9CCE17" wp14:editId="46807CDC">
                <wp:simplePos x="0" y="0"/>
                <wp:positionH relativeFrom="column">
                  <wp:posOffset>133350</wp:posOffset>
                </wp:positionH>
                <wp:positionV relativeFrom="paragraph">
                  <wp:posOffset>1068705</wp:posOffset>
                </wp:positionV>
                <wp:extent cx="967740" cy="739140"/>
                <wp:effectExtent l="0" t="0" r="22860" b="22860"/>
                <wp:wrapNone/>
                <wp:docPr id="1964516452"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 cy="7391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FE2196E" w14:textId="77777777" w:rsidR="00B10552" w:rsidRDefault="00B10552" w:rsidP="00B10552">
                            <w:pPr>
                              <w:spacing w:after="0" w:line="240" w:lineRule="auto"/>
                              <w:jc w:val="center"/>
                              <w:rPr>
                                <w:rFonts w:ascii="Times New Roman" w:hAnsi="Times New Roman" w:cs="Times New Roman"/>
                              </w:rPr>
                            </w:pPr>
                            <w:r>
                              <w:rPr>
                                <w:rFonts w:ascii="Times New Roman" w:hAnsi="Times New Roman" w:cs="Times New Roman"/>
                                <w:sz w:val="24"/>
                                <w:szCs w:val="24"/>
                                <w:lang w:val="kk-KZ"/>
                              </w:rPr>
                              <w:t>Бірінші деңгей факторлары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CCE17" id="Прямоугольник 194" o:spid="_x0000_s1324" style="position:absolute;margin-left:10.5pt;margin-top:84.15pt;width:76.2pt;height:58.2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" fillcolor="white [3201]" strokecolor="black [3200]" strokeweight=".25pt">
                <v:path arrowok="t"/>
                <v:textbox>
                  <w:txbxContent>
                    <w:p w14:paraId="6FE2196E" w14:textId="77777777" w:rsidR="00B10552" w:rsidRDefault="00B10552" w:rsidP="00B10552">
                      <w:pPr>
                        <w:spacing w:after="0" w:line="240" w:lineRule="auto"/>
                        <w:jc w:val="center"/>
                        <w:rPr>
                          <w:rFonts w:ascii="Times New Roman" w:hAnsi="Times New Roman" w:cs="Times New Roman"/>
                        </w:rPr>
                      </w:pPr>
                      <w:r>
                        <w:rPr>
                          <w:rFonts w:ascii="Times New Roman" w:hAnsi="Times New Roman" w:cs="Times New Roman"/>
                          <w:sz w:val="24"/>
                          <w:szCs w:val="24"/>
                          <w:lang w:val="kk-KZ"/>
                        </w:rPr>
                        <w:t>Бірінші деңгей факторлары</w:t>
                      </w:r>
                    </w:p>
                  </w:txbxContent>
                </v:textbox>
              </v:rect>
            </w:pict>
          </mc:Fallback>
        </mc:AlternateContent>
      </w:r>
      <w:r>
        <w:rPr>
          <w:noProof/>
          <w:lang w:eastAsia="ru-RU"/>
        </w:rPr>
        <mc:AlternateContent>
          <mc:Choice Requires="wps">
            <w:drawing>
              <wp:anchor distT="0" distB="0" distL="114300" distR="114300" simplePos="0" relativeHeight="252865536" behindDoc="0" locked="0" layoutInCell="1" allowOverlap="1" wp14:anchorId="269B444A" wp14:editId="560FF595">
                <wp:simplePos x="0" y="0"/>
                <wp:positionH relativeFrom="column">
                  <wp:posOffset>133350</wp:posOffset>
                </wp:positionH>
                <wp:positionV relativeFrom="paragraph">
                  <wp:posOffset>2261235</wp:posOffset>
                </wp:positionV>
                <wp:extent cx="975360" cy="769620"/>
                <wp:effectExtent l="0" t="0" r="15240" b="11430"/>
                <wp:wrapNone/>
                <wp:docPr id="414880928"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769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FF6736B" w14:textId="77777777" w:rsidR="00B10552" w:rsidRDefault="00B10552" w:rsidP="00B1055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Екінші деңгей факторлары</w:t>
                            </w:r>
                          </w:p>
                          <w:p w14:paraId="3CB69D6C" w14:textId="77777777" w:rsidR="00B10552" w:rsidRDefault="00B10552" w:rsidP="00B10552">
                            <w:pPr>
                              <w:jc w:val="center"/>
                              <w:rPr>
                                <w:sz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B444A" id="Прямоугольник 193" o:spid="_x0000_s1325" style="position:absolute;margin-left:10.5pt;margin-top:178.05pt;width:76.8pt;height:60.6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" fillcolor="white [3201]" strokecolor="black [3200]" strokeweight=".25pt">
                <v:path arrowok="t"/>
                <v:textbox>
                  <w:txbxContent>
                    <w:p w14:paraId="4FF6736B" w14:textId="77777777" w:rsidR="00B10552" w:rsidRDefault="00B10552" w:rsidP="00B1055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Екінші деңгей факторлары</w:t>
                      </w:r>
                    </w:p>
                    <w:p w14:paraId="3CB69D6C" w14:textId="77777777" w:rsidR="00B10552" w:rsidRDefault="00B10552" w:rsidP="00B10552">
                      <w:pPr>
                        <w:jc w:val="center"/>
                        <w:rPr>
                          <w:sz w:val="28"/>
                        </w:rPr>
                      </w:pPr>
                    </w:p>
                  </w:txbxContent>
                </v:textbox>
              </v:rect>
            </w:pict>
          </mc:Fallback>
        </mc:AlternateContent>
      </w:r>
      <w:r>
        <w:rPr>
          <w:noProof/>
          <w:lang w:eastAsia="ru-RU"/>
        </w:rPr>
        <mc:AlternateContent>
          <mc:Choice Requires="wps">
            <w:drawing>
              <wp:anchor distT="0" distB="0" distL="114300" distR="114300" simplePos="0" relativeHeight="252866560" behindDoc="0" locked="0" layoutInCell="1" allowOverlap="1" wp14:anchorId="2D978F25" wp14:editId="06ACA9E6">
                <wp:simplePos x="0" y="0"/>
                <wp:positionH relativeFrom="margin">
                  <wp:posOffset>3246120</wp:posOffset>
                </wp:positionH>
                <wp:positionV relativeFrom="paragraph">
                  <wp:posOffset>3308985</wp:posOffset>
                </wp:positionV>
                <wp:extent cx="320040" cy="807720"/>
                <wp:effectExtent l="0" t="0" r="22860" b="11430"/>
                <wp:wrapNone/>
                <wp:docPr id="2120809035"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4C21200"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 4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78F25" id="Прямоугольник 192" o:spid="_x0000_s1326" style="position:absolute;margin-left:255.6pt;margin-top:260.55pt;width:25.2pt;height:63.6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" fillcolor="white [3201]" strokecolor="black [3200]" strokeweight=".25pt">
                <v:path arrowok="t"/>
                <v:textbox style="layout-flow:vertical;mso-layout-flow-alt:bottom-to-top">
                  <w:txbxContent>
                    <w:p w14:paraId="44C21200"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 4 іс-шара</w:t>
                      </w:r>
                    </w:p>
                  </w:txbxContent>
                </v:textbox>
                <w10:wrap anchorx="margin"/>
              </v:rect>
            </w:pict>
          </mc:Fallback>
        </mc:AlternateContent>
      </w:r>
      <w:r>
        <w:rPr>
          <w:noProof/>
          <w:lang w:eastAsia="ru-RU"/>
        </w:rPr>
        <mc:AlternateContent>
          <mc:Choice Requires="wps">
            <w:drawing>
              <wp:anchor distT="0" distB="0" distL="114300" distR="114300" simplePos="0" relativeHeight="252867584" behindDoc="0" locked="0" layoutInCell="1" allowOverlap="1" wp14:anchorId="2A5B4420" wp14:editId="12B635BC">
                <wp:simplePos x="0" y="0"/>
                <wp:positionH relativeFrom="margin">
                  <wp:posOffset>2910840</wp:posOffset>
                </wp:positionH>
                <wp:positionV relativeFrom="paragraph">
                  <wp:posOffset>3316605</wp:posOffset>
                </wp:positionV>
                <wp:extent cx="320040" cy="807720"/>
                <wp:effectExtent l="0" t="0" r="22860" b="11430"/>
                <wp:wrapNone/>
                <wp:docPr id="400682508"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43954B4"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B4420" id="Прямоугольник 191" o:spid="_x0000_s1327" style="position:absolute;margin-left:229.2pt;margin-top:261.15pt;width:25.2pt;height:63.6pt;z-index:2528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" fillcolor="white [3201]" strokecolor="black [3200]" strokeweight=".25pt">
                <v:path arrowok="t"/>
                <v:textbox style="layout-flow:vertical;mso-layout-flow-alt:bottom-to-top">
                  <w:txbxContent>
                    <w:p w14:paraId="643954B4"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68608" behindDoc="0" locked="0" layoutInCell="1" allowOverlap="1" wp14:anchorId="0A51569F" wp14:editId="4310C253">
                <wp:simplePos x="0" y="0"/>
                <wp:positionH relativeFrom="margin">
                  <wp:posOffset>2567940</wp:posOffset>
                </wp:positionH>
                <wp:positionV relativeFrom="paragraph">
                  <wp:posOffset>3308985</wp:posOffset>
                </wp:positionV>
                <wp:extent cx="320040" cy="807720"/>
                <wp:effectExtent l="0" t="0" r="22860" b="11430"/>
                <wp:wrapNone/>
                <wp:docPr id="209228510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6735AE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1569F" id="Прямоугольник 190" o:spid="_x0000_s1328" style="position:absolute;margin-left:202.2pt;margin-top:260.55pt;width:25.2pt;height:63.6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" fillcolor="white [3201]" strokecolor="black [3200]" strokeweight=".25pt">
                <v:path arrowok="t"/>
                <v:textbox style="layout-flow:vertical;mso-layout-flow-alt:bottom-to-top">
                  <w:txbxContent>
                    <w:p w14:paraId="06735AE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2 іс-шара</w:t>
                      </w:r>
                    </w:p>
                  </w:txbxContent>
                </v:textbox>
                <w10:wrap anchorx="margin"/>
              </v:rect>
            </w:pict>
          </mc:Fallback>
        </mc:AlternateContent>
      </w:r>
      <w:r>
        <w:rPr>
          <w:noProof/>
          <w:lang w:eastAsia="ru-RU"/>
        </w:rPr>
        <mc:AlternateContent>
          <mc:Choice Requires="wps">
            <w:drawing>
              <wp:anchor distT="0" distB="0" distL="114300" distR="114300" simplePos="0" relativeHeight="252869632" behindDoc="0" locked="0" layoutInCell="1" allowOverlap="1" wp14:anchorId="6D74C0D0" wp14:editId="008529C1">
                <wp:simplePos x="0" y="0"/>
                <wp:positionH relativeFrom="margin">
                  <wp:posOffset>2225040</wp:posOffset>
                </wp:positionH>
                <wp:positionV relativeFrom="paragraph">
                  <wp:posOffset>3308985</wp:posOffset>
                </wp:positionV>
                <wp:extent cx="320040" cy="807720"/>
                <wp:effectExtent l="0" t="0" r="22860" b="11430"/>
                <wp:wrapNone/>
                <wp:docPr id="1829807707"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2731DC6"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74C0D0" id="Прямоугольник 189" o:spid="_x0000_s1329" style="position:absolute;margin-left:175.2pt;margin-top:260.55pt;width:25.2pt;height:63.6pt;z-index:2528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" fillcolor="white [3201]" strokecolor="black [3200]" strokeweight=".25pt">
                <v:path arrowok="t"/>
                <v:textbox style="layout-flow:vertical;mso-layout-flow-alt:bottom-to-top">
                  <w:txbxContent>
                    <w:p w14:paraId="12731DC6"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70656" behindDoc="0" locked="0" layoutInCell="1" allowOverlap="1" wp14:anchorId="3315EE77" wp14:editId="727DCA29">
                <wp:simplePos x="0" y="0"/>
                <wp:positionH relativeFrom="margin">
                  <wp:posOffset>1844040</wp:posOffset>
                </wp:positionH>
                <wp:positionV relativeFrom="paragraph">
                  <wp:posOffset>3308985</wp:posOffset>
                </wp:positionV>
                <wp:extent cx="320040" cy="807720"/>
                <wp:effectExtent l="0" t="0" r="22860" b="11430"/>
                <wp:wrapNone/>
                <wp:docPr id="649233552"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49DDD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5EE77" id="Прямоугольник 188" o:spid="_x0000_s1330" style="position:absolute;margin-left:145.2pt;margin-top:260.55pt;width:25.2pt;height:63.6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" fillcolor="white [3201]" strokecolor="black [3200]" strokeweight=".25pt">
                <v:path arrowok="t"/>
                <v:textbox style="layout-flow:vertical;mso-layout-flow-alt:bottom-to-top">
                  <w:txbxContent>
                    <w:p w14:paraId="6549DDD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іс-шара</w:t>
                      </w:r>
                    </w:p>
                  </w:txbxContent>
                </v:textbox>
                <w10:wrap anchorx="margin"/>
              </v:rect>
            </w:pict>
          </mc:Fallback>
        </mc:AlternateContent>
      </w:r>
      <w:r>
        <w:rPr>
          <w:noProof/>
          <w:lang w:eastAsia="ru-RU"/>
        </w:rPr>
        <mc:AlternateContent>
          <mc:Choice Requires="wps">
            <w:drawing>
              <wp:anchor distT="0" distB="0" distL="114300" distR="114300" simplePos="0" relativeHeight="252871680" behindDoc="0" locked="0" layoutInCell="1" allowOverlap="1" wp14:anchorId="6B6A0B4B" wp14:editId="1A2A0273">
                <wp:simplePos x="0" y="0"/>
                <wp:positionH relativeFrom="margin">
                  <wp:posOffset>1447800</wp:posOffset>
                </wp:positionH>
                <wp:positionV relativeFrom="paragraph">
                  <wp:posOffset>3306445</wp:posOffset>
                </wp:positionV>
                <wp:extent cx="320040" cy="807720"/>
                <wp:effectExtent l="0" t="0" r="22860" b="11430"/>
                <wp:wrapNone/>
                <wp:docPr id="8045413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07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DD061B0"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2 іс-шара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A0B4B" id="Прямоугольник 187" o:spid="_x0000_s1331" style="position:absolute;margin-left:114pt;margin-top:260.35pt;width:25.2pt;height:63.6pt;z-index:25287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" fillcolor="white [3201]" strokecolor="black [3200]" strokeweight=".25pt">
                <v:path arrowok="t"/>
                <v:textbox style="layout-flow:vertical;mso-layout-flow-alt:bottom-to-top">
                  <w:txbxContent>
                    <w:p w14:paraId="5DD061B0"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2 іс-шара</w:t>
                      </w:r>
                    </w:p>
                  </w:txbxContent>
                </v:textbox>
                <w10:wrap anchorx="margin"/>
              </v:rect>
            </w:pict>
          </mc:Fallback>
        </mc:AlternateContent>
      </w:r>
      <w:r>
        <w:rPr>
          <w:noProof/>
          <w:lang w:eastAsia="ru-RU"/>
        </w:rPr>
        <mc:AlternateContent>
          <mc:Choice Requires="wps">
            <w:drawing>
              <wp:anchor distT="0" distB="0" distL="114300" distR="114300" simplePos="0" relativeHeight="252872704" behindDoc="0" locked="0" layoutInCell="1" allowOverlap="1" wp14:anchorId="5E4021B3" wp14:editId="23CCD891">
                <wp:simplePos x="0" y="0"/>
                <wp:positionH relativeFrom="column">
                  <wp:posOffset>129540</wp:posOffset>
                </wp:positionH>
                <wp:positionV relativeFrom="paragraph">
                  <wp:posOffset>3302635</wp:posOffset>
                </wp:positionV>
                <wp:extent cx="975360" cy="769620"/>
                <wp:effectExtent l="0" t="0" r="15240" b="11430"/>
                <wp:wrapNone/>
                <wp:docPr id="527275623"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769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E407BF3" w14:textId="77777777" w:rsidR="00B10552" w:rsidRDefault="00B10552" w:rsidP="00B1055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Үшінші деңгей факторлары</w:t>
                            </w:r>
                          </w:p>
                          <w:p w14:paraId="2ADFD90B" w14:textId="77777777" w:rsidR="00B10552" w:rsidRDefault="00B10552" w:rsidP="00B10552">
                            <w:pPr>
                              <w:jc w:val="center"/>
                              <w:rPr>
                                <w:sz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021B3" id="Прямоугольник 186" o:spid="_x0000_s1332" style="position:absolute;margin-left:10.2pt;margin-top:260.05pt;width:76.8pt;height:60.6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" fillcolor="white [3201]" strokecolor="black [3200]" strokeweight=".25pt">
                <v:path arrowok="t"/>
                <v:textbox>
                  <w:txbxContent>
                    <w:p w14:paraId="1E407BF3" w14:textId="77777777" w:rsidR="00B10552" w:rsidRDefault="00B10552" w:rsidP="00B1055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Үшінші деңгей факторлары</w:t>
                      </w:r>
                    </w:p>
                    <w:p w14:paraId="2ADFD90B" w14:textId="77777777" w:rsidR="00B10552" w:rsidRDefault="00B10552" w:rsidP="00B10552">
                      <w:pPr>
                        <w:jc w:val="center"/>
                        <w:rPr>
                          <w:sz w:val="28"/>
                        </w:rPr>
                      </w:pPr>
                    </w:p>
                  </w:txbxContent>
                </v:textbox>
              </v:rect>
            </w:pict>
          </mc:Fallback>
        </mc:AlternateContent>
      </w:r>
      <w:r>
        <w:rPr>
          <w:noProof/>
          <w:lang w:eastAsia="ru-RU"/>
        </w:rPr>
        <mc:AlternateContent>
          <mc:Choice Requires="wps">
            <w:drawing>
              <wp:anchor distT="0" distB="0" distL="114299" distR="114299" simplePos="0" relativeHeight="252873728" behindDoc="0" locked="0" layoutInCell="1" allowOverlap="1" wp14:anchorId="5D59A7C4" wp14:editId="0A912801">
                <wp:simplePos x="0" y="0"/>
                <wp:positionH relativeFrom="column">
                  <wp:posOffset>1604010</wp:posOffset>
                </wp:positionH>
                <wp:positionV relativeFrom="paragraph">
                  <wp:posOffset>3025140</wp:posOffset>
                </wp:positionV>
                <wp:extent cx="0" cy="281940"/>
                <wp:effectExtent l="76200" t="38100" r="57150" b="60960"/>
                <wp:wrapNone/>
                <wp:docPr id="1679727088"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74B06" id="Прямая со стрелкой 185" o:spid="_x0000_s1026" type="#_x0000_t32" style="position:absolute;margin-left:126.3pt;margin-top:238.2pt;width:0;height:22.2pt;z-index:25287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74752" behindDoc="0" locked="0" layoutInCell="1" allowOverlap="1" wp14:anchorId="5385FEF1" wp14:editId="26954434">
                <wp:simplePos x="0" y="0"/>
                <wp:positionH relativeFrom="column">
                  <wp:posOffset>1996440</wp:posOffset>
                </wp:positionH>
                <wp:positionV relativeFrom="paragraph">
                  <wp:posOffset>3023235</wp:posOffset>
                </wp:positionV>
                <wp:extent cx="0" cy="281940"/>
                <wp:effectExtent l="76200" t="38100" r="57150" b="60960"/>
                <wp:wrapNone/>
                <wp:docPr id="145824708"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7A7A9" id="Прямая со стрелкой 184" o:spid="_x0000_s1026" type="#_x0000_t32" style="position:absolute;margin-left:157.2pt;margin-top:238.05pt;width:0;height:22.2pt;z-index:25287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75776" behindDoc="0" locked="0" layoutInCell="1" allowOverlap="1" wp14:anchorId="56923D3D" wp14:editId="32AA14FB">
                <wp:simplePos x="0" y="0"/>
                <wp:positionH relativeFrom="column">
                  <wp:posOffset>2354580</wp:posOffset>
                </wp:positionH>
                <wp:positionV relativeFrom="paragraph">
                  <wp:posOffset>3023235</wp:posOffset>
                </wp:positionV>
                <wp:extent cx="0" cy="281940"/>
                <wp:effectExtent l="76200" t="38100" r="57150" b="60960"/>
                <wp:wrapNone/>
                <wp:docPr id="1823767548"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D40D4" id="Прямая со стрелкой 183" o:spid="_x0000_s1026" type="#_x0000_t32" style="position:absolute;margin-left:185.4pt;margin-top:238.05pt;width:0;height:22.2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76800" behindDoc="0" locked="0" layoutInCell="1" allowOverlap="1" wp14:anchorId="43443742" wp14:editId="030FD342">
                <wp:simplePos x="0" y="0"/>
                <wp:positionH relativeFrom="column">
                  <wp:posOffset>2689860</wp:posOffset>
                </wp:positionH>
                <wp:positionV relativeFrom="paragraph">
                  <wp:posOffset>3043555</wp:posOffset>
                </wp:positionV>
                <wp:extent cx="0" cy="281940"/>
                <wp:effectExtent l="76200" t="38100" r="57150" b="60960"/>
                <wp:wrapNone/>
                <wp:docPr id="1521603469"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A03F9" id="Прямая со стрелкой 182" o:spid="_x0000_s1026" type="#_x0000_t32" style="position:absolute;margin-left:211.8pt;margin-top:239.65pt;width:0;height:22.2pt;z-index:25287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77824" behindDoc="0" locked="0" layoutInCell="1" allowOverlap="1" wp14:anchorId="2B08C09C" wp14:editId="226343DF">
                <wp:simplePos x="0" y="0"/>
                <wp:positionH relativeFrom="column">
                  <wp:posOffset>3044190</wp:posOffset>
                </wp:positionH>
                <wp:positionV relativeFrom="paragraph">
                  <wp:posOffset>3025140</wp:posOffset>
                </wp:positionV>
                <wp:extent cx="0" cy="281940"/>
                <wp:effectExtent l="76200" t="38100" r="57150" b="60960"/>
                <wp:wrapNone/>
                <wp:docPr id="1863000676"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1FF32" id="Прямая со стрелкой 181" o:spid="_x0000_s1026" type="#_x0000_t32" style="position:absolute;margin-left:239.7pt;margin-top:238.2pt;width:0;height:22.2pt;z-index:25287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78848" behindDoc="0" locked="0" layoutInCell="1" allowOverlap="1" wp14:anchorId="09D1EE27" wp14:editId="035E0F1C">
                <wp:simplePos x="0" y="0"/>
                <wp:positionH relativeFrom="column">
                  <wp:posOffset>3390900</wp:posOffset>
                </wp:positionH>
                <wp:positionV relativeFrom="paragraph">
                  <wp:posOffset>3030855</wp:posOffset>
                </wp:positionV>
                <wp:extent cx="0" cy="281940"/>
                <wp:effectExtent l="76200" t="38100" r="57150" b="60960"/>
                <wp:wrapNone/>
                <wp:docPr id="1126299697"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33E1F" id="Прямая со стрелкой 180" o:spid="_x0000_s1026" type="#_x0000_t32" style="position:absolute;margin-left:267pt;margin-top:238.65pt;width:0;height:22.2pt;z-index:25287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79872" behindDoc="0" locked="0" layoutInCell="1" allowOverlap="1" wp14:anchorId="55A9FA99" wp14:editId="4915D4CE">
                <wp:simplePos x="0" y="0"/>
                <wp:positionH relativeFrom="column">
                  <wp:posOffset>3741420</wp:posOffset>
                </wp:positionH>
                <wp:positionV relativeFrom="paragraph">
                  <wp:posOffset>3023235</wp:posOffset>
                </wp:positionV>
                <wp:extent cx="0" cy="281940"/>
                <wp:effectExtent l="76200" t="38100" r="57150" b="60960"/>
                <wp:wrapNone/>
                <wp:docPr id="270450957"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608E3" id="Прямая со стрелкой 179" o:spid="_x0000_s1026" type="#_x0000_t32" style="position:absolute;margin-left:294.6pt;margin-top:238.05pt;width:0;height:22.2pt;z-index:25287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0896" behindDoc="0" locked="0" layoutInCell="1" allowOverlap="1" wp14:anchorId="74FFB4C4" wp14:editId="7BF6B652">
                <wp:simplePos x="0" y="0"/>
                <wp:positionH relativeFrom="column">
                  <wp:posOffset>4084320</wp:posOffset>
                </wp:positionH>
                <wp:positionV relativeFrom="paragraph">
                  <wp:posOffset>3046095</wp:posOffset>
                </wp:positionV>
                <wp:extent cx="0" cy="281940"/>
                <wp:effectExtent l="76200" t="38100" r="57150" b="60960"/>
                <wp:wrapNone/>
                <wp:docPr id="8126830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BF506" id="Прямая со стрелкой 178" o:spid="_x0000_s1026" type="#_x0000_t32" style="position:absolute;margin-left:321.6pt;margin-top:239.85pt;width:0;height:22.2pt;z-index:25288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1920" behindDoc="0" locked="0" layoutInCell="1" allowOverlap="1" wp14:anchorId="10C6C6B5" wp14:editId="0900475D">
                <wp:simplePos x="0" y="0"/>
                <wp:positionH relativeFrom="column">
                  <wp:posOffset>4442460</wp:posOffset>
                </wp:positionH>
                <wp:positionV relativeFrom="paragraph">
                  <wp:posOffset>3007995</wp:posOffset>
                </wp:positionV>
                <wp:extent cx="0" cy="281940"/>
                <wp:effectExtent l="76200" t="38100" r="57150" b="60960"/>
                <wp:wrapNone/>
                <wp:docPr id="831886302"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64F03" id="Прямая со стрелкой 177" o:spid="_x0000_s1026" type="#_x0000_t32" style="position:absolute;margin-left:349.8pt;margin-top:236.85pt;width:0;height:22.2pt;z-index:25288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2944" behindDoc="0" locked="0" layoutInCell="1" allowOverlap="1" wp14:anchorId="34C1B8D7" wp14:editId="289E0755">
                <wp:simplePos x="0" y="0"/>
                <wp:positionH relativeFrom="column">
                  <wp:posOffset>4792980</wp:posOffset>
                </wp:positionH>
                <wp:positionV relativeFrom="paragraph">
                  <wp:posOffset>3038475</wp:posOffset>
                </wp:positionV>
                <wp:extent cx="0" cy="281940"/>
                <wp:effectExtent l="76200" t="38100" r="57150" b="60960"/>
                <wp:wrapNone/>
                <wp:docPr id="1480428895"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B2334" id="Прямая со стрелкой 176" o:spid="_x0000_s1026" type="#_x0000_t32" style="position:absolute;margin-left:377.4pt;margin-top:239.25pt;width:0;height:22.2pt;z-index:25288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3968" behindDoc="0" locked="0" layoutInCell="1" allowOverlap="1" wp14:anchorId="06DCD498" wp14:editId="60A7FD62">
                <wp:simplePos x="0" y="0"/>
                <wp:positionH relativeFrom="column">
                  <wp:posOffset>5124450</wp:posOffset>
                </wp:positionH>
                <wp:positionV relativeFrom="paragraph">
                  <wp:posOffset>3032760</wp:posOffset>
                </wp:positionV>
                <wp:extent cx="0" cy="281940"/>
                <wp:effectExtent l="76200" t="38100" r="57150" b="60960"/>
                <wp:wrapNone/>
                <wp:docPr id="770531206"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84AC2" id="Прямая со стрелкой 175" o:spid="_x0000_s1026" type="#_x0000_t32" style="position:absolute;margin-left:403.5pt;margin-top:238.8pt;width:0;height:22.2pt;z-index:25288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4992" behindDoc="0" locked="0" layoutInCell="1" allowOverlap="1" wp14:anchorId="60D47F71" wp14:editId="374835A4">
                <wp:simplePos x="0" y="0"/>
                <wp:positionH relativeFrom="column">
                  <wp:posOffset>5471160</wp:posOffset>
                </wp:positionH>
                <wp:positionV relativeFrom="paragraph">
                  <wp:posOffset>3046095</wp:posOffset>
                </wp:positionV>
                <wp:extent cx="0" cy="281940"/>
                <wp:effectExtent l="76200" t="38100" r="57150" b="60960"/>
                <wp:wrapNone/>
                <wp:docPr id="172879027"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675C9" id="Прямая со стрелкой 174" o:spid="_x0000_s1026" type="#_x0000_t32" style="position:absolute;margin-left:430.8pt;margin-top:239.85pt;width:0;height:22.2pt;z-index:25288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6016" behindDoc="0" locked="0" layoutInCell="1" allowOverlap="1" wp14:anchorId="532A030B" wp14:editId="43CD53AF">
                <wp:simplePos x="0" y="0"/>
                <wp:positionH relativeFrom="column">
                  <wp:posOffset>5791200</wp:posOffset>
                </wp:positionH>
                <wp:positionV relativeFrom="paragraph">
                  <wp:posOffset>3007995</wp:posOffset>
                </wp:positionV>
                <wp:extent cx="0" cy="281940"/>
                <wp:effectExtent l="76200" t="38100" r="57150" b="60960"/>
                <wp:wrapNone/>
                <wp:docPr id="1874222427"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158DA" id="Прямая со стрелкой 173" o:spid="_x0000_s1026" type="#_x0000_t32" style="position:absolute;margin-left:456pt;margin-top:236.85pt;width:0;height:22.2pt;z-index:25288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7040" behindDoc="0" locked="0" layoutInCell="1" allowOverlap="1" wp14:anchorId="0DC3938B" wp14:editId="002A9316">
                <wp:simplePos x="0" y="0"/>
                <wp:positionH relativeFrom="column">
                  <wp:posOffset>6149340</wp:posOffset>
                </wp:positionH>
                <wp:positionV relativeFrom="paragraph">
                  <wp:posOffset>3007995</wp:posOffset>
                </wp:positionV>
                <wp:extent cx="0" cy="281940"/>
                <wp:effectExtent l="76200" t="38100" r="57150" b="60960"/>
                <wp:wrapNone/>
                <wp:docPr id="1636042896"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E4366" id="Прямая со стрелкой 172" o:spid="_x0000_s1026" type="#_x0000_t32" style="position:absolute;margin-left:484.2pt;margin-top:236.85pt;width:0;height:22.2pt;z-index:25288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8064" behindDoc="0" locked="0" layoutInCell="1" allowOverlap="1" wp14:anchorId="22FFE71B" wp14:editId="6EE5F77F">
                <wp:simplePos x="0" y="0"/>
                <wp:positionH relativeFrom="column">
                  <wp:posOffset>6515100</wp:posOffset>
                </wp:positionH>
                <wp:positionV relativeFrom="paragraph">
                  <wp:posOffset>3007995</wp:posOffset>
                </wp:positionV>
                <wp:extent cx="0" cy="281940"/>
                <wp:effectExtent l="76200" t="38100" r="57150" b="60960"/>
                <wp:wrapNone/>
                <wp:docPr id="310424930"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C93B1" id="Прямая со стрелкой 171" o:spid="_x0000_s1026" type="#_x0000_t32" style="position:absolute;margin-left:513pt;margin-top:236.85pt;width:0;height:22.2pt;z-index:25288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89088" behindDoc="0" locked="0" layoutInCell="1" allowOverlap="1" wp14:anchorId="4E51C5B5" wp14:editId="08559F39">
                <wp:simplePos x="0" y="0"/>
                <wp:positionH relativeFrom="column">
                  <wp:posOffset>6907530</wp:posOffset>
                </wp:positionH>
                <wp:positionV relativeFrom="paragraph">
                  <wp:posOffset>3017520</wp:posOffset>
                </wp:positionV>
                <wp:extent cx="0" cy="281940"/>
                <wp:effectExtent l="76200" t="38100" r="57150" b="60960"/>
                <wp:wrapNone/>
                <wp:docPr id="1385843253"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52708" id="Прямая со стрелкой 170" o:spid="_x0000_s1026" type="#_x0000_t32" style="position:absolute;margin-left:543.9pt;margin-top:237.6pt;width:0;height:22.2pt;z-index:25288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0112" behindDoc="0" locked="0" layoutInCell="1" allowOverlap="1" wp14:anchorId="321A94DC" wp14:editId="52B3886B">
                <wp:simplePos x="0" y="0"/>
                <wp:positionH relativeFrom="column">
                  <wp:posOffset>7265670</wp:posOffset>
                </wp:positionH>
                <wp:positionV relativeFrom="paragraph">
                  <wp:posOffset>3025140</wp:posOffset>
                </wp:positionV>
                <wp:extent cx="0" cy="281940"/>
                <wp:effectExtent l="76200" t="38100" r="57150" b="60960"/>
                <wp:wrapNone/>
                <wp:docPr id="186607825"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B8D5B" id="Прямая со стрелкой 169" o:spid="_x0000_s1026" type="#_x0000_t32" style="position:absolute;margin-left:572.1pt;margin-top:238.2pt;width:0;height:22.2pt;z-index:25289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1136" behindDoc="0" locked="0" layoutInCell="1" allowOverlap="1" wp14:anchorId="40CD892C" wp14:editId="3CB4E5F4">
                <wp:simplePos x="0" y="0"/>
                <wp:positionH relativeFrom="column">
                  <wp:posOffset>7696200</wp:posOffset>
                </wp:positionH>
                <wp:positionV relativeFrom="paragraph">
                  <wp:posOffset>3038475</wp:posOffset>
                </wp:positionV>
                <wp:extent cx="0" cy="281940"/>
                <wp:effectExtent l="76200" t="38100" r="57150" b="60960"/>
                <wp:wrapNone/>
                <wp:docPr id="386207961"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4E8D1" id="Прямая со стрелкой 168" o:spid="_x0000_s1026" type="#_x0000_t32" style="position:absolute;margin-left:606pt;margin-top:239.25pt;width:0;height:22.2pt;z-index:25289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2160" behindDoc="0" locked="0" layoutInCell="1" allowOverlap="1" wp14:anchorId="2814413D" wp14:editId="70D91A31">
                <wp:simplePos x="0" y="0"/>
                <wp:positionH relativeFrom="column">
                  <wp:posOffset>8161020</wp:posOffset>
                </wp:positionH>
                <wp:positionV relativeFrom="paragraph">
                  <wp:posOffset>3023235</wp:posOffset>
                </wp:positionV>
                <wp:extent cx="0" cy="281940"/>
                <wp:effectExtent l="76200" t="38100" r="57150" b="60960"/>
                <wp:wrapNone/>
                <wp:docPr id="233291052"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D14D0" id="Прямая со стрелкой 167" o:spid="_x0000_s1026" type="#_x0000_t32" style="position:absolute;margin-left:642.6pt;margin-top:238.05pt;width:0;height:22.2pt;z-index:25289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3184" behindDoc="0" locked="0" layoutInCell="1" allowOverlap="1" wp14:anchorId="2C179C59" wp14:editId="3C8E94CF">
                <wp:simplePos x="0" y="0"/>
                <wp:positionH relativeFrom="column">
                  <wp:posOffset>8622030</wp:posOffset>
                </wp:positionH>
                <wp:positionV relativeFrom="paragraph">
                  <wp:posOffset>3002280</wp:posOffset>
                </wp:positionV>
                <wp:extent cx="0" cy="281940"/>
                <wp:effectExtent l="76200" t="38100" r="57150" b="60960"/>
                <wp:wrapNone/>
                <wp:docPr id="1870928051"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3A0A9" id="Прямая со стрелкой 166" o:spid="_x0000_s1026" type="#_x0000_t32" style="position:absolute;margin-left:678.9pt;margin-top:236.4pt;width:0;height:22.2pt;z-index:25289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4208" behindDoc="0" locked="0" layoutInCell="1" allowOverlap="1" wp14:anchorId="20D5DE59" wp14:editId="3C47E96D">
                <wp:simplePos x="0" y="0"/>
                <wp:positionH relativeFrom="column">
                  <wp:posOffset>9086850</wp:posOffset>
                </wp:positionH>
                <wp:positionV relativeFrom="paragraph">
                  <wp:posOffset>3025140</wp:posOffset>
                </wp:positionV>
                <wp:extent cx="0" cy="281940"/>
                <wp:effectExtent l="76200" t="38100" r="57150" b="60960"/>
                <wp:wrapNone/>
                <wp:docPr id="1277367827"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78DA8" id="Прямая со стрелкой 165" o:spid="_x0000_s1026" type="#_x0000_t32" style="position:absolute;margin-left:715.5pt;margin-top:238.2pt;width:0;height:22.2pt;z-index:25289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" strokecolor="black [3040]">
                <v:stroke startarrow="block" endarrow="block"/>
                <o:lock v:ext="edit" shapetype="f"/>
              </v:shape>
            </w:pict>
          </mc:Fallback>
        </mc:AlternateContent>
      </w:r>
      <w:r>
        <w:rPr>
          <w:noProof/>
          <w:lang w:eastAsia="ru-RU"/>
        </w:rPr>
        <mc:AlternateContent>
          <mc:Choice Requires="wps">
            <w:drawing>
              <wp:anchor distT="4294967295" distB="4294967295" distL="114300" distR="114300" simplePos="0" relativeHeight="252895232" behindDoc="0" locked="0" layoutInCell="1" allowOverlap="1" wp14:anchorId="47BFB1E8" wp14:editId="7B6B8F61">
                <wp:simplePos x="0" y="0"/>
                <wp:positionH relativeFrom="column">
                  <wp:posOffset>1108710</wp:posOffset>
                </wp:positionH>
                <wp:positionV relativeFrom="paragraph">
                  <wp:posOffset>3659505</wp:posOffset>
                </wp:positionV>
                <wp:extent cx="335280" cy="0"/>
                <wp:effectExtent l="38100" t="76200" r="26670" b="95250"/>
                <wp:wrapNone/>
                <wp:docPr id="58232317"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61776" id="Прямая со стрелкой 164" o:spid="_x0000_s1026" type="#_x0000_t32" style="position:absolute;margin-left:87.3pt;margin-top:288.15pt;width:26.4pt;height:0;z-index:25289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6256" behindDoc="0" locked="0" layoutInCell="1" allowOverlap="1" wp14:anchorId="2018E641" wp14:editId="3E31EB2C">
                <wp:simplePos x="0" y="0"/>
                <wp:positionH relativeFrom="column">
                  <wp:posOffset>598170</wp:posOffset>
                </wp:positionH>
                <wp:positionV relativeFrom="paragraph">
                  <wp:posOffset>3032760</wp:posOffset>
                </wp:positionV>
                <wp:extent cx="0" cy="266700"/>
                <wp:effectExtent l="76200" t="38100" r="57150" b="57150"/>
                <wp:wrapNone/>
                <wp:docPr id="1227535925"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1C09C" id="Прямая со стрелкой 163" o:spid="_x0000_s1026" type="#_x0000_t32" style="position:absolute;margin-left:47.1pt;margin-top:238.8pt;width:0;height:21pt;flip:y;z-index:25289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" strokecolor="black [3040]">
                <v:stroke startarrow="block" endarrow="block"/>
                <o:lock v:ext="edit" shapetype="f"/>
              </v:shape>
            </w:pict>
          </mc:Fallback>
        </mc:AlternateContent>
      </w:r>
      <w:r>
        <w:rPr>
          <w:noProof/>
          <w:lang w:eastAsia="ru-RU"/>
        </w:rPr>
        <mc:AlternateContent>
          <mc:Choice Requires="wps">
            <w:drawing>
              <wp:anchor distT="4294967295" distB="4294967295" distL="114300" distR="114300" simplePos="0" relativeHeight="252897280" behindDoc="0" locked="0" layoutInCell="1" allowOverlap="1" wp14:anchorId="7645FE56" wp14:editId="28F874BD">
                <wp:simplePos x="0" y="0"/>
                <wp:positionH relativeFrom="column">
                  <wp:posOffset>1116330</wp:posOffset>
                </wp:positionH>
                <wp:positionV relativeFrom="paragraph">
                  <wp:posOffset>2584450</wp:posOffset>
                </wp:positionV>
                <wp:extent cx="327660" cy="0"/>
                <wp:effectExtent l="38100" t="76200" r="15240" b="95250"/>
                <wp:wrapNone/>
                <wp:docPr id="1130491038"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04FA4" id="Прямая со стрелкой 162" o:spid="_x0000_s1026" type="#_x0000_t32" style="position:absolute;margin-left:87.9pt;margin-top:203.5pt;width:25.8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898304" behindDoc="0" locked="0" layoutInCell="1" allowOverlap="1" wp14:anchorId="763B2851" wp14:editId="1CDA2E54">
                <wp:simplePos x="0" y="0"/>
                <wp:positionH relativeFrom="column">
                  <wp:posOffset>621030</wp:posOffset>
                </wp:positionH>
                <wp:positionV relativeFrom="paragraph">
                  <wp:posOffset>1817370</wp:posOffset>
                </wp:positionV>
                <wp:extent cx="0" cy="403860"/>
                <wp:effectExtent l="76200" t="38100" r="57150" b="53340"/>
                <wp:wrapNone/>
                <wp:docPr id="456115756"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C977D" id="Прямая со стрелкой 161" o:spid="_x0000_s1026" type="#_x0000_t32" style="position:absolute;margin-left:48.9pt;margin-top:143.1pt;width:0;height:31.8pt;z-index:25289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4294967295" distB="4294967295" distL="114300" distR="114300" simplePos="0" relativeHeight="252899328" behindDoc="0" locked="0" layoutInCell="1" allowOverlap="1" wp14:anchorId="5686AE06" wp14:editId="59469E9E">
                <wp:simplePos x="0" y="0"/>
                <wp:positionH relativeFrom="column">
                  <wp:posOffset>1108710</wp:posOffset>
                </wp:positionH>
                <wp:positionV relativeFrom="paragraph">
                  <wp:posOffset>1353820</wp:posOffset>
                </wp:positionV>
                <wp:extent cx="472440" cy="0"/>
                <wp:effectExtent l="38100" t="76200" r="22860" b="95250"/>
                <wp:wrapNone/>
                <wp:docPr id="21072288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0E7EF" id="Прямая со стрелкой 160" o:spid="_x0000_s1026" type="#_x0000_t32" style="position:absolute;margin-left:87.3pt;margin-top:106.6pt;width:37.2pt;height:0;z-index:25289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4294967295" distB="4294967295" distL="114300" distR="114300" simplePos="0" relativeHeight="252900352" behindDoc="0" locked="0" layoutInCell="1" allowOverlap="1" wp14:anchorId="07CF0D1A" wp14:editId="32906DC7">
                <wp:simplePos x="0" y="0"/>
                <wp:positionH relativeFrom="column">
                  <wp:posOffset>4979670</wp:posOffset>
                </wp:positionH>
                <wp:positionV relativeFrom="paragraph">
                  <wp:posOffset>146685</wp:posOffset>
                </wp:positionV>
                <wp:extent cx="449580" cy="0"/>
                <wp:effectExtent l="0" t="76200" r="26670" b="95250"/>
                <wp:wrapNone/>
                <wp:docPr id="2082729310"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75532" id="Прямая со стрелкой 159" o:spid="_x0000_s1026" type="#_x0000_t32" style="position:absolute;margin-left:392.1pt;margin-top:11.55pt;width:35.4pt;height:0;z-index:25290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2901376" behindDoc="0" locked="0" layoutInCell="1" allowOverlap="1" wp14:anchorId="2D3647A8" wp14:editId="0DD5524C">
                <wp:simplePos x="0" y="0"/>
                <wp:positionH relativeFrom="column">
                  <wp:posOffset>5497830</wp:posOffset>
                </wp:positionH>
                <wp:positionV relativeFrom="paragraph">
                  <wp:posOffset>9525</wp:posOffset>
                </wp:positionV>
                <wp:extent cx="3215640" cy="373380"/>
                <wp:effectExtent l="0" t="0" r="22860" b="26670"/>
                <wp:wrapNone/>
                <wp:docPr id="167593115"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5640" cy="373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8964493" w14:textId="522ABFED" w:rsidR="00B10552" w:rsidRDefault="00B10552" w:rsidP="00B10552">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Pr>
                                <w:rFonts w:ascii="Times New Roman" w:hAnsi="Times New Roman" w:cs="Times New Roman"/>
                                <w:sz w:val="24"/>
                                <w:szCs w:val="24"/>
                                <w:lang w:val="kk-KZ"/>
                              </w:rPr>
                              <w:t xml:space="preserve"> дамытудың мақсаты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647A8" id="Прямоугольник 158" o:spid="_x0000_s1333" style="position:absolute;margin-left:432.9pt;margin-top:.75pt;width:253.2pt;height:29.4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" fillcolor="white [3201]" strokecolor="black [3200]" strokeweight=".25pt">
                <v:path arrowok="t"/>
                <v:textbox>
                  <w:txbxContent>
                    <w:p w14:paraId="68964493" w14:textId="522ABFED" w:rsidR="00B10552" w:rsidRDefault="00B10552" w:rsidP="00B10552">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00575788">
                        <w:rPr>
                          <w:rFonts w:ascii="Times New Roman" w:hAnsi="Times New Roman" w:cs="Times New Roman"/>
                          <w:sz w:val="24"/>
                          <w:szCs w:val="24"/>
                          <w:lang w:val="kk-KZ"/>
                        </w:rPr>
                        <w:t>АӨК-н</w:t>
                      </w:r>
                      <w:r>
                        <w:rPr>
                          <w:rFonts w:ascii="Times New Roman" w:hAnsi="Times New Roman" w:cs="Times New Roman"/>
                          <w:sz w:val="24"/>
                          <w:szCs w:val="24"/>
                          <w:lang w:val="kk-KZ"/>
                        </w:rPr>
                        <w:t xml:space="preserve"> дамытудың мақсаты</w:t>
                      </w:r>
                    </w:p>
                  </w:txbxContent>
                </v:textbox>
              </v:rect>
            </w:pict>
          </mc:Fallback>
        </mc:AlternateContent>
      </w:r>
      <w:r>
        <w:rPr>
          <w:noProof/>
          <w:lang w:eastAsia="ru-RU"/>
        </w:rPr>
        <mc:AlternateContent>
          <mc:Choice Requires="wps">
            <w:drawing>
              <wp:anchor distT="0" distB="0" distL="114299" distR="114299" simplePos="0" relativeHeight="252902400" behindDoc="0" locked="0" layoutInCell="1" allowOverlap="1" wp14:anchorId="1667CE20" wp14:editId="37467F12">
                <wp:simplePos x="0" y="0"/>
                <wp:positionH relativeFrom="column">
                  <wp:posOffset>552450</wp:posOffset>
                </wp:positionH>
                <wp:positionV relativeFrom="paragraph">
                  <wp:posOffset>232410</wp:posOffset>
                </wp:positionV>
                <wp:extent cx="0" cy="815340"/>
                <wp:effectExtent l="76200" t="38100" r="57150" b="60960"/>
                <wp:wrapNone/>
                <wp:docPr id="1830231230"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153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81BB7" id="Прямая со стрелкой 157" o:spid="_x0000_s1026" type="#_x0000_t32" style="position:absolute;margin-left:43.5pt;margin-top:18.3pt;width:0;height:64.2pt;flip:y;z-index:25290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4294967295" distB="4294967295" distL="114300" distR="114300" simplePos="0" relativeHeight="252903424" behindDoc="0" locked="0" layoutInCell="1" allowOverlap="1" wp14:anchorId="275B7027" wp14:editId="145DFBB6">
                <wp:simplePos x="0" y="0"/>
                <wp:positionH relativeFrom="column">
                  <wp:posOffset>529590</wp:posOffset>
                </wp:positionH>
                <wp:positionV relativeFrom="paragraph">
                  <wp:posOffset>240030</wp:posOffset>
                </wp:positionV>
                <wp:extent cx="1043940" cy="0"/>
                <wp:effectExtent l="38100" t="76200" r="22860" b="95250"/>
                <wp:wrapNone/>
                <wp:docPr id="1765354969"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39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3B439" id="Прямая со стрелкой 156" o:spid="_x0000_s1026" type="#_x0000_t32" style="position:absolute;margin-left:41.7pt;margin-top:18.9pt;width:82.2pt;height:0;z-index:25290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" strokecolor="black [3040]">
                <v:stroke startarrow="block" endarrow="block"/>
                <o:lock v:ext="edit" shapetype="f"/>
              </v:shape>
            </w:pict>
          </mc:Fallback>
        </mc:AlternateContent>
      </w:r>
      <w:r>
        <w:rPr>
          <w:noProof/>
          <w:lang w:eastAsia="ru-RU"/>
        </w:rPr>
        <mc:AlternateContent>
          <mc:Choice Requires="wps">
            <w:drawing>
              <wp:anchor distT="0" distB="0" distL="114300" distR="114300" simplePos="0" relativeHeight="252904448" behindDoc="0" locked="0" layoutInCell="1" allowOverlap="1" wp14:anchorId="79EA496D" wp14:editId="59BA4DE8">
                <wp:simplePos x="0" y="0"/>
                <wp:positionH relativeFrom="margin">
                  <wp:posOffset>8454390</wp:posOffset>
                </wp:positionH>
                <wp:positionV relativeFrom="paragraph">
                  <wp:posOffset>4342765</wp:posOffset>
                </wp:positionV>
                <wp:extent cx="320040" cy="929640"/>
                <wp:effectExtent l="0" t="0" r="22860" b="22860"/>
                <wp:wrapNone/>
                <wp:docPr id="45473057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9296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7D1A37A"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10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A496D" id="Прямоугольник 155" o:spid="_x0000_s1334" style="position:absolute;margin-left:665.7pt;margin-top:341.95pt;width:25.2pt;height:73.2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" fillcolor="white [3201]" strokecolor="black [3200]" strokeweight=".25pt">
                <v:path arrowok="t"/>
                <v:textbox style="layout-flow:vertical;mso-layout-flow-alt:bottom-to-top">
                  <w:txbxContent>
                    <w:p w14:paraId="67D1A37A"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10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05472" behindDoc="0" locked="0" layoutInCell="1" allowOverlap="1" wp14:anchorId="2C0FE2D2" wp14:editId="1FCC8542">
                <wp:simplePos x="0" y="0"/>
                <wp:positionH relativeFrom="margin">
                  <wp:posOffset>3585210</wp:posOffset>
                </wp:positionH>
                <wp:positionV relativeFrom="paragraph">
                  <wp:posOffset>4342765</wp:posOffset>
                </wp:positionV>
                <wp:extent cx="320040" cy="891540"/>
                <wp:effectExtent l="0" t="0" r="22860" b="22860"/>
                <wp:wrapNone/>
                <wp:docPr id="1578681278"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1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079649F"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4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0FE2D2" id="Прямоугольник 154" o:spid="_x0000_s1335" style="position:absolute;margin-left:282.3pt;margin-top:341.95pt;width:25.2pt;height:70.2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" fillcolor="white [3201]" strokecolor="black [3200]" strokeweight=".25pt">
                <v:path arrowok="t"/>
                <v:textbox style="layout-flow:vertical;mso-layout-flow-alt:bottom-to-top">
                  <w:txbxContent>
                    <w:p w14:paraId="7079649F"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4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06496" behindDoc="0" locked="0" layoutInCell="1" allowOverlap="1" wp14:anchorId="787D4E74" wp14:editId="2C69E586">
                <wp:simplePos x="0" y="0"/>
                <wp:positionH relativeFrom="margin">
                  <wp:posOffset>8888730</wp:posOffset>
                </wp:positionH>
                <wp:positionV relativeFrom="paragraph">
                  <wp:posOffset>4342765</wp:posOffset>
                </wp:positionV>
                <wp:extent cx="327660" cy="914400"/>
                <wp:effectExtent l="0" t="0" r="15240" b="19050"/>
                <wp:wrapNone/>
                <wp:docPr id="1611708290"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9144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C1617C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15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D4E74" id="Прямоугольник 153" o:spid="_x0000_s1336" style="position:absolute;margin-left:699.9pt;margin-top:341.95pt;width:25.8pt;height:1in;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" fillcolor="white [3201]" strokecolor="black [3200]" strokeweight=".25pt">
                <v:path arrowok="t"/>
                <v:textbox style="layout-flow:vertical;mso-layout-flow-alt:bottom-to-top">
                  <w:txbxContent>
                    <w:p w14:paraId="7C1617C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15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08544" behindDoc="0" locked="0" layoutInCell="1" allowOverlap="1" wp14:anchorId="45D6033B" wp14:editId="02D35049">
                <wp:simplePos x="0" y="0"/>
                <wp:positionH relativeFrom="margin">
                  <wp:posOffset>4263390</wp:posOffset>
                </wp:positionH>
                <wp:positionV relativeFrom="paragraph">
                  <wp:posOffset>4342765</wp:posOffset>
                </wp:positionV>
                <wp:extent cx="320040" cy="891540"/>
                <wp:effectExtent l="0" t="0" r="22860" b="22860"/>
                <wp:wrapNone/>
                <wp:docPr id="584368070"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1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9DD05F"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D6033B" id="Прямоугольник 151" o:spid="_x0000_s1337" style="position:absolute;margin-left:335.7pt;margin-top:341.95pt;width:25.2pt;height:70.2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" fillcolor="white [3201]" strokecolor="black [3200]" strokeweight=".25pt">
                <v:path arrowok="t"/>
                <v:textbox style="layout-flow:vertical;mso-layout-flow-alt:bottom-to-top">
                  <w:txbxContent>
                    <w:p w14:paraId="379DD05F"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09568" behindDoc="0" locked="0" layoutInCell="1" allowOverlap="1" wp14:anchorId="3E46CFC4" wp14:editId="535B11DA">
                <wp:simplePos x="0" y="0"/>
                <wp:positionH relativeFrom="margin">
                  <wp:posOffset>4598670</wp:posOffset>
                </wp:positionH>
                <wp:positionV relativeFrom="paragraph">
                  <wp:posOffset>4342765</wp:posOffset>
                </wp:positionV>
                <wp:extent cx="320040" cy="891540"/>
                <wp:effectExtent l="0" t="0" r="22860" b="22860"/>
                <wp:wrapNone/>
                <wp:docPr id="1857322049"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1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4F997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46CFC4" id="Прямоугольник 150" o:spid="_x0000_s1338" style="position:absolute;margin-left:362.1pt;margin-top:341.95pt;width:25.2pt;height:70.2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" fillcolor="white [3201]" strokecolor="black [3200]" strokeweight=".25pt">
                <v:path arrowok="t"/>
                <v:textbox style="layout-flow:vertical;mso-layout-flow-alt:bottom-to-top">
                  <w:txbxContent>
                    <w:p w14:paraId="3C4F9977"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0592" behindDoc="0" locked="0" layoutInCell="1" allowOverlap="1" wp14:anchorId="3D9D6A2B" wp14:editId="40450B6A">
                <wp:simplePos x="0" y="0"/>
                <wp:positionH relativeFrom="margin">
                  <wp:posOffset>4949190</wp:posOffset>
                </wp:positionH>
                <wp:positionV relativeFrom="paragraph">
                  <wp:posOffset>4342765</wp:posOffset>
                </wp:positionV>
                <wp:extent cx="320040" cy="891540"/>
                <wp:effectExtent l="0" t="0" r="22860" b="22860"/>
                <wp:wrapNone/>
                <wp:docPr id="1523125111"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1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4BF329C"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D6A2B" id="Прямоугольник 149" o:spid="_x0000_s1339" style="position:absolute;margin-left:389.7pt;margin-top:341.95pt;width:25.2pt;height:70.2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" fillcolor="white [3201]" strokecolor="black [3200]" strokeweight=".25pt">
                <v:path arrowok="t"/>
                <v:textbox style="layout-flow:vertical;mso-layout-flow-alt:bottom-to-top">
                  <w:txbxContent>
                    <w:p w14:paraId="54BF329C"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1616" behindDoc="0" locked="0" layoutInCell="1" allowOverlap="1" wp14:anchorId="5AFED6E6" wp14:editId="30A35BFB">
                <wp:simplePos x="0" y="0"/>
                <wp:positionH relativeFrom="margin">
                  <wp:posOffset>5292090</wp:posOffset>
                </wp:positionH>
                <wp:positionV relativeFrom="paragraph">
                  <wp:posOffset>4350385</wp:posOffset>
                </wp:positionV>
                <wp:extent cx="320040" cy="883920"/>
                <wp:effectExtent l="0" t="0" r="22860" b="11430"/>
                <wp:wrapNone/>
                <wp:docPr id="1242638124"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05765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ED6E6" id="Прямоугольник 148" o:spid="_x0000_s1340" style="position:absolute;margin-left:416.7pt;margin-top:342.55pt;width:25.2pt;height:69.6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" fillcolor="white [3201]" strokecolor="black [3200]" strokeweight=".25pt">
                <v:path arrowok="t"/>
                <v:textbox style="layout-flow:vertical;mso-layout-flow-alt:bottom-to-top">
                  <w:txbxContent>
                    <w:p w14:paraId="4605765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2640" behindDoc="0" locked="0" layoutInCell="1" allowOverlap="1" wp14:anchorId="7D87293E" wp14:editId="18ABFA0F">
                <wp:simplePos x="0" y="0"/>
                <wp:positionH relativeFrom="margin">
                  <wp:posOffset>5634990</wp:posOffset>
                </wp:positionH>
                <wp:positionV relativeFrom="paragraph">
                  <wp:posOffset>4342765</wp:posOffset>
                </wp:positionV>
                <wp:extent cx="320040" cy="899160"/>
                <wp:effectExtent l="0" t="0" r="22860" b="15240"/>
                <wp:wrapNone/>
                <wp:docPr id="1792265804"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91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A99E87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7293E" id="Прямоугольник 147" o:spid="_x0000_s1341" style="position:absolute;margin-left:443.7pt;margin-top:341.95pt;width:25.2pt;height:70.8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" fillcolor="white [3201]" strokecolor="black [3200]" strokeweight=".25pt">
                <v:path arrowok="t"/>
                <v:textbox style="layout-flow:vertical;mso-layout-flow-alt:bottom-to-top">
                  <w:txbxContent>
                    <w:p w14:paraId="5A99E87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3664" behindDoc="0" locked="0" layoutInCell="1" allowOverlap="1" wp14:anchorId="45461ABF" wp14:editId="76710FF5">
                <wp:simplePos x="0" y="0"/>
                <wp:positionH relativeFrom="margin">
                  <wp:posOffset>5993130</wp:posOffset>
                </wp:positionH>
                <wp:positionV relativeFrom="paragraph">
                  <wp:posOffset>4350385</wp:posOffset>
                </wp:positionV>
                <wp:extent cx="320040" cy="891540"/>
                <wp:effectExtent l="0" t="0" r="22860" b="22860"/>
                <wp:wrapNone/>
                <wp:docPr id="1902998661"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1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D78A0B5"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 альтернатива </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61ABF" id="Прямоугольник 146" o:spid="_x0000_s1342" style="position:absolute;margin-left:471.9pt;margin-top:342.55pt;width:25.2pt;height:70.2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" fillcolor="white [3201]" strokecolor="black [3200]" strokeweight=".25pt">
                <v:path arrowok="t"/>
                <v:textbox style="layout-flow:vertical;mso-layout-flow-alt:bottom-to-top">
                  <w:txbxContent>
                    <w:p w14:paraId="5D78A0B5"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 альтернатива </w:t>
                      </w:r>
                    </w:p>
                  </w:txbxContent>
                </v:textbox>
                <w10:wrap anchorx="margin"/>
              </v:rect>
            </w:pict>
          </mc:Fallback>
        </mc:AlternateContent>
      </w:r>
      <w:r>
        <w:rPr>
          <w:noProof/>
          <w:lang w:eastAsia="ru-RU"/>
        </w:rPr>
        <mc:AlternateContent>
          <mc:Choice Requires="wps">
            <w:drawing>
              <wp:anchor distT="0" distB="0" distL="114300" distR="114300" simplePos="0" relativeHeight="252914688" behindDoc="0" locked="0" layoutInCell="1" allowOverlap="1" wp14:anchorId="2D7CE888" wp14:editId="03E132D4">
                <wp:simplePos x="0" y="0"/>
                <wp:positionH relativeFrom="margin">
                  <wp:posOffset>6351270</wp:posOffset>
                </wp:positionH>
                <wp:positionV relativeFrom="paragraph">
                  <wp:posOffset>4350385</wp:posOffset>
                </wp:positionV>
                <wp:extent cx="320040" cy="899160"/>
                <wp:effectExtent l="0" t="0" r="22860" b="15240"/>
                <wp:wrapNone/>
                <wp:docPr id="991636142"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91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7BA1A6A"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 2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CE888" id="Прямоугольник 145" o:spid="_x0000_s1343" style="position:absolute;margin-left:500.1pt;margin-top:342.55pt;width:25.2pt;height:70.8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" fillcolor="white [3201]" strokecolor="black [3200]" strokeweight=".25pt">
                <v:path arrowok="t"/>
                <v:textbox style="layout-flow:vertical;mso-layout-flow-alt:bottom-to-top">
                  <w:txbxContent>
                    <w:p w14:paraId="77BA1A6A"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 2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5712" behindDoc="0" locked="0" layoutInCell="1" allowOverlap="1" wp14:anchorId="2BF16666" wp14:editId="59BFCC67">
                <wp:simplePos x="0" y="0"/>
                <wp:positionH relativeFrom="margin">
                  <wp:posOffset>6717030</wp:posOffset>
                </wp:positionH>
                <wp:positionV relativeFrom="paragraph">
                  <wp:posOffset>4342765</wp:posOffset>
                </wp:positionV>
                <wp:extent cx="335280" cy="914400"/>
                <wp:effectExtent l="0" t="0" r="26670" b="19050"/>
                <wp:wrapNone/>
                <wp:docPr id="670672812"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9144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9944C7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 альтернатива </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16666" id="Прямоугольник 144" o:spid="_x0000_s1344" style="position:absolute;margin-left:528.9pt;margin-top:341.95pt;width:26.4pt;height:1in;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" fillcolor="white [3201]" strokecolor="black [3200]" strokeweight=".25pt">
                <v:path arrowok="t"/>
                <v:textbox style="layout-flow:vertical;mso-layout-flow-alt:bottom-to-top">
                  <w:txbxContent>
                    <w:p w14:paraId="39944C7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 альтернатива </w:t>
                      </w:r>
                    </w:p>
                  </w:txbxContent>
                </v:textbox>
                <w10:wrap anchorx="margin"/>
              </v:rect>
            </w:pict>
          </mc:Fallback>
        </mc:AlternateContent>
      </w:r>
      <w:r>
        <w:rPr>
          <w:noProof/>
          <w:lang w:eastAsia="ru-RU"/>
        </w:rPr>
        <mc:AlternateContent>
          <mc:Choice Requires="wps">
            <w:drawing>
              <wp:anchor distT="0" distB="0" distL="114300" distR="114300" simplePos="0" relativeHeight="252916736" behindDoc="0" locked="0" layoutInCell="1" allowOverlap="1" wp14:anchorId="66F22B59" wp14:editId="56C87AD5">
                <wp:simplePos x="0" y="0"/>
                <wp:positionH relativeFrom="margin">
                  <wp:posOffset>7105650</wp:posOffset>
                </wp:positionH>
                <wp:positionV relativeFrom="paragraph">
                  <wp:posOffset>4342765</wp:posOffset>
                </wp:positionV>
                <wp:extent cx="304800" cy="922020"/>
                <wp:effectExtent l="0" t="0" r="19050" b="11430"/>
                <wp:wrapNone/>
                <wp:docPr id="1257625395"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9220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466A1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22B59" id="Прямоугольник 143" o:spid="_x0000_s1345" style="position:absolute;margin-left:559.5pt;margin-top:341.95pt;width:24pt;height:72.6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" fillcolor="white [3201]" strokecolor="black [3200]" strokeweight=".25pt">
                <v:path arrowok="t"/>
                <v:textbox style="layout-flow:vertical;mso-layout-flow-alt:bottom-to-top">
                  <w:txbxContent>
                    <w:p w14:paraId="09466A18"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7760" behindDoc="0" locked="0" layoutInCell="1" allowOverlap="1" wp14:anchorId="7375DC6E" wp14:editId="42BDF1EA">
                <wp:simplePos x="0" y="0"/>
                <wp:positionH relativeFrom="margin">
                  <wp:posOffset>7532370</wp:posOffset>
                </wp:positionH>
                <wp:positionV relativeFrom="paragraph">
                  <wp:posOffset>4342765</wp:posOffset>
                </wp:positionV>
                <wp:extent cx="312420" cy="922020"/>
                <wp:effectExtent l="0" t="0" r="11430" b="11430"/>
                <wp:wrapNone/>
                <wp:docPr id="677764741"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9220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60CDA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 альтернатива </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5DC6E" id="Прямоугольник 142" o:spid="_x0000_s1346" style="position:absolute;margin-left:593.1pt;margin-top:341.95pt;width:24.6pt;height:72.6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" fillcolor="white [3201]" strokecolor="black [3200]" strokeweight=".25pt">
                <v:path arrowok="t"/>
                <v:textbox style="layout-flow:vertical;mso-layout-flow-alt:bottom-to-top">
                  <w:txbxContent>
                    <w:p w14:paraId="6D60CDAB"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 xml:space="preserve">1 альтернатива </w:t>
                      </w:r>
                    </w:p>
                  </w:txbxContent>
                </v:textbox>
                <w10:wrap anchorx="margin"/>
              </v:rect>
            </w:pict>
          </mc:Fallback>
        </mc:AlternateContent>
      </w:r>
      <w:r>
        <w:rPr>
          <w:noProof/>
          <w:lang w:eastAsia="ru-RU"/>
        </w:rPr>
        <mc:AlternateContent>
          <mc:Choice Requires="wps">
            <w:drawing>
              <wp:anchor distT="0" distB="0" distL="114300" distR="114300" simplePos="0" relativeHeight="252918784" behindDoc="0" locked="0" layoutInCell="1" allowOverlap="1" wp14:anchorId="0B9665C5" wp14:editId="3109502B">
                <wp:simplePos x="0" y="0"/>
                <wp:positionH relativeFrom="margin">
                  <wp:posOffset>7989570</wp:posOffset>
                </wp:positionH>
                <wp:positionV relativeFrom="paragraph">
                  <wp:posOffset>4342765</wp:posOffset>
                </wp:positionV>
                <wp:extent cx="320040" cy="922020"/>
                <wp:effectExtent l="0" t="0" r="22860" b="11430"/>
                <wp:wrapNone/>
                <wp:docPr id="1047214775"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9220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5BF06B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14 іальтернатива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9665C5" id="Прямоугольник 141" o:spid="_x0000_s1347" style="position:absolute;margin-left:629.1pt;margin-top:341.95pt;width:25.2pt;height:72.6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" fillcolor="white [3201]" strokecolor="black [3200]" strokeweight=".25pt">
                <v:path arrowok="t"/>
                <v:textbox style="layout-flow:vertical;mso-layout-flow-alt:bottom-to-top">
                  <w:txbxContent>
                    <w:p w14:paraId="35BF06BE"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14 іальтернатива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19808" behindDoc="0" locked="0" layoutInCell="1" allowOverlap="1" wp14:anchorId="23CAE925" wp14:editId="48694A5E">
                <wp:simplePos x="0" y="0"/>
                <wp:positionH relativeFrom="margin">
                  <wp:posOffset>3249930</wp:posOffset>
                </wp:positionH>
                <wp:positionV relativeFrom="paragraph">
                  <wp:posOffset>4350385</wp:posOffset>
                </wp:positionV>
                <wp:extent cx="320040" cy="883920"/>
                <wp:effectExtent l="0" t="0" r="22860" b="11430"/>
                <wp:wrapNone/>
                <wp:docPr id="203297181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C7276F8"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 xml:space="preserve"> 4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AE925" id="Прямоугольник 140" o:spid="_x0000_s1348" style="position:absolute;margin-left:255.9pt;margin-top:342.55pt;width:25.2pt;height:69.6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" fillcolor="white [3201]" strokecolor="black [3200]" strokeweight=".25pt">
                <v:path arrowok="t"/>
                <v:textbox style="layout-flow:vertical;mso-layout-flow-alt:bottom-to-top">
                  <w:txbxContent>
                    <w:p w14:paraId="7C7276F8"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 xml:space="preserve"> 4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20832" behindDoc="0" locked="0" layoutInCell="1" allowOverlap="1" wp14:anchorId="3A5EFB38" wp14:editId="29A09E71">
                <wp:simplePos x="0" y="0"/>
                <wp:positionH relativeFrom="margin">
                  <wp:posOffset>2907030</wp:posOffset>
                </wp:positionH>
                <wp:positionV relativeFrom="paragraph">
                  <wp:posOffset>4358005</wp:posOffset>
                </wp:positionV>
                <wp:extent cx="320040" cy="883920"/>
                <wp:effectExtent l="0" t="0" r="22860" b="11430"/>
                <wp:wrapNone/>
                <wp:docPr id="1057277818"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4B0107"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EFB38" id="Прямоугольник 139" o:spid="_x0000_s1349" style="position:absolute;margin-left:228.9pt;margin-top:343.15pt;width:25.2pt;height:69.6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" fillcolor="white [3201]" strokecolor="black [3200]" strokeweight=".25pt">
                <v:path arrowok="t"/>
                <v:textbox style="layout-flow:vertical;mso-layout-flow-alt:bottom-to-top">
                  <w:txbxContent>
                    <w:p w14:paraId="4E4B0107"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21856" behindDoc="0" locked="0" layoutInCell="1" allowOverlap="1" wp14:anchorId="68D877D2" wp14:editId="30D72F5E">
                <wp:simplePos x="0" y="0"/>
                <wp:positionH relativeFrom="margin">
                  <wp:posOffset>2564130</wp:posOffset>
                </wp:positionH>
                <wp:positionV relativeFrom="paragraph">
                  <wp:posOffset>4350385</wp:posOffset>
                </wp:positionV>
                <wp:extent cx="320040" cy="883920"/>
                <wp:effectExtent l="0" t="0" r="22860" b="11430"/>
                <wp:wrapNone/>
                <wp:docPr id="1559851002"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7349FA"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2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877D2" id="Прямоугольник 138" o:spid="_x0000_s1350" style="position:absolute;margin-left:201.9pt;margin-top:342.55pt;width:25.2pt;height:69.6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" fillcolor="white [3201]" strokecolor="black [3200]" strokeweight=".25pt">
                <v:path arrowok="t"/>
                <v:textbox style="layout-flow:vertical;mso-layout-flow-alt:bottom-to-top">
                  <w:txbxContent>
                    <w:p w14:paraId="2E7349FA"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2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22880" behindDoc="0" locked="0" layoutInCell="1" allowOverlap="1" wp14:anchorId="5379A362" wp14:editId="77C7681A">
                <wp:simplePos x="0" y="0"/>
                <wp:positionH relativeFrom="margin">
                  <wp:posOffset>2221230</wp:posOffset>
                </wp:positionH>
                <wp:positionV relativeFrom="paragraph">
                  <wp:posOffset>4350385</wp:posOffset>
                </wp:positionV>
                <wp:extent cx="320040" cy="883920"/>
                <wp:effectExtent l="0" t="0" r="22860" b="11430"/>
                <wp:wrapNone/>
                <wp:docPr id="1624995869"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7E9CCE5"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9A362" id="Прямоугольник 137" o:spid="_x0000_s1351" style="position:absolute;margin-left:174.9pt;margin-top:342.55pt;width:25.2pt;height:69.6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" fillcolor="white [3201]" strokecolor="black [3200]" strokeweight=".25pt">
                <v:path arrowok="t"/>
                <v:textbox style="layout-flow:vertical;mso-layout-flow-alt:bottom-to-top">
                  <w:txbxContent>
                    <w:p w14:paraId="17E9CCE5"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23904" behindDoc="0" locked="0" layoutInCell="1" allowOverlap="1" wp14:anchorId="7C7DB63F" wp14:editId="3CD4AECE">
                <wp:simplePos x="0" y="0"/>
                <wp:positionH relativeFrom="margin">
                  <wp:posOffset>1840230</wp:posOffset>
                </wp:positionH>
                <wp:positionV relativeFrom="paragraph">
                  <wp:posOffset>4350385</wp:posOffset>
                </wp:positionV>
                <wp:extent cx="320040" cy="883920"/>
                <wp:effectExtent l="0" t="0" r="22860" b="11430"/>
                <wp:wrapNone/>
                <wp:docPr id="639258269"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F663532"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1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DB63F" id="Прямоугольник 136" o:spid="_x0000_s1352" style="position:absolute;margin-left:144.9pt;margin-top:342.55pt;width:25.2pt;height:69.6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" fillcolor="white [3201]" strokecolor="black [3200]" strokeweight=".25pt">
                <v:path arrowok="t"/>
                <v:textbox style="layout-flow:vertical;mso-layout-flow-alt:bottom-to-top">
                  <w:txbxContent>
                    <w:p w14:paraId="7F663532"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1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24928" behindDoc="0" locked="0" layoutInCell="1" allowOverlap="1" wp14:anchorId="7DC5924F" wp14:editId="27CFAC91">
                <wp:simplePos x="0" y="0"/>
                <wp:positionH relativeFrom="margin">
                  <wp:posOffset>1443990</wp:posOffset>
                </wp:positionH>
                <wp:positionV relativeFrom="paragraph">
                  <wp:posOffset>4342765</wp:posOffset>
                </wp:positionV>
                <wp:extent cx="320040" cy="899160"/>
                <wp:effectExtent l="0" t="0" r="22860" b="15240"/>
                <wp:wrapNone/>
                <wp:docPr id="1213694788"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91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13AE5C"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2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C5924F" id="Прямоугольник 135" o:spid="_x0000_s1353" style="position:absolute;margin-left:113.7pt;margin-top:341.95pt;width:25.2pt;height:70.8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" fillcolor="white [3201]" strokecolor="black [3200]" strokeweight=".25pt">
                <v:path arrowok="t"/>
                <v:textbox style="layout-flow:vertical;mso-layout-flow-alt:bottom-to-top">
                  <w:txbxContent>
                    <w:p w14:paraId="0F13AE5C" w14:textId="77777777" w:rsidR="00B10552" w:rsidRDefault="00B10552" w:rsidP="00B10552">
                      <w:pPr>
                        <w:jc w:val="center"/>
                        <w:rPr>
                          <w:rFonts w:ascii="Times New Roman" w:hAnsi="Times New Roman" w:cs="Times New Roman"/>
                          <w:sz w:val="18"/>
                          <w:szCs w:val="18"/>
                          <w:lang w:val="kk-KZ"/>
                        </w:rPr>
                      </w:pPr>
                      <w:r>
                        <w:rPr>
                          <w:rFonts w:ascii="Times New Roman" w:hAnsi="Times New Roman" w:cs="Times New Roman"/>
                          <w:sz w:val="18"/>
                          <w:szCs w:val="18"/>
                          <w:lang w:val="kk-KZ"/>
                        </w:rPr>
                        <w:t>2 альтернатива</w:t>
                      </w:r>
                    </w:p>
                  </w:txbxContent>
                </v:textbox>
                <w10:wrap anchorx="margin"/>
              </v:rect>
            </w:pict>
          </mc:Fallback>
        </mc:AlternateContent>
      </w:r>
      <w:r>
        <w:rPr>
          <w:noProof/>
          <w:lang w:eastAsia="ru-RU"/>
        </w:rPr>
        <mc:AlternateContent>
          <mc:Choice Requires="wps">
            <w:drawing>
              <wp:anchor distT="0" distB="0" distL="114300" distR="114300" simplePos="0" relativeHeight="252925952" behindDoc="0" locked="0" layoutInCell="1" allowOverlap="1" wp14:anchorId="1F8AD19E" wp14:editId="03E8770E">
                <wp:simplePos x="0" y="0"/>
                <wp:positionH relativeFrom="column">
                  <wp:posOffset>129540</wp:posOffset>
                </wp:positionH>
                <wp:positionV relativeFrom="paragraph">
                  <wp:posOffset>4340860</wp:posOffset>
                </wp:positionV>
                <wp:extent cx="975360" cy="769620"/>
                <wp:effectExtent l="0" t="0" r="15240" b="11430"/>
                <wp:wrapNone/>
                <wp:docPr id="1441536696"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7696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114C82E" w14:textId="77777777" w:rsidR="00B10552" w:rsidRDefault="00B10552" w:rsidP="00B10552">
                            <w:pPr>
                              <w:spacing w:after="0" w:line="240" w:lineRule="auto"/>
                              <w:jc w:val="center"/>
                              <w:rPr>
                                <w:rFonts w:ascii="Times New Roman" w:hAnsi="Times New Roman" w:cs="Times New Roman"/>
                              </w:rPr>
                            </w:pPr>
                            <w:r>
                              <w:rPr>
                                <w:rFonts w:ascii="Times New Roman" w:hAnsi="Times New Roman" w:cs="Times New Roman"/>
                                <w:sz w:val="24"/>
                                <w:szCs w:val="24"/>
                                <w:lang w:val="kk-KZ"/>
                              </w:rPr>
                              <w:t xml:space="preserve">Альтернативалар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AD19E" id="Прямоугольник 134" o:spid="_x0000_s1354" style="position:absolute;margin-left:10.2pt;margin-top:341.8pt;width:76.8pt;height:60.6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" fillcolor="white [3201]" strokecolor="black [3200]" strokeweight=".25pt">
                <v:path arrowok="t"/>
                <v:textbox>
                  <w:txbxContent>
                    <w:p w14:paraId="0114C82E" w14:textId="77777777" w:rsidR="00B10552" w:rsidRDefault="00B10552" w:rsidP="00B10552">
                      <w:pPr>
                        <w:spacing w:after="0" w:line="240" w:lineRule="auto"/>
                        <w:jc w:val="center"/>
                        <w:rPr>
                          <w:rFonts w:ascii="Times New Roman" w:hAnsi="Times New Roman" w:cs="Times New Roman"/>
                        </w:rPr>
                      </w:pPr>
                      <w:r>
                        <w:rPr>
                          <w:rFonts w:ascii="Times New Roman" w:hAnsi="Times New Roman" w:cs="Times New Roman"/>
                          <w:sz w:val="24"/>
                          <w:szCs w:val="24"/>
                          <w:lang w:val="kk-KZ"/>
                        </w:rPr>
                        <w:t xml:space="preserve">Альтернативалар </w:t>
                      </w:r>
                    </w:p>
                  </w:txbxContent>
                </v:textbox>
              </v:rect>
            </w:pict>
          </mc:Fallback>
        </mc:AlternateContent>
      </w:r>
      <w:r>
        <w:rPr>
          <w:noProof/>
          <w:lang w:eastAsia="ru-RU"/>
        </w:rPr>
        <mc:AlternateContent>
          <mc:Choice Requires="wps">
            <w:drawing>
              <wp:anchor distT="4294967295" distB="4294967295" distL="114300" distR="114300" simplePos="0" relativeHeight="252926976" behindDoc="0" locked="0" layoutInCell="1" allowOverlap="1" wp14:anchorId="2B986A0C" wp14:editId="2EE102B3">
                <wp:simplePos x="0" y="0"/>
                <wp:positionH relativeFrom="column">
                  <wp:posOffset>1108710</wp:posOffset>
                </wp:positionH>
                <wp:positionV relativeFrom="paragraph">
                  <wp:posOffset>4697730</wp:posOffset>
                </wp:positionV>
                <wp:extent cx="335280" cy="0"/>
                <wp:effectExtent l="38100" t="76200" r="26670" b="95250"/>
                <wp:wrapNone/>
                <wp:docPr id="78314699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53FEA" id="Прямая со стрелкой 133" o:spid="_x0000_s1026" type="#_x0000_t32" style="position:absolute;margin-left:87.3pt;margin-top:369.9pt;width:26.4pt;height:0;z-index:25292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28000" behindDoc="0" locked="0" layoutInCell="1" allowOverlap="1" wp14:anchorId="11292B6C" wp14:editId="314F6EFE">
                <wp:simplePos x="0" y="0"/>
                <wp:positionH relativeFrom="column">
                  <wp:posOffset>1600200</wp:posOffset>
                </wp:positionH>
                <wp:positionV relativeFrom="paragraph">
                  <wp:posOffset>4084320</wp:posOffset>
                </wp:positionV>
                <wp:extent cx="0" cy="281940"/>
                <wp:effectExtent l="76200" t="38100" r="57150" b="60960"/>
                <wp:wrapNone/>
                <wp:docPr id="808414353"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790A6" id="Прямая со стрелкой 132" o:spid="_x0000_s1026" type="#_x0000_t32" style="position:absolute;margin-left:126pt;margin-top:321.6pt;width:0;height:22.2pt;z-index:25292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29024" behindDoc="0" locked="0" layoutInCell="1" allowOverlap="1" wp14:anchorId="737398A3" wp14:editId="33FDA4C2">
                <wp:simplePos x="0" y="0"/>
                <wp:positionH relativeFrom="column">
                  <wp:posOffset>2004060</wp:posOffset>
                </wp:positionH>
                <wp:positionV relativeFrom="paragraph">
                  <wp:posOffset>4102735</wp:posOffset>
                </wp:positionV>
                <wp:extent cx="0" cy="281940"/>
                <wp:effectExtent l="76200" t="38100" r="57150" b="60960"/>
                <wp:wrapNone/>
                <wp:docPr id="580549718"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77E1E" id="Прямая со стрелкой 131" o:spid="_x0000_s1026" type="#_x0000_t32" style="position:absolute;margin-left:157.8pt;margin-top:323.05pt;width:0;height:22.2pt;z-index:25292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0048" behindDoc="0" locked="0" layoutInCell="1" allowOverlap="1" wp14:anchorId="34B38D37" wp14:editId="449BCE9F">
                <wp:simplePos x="0" y="0"/>
                <wp:positionH relativeFrom="column">
                  <wp:posOffset>2400300</wp:posOffset>
                </wp:positionH>
                <wp:positionV relativeFrom="paragraph">
                  <wp:posOffset>4099560</wp:posOffset>
                </wp:positionV>
                <wp:extent cx="0" cy="281940"/>
                <wp:effectExtent l="76200" t="38100" r="57150" b="60960"/>
                <wp:wrapNone/>
                <wp:docPr id="1312211536"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B5332" id="Прямая со стрелкой 130" o:spid="_x0000_s1026" type="#_x0000_t32" style="position:absolute;margin-left:189pt;margin-top:322.8pt;width:0;height:22.2pt;z-index:25293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1072" behindDoc="0" locked="0" layoutInCell="1" allowOverlap="1" wp14:anchorId="673D5550" wp14:editId="72A894E2">
                <wp:simplePos x="0" y="0"/>
                <wp:positionH relativeFrom="column">
                  <wp:posOffset>2743200</wp:posOffset>
                </wp:positionH>
                <wp:positionV relativeFrom="paragraph">
                  <wp:posOffset>4095115</wp:posOffset>
                </wp:positionV>
                <wp:extent cx="0" cy="281940"/>
                <wp:effectExtent l="76200" t="38100" r="57150" b="60960"/>
                <wp:wrapNone/>
                <wp:docPr id="845546667"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29D03" id="Прямая со стрелкой 129" o:spid="_x0000_s1026" type="#_x0000_t32" style="position:absolute;margin-left:3in;margin-top:322.45pt;width:0;height:22.2pt;z-index:25293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2096" behindDoc="0" locked="0" layoutInCell="1" allowOverlap="1" wp14:anchorId="36FED234" wp14:editId="3803F07B">
                <wp:simplePos x="0" y="0"/>
                <wp:positionH relativeFrom="column">
                  <wp:posOffset>3055620</wp:posOffset>
                </wp:positionH>
                <wp:positionV relativeFrom="paragraph">
                  <wp:posOffset>4076700</wp:posOffset>
                </wp:positionV>
                <wp:extent cx="0" cy="281940"/>
                <wp:effectExtent l="76200" t="38100" r="57150" b="60960"/>
                <wp:wrapNone/>
                <wp:docPr id="1255289163"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8C331" id="Прямая со стрелкой 128" o:spid="_x0000_s1026" type="#_x0000_t32" style="position:absolute;margin-left:240.6pt;margin-top:321pt;width:0;height:22.2pt;z-index:25293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3120" behindDoc="0" locked="0" layoutInCell="1" allowOverlap="1" wp14:anchorId="68D2DD32" wp14:editId="7FDFE963">
                <wp:simplePos x="0" y="0"/>
                <wp:positionH relativeFrom="column">
                  <wp:posOffset>3421380</wp:posOffset>
                </wp:positionH>
                <wp:positionV relativeFrom="paragraph">
                  <wp:posOffset>4091940</wp:posOffset>
                </wp:positionV>
                <wp:extent cx="0" cy="281940"/>
                <wp:effectExtent l="76200" t="38100" r="57150" b="60960"/>
                <wp:wrapNone/>
                <wp:docPr id="1697210175"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70FF6" id="Прямая со стрелкой 127" o:spid="_x0000_s1026" type="#_x0000_t32" style="position:absolute;margin-left:269.4pt;margin-top:322.2pt;width:0;height:22.2pt;z-index:25293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4144" behindDoc="0" locked="0" layoutInCell="1" allowOverlap="1" wp14:anchorId="7C7CABDD" wp14:editId="33A86449">
                <wp:simplePos x="0" y="0"/>
                <wp:positionH relativeFrom="column">
                  <wp:posOffset>3749040</wp:posOffset>
                </wp:positionH>
                <wp:positionV relativeFrom="paragraph">
                  <wp:posOffset>4091940</wp:posOffset>
                </wp:positionV>
                <wp:extent cx="0" cy="281940"/>
                <wp:effectExtent l="76200" t="38100" r="57150" b="60960"/>
                <wp:wrapNone/>
                <wp:docPr id="1583125218"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0EE82" id="Прямая со стрелкой 126" o:spid="_x0000_s1026" type="#_x0000_t32" style="position:absolute;margin-left:295.2pt;margin-top:322.2pt;width:0;height:22.2pt;z-index:25293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5168" behindDoc="0" locked="0" layoutInCell="1" allowOverlap="1" wp14:anchorId="55DA4248" wp14:editId="40944149">
                <wp:simplePos x="0" y="0"/>
                <wp:positionH relativeFrom="column">
                  <wp:posOffset>4099560</wp:posOffset>
                </wp:positionH>
                <wp:positionV relativeFrom="paragraph">
                  <wp:posOffset>4099560</wp:posOffset>
                </wp:positionV>
                <wp:extent cx="0" cy="281940"/>
                <wp:effectExtent l="76200" t="38100" r="57150" b="60960"/>
                <wp:wrapNone/>
                <wp:docPr id="418576104"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8FD30" id="Прямая со стрелкой 125" o:spid="_x0000_s1026" type="#_x0000_t32" style="position:absolute;margin-left:322.8pt;margin-top:322.8pt;width:0;height:22.2pt;z-index:25293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6192" behindDoc="0" locked="0" layoutInCell="1" allowOverlap="1" wp14:anchorId="312DADE2" wp14:editId="194193A6">
                <wp:simplePos x="0" y="0"/>
                <wp:positionH relativeFrom="column">
                  <wp:posOffset>4762500</wp:posOffset>
                </wp:positionH>
                <wp:positionV relativeFrom="paragraph">
                  <wp:posOffset>4091940</wp:posOffset>
                </wp:positionV>
                <wp:extent cx="0" cy="281940"/>
                <wp:effectExtent l="76200" t="38100" r="57150" b="60960"/>
                <wp:wrapNone/>
                <wp:docPr id="679976067"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DF4D1" id="Прямая со стрелкой 124" o:spid="_x0000_s1026" type="#_x0000_t32" style="position:absolute;margin-left:375pt;margin-top:322.2pt;width:0;height:22.2pt;z-index:25293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7216" behindDoc="0" locked="0" layoutInCell="1" allowOverlap="1" wp14:anchorId="407475E4" wp14:editId="1C6336BC">
                <wp:simplePos x="0" y="0"/>
                <wp:positionH relativeFrom="column">
                  <wp:posOffset>4438650</wp:posOffset>
                </wp:positionH>
                <wp:positionV relativeFrom="paragraph">
                  <wp:posOffset>4107815</wp:posOffset>
                </wp:positionV>
                <wp:extent cx="0" cy="281940"/>
                <wp:effectExtent l="76200" t="38100" r="57150" b="60960"/>
                <wp:wrapNone/>
                <wp:docPr id="1952010412"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D3A90" id="Прямая со стрелкой 123" o:spid="_x0000_s1026" type="#_x0000_t32" style="position:absolute;margin-left:349.5pt;margin-top:323.45pt;width:0;height:22.2pt;z-index:25293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8240" behindDoc="0" locked="0" layoutInCell="1" allowOverlap="1" wp14:anchorId="4EDB8DE9" wp14:editId="464040FE">
                <wp:simplePos x="0" y="0"/>
                <wp:positionH relativeFrom="column">
                  <wp:posOffset>5109210</wp:posOffset>
                </wp:positionH>
                <wp:positionV relativeFrom="paragraph">
                  <wp:posOffset>4084955</wp:posOffset>
                </wp:positionV>
                <wp:extent cx="0" cy="281940"/>
                <wp:effectExtent l="76200" t="38100" r="57150" b="60960"/>
                <wp:wrapNone/>
                <wp:docPr id="1637714900"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F108D" id="Прямая со стрелкой 122" o:spid="_x0000_s1026" type="#_x0000_t32" style="position:absolute;margin-left:402.3pt;margin-top:321.65pt;width:0;height:22.2pt;z-index:25293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39264" behindDoc="0" locked="0" layoutInCell="1" allowOverlap="1" wp14:anchorId="57DFF491" wp14:editId="739C702F">
                <wp:simplePos x="0" y="0"/>
                <wp:positionH relativeFrom="column">
                  <wp:posOffset>5467350</wp:posOffset>
                </wp:positionH>
                <wp:positionV relativeFrom="paragraph">
                  <wp:posOffset>4100195</wp:posOffset>
                </wp:positionV>
                <wp:extent cx="0" cy="281940"/>
                <wp:effectExtent l="76200" t="38100" r="57150" b="60960"/>
                <wp:wrapNone/>
                <wp:docPr id="166016623"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FD7E0" id="Прямая со стрелкой 121" o:spid="_x0000_s1026" type="#_x0000_t32" style="position:absolute;margin-left:430.5pt;margin-top:322.85pt;width:0;height:22.2pt;z-index:25293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&#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0288" behindDoc="0" locked="0" layoutInCell="1" allowOverlap="1" wp14:anchorId="45B63F1C" wp14:editId="60372E1F">
                <wp:simplePos x="0" y="0"/>
                <wp:positionH relativeFrom="column">
                  <wp:posOffset>5795010</wp:posOffset>
                </wp:positionH>
                <wp:positionV relativeFrom="paragraph">
                  <wp:posOffset>4100195</wp:posOffset>
                </wp:positionV>
                <wp:extent cx="0" cy="281940"/>
                <wp:effectExtent l="76200" t="38100" r="57150" b="60960"/>
                <wp:wrapNone/>
                <wp:docPr id="184947281"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A011B" id="Прямая со стрелкой 120" o:spid="_x0000_s1026" type="#_x0000_t32" style="position:absolute;margin-left:456.3pt;margin-top:322.85pt;width:0;height:22.2pt;z-index:25294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1312" behindDoc="0" locked="0" layoutInCell="1" allowOverlap="1" wp14:anchorId="7B9FE63E" wp14:editId="294027AB">
                <wp:simplePos x="0" y="0"/>
                <wp:positionH relativeFrom="column">
                  <wp:posOffset>6160770</wp:posOffset>
                </wp:positionH>
                <wp:positionV relativeFrom="paragraph">
                  <wp:posOffset>4092575</wp:posOffset>
                </wp:positionV>
                <wp:extent cx="0" cy="281940"/>
                <wp:effectExtent l="76200" t="38100" r="57150" b="60960"/>
                <wp:wrapNone/>
                <wp:docPr id="211157907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D23E6" id="Прямая со стрелкой 119" o:spid="_x0000_s1026" type="#_x0000_t32" style="position:absolute;margin-left:485.1pt;margin-top:322.25pt;width:0;height:22.2pt;z-index:25294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2336" behindDoc="0" locked="0" layoutInCell="1" allowOverlap="1" wp14:anchorId="4050C6E5" wp14:editId="2CC86C9D">
                <wp:simplePos x="0" y="0"/>
                <wp:positionH relativeFrom="column">
                  <wp:posOffset>6526530</wp:posOffset>
                </wp:positionH>
                <wp:positionV relativeFrom="paragraph">
                  <wp:posOffset>4100195</wp:posOffset>
                </wp:positionV>
                <wp:extent cx="0" cy="281940"/>
                <wp:effectExtent l="76200" t="38100" r="57150" b="60960"/>
                <wp:wrapNone/>
                <wp:docPr id="848250335"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C7405" id="Прямая со стрелкой 118" o:spid="_x0000_s1026" type="#_x0000_t32" style="position:absolute;margin-left:513.9pt;margin-top:322.85pt;width:0;height:22.2pt;z-index:25294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3360" behindDoc="0" locked="0" layoutInCell="1" allowOverlap="1" wp14:anchorId="75EB0818" wp14:editId="3B2C24F7">
                <wp:simplePos x="0" y="0"/>
                <wp:positionH relativeFrom="column">
                  <wp:posOffset>6892290</wp:posOffset>
                </wp:positionH>
                <wp:positionV relativeFrom="paragraph">
                  <wp:posOffset>4069715</wp:posOffset>
                </wp:positionV>
                <wp:extent cx="0" cy="281940"/>
                <wp:effectExtent l="76200" t="38100" r="57150" b="60960"/>
                <wp:wrapNone/>
                <wp:docPr id="116937328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40B49" id="Прямая со стрелкой 117" o:spid="_x0000_s1026" type="#_x0000_t32" style="position:absolute;margin-left:542.7pt;margin-top:320.45pt;width:0;height:22.2pt;z-index:25294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4384" behindDoc="0" locked="0" layoutInCell="1" allowOverlap="1" wp14:anchorId="54A276CE" wp14:editId="4CA14AF2">
                <wp:simplePos x="0" y="0"/>
                <wp:positionH relativeFrom="column">
                  <wp:posOffset>7680960</wp:posOffset>
                </wp:positionH>
                <wp:positionV relativeFrom="paragraph">
                  <wp:posOffset>4099560</wp:posOffset>
                </wp:positionV>
                <wp:extent cx="0" cy="281940"/>
                <wp:effectExtent l="76200" t="38100" r="57150" b="60960"/>
                <wp:wrapNone/>
                <wp:docPr id="1321184691"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13D5C" id="Прямая со стрелкой 116" o:spid="_x0000_s1026" type="#_x0000_t32" style="position:absolute;margin-left:604.8pt;margin-top:322.8pt;width:0;height:22.2pt;z-index:25294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5408" behindDoc="0" locked="0" layoutInCell="1" allowOverlap="1" wp14:anchorId="77B4A0DD" wp14:editId="253913F1">
                <wp:simplePos x="0" y="0"/>
                <wp:positionH relativeFrom="column">
                  <wp:posOffset>7280910</wp:posOffset>
                </wp:positionH>
                <wp:positionV relativeFrom="paragraph">
                  <wp:posOffset>4077335</wp:posOffset>
                </wp:positionV>
                <wp:extent cx="0" cy="281940"/>
                <wp:effectExtent l="76200" t="38100" r="57150" b="60960"/>
                <wp:wrapNone/>
                <wp:docPr id="929294949"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CB034" id="Прямая со стрелкой 115" o:spid="_x0000_s1026" type="#_x0000_t32" style="position:absolute;margin-left:573.3pt;margin-top:321.05pt;width:0;height:22.2pt;z-index:25294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6432" behindDoc="0" locked="0" layoutInCell="1" allowOverlap="1" wp14:anchorId="678C2AEE" wp14:editId="5DED7D07">
                <wp:simplePos x="0" y="0"/>
                <wp:positionH relativeFrom="column">
                  <wp:posOffset>8172450</wp:posOffset>
                </wp:positionH>
                <wp:positionV relativeFrom="paragraph">
                  <wp:posOffset>4092575</wp:posOffset>
                </wp:positionV>
                <wp:extent cx="0" cy="281940"/>
                <wp:effectExtent l="76200" t="38100" r="57150" b="60960"/>
                <wp:wrapNone/>
                <wp:docPr id="611543660"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0621A" id="Прямая со стрелкой 114" o:spid="_x0000_s1026" type="#_x0000_t32" style="position:absolute;margin-left:643.5pt;margin-top:322.25pt;width:0;height:22.2pt;z-index:25294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7456" behindDoc="0" locked="0" layoutInCell="1" allowOverlap="1" wp14:anchorId="0757D4FD" wp14:editId="7FF39513">
                <wp:simplePos x="0" y="0"/>
                <wp:positionH relativeFrom="column">
                  <wp:posOffset>8637270</wp:posOffset>
                </wp:positionH>
                <wp:positionV relativeFrom="paragraph">
                  <wp:posOffset>4092575</wp:posOffset>
                </wp:positionV>
                <wp:extent cx="0" cy="281940"/>
                <wp:effectExtent l="76200" t="38100" r="57150" b="60960"/>
                <wp:wrapNone/>
                <wp:docPr id="204731726"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09511" id="Прямая со стрелкой 113" o:spid="_x0000_s1026" type="#_x0000_t32" style="position:absolute;margin-left:680.1pt;margin-top:322.25pt;width:0;height:22.2pt;z-index:25294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8480" behindDoc="0" locked="0" layoutInCell="1" allowOverlap="1" wp14:anchorId="4F92B04C" wp14:editId="0E926F2A">
                <wp:simplePos x="0" y="0"/>
                <wp:positionH relativeFrom="column">
                  <wp:posOffset>9037320</wp:posOffset>
                </wp:positionH>
                <wp:positionV relativeFrom="paragraph">
                  <wp:posOffset>4084320</wp:posOffset>
                </wp:positionV>
                <wp:extent cx="0" cy="281940"/>
                <wp:effectExtent l="76200" t="38100" r="57150" b="60960"/>
                <wp:wrapNone/>
                <wp:docPr id="613186110"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7CDFF" id="Прямая со стрелкой 112" o:spid="_x0000_s1026" type="#_x0000_t32" style="position:absolute;margin-left:711.6pt;margin-top:321.6pt;width:0;height:22.2pt;z-index:25294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49504" behindDoc="0" locked="0" layoutInCell="1" allowOverlap="1" wp14:anchorId="49822AE7" wp14:editId="15CE2235">
                <wp:simplePos x="0" y="0"/>
                <wp:positionH relativeFrom="column">
                  <wp:posOffset>617220</wp:posOffset>
                </wp:positionH>
                <wp:positionV relativeFrom="paragraph">
                  <wp:posOffset>4148455</wp:posOffset>
                </wp:positionV>
                <wp:extent cx="0" cy="266700"/>
                <wp:effectExtent l="76200" t="38100" r="57150" b="57150"/>
                <wp:wrapNone/>
                <wp:docPr id="1121685209"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A530D" id="Прямая со стрелкой 111" o:spid="_x0000_s1026" type="#_x0000_t32" style="position:absolute;margin-left:48.6pt;margin-top:326.65pt;width:0;height:21pt;flip:y;z-index:25294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50528" behindDoc="0" locked="0" layoutInCell="1" allowOverlap="1" wp14:anchorId="21B4AAD9" wp14:editId="1A12CF74">
                <wp:simplePos x="0" y="0"/>
                <wp:positionH relativeFrom="column">
                  <wp:posOffset>2743200</wp:posOffset>
                </wp:positionH>
                <wp:positionV relativeFrom="paragraph">
                  <wp:posOffset>1772285</wp:posOffset>
                </wp:positionV>
                <wp:extent cx="0" cy="266700"/>
                <wp:effectExtent l="76200" t="38100" r="57150" b="57150"/>
                <wp:wrapNone/>
                <wp:docPr id="1418005393"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91A73" id="Прямая со стрелкой 110" o:spid="_x0000_s1026" type="#_x0000_t32" style="position:absolute;margin-left:3in;margin-top:139.55pt;width:0;height:21pt;flip:y;z-index:25295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51552" behindDoc="0" locked="0" layoutInCell="1" allowOverlap="1" wp14:anchorId="2B0B12E3" wp14:editId="75330718">
                <wp:simplePos x="0" y="0"/>
                <wp:positionH relativeFrom="margin">
                  <wp:posOffset>4871720</wp:posOffset>
                </wp:positionH>
                <wp:positionV relativeFrom="paragraph">
                  <wp:posOffset>1754505</wp:posOffset>
                </wp:positionV>
                <wp:extent cx="0" cy="266700"/>
                <wp:effectExtent l="76200" t="38100" r="57150" b="57150"/>
                <wp:wrapNone/>
                <wp:docPr id="112499662"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452E6" id="Прямая со стрелкой 109" o:spid="_x0000_s1026" type="#_x0000_t32" style="position:absolute;margin-left:383.6pt;margin-top:138.15pt;width:0;height:21pt;flip:y;z-index:2529515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" strokecolor="black [3040]">
                <v:stroke startarrow="block" endarrow="block"/>
                <o:lock v:ext="edit" shapetype="f"/>
                <w10:wrap anchorx="margin"/>
              </v:shape>
            </w:pict>
          </mc:Fallback>
        </mc:AlternateContent>
      </w:r>
      <w:r>
        <w:rPr>
          <w:noProof/>
          <w:lang w:eastAsia="ru-RU"/>
        </w:rPr>
        <mc:AlternateContent>
          <mc:Choice Requires="wps">
            <w:drawing>
              <wp:anchor distT="0" distB="0" distL="114299" distR="114299" simplePos="0" relativeHeight="252952576" behindDoc="0" locked="0" layoutInCell="1" allowOverlap="1" wp14:anchorId="62E04FF3" wp14:editId="6511B6E3">
                <wp:simplePos x="0" y="0"/>
                <wp:positionH relativeFrom="column">
                  <wp:posOffset>6682740</wp:posOffset>
                </wp:positionH>
                <wp:positionV relativeFrom="paragraph">
                  <wp:posOffset>1739265</wp:posOffset>
                </wp:positionV>
                <wp:extent cx="0" cy="266700"/>
                <wp:effectExtent l="76200" t="38100" r="57150" b="57150"/>
                <wp:wrapNone/>
                <wp:docPr id="966917373"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5C534" id="Прямая со стрелкой 108" o:spid="_x0000_s1026" type="#_x0000_t32" style="position:absolute;margin-left:526.2pt;margin-top:136.95pt;width:0;height:21pt;flip:y;z-index:25295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" strokecolor="black [3040]">
                <v:stroke startarrow="block" endarrow="block"/>
                <o:lock v:ext="edit" shapetype="f"/>
              </v:shape>
            </w:pict>
          </mc:Fallback>
        </mc:AlternateContent>
      </w:r>
      <w:r>
        <w:rPr>
          <w:noProof/>
          <w:lang w:eastAsia="ru-RU"/>
        </w:rPr>
        <mc:AlternateContent>
          <mc:Choice Requires="wps">
            <w:drawing>
              <wp:anchor distT="0" distB="0" distL="114299" distR="114299" simplePos="0" relativeHeight="252953600" behindDoc="0" locked="0" layoutInCell="1" allowOverlap="1" wp14:anchorId="5268140A" wp14:editId="38C6C717">
                <wp:simplePos x="0" y="0"/>
                <wp:positionH relativeFrom="column">
                  <wp:posOffset>8465820</wp:posOffset>
                </wp:positionH>
                <wp:positionV relativeFrom="paragraph">
                  <wp:posOffset>1762125</wp:posOffset>
                </wp:positionV>
                <wp:extent cx="0" cy="266700"/>
                <wp:effectExtent l="76200" t="38100" r="57150" b="57150"/>
                <wp:wrapNone/>
                <wp:docPr id="580037216"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AE873" id="Прямая со стрелкой 107" o:spid="_x0000_s1026" type="#_x0000_t32" style="position:absolute;margin-left:666.6pt;margin-top:138.75pt;width:0;height:21pt;flip:y;z-index:25295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" strokecolor="black [3040]">
                <v:stroke startarrow="block" endarrow="block"/>
                <o:lock v:ext="edit" shapetype="f"/>
              </v:shape>
            </w:pict>
          </mc:Fallback>
        </mc:AlternateContent>
      </w:r>
    </w:p>
    <w:p w14:paraId="121D0F61"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7FE3C3CB"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5FDB2E7E"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76937967"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12A55843"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6C37AEEB"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2F3E707F"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096E8D2F"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712AFDC4"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1956432A" w14:textId="77777777" w:rsidR="00B10552" w:rsidRDefault="00B10552" w:rsidP="00B10552">
      <w:pPr>
        <w:tabs>
          <w:tab w:val="left" w:pos="1605"/>
        </w:tabs>
        <w:spacing w:after="0" w:line="240" w:lineRule="auto"/>
        <w:ind w:firstLine="567"/>
        <w:jc w:val="both"/>
        <w:rPr>
          <w:rFonts w:ascii="Times New Roman" w:hAnsi="Times New Roman" w:cs="Times New Roman"/>
          <w:szCs w:val="28"/>
          <w:lang w:val="kk-KZ"/>
        </w:rPr>
      </w:pPr>
    </w:p>
    <w:p w14:paraId="1E27014A" w14:textId="7A7A287E" w:rsidR="00647B71" w:rsidRPr="00457CE9" w:rsidRDefault="00647B71" w:rsidP="00EC2541">
      <w:pPr>
        <w:spacing w:after="0" w:line="240" w:lineRule="auto"/>
        <w:jc w:val="right"/>
        <w:rPr>
          <w:rFonts w:ascii="Times New Roman" w:hAnsi="Times New Roman" w:cs="Times New Roman"/>
          <w:lang w:val="kk-KZ"/>
        </w:rPr>
      </w:pPr>
    </w:p>
    <w:p w14:paraId="59692DE0" w14:textId="6E60EF13" w:rsidR="00647B71" w:rsidRPr="00457CE9" w:rsidRDefault="00647B71" w:rsidP="00457CE9">
      <w:pPr>
        <w:tabs>
          <w:tab w:val="left" w:pos="1605"/>
        </w:tabs>
        <w:spacing w:after="0" w:line="240" w:lineRule="auto"/>
        <w:ind w:firstLine="567"/>
        <w:jc w:val="both"/>
        <w:rPr>
          <w:rFonts w:ascii="Times New Roman" w:eastAsiaTheme="minorHAnsi" w:hAnsi="Times New Roman" w:cs="Times New Roman"/>
          <w:sz w:val="28"/>
          <w:szCs w:val="28"/>
          <w:lang w:val="kk-KZ"/>
        </w:rPr>
      </w:pPr>
    </w:p>
    <w:p w14:paraId="3311DAD8" w14:textId="433B22A9"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4F055C98" w14:textId="160AFF0E" w:rsidR="00647B71" w:rsidRPr="00457CE9" w:rsidRDefault="00647B71" w:rsidP="00BE2385">
      <w:pPr>
        <w:tabs>
          <w:tab w:val="left" w:pos="1605"/>
        </w:tabs>
        <w:spacing w:after="0" w:line="240" w:lineRule="auto"/>
        <w:jc w:val="both"/>
        <w:rPr>
          <w:rFonts w:ascii="Times New Roman" w:hAnsi="Times New Roman" w:cs="Times New Roman"/>
          <w:szCs w:val="28"/>
          <w:lang w:val="kk-KZ"/>
        </w:rPr>
      </w:pPr>
    </w:p>
    <w:p w14:paraId="1BBE220A" w14:textId="77777777"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682CA5E8" w14:textId="1FAAD9A4"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13E5B20A" w14:textId="77777777"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6DEBEDAA" w14:textId="77777777"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0F099044" w14:textId="77777777"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7CF03DC4" w14:textId="3A34DA34"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277E89D5" w14:textId="714411E3"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3C7A6D25" w14:textId="282D8C35"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3FBA0A32" w14:textId="1756583A"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5F25ED44" w14:textId="515D8AD2"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4D0C2005" w14:textId="329956F7"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6535433F" w14:textId="744F2B38" w:rsidR="00647B71" w:rsidRPr="00457CE9" w:rsidRDefault="00865D76" w:rsidP="00457CE9">
      <w:pPr>
        <w:tabs>
          <w:tab w:val="left" w:pos="1605"/>
        </w:tabs>
        <w:spacing w:after="0" w:line="240" w:lineRule="auto"/>
        <w:ind w:firstLine="567"/>
        <w:jc w:val="both"/>
        <w:rPr>
          <w:rFonts w:ascii="Times New Roman" w:hAnsi="Times New Roman" w:cs="Times New Roman"/>
          <w:szCs w:val="28"/>
          <w:lang w:val="kk-KZ"/>
        </w:rPr>
      </w:pPr>
      <w:r>
        <w:rPr>
          <w:noProof/>
          <w:lang w:eastAsia="ru-RU"/>
        </w:rPr>
        <mc:AlternateContent>
          <mc:Choice Requires="wps">
            <w:drawing>
              <wp:anchor distT="0" distB="0" distL="114300" distR="114300" simplePos="0" relativeHeight="252907520" behindDoc="0" locked="0" layoutInCell="1" allowOverlap="1" wp14:anchorId="7A37B2DF" wp14:editId="3DAA4A89">
                <wp:simplePos x="0" y="0"/>
                <wp:positionH relativeFrom="margin">
                  <wp:posOffset>3928110</wp:posOffset>
                </wp:positionH>
                <wp:positionV relativeFrom="paragraph">
                  <wp:posOffset>88900</wp:posOffset>
                </wp:positionV>
                <wp:extent cx="320040" cy="891540"/>
                <wp:effectExtent l="0" t="0" r="22860" b="22860"/>
                <wp:wrapNone/>
                <wp:docPr id="1816428758"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891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69B1C69"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 альтернатива</w:t>
                            </w:r>
                          </w:p>
                        </w:txbxContent>
                      </wps:txbx>
                      <wps:bodyPr rot="0" spcFirstLastPara="0" vertOverflow="clip" horzOverflow="clip"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7B2DF" id="Прямоугольник 152" o:spid="_x0000_s1355" style="position:absolute;left:0;text-align:left;margin-left:309.3pt;margin-top:7pt;width:25.2pt;height:70.2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" fillcolor="white [3201]" strokecolor="black [3200]" strokeweight=".25pt">
                <v:path arrowok="t"/>
                <v:textbox style="layout-flow:vertical;mso-layout-flow-alt:bottom-to-top">
                  <w:txbxContent>
                    <w:p w14:paraId="769B1C69" w14:textId="77777777" w:rsidR="00B10552" w:rsidRPr="00865D76" w:rsidRDefault="00B10552" w:rsidP="00B10552">
                      <w:pPr>
                        <w:jc w:val="center"/>
                        <w:rPr>
                          <w:rFonts w:ascii="Times New Roman" w:hAnsi="Times New Roman" w:cs="Times New Roman"/>
                          <w:sz w:val="18"/>
                          <w:szCs w:val="18"/>
                          <w:lang w:val="kk-KZ"/>
                        </w:rPr>
                      </w:pPr>
                      <w:r w:rsidRPr="00865D76">
                        <w:rPr>
                          <w:rFonts w:ascii="Times New Roman" w:hAnsi="Times New Roman" w:cs="Times New Roman"/>
                          <w:sz w:val="18"/>
                          <w:szCs w:val="18"/>
                          <w:lang w:val="kk-KZ"/>
                        </w:rPr>
                        <w:t>3 альтернатива</w:t>
                      </w:r>
                    </w:p>
                  </w:txbxContent>
                </v:textbox>
                <w10:wrap anchorx="margin"/>
              </v:rect>
            </w:pict>
          </mc:Fallback>
        </mc:AlternateContent>
      </w:r>
    </w:p>
    <w:p w14:paraId="4761A326" w14:textId="77777777"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07BCCBCA" w14:textId="51E9E7A9"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70E2B5D5" w14:textId="18A3C6B3"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4466A816" w14:textId="07EF112E"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314B29A3" w14:textId="459810CF" w:rsidR="00647B71" w:rsidRPr="00457CE9" w:rsidRDefault="00647B71" w:rsidP="00457CE9">
      <w:pPr>
        <w:tabs>
          <w:tab w:val="left" w:pos="1605"/>
        </w:tabs>
        <w:spacing w:after="0" w:line="240" w:lineRule="auto"/>
        <w:ind w:firstLine="567"/>
        <w:jc w:val="both"/>
        <w:rPr>
          <w:rFonts w:ascii="Times New Roman" w:hAnsi="Times New Roman" w:cs="Times New Roman"/>
          <w:szCs w:val="28"/>
          <w:lang w:val="kk-KZ"/>
        </w:rPr>
      </w:pPr>
    </w:p>
    <w:p w14:paraId="13AE83AC" w14:textId="77777777" w:rsidR="00647B71" w:rsidRPr="00F61070" w:rsidRDefault="00647B71" w:rsidP="00457CE9">
      <w:pPr>
        <w:spacing w:after="0" w:line="240" w:lineRule="auto"/>
        <w:ind w:firstLine="708"/>
        <w:jc w:val="center"/>
        <w:rPr>
          <w:rFonts w:ascii="Times New Roman" w:eastAsia="Times New Roman" w:hAnsi="Times New Roman" w:cs="Times New Roman"/>
          <w:kern w:val="36"/>
          <w:sz w:val="16"/>
          <w:szCs w:val="16"/>
          <w:lang w:val="kk-KZ" w:eastAsia="ru-RU"/>
        </w:rPr>
      </w:pPr>
    </w:p>
    <w:p w14:paraId="30868966" w14:textId="4F6A60DC" w:rsidR="00647B71" w:rsidRPr="00B10552" w:rsidRDefault="00647B71" w:rsidP="00457CE9">
      <w:pPr>
        <w:widowControl w:val="0"/>
        <w:spacing w:after="0" w:line="240" w:lineRule="auto"/>
        <w:ind w:firstLine="709"/>
        <w:jc w:val="center"/>
        <w:rPr>
          <w:rFonts w:ascii="Times New Roman" w:eastAsiaTheme="minorEastAsia" w:hAnsi="Times New Roman" w:cs="Times New Roman"/>
          <w:sz w:val="24"/>
          <w:szCs w:val="24"/>
          <w:lang w:val="kk-KZ"/>
        </w:rPr>
      </w:pPr>
      <w:r w:rsidRPr="00B10552">
        <w:rPr>
          <w:rFonts w:ascii="Times New Roman" w:eastAsia="Times New Roman" w:hAnsi="Times New Roman" w:cs="Times New Roman"/>
          <w:kern w:val="36"/>
          <w:sz w:val="24"/>
          <w:szCs w:val="24"/>
          <w:lang w:val="kk-KZ" w:eastAsia="ru-RU"/>
        </w:rPr>
        <w:t xml:space="preserve">Сурет </w:t>
      </w:r>
      <w:r w:rsidR="00B90011" w:rsidRPr="00B10552">
        <w:rPr>
          <w:rFonts w:ascii="Times New Roman" w:eastAsia="Times New Roman" w:hAnsi="Times New Roman" w:cs="Times New Roman"/>
          <w:kern w:val="36"/>
          <w:sz w:val="24"/>
          <w:szCs w:val="24"/>
          <w:lang w:val="kk-KZ" w:eastAsia="ru-RU"/>
        </w:rPr>
        <w:t>2</w:t>
      </w:r>
      <w:r w:rsidR="00A23F7A" w:rsidRPr="00B10552">
        <w:rPr>
          <w:rFonts w:ascii="Times New Roman" w:eastAsia="Times New Roman" w:hAnsi="Times New Roman" w:cs="Times New Roman"/>
          <w:kern w:val="36"/>
          <w:sz w:val="24"/>
          <w:szCs w:val="24"/>
          <w:lang w:val="kk-KZ" w:eastAsia="ru-RU"/>
        </w:rPr>
        <w:t>6</w:t>
      </w:r>
      <w:r w:rsidRPr="00B10552">
        <w:rPr>
          <w:rFonts w:ascii="Times New Roman" w:eastAsia="Times New Roman" w:hAnsi="Times New Roman" w:cs="Times New Roman"/>
          <w:kern w:val="36"/>
          <w:sz w:val="24"/>
          <w:szCs w:val="24"/>
          <w:lang w:val="kk-KZ" w:eastAsia="ru-RU"/>
        </w:rPr>
        <w:t xml:space="preserve"> </w:t>
      </w:r>
      <w:r w:rsidR="00791C93" w:rsidRPr="00B10552">
        <w:rPr>
          <w:rFonts w:ascii="Times New Roman" w:eastAsia="Times New Roman" w:hAnsi="Times New Roman" w:cs="Times New Roman"/>
          <w:kern w:val="36"/>
          <w:sz w:val="24"/>
          <w:szCs w:val="24"/>
          <w:lang w:val="kk-KZ" w:eastAsia="ru-RU"/>
        </w:rPr>
        <w:t xml:space="preserve">– </w:t>
      </w:r>
      <w:r w:rsidRPr="00B10552">
        <w:rPr>
          <w:rFonts w:ascii="Times New Roman" w:eastAsia="Times New Roman" w:hAnsi="Times New Roman" w:cs="Times New Roman"/>
          <w:kern w:val="36"/>
          <w:sz w:val="24"/>
          <w:szCs w:val="24"/>
          <w:lang w:val="kk-KZ" w:eastAsia="ru-RU"/>
        </w:rPr>
        <w:t xml:space="preserve">ҚР </w:t>
      </w:r>
      <w:r w:rsidR="00575788">
        <w:rPr>
          <w:rFonts w:ascii="Times New Roman" w:eastAsia="Times New Roman" w:hAnsi="Times New Roman" w:cs="Times New Roman"/>
          <w:kern w:val="36"/>
          <w:sz w:val="24"/>
          <w:szCs w:val="24"/>
          <w:lang w:val="kk-KZ" w:eastAsia="ru-RU"/>
        </w:rPr>
        <w:t>АӨК-н</w:t>
      </w:r>
      <w:r w:rsidRPr="00B10552">
        <w:rPr>
          <w:rFonts w:ascii="Times New Roman" w:eastAsia="Times New Roman" w:hAnsi="Times New Roman" w:cs="Times New Roman"/>
          <w:kern w:val="36"/>
          <w:sz w:val="24"/>
          <w:szCs w:val="24"/>
          <w:lang w:val="kk-KZ" w:eastAsia="ru-RU"/>
        </w:rPr>
        <w:t xml:space="preserve"> 2021-2025 жж. дамыту бағытталған бюджет қаражатының тиімділігін бағалаудың иерархиялық талдау моделінің сызбасы</w:t>
      </w:r>
    </w:p>
    <w:p w14:paraId="3451D730" w14:textId="77777777" w:rsidR="00647B71" w:rsidRPr="00457CE9" w:rsidRDefault="00647B71" w:rsidP="00457CE9">
      <w:pPr>
        <w:widowControl w:val="0"/>
        <w:spacing w:after="0" w:line="240" w:lineRule="auto"/>
        <w:rPr>
          <w:rFonts w:ascii="Times New Roman" w:eastAsiaTheme="minorEastAsia" w:hAnsi="Times New Roman" w:cs="Times New Roman"/>
          <w:lang w:val="kk-KZ"/>
        </w:rPr>
        <w:sectPr w:rsidR="00647B71" w:rsidRPr="00457CE9" w:rsidSect="00D03D0E">
          <w:pgSz w:w="16838" w:h="11906" w:orient="landscape" w:code="9"/>
          <w:pgMar w:top="1701" w:right="1134" w:bottom="567" w:left="1134" w:header="709" w:footer="709" w:gutter="0"/>
          <w:cols w:space="720"/>
        </w:sectPr>
      </w:pPr>
    </w:p>
    <w:p w14:paraId="534006DA" w14:textId="4B3A5783" w:rsidR="00FA5280" w:rsidRDefault="00FA5280" w:rsidP="00FA5280">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7 көрсеткіштің мәліметтері негізінде жұптық салыстыру матрицасы есептелді. 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2021-2025 жж. дамытудың 1-міндеті бойынша 1-іс-шараға альтернативалардың әсеріне эксперттік бағалау берілді, мәліметтер 70-кестеде келтірілген.</w:t>
      </w:r>
    </w:p>
    <w:p w14:paraId="5A53BC66" w14:textId="77777777" w:rsidR="00FA5280" w:rsidRDefault="00FA5280" w:rsidP="00FA5280">
      <w:pPr>
        <w:spacing w:after="0" w:line="240" w:lineRule="auto"/>
        <w:ind w:firstLine="709"/>
        <w:jc w:val="both"/>
        <w:rPr>
          <w:rFonts w:ascii="Times New Roman" w:eastAsiaTheme="minorEastAsia" w:hAnsi="Times New Roman" w:cs="Times New Roman"/>
          <w:sz w:val="16"/>
          <w:szCs w:val="16"/>
          <w:lang w:val="kk-KZ"/>
        </w:rPr>
      </w:pPr>
    </w:p>
    <w:p w14:paraId="596F81C6" w14:textId="54240C68" w:rsidR="00FA5280" w:rsidRDefault="00FA5280" w:rsidP="00FA5280">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Кесте 70 – 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2021-2025 жж. дамытудың 1-міндеті бойынша </w:t>
      </w:r>
      <w:r>
        <w:rPr>
          <w:rFonts w:ascii="Times New Roman" w:eastAsia="Times New Roman" w:hAnsi="Times New Roman" w:cs="Times New Roman"/>
          <w:color w:val="000000"/>
          <w:sz w:val="28"/>
          <w:szCs w:val="28"/>
          <w:lang w:val="kk-KZ" w:eastAsia="ru-RU"/>
        </w:rPr>
        <w:t xml:space="preserve">1-іс-шара </w:t>
      </w:r>
      <w:r>
        <w:rPr>
          <w:rFonts w:ascii="Times New Roman" w:eastAsiaTheme="minorEastAsia" w:hAnsi="Times New Roman" w:cs="Times New Roman"/>
          <w:sz w:val="28"/>
          <w:szCs w:val="28"/>
          <w:lang w:val="kk-KZ"/>
        </w:rPr>
        <w:t>альтернативалардың әсерін эксперттік бағалауы</w:t>
      </w:r>
    </w:p>
    <w:p w14:paraId="25D27846" w14:textId="77777777" w:rsidR="00FA5280" w:rsidRDefault="00FA5280" w:rsidP="00FA5280">
      <w:pPr>
        <w:spacing w:after="0" w:line="240" w:lineRule="auto"/>
        <w:jc w:val="both"/>
        <w:rPr>
          <w:rFonts w:ascii="Times New Roman" w:eastAsiaTheme="minorEastAsia" w:hAnsi="Times New Roman" w:cs="Times New Roman"/>
          <w:sz w:val="16"/>
          <w:szCs w:val="16"/>
          <w:lang w:val="kk-KZ"/>
        </w:rPr>
      </w:pPr>
    </w:p>
    <w:tbl>
      <w:tblPr>
        <w:tblStyle w:val="a3"/>
        <w:tblW w:w="9494" w:type="dxa"/>
        <w:jc w:val="center"/>
        <w:tblLook w:val="04A0" w:firstRow="1" w:lastRow="0" w:firstColumn="1" w:lastColumn="0" w:noHBand="0" w:noVBand="1"/>
      </w:tblPr>
      <w:tblGrid>
        <w:gridCol w:w="916"/>
        <w:gridCol w:w="6877"/>
        <w:gridCol w:w="1701"/>
      </w:tblGrid>
      <w:tr w:rsidR="00FA5280" w14:paraId="4845A76E" w14:textId="77777777" w:rsidTr="00FA5280">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165CEC20" w14:textId="77777777" w:rsidR="00FA5280" w:rsidRDefault="00FA5280">
            <w:pPr>
              <w:jc w:val="cente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Саны</w:t>
            </w:r>
          </w:p>
        </w:tc>
        <w:tc>
          <w:tcPr>
            <w:tcW w:w="6877" w:type="dxa"/>
            <w:tcBorders>
              <w:top w:val="single" w:sz="4" w:space="0" w:color="auto"/>
              <w:left w:val="single" w:sz="4" w:space="0" w:color="auto"/>
              <w:bottom w:val="single" w:sz="4" w:space="0" w:color="auto"/>
              <w:right w:val="single" w:sz="4" w:space="0" w:color="auto"/>
            </w:tcBorders>
            <w:vAlign w:val="center"/>
            <w:hideMark/>
          </w:tcPr>
          <w:p w14:paraId="05DB412C" w14:textId="77777777" w:rsidR="00FA5280" w:rsidRDefault="00FA5280">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Альтернатива атауы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5FFBA4" w14:textId="77777777" w:rsidR="00FA5280" w:rsidRDefault="00FA5280">
            <w:pPr>
              <w:jc w:val="cente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Эксперттік бағалау мәні</w:t>
            </w:r>
          </w:p>
        </w:tc>
      </w:tr>
      <w:tr w:rsidR="00FA5280" w14:paraId="3C53BA4C" w14:textId="77777777" w:rsidTr="00FA5280">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33351388"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1</w:t>
            </w:r>
          </w:p>
        </w:tc>
        <w:tc>
          <w:tcPr>
            <w:tcW w:w="6877" w:type="dxa"/>
            <w:tcBorders>
              <w:top w:val="single" w:sz="4" w:space="0" w:color="auto"/>
              <w:left w:val="single" w:sz="4" w:space="0" w:color="auto"/>
              <w:bottom w:val="single" w:sz="4" w:space="0" w:color="auto"/>
              <w:right w:val="single" w:sz="4" w:space="0" w:color="auto"/>
            </w:tcBorders>
            <w:vAlign w:val="bottom"/>
            <w:hideMark/>
          </w:tcPr>
          <w:p w14:paraId="163B29D1" w14:textId="77777777" w:rsidR="00FA5280" w:rsidRDefault="00FA5280">
            <w:pP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Еңбек өнімділігін 2,5 есе ұлғайту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BFEF7E"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75</w:t>
            </w:r>
          </w:p>
        </w:tc>
      </w:tr>
      <w:tr w:rsidR="00FA5280" w14:paraId="77F5C037" w14:textId="77777777" w:rsidTr="00FA5280">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731EC375"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2</w:t>
            </w:r>
          </w:p>
        </w:tc>
        <w:tc>
          <w:tcPr>
            <w:tcW w:w="6877" w:type="dxa"/>
            <w:tcBorders>
              <w:top w:val="single" w:sz="4" w:space="0" w:color="auto"/>
              <w:left w:val="single" w:sz="4" w:space="0" w:color="auto"/>
              <w:bottom w:val="single" w:sz="4" w:space="0" w:color="auto"/>
              <w:right w:val="single" w:sz="4" w:space="0" w:color="auto"/>
            </w:tcBorders>
            <w:vAlign w:val="bottom"/>
            <w:hideMark/>
          </w:tcPr>
          <w:p w14:paraId="7E3D5523" w14:textId="77777777" w:rsidR="00FA5280" w:rsidRDefault="00FA5280">
            <w:pP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Ауыл шаруашылық қайта өңделген өнім экспортының көлемін ұлғайту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F826D0"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50</w:t>
            </w:r>
          </w:p>
        </w:tc>
      </w:tr>
      <w:tr w:rsidR="00FA5280" w14:paraId="7C29CC41" w14:textId="77777777" w:rsidTr="00FA5280">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29DC0933"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3</w:t>
            </w:r>
          </w:p>
        </w:tc>
        <w:tc>
          <w:tcPr>
            <w:tcW w:w="6877" w:type="dxa"/>
            <w:tcBorders>
              <w:top w:val="single" w:sz="4" w:space="0" w:color="auto"/>
              <w:left w:val="single" w:sz="4" w:space="0" w:color="auto"/>
              <w:bottom w:val="single" w:sz="4" w:space="0" w:color="auto"/>
              <w:right w:val="single" w:sz="4" w:space="0" w:color="auto"/>
            </w:tcBorders>
            <w:vAlign w:val="bottom"/>
            <w:hideMark/>
          </w:tcPr>
          <w:p w14:paraId="7959AFE2" w14:textId="77777777" w:rsidR="00FA5280" w:rsidRDefault="00FA5280">
            <w:pP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Ауыл шаруашылық өнім импорт көлемін азайту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BD6073"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50</w:t>
            </w:r>
          </w:p>
        </w:tc>
      </w:tr>
      <w:tr w:rsidR="00FA5280" w14:paraId="3EB3B62B" w14:textId="77777777" w:rsidTr="00FA5280">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6A8DC775"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4</w:t>
            </w:r>
          </w:p>
        </w:tc>
        <w:tc>
          <w:tcPr>
            <w:tcW w:w="6877" w:type="dxa"/>
            <w:tcBorders>
              <w:top w:val="single" w:sz="4" w:space="0" w:color="auto"/>
              <w:left w:val="single" w:sz="4" w:space="0" w:color="auto"/>
              <w:bottom w:val="single" w:sz="4" w:space="0" w:color="auto"/>
              <w:right w:val="single" w:sz="4" w:space="0" w:color="auto"/>
            </w:tcBorders>
            <w:vAlign w:val="bottom"/>
            <w:hideMark/>
          </w:tcPr>
          <w:p w14:paraId="5C29C3D2" w14:textId="77777777" w:rsidR="00FA5280" w:rsidRDefault="00FA5280">
            <w:pP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Ауыл шаруашылық өнім өндірісіне бағытталған тікелей инвестицияларды ұлғайту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4A33D8"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100</w:t>
            </w:r>
          </w:p>
        </w:tc>
      </w:tr>
      <w:tr w:rsidR="00FA5280" w14:paraId="73C5A453" w14:textId="77777777" w:rsidTr="00FA5280">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0F605B27"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5</w:t>
            </w:r>
          </w:p>
        </w:tc>
        <w:tc>
          <w:tcPr>
            <w:tcW w:w="6877" w:type="dxa"/>
            <w:tcBorders>
              <w:top w:val="single" w:sz="4" w:space="0" w:color="auto"/>
              <w:left w:val="single" w:sz="4" w:space="0" w:color="auto"/>
              <w:bottom w:val="single" w:sz="4" w:space="0" w:color="auto"/>
              <w:right w:val="single" w:sz="4" w:space="0" w:color="auto"/>
            </w:tcBorders>
            <w:vAlign w:val="bottom"/>
            <w:hideMark/>
          </w:tcPr>
          <w:p w14:paraId="7E959E3D" w14:textId="77777777" w:rsidR="00FA5280" w:rsidRDefault="00FA5280">
            <w:pP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Ауыл шаруашылық өнімінің ЖІӨ-гі үлесін арттыру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E47768" w14:textId="77777777" w:rsidR="00FA5280" w:rsidRDefault="00FA5280">
            <w:pPr>
              <w:jc w:val="center"/>
              <w:rPr>
                <w:rFonts w:ascii="Times New Roman" w:eastAsiaTheme="minorEastAsia" w:hAnsi="Times New Roman" w:cs="Times New Roman"/>
                <w:sz w:val="24"/>
                <w:szCs w:val="24"/>
                <w:lang w:val="kk-KZ"/>
              </w:rPr>
            </w:pPr>
            <w:r>
              <w:rPr>
                <w:rFonts w:ascii="Times New Roman" w:eastAsia="Times New Roman" w:hAnsi="Times New Roman" w:cs="Times New Roman"/>
                <w:color w:val="000000"/>
                <w:sz w:val="24"/>
                <w:szCs w:val="24"/>
                <w:lang w:eastAsia="ru-RU"/>
              </w:rPr>
              <w:t>80</w:t>
            </w:r>
          </w:p>
        </w:tc>
      </w:tr>
      <w:tr w:rsidR="00FA5280" w14:paraId="6385280C" w14:textId="77777777" w:rsidTr="00FA5280">
        <w:trPr>
          <w:jc w:val="center"/>
        </w:trPr>
        <w:tc>
          <w:tcPr>
            <w:tcW w:w="9494" w:type="dxa"/>
            <w:gridSpan w:val="3"/>
            <w:tcBorders>
              <w:top w:val="single" w:sz="4" w:space="0" w:color="auto"/>
              <w:left w:val="single" w:sz="4" w:space="0" w:color="auto"/>
              <w:bottom w:val="single" w:sz="4" w:space="0" w:color="auto"/>
              <w:right w:val="single" w:sz="4" w:space="0" w:color="auto"/>
            </w:tcBorders>
            <w:vAlign w:val="center"/>
            <w:hideMark/>
          </w:tcPr>
          <w:p w14:paraId="003DF24D" w14:textId="77777777" w:rsidR="00FA5280" w:rsidRDefault="00FA5280">
            <w:pPr>
              <w:ind w:firstLine="458"/>
              <w:rPr>
                <w:rFonts w:ascii="Times New Roman" w:eastAsia="Times New Roman" w:hAnsi="Times New Roman" w:cs="Times New Roman"/>
                <w:color w:val="000000"/>
                <w:sz w:val="24"/>
                <w:szCs w:val="24"/>
                <w:lang w:eastAsia="ru-RU"/>
              </w:rPr>
            </w:pPr>
            <w:r>
              <w:rPr>
                <w:rFonts w:ascii="Times New Roman" w:eastAsiaTheme="minorEastAsia" w:hAnsi="Times New Roman" w:cs="Times New Roman"/>
                <w:sz w:val="24"/>
                <w:szCs w:val="24"/>
                <w:lang w:val="kk-KZ"/>
              </w:rPr>
              <w:t>Ескерту – Автормен құрастырылған</w:t>
            </w:r>
          </w:p>
        </w:tc>
      </w:tr>
    </w:tbl>
    <w:p w14:paraId="065E376B" w14:textId="77777777" w:rsidR="00FA5280" w:rsidRDefault="00FA5280" w:rsidP="00FA5280">
      <w:pPr>
        <w:spacing w:after="0" w:line="240" w:lineRule="auto"/>
        <w:jc w:val="both"/>
        <w:rPr>
          <w:rFonts w:ascii="Times New Roman" w:eastAsiaTheme="minorEastAsia" w:hAnsi="Times New Roman" w:cs="Times New Roman"/>
          <w:sz w:val="28"/>
          <w:szCs w:val="28"/>
          <w:lang w:val="kk-KZ"/>
        </w:rPr>
      </w:pPr>
    </w:p>
    <w:p w14:paraId="7CA76CEF" w14:textId="51BFBA88" w:rsidR="00647B71" w:rsidRPr="00457CE9" w:rsidRDefault="00FA5280" w:rsidP="00FA5280">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70-кесте мәліметтерінен аталған іс-шараға тікелей әсер ететін 4-ші альтернатива «Ауыл шаруашылық өнім өндірісіне бағытталған тікелей инвестицияларды ұлғайту» деп алынған, және 5-ші альтернатива «Ауыл шаруашылық өнімінің ЖІӨ-гі үлесін арттыру» 80 пайыз деп бағаланған.</w:t>
      </w:r>
      <w:r>
        <w:rPr>
          <w:rFonts w:ascii="Times New Roman" w:eastAsiaTheme="minorEastAsia" w:hAnsi="Times New Roman" w:cs="Times New Roman"/>
          <w:i/>
          <w:iCs/>
          <w:sz w:val="28"/>
          <w:szCs w:val="28"/>
          <w:lang w:val="kk-KZ"/>
        </w:rPr>
        <w:t xml:space="preserve"> </w:t>
      </w:r>
      <w:r>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Pr>
          <w:rFonts w:ascii="Times New Roman" w:eastAsiaTheme="minorEastAsia" w:hAnsi="Times New Roman" w:cs="Times New Roman"/>
          <w:sz w:val="28"/>
          <w:szCs w:val="28"/>
          <w:lang w:val="kk-KZ"/>
        </w:rPr>
        <w:t xml:space="preserve"> 2021-2025 жж. дамыту бойынша ұлттық жоба бекітіліп іске асырылып келеді. </w:t>
      </w:r>
      <w:r w:rsidR="00647B71" w:rsidRPr="00457CE9">
        <w:rPr>
          <w:rFonts w:ascii="Times New Roman" w:eastAsiaTheme="minorEastAsia" w:hAnsi="Times New Roman" w:cs="Times New Roman"/>
          <w:sz w:val="28"/>
          <w:szCs w:val="28"/>
          <w:lang w:val="kk-KZ"/>
        </w:rPr>
        <w:t xml:space="preserve">Әрі қарай осы альтернативалардың бағалау әсерінің жұптық салыстыру матрицасы </w:t>
      </w:r>
      <w:r w:rsidR="00EB7D69">
        <w:rPr>
          <w:rFonts w:ascii="Times New Roman" w:eastAsiaTheme="minorEastAsia" w:hAnsi="Times New Roman" w:cs="Times New Roman"/>
          <w:sz w:val="28"/>
          <w:szCs w:val="28"/>
          <w:lang w:val="kk-KZ"/>
        </w:rPr>
        <w:t>71</w:t>
      </w:r>
      <w:r w:rsidR="00647B71" w:rsidRPr="00457CE9">
        <w:rPr>
          <w:rFonts w:ascii="Times New Roman" w:eastAsiaTheme="minorEastAsia" w:hAnsi="Times New Roman" w:cs="Times New Roman"/>
          <w:sz w:val="28"/>
          <w:szCs w:val="28"/>
          <w:lang w:val="kk-KZ"/>
        </w:rPr>
        <w:t>-кестеде келтірілген.</w:t>
      </w:r>
    </w:p>
    <w:p w14:paraId="3E0B0131"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w:p>
    <w:p w14:paraId="473982A7" w14:textId="7F7AF1CF"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71</w:t>
      </w:r>
      <w:r w:rsidRPr="00457CE9">
        <w:rPr>
          <w:rFonts w:ascii="Times New Roman" w:eastAsiaTheme="minorEastAsia" w:hAnsi="Times New Roman" w:cs="Times New Roman"/>
          <w:sz w:val="28"/>
          <w:szCs w:val="28"/>
          <w:lang w:val="kk-KZ"/>
        </w:rPr>
        <w:t xml:space="preserve"> – 1-міндеттің 1-іс-шарасы альтернативаларының жұптық салыстыру матрицасы</w:t>
      </w:r>
    </w:p>
    <w:p w14:paraId="46095742" w14:textId="77777777" w:rsidR="00F61070" w:rsidRPr="00F61070" w:rsidRDefault="00F61070" w:rsidP="00457CE9">
      <w:pPr>
        <w:spacing w:after="0" w:line="240" w:lineRule="auto"/>
        <w:jc w:val="both"/>
        <w:rPr>
          <w:rFonts w:ascii="Times New Roman" w:eastAsiaTheme="minorEastAsia" w:hAnsi="Times New Roman" w:cs="Times New Roman"/>
          <w:sz w:val="16"/>
          <w:szCs w:val="16"/>
          <w:lang w:val="kk-KZ"/>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851"/>
        <w:gridCol w:w="1134"/>
        <w:gridCol w:w="992"/>
        <w:gridCol w:w="992"/>
        <w:gridCol w:w="851"/>
        <w:gridCol w:w="992"/>
        <w:gridCol w:w="1418"/>
        <w:gridCol w:w="1559"/>
      </w:tblGrid>
      <w:tr w:rsidR="00F61070" w:rsidRPr="00BB2991" w14:paraId="22ECD720" w14:textId="77777777" w:rsidTr="00F61070">
        <w:trPr>
          <w:trHeight w:val="288"/>
          <w:jc w:val="center"/>
        </w:trPr>
        <w:tc>
          <w:tcPr>
            <w:tcW w:w="784" w:type="dxa"/>
            <w:vMerge w:val="restart"/>
            <w:tcBorders>
              <w:top w:val="single" w:sz="4" w:space="0" w:color="auto"/>
              <w:left w:val="single" w:sz="4" w:space="0" w:color="auto"/>
              <w:right w:val="single" w:sz="4" w:space="0" w:color="auto"/>
            </w:tcBorders>
            <w:noWrap/>
            <w:vAlign w:val="center"/>
            <w:hideMark/>
          </w:tcPr>
          <w:p w14:paraId="04560FF2" w14:textId="77777777" w:rsidR="00F61070" w:rsidRPr="00BB2991" w:rsidRDefault="00F61070" w:rsidP="00F61070">
            <w:pPr>
              <w:spacing w:after="0" w:line="228" w:lineRule="auto"/>
              <w:jc w:val="center"/>
              <w:rPr>
                <w:rFonts w:ascii="Times New Roman" w:eastAsiaTheme="minorHAnsi" w:hAnsi="Times New Roman" w:cs="Times New Roman"/>
                <w:sz w:val="24"/>
                <w:szCs w:val="24"/>
                <w:lang w:val="kk-KZ"/>
              </w:rPr>
            </w:pPr>
            <w:r w:rsidRPr="00BB2991">
              <w:rPr>
                <w:rFonts w:ascii="Times New Roman" w:hAnsi="Times New Roman" w:cs="Times New Roman"/>
                <w:sz w:val="24"/>
                <w:szCs w:val="24"/>
                <w:lang w:val="kk-KZ"/>
              </w:rPr>
              <w:t>А</w:t>
            </w:r>
          </w:p>
        </w:tc>
        <w:tc>
          <w:tcPr>
            <w:tcW w:w="851" w:type="dxa"/>
            <w:vMerge w:val="restart"/>
            <w:tcBorders>
              <w:top w:val="single" w:sz="4" w:space="0" w:color="auto"/>
              <w:left w:val="single" w:sz="4" w:space="0" w:color="auto"/>
              <w:right w:val="single" w:sz="4" w:space="0" w:color="auto"/>
            </w:tcBorders>
            <w:noWrap/>
            <w:vAlign w:val="center"/>
            <w:hideMark/>
          </w:tcPr>
          <w:p w14:paraId="74AE7121" w14:textId="34B2D016" w:rsidR="00F61070" w:rsidRPr="00BB2991" w:rsidRDefault="00F61070" w:rsidP="00F61070">
            <w:pPr>
              <w:spacing w:after="0" w:line="228" w:lineRule="auto"/>
              <w:jc w:val="center"/>
              <w:rPr>
                <w:rFonts w:ascii="Times New Roman" w:hAnsi="Times New Roman" w:cs="Times New Roman"/>
                <w:sz w:val="24"/>
                <w:szCs w:val="24"/>
                <w:lang w:val="kk-KZ"/>
              </w:rPr>
            </w:pPr>
            <w:r w:rsidRPr="00BB2991">
              <w:rPr>
                <w:rFonts w:ascii="Times New Roman" w:hAnsi="Times New Roman" w:cs="Times New Roman"/>
                <w:sz w:val="24"/>
                <w:szCs w:val="24"/>
                <w:lang w:val="kk-KZ" w:eastAsia="ru-RU"/>
              </w:rPr>
              <w:t>М</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7045C"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AF238C"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F3A1CD"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2931D8C"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E1692A"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028C39EB"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СГЕОМ</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58968EB0" w14:textId="77777777" w:rsidR="00F61070" w:rsidRPr="00BB2991" w:rsidRDefault="00F61070" w:rsidP="00F61070">
            <w:pPr>
              <w:spacing w:after="0" w:line="228" w:lineRule="auto"/>
              <w:jc w:val="center"/>
              <w:rPr>
                <w:rFonts w:ascii="Times New Roman" w:eastAsiaTheme="minorHAnsi"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М</w:t>
            </w:r>
            <w:r w:rsidRPr="00BB2991">
              <w:rPr>
                <w:rFonts w:ascii="Times New Roman" w:eastAsia="Times New Roman" w:hAnsi="Times New Roman" w:cs="Times New Roman"/>
                <w:color w:val="000000"/>
                <w:sz w:val="24"/>
                <w:szCs w:val="24"/>
                <w:lang w:val="kk-KZ" w:eastAsia="ru-RU"/>
              </w:rPr>
              <w:t>еншікті вектор</w:t>
            </w:r>
          </w:p>
        </w:tc>
      </w:tr>
      <w:tr w:rsidR="00F61070" w:rsidRPr="00BB2991" w14:paraId="3727C219" w14:textId="77777777" w:rsidTr="00117667">
        <w:trPr>
          <w:trHeight w:val="58"/>
          <w:jc w:val="center"/>
        </w:trPr>
        <w:tc>
          <w:tcPr>
            <w:tcW w:w="784" w:type="dxa"/>
            <w:vMerge/>
            <w:tcBorders>
              <w:left w:val="single" w:sz="4" w:space="0" w:color="auto"/>
              <w:bottom w:val="single" w:sz="4" w:space="0" w:color="auto"/>
              <w:right w:val="single" w:sz="4" w:space="0" w:color="auto"/>
            </w:tcBorders>
            <w:noWrap/>
            <w:vAlign w:val="bottom"/>
            <w:hideMark/>
          </w:tcPr>
          <w:p w14:paraId="7305A14B" w14:textId="7E356860" w:rsidR="00F61070" w:rsidRPr="00F61070" w:rsidRDefault="00F61070" w:rsidP="00F61070">
            <w:pPr>
              <w:spacing w:after="0" w:line="228" w:lineRule="auto"/>
              <w:rPr>
                <w:rFonts w:ascii="Times New Roman" w:hAnsi="Times New Roman" w:cs="Times New Roman"/>
                <w:sz w:val="24"/>
                <w:szCs w:val="24"/>
                <w:lang w:val="kk-KZ" w:eastAsia="ru-RU"/>
              </w:rPr>
            </w:pPr>
          </w:p>
        </w:tc>
        <w:tc>
          <w:tcPr>
            <w:tcW w:w="851" w:type="dxa"/>
            <w:vMerge/>
            <w:tcBorders>
              <w:left w:val="single" w:sz="4" w:space="0" w:color="auto"/>
              <w:bottom w:val="single" w:sz="4" w:space="0" w:color="auto"/>
              <w:right w:val="single" w:sz="4" w:space="0" w:color="auto"/>
            </w:tcBorders>
            <w:noWrap/>
            <w:vAlign w:val="bottom"/>
            <w:hideMark/>
          </w:tcPr>
          <w:p w14:paraId="3A099CB4" w14:textId="2D3A67F4" w:rsidR="00F61070" w:rsidRPr="00BB2991" w:rsidRDefault="00F61070" w:rsidP="00F61070">
            <w:pPr>
              <w:spacing w:after="0" w:line="228" w:lineRule="auto"/>
              <w:jc w:val="center"/>
              <w:rPr>
                <w:rFonts w:ascii="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DCD72F2"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BF6150"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052B21"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50</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B546E92"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22D238" w14:textId="77777777" w:rsidR="00F61070" w:rsidRPr="00BB2991" w:rsidRDefault="00F61070"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79FDC" w14:textId="77777777" w:rsidR="00F61070" w:rsidRPr="00BB2991" w:rsidRDefault="00F61070" w:rsidP="00F61070">
            <w:pPr>
              <w:spacing w:after="0" w:line="228"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C9BF4" w14:textId="77777777" w:rsidR="00F61070" w:rsidRPr="00BB2991" w:rsidRDefault="00F61070" w:rsidP="00F61070">
            <w:pPr>
              <w:spacing w:after="0" w:line="228" w:lineRule="auto"/>
              <w:rPr>
                <w:rFonts w:ascii="Times New Roman" w:hAnsi="Times New Roman" w:cs="Times New Roman"/>
                <w:sz w:val="24"/>
                <w:szCs w:val="24"/>
                <w:lang w:eastAsia="ru-RU"/>
              </w:rPr>
            </w:pPr>
          </w:p>
        </w:tc>
      </w:tr>
      <w:tr w:rsidR="00647B71" w:rsidRPr="00BB2991" w14:paraId="5CCEE75B" w14:textId="77777777" w:rsidTr="00F61070">
        <w:trPr>
          <w:trHeight w:val="58"/>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14:paraId="0B4E067D"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B5B8EE0"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284FA53"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283F88E"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E30E1D"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0A16706"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AFA07A7"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0,9375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5046D87"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1,096082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D3DF" w14:textId="77777777" w:rsidR="00647B71" w:rsidRPr="00F61070" w:rsidRDefault="00647B71" w:rsidP="00F61070">
            <w:pPr>
              <w:spacing w:after="0" w:line="228"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0,211268</w:t>
            </w:r>
          </w:p>
        </w:tc>
      </w:tr>
      <w:tr w:rsidR="00647B71" w:rsidRPr="00BB2991" w14:paraId="175717E7" w14:textId="77777777" w:rsidTr="00F61070">
        <w:trPr>
          <w:trHeight w:val="58"/>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14:paraId="088E63A1"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990DB99"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455AB2"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0,666667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0B51788"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E54B770"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30E276B"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10B04B9"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EC0E04E"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0,730721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A0BE4" w14:textId="77777777" w:rsidR="00647B71" w:rsidRPr="00F61070" w:rsidRDefault="00647B71" w:rsidP="00F61070">
            <w:pPr>
              <w:spacing w:after="0" w:line="228"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0,140845</w:t>
            </w:r>
          </w:p>
        </w:tc>
      </w:tr>
      <w:tr w:rsidR="00647B71" w:rsidRPr="00BB2991" w14:paraId="08401879" w14:textId="77777777" w:rsidTr="00F61070">
        <w:trPr>
          <w:trHeight w:val="58"/>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14:paraId="033CA5F4"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8B73B7C"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871E695"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0,666667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4A7A724"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EC3CEB8"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8DE3CFD"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0D68F12"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0,625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23BAB95"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0,730721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271AE" w14:textId="77777777" w:rsidR="00647B71" w:rsidRPr="00F61070" w:rsidRDefault="00647B71" w:rsidP="00F61070">
            <w:pPr>
              <w:spacing w:after="0" w:line="228"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0,140845</w:t>
            </w:r>
          </w:p>
        </w:tc>
      </w:tr>
      <w:tr w:rsidR="00647B71" w:rsidRPr="00BB2991" w14:paraId="0B3E2624" w14:textId="77777777" w:rsidTr="00F61070">
        <w:trPr>
          <w:trHeight w:val="58"/>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14:paraId="1DF7A1F7"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00D4990"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8CBE211"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1,333333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0AC8E54"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6DCF26D"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54D0522"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6CAB268"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92B1D72"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1,461443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53D6" w14:textId="77777777" w:rsidR="00647B71" w:rsidRPr="00F61070" w:rsidRDefault="00647B71" w:rsidP="00F61070">
            <w:pPr>
              <w:spacing w:after="0" w:line="228"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0,28169</w:t>
            </w:r>
          </w:p>
        </w:tc>
      </w:tr>
      <w:tr w:rsidR="00647B71" w:rsidRPr="00BB2991" w14:paraId="678E178D" w14:textId="77777777" w:rsidTr="00F61070">
        <w:trPr>
          <w:trHeight w:val="58"/>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14:paraId="6A49EE0B"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13E1A54"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84C56F"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1,066667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E9700A7"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1,6</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200CB87"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38CD11D"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C3EFB90"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745755E"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1,169154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5782" w14:textId="77777777" w:rsidR="00647B71" w:rsidRPr="00F61070" w:rsidRDefault="00647B71" w:rsidP="00F61070">
            <w:pPr>
              <w:spacing w:after="0" w:line="228"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0,225352</w:t>
            </w:r>
          </w:p>
        </w:tc>
      </w:tr>
      <w:tr w:rsidR="00647B71" w:rsidRPr="00BB2991" w14:paraId="3C3EB7FF" w14:textId="77777777" w:rsidTr="00F61070">
        <w:trPr>
          <w:trHeight w:val="58"/>
          <w:jc w:val="center"/>
        </w:trPr>
        <w:tc>
          <w:tcPr>
            <w:tcW w:w="784" w:type="dxa"/>
            <w:tcBorders>
              <w:top w:val="single" w:sz="4" w:space="0" w:color="auto"/>
              <w:left w:val="single" w:sz="4" w:space="0" w:color="auto"/>
              <w:bottom w:val="single" w:sz="4" w:space="0" w:color="auto"/>
              <w:right w:val="single" w:sz="4" w:space="0" w:color="auto"/>
            </w:tcBorders>
            <w:noWrap/>
            <w:vAlign w:val="bottom"/>
            <w:hideMark/>
          </w:tcPr>
          <w:p w14:paraId="512A69D8" w14:textId="39BD1F94" w:rsidR="00647B71" w:rsidRPr="00F61070" w:rsidRDefault="00F61070" w:rsidP="00F61070">
            <w:pPr>
              <w:spacing w:after="0" w:line="228"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32B5357" w14:textId="27714A9B" w:rsidR="00647B71" w:rsidRPr="00F61070" w:rsidRDefault="00F61070" w:rsidP="00F61070">
            <w:pPr>
              <w:spacing w:after="0" w:line="228"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0292293" w14:textId="4047EDFB" w:rsidR="00647B71" w:rsidRPr="00F61070" w:rsidRDefault="00F61070" w:rsidP="00F61070">
            <w:pPr>
              <w:spacing w:after="0" w:line="228"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5201F72" w14:textId="22818F93" w:rsidR="00647B71" w:rsidRPr="00F61070" w:rsidRDefault="00F61070" w:rsidP="00F61070">
            <w:pPr>
              <w:spacing w:after="0" w:line="228"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C631B2E" w14:textId="5F6DC8A0" w:rsidR="00647B71" w:rsidRPr="00F61070" w:rsidRDefault="00F61070" w:rsidP="00F61070">
            <w:pPr>
              <w:spacing w:after="0" w:line="228"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116611E" w14:textId="11B6943E" w:rsidR="00647B71" w:rsidRPr="00F61070" w:rsidRDefault="00F61070" w:rsidP="00F61070">
            <w:pPr>
              <w:spacing w:after="0" w:line="228"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2989895" w14:textId="2461DA81" w:rsidR="00647B71" w:rsidRPr="00F61070" w:rsidRDefault="00F61070" w:rsidP="00F61070">
            <w:pPr>
              <w:spacing w:after="0" w:line="228"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322806C"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5,188121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DA55F1D" w14:textId="77777777" w:rsidR="00647B71" w:rsidRPr="00BB2991" w:rsidRDefault="00647B71" w:rsidP="00F61070">
            <w:pPr>
              <w:spacing w:after="0" w:line="228"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r>
      <w:tr w:rsidR="00647B71" w:rsidRPr="00BB2991" w14:paraId="35394F6C" w14:textId="77777777" w:rsidTr="00F61070">
        <w:trPr>
          <w:trHeight w:val="58"/>
          <w:jc w:val="center"/>
        </w:trPr>
        <w:tc>
          <w:tcPr>
            <w:tcW w:w="9573" w:type="dxa"/>
            <w:gridSpan w:val="9"/>
            <w:tcBorders>
              <w:top w:val="single" w:sz="4" w:space="0" w:color="auto"/>
              <w:left w:val="single" w:sz="4" w:space="0" w:color="auto"/>
              <w:bottom w:val="single" w:sz="4" w:space="0" w:color="auto"/>
              <w:right w:val="single" w:sz="4" w:space="0" w:color="auto"/>
            </w:tcBorders>
            <w:noWrap/>
            <w:vAlign w:val="bottom"/>
            <w:hideMark/>
          </w:tcPr>
          <w:p w14:paraId="4D259105" w14:textId="2CF4056A" w:rsidR="00647B71" w:rsidRPr="00BB2991" w:rsidRDefault="00647B71" w:rsidP="00F61070">
            <w:pPr>
              <w:spacing w:after="0" w:line="228" w:lineRule="auto"/>
              <w:ind w:firstLine="588"/>
              <w:rPr>
                <w:rFonts w:ascii="Times New Roman" w:eastAsiaTheme="minorHAnsi" w:hAnsi="Times New Roman" w:cs="Times New Roman"/>
                <w:sz w:val="24"/>
                <w:szCs w:val="24"/>
                <w:lang w:eastAsia="ru-RU"/>
              </w:rPr>
            </w:pPr>
            <w:r w:rsidRPr="00BB2991">
              <w:rPr>
                <w:rFonts w:ascii="Times New Roman" w:eastAsiaTheme="minorEastAsia" w:hAnsi="Times New Roman" w:cs="Times New Roman"/>
                <w:sz w:val="24"/>
                <w:szCs w:val="24"/>
                <w:lang w:val="kk-KZ"/>
              </w:rPr>
              <w:t xml:space="preserve">Ескерту – </w:t>
            </w:r>
            <w:r w:rsidR="00F61070"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082077E9" w14:textId="77777777" w:rsidR="00F61070" w:rsidRDefault="00F61070" w:rsidP="00457CE9">
      <w:pPr>
        <w:spacing w:after="0" w:line="240" w:lineRule="auto"/>
        <w:ind w:firstLine="709"/>
        <w:jc w:val="both"/>
        <w:rPr>
          <w:rFonts w:ascii="Times New Roman" w:eastAsiaTheme="minorEastAsia" w:hAnsi="Times New Roman" w:cs="Times New Roman"/>
          <w:sz w:val="28"/>
          <w:szCs w:val="28"/>
          <w:lang w:val="kk-KZ"/>
        </w:rPr>
      </w:pPr>
    </w:p>
    <w:p w14:paraId="4E7D73FD" w14:textId="035F3418" w:rsidR="00647B71" w:rsidRPr="00457CE9" w:rsidRDefault="00EB7D69"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71</w:t>
      </w:r>
      <w:r w:rsidR="00647B71" w:rsidRPr="00457CE9">
        <w:rPr>
          <w:rFonts w:ascii="Times New Roman" w:eastAsiaTheme="minorEastAsia" w:hAnsi="Times New Roman" w:cs="Times New Roman"/>
          <w:sz w:val="28"/>
          <w:szCs w:val="28"/>
          <w:lang w:val="kk-KZ"/>
        </w:rPr>
        <w:t xml:space="preserve">-кесте мәліметтері бойынша меншікті вектор мәндері 1-іс-шара матрицасының үлестері ретінде 1-көрсеткіштің сандық мәндерінің матрицасына көбейтіндісіне апарылады. Үшінші деңгей факторы 1-көрсеткіш «Субсидия көлемін өсіру есебінен ауыл шаруашылығы техникасын сатып алуды 1,5 есеге ұлғайту» шараларының үлесі </w:t>
      </w:r>
      <w:r>
        <w:rPr>
          <w:rFonts w:ascii="Times New Roman" w:eastAsiaTheme="minorEastAsia" w:hAnsi="Times New Roman" w:cs="Times New Roman"/>
          <w:sz w:val="28"/>
          <w:szCs w:val="28"/>
          <w:lang w:val="kk-KZ"/>
        </w:rPr>
        <w:t>72</w:t>
      </w:r>
      <w:r w:rsidR="00647B71" w:rsidRPr="00457CE9">
        <w:rPr>
          <w:rFonts w:ascii="Times New Roman" w:eastAsiaTheme="minorEastAsia" w:hAnsi="Times New Roman" w:cs="Times New Roman"/>
          <w:sz w:val="28"/>
          <w:szCs w:val="28"/>
          <w:lang w:val="kk-KZ"/>
        </w:rPr>
        <w:t>-кестеде келтірілген.</w:t>
      </w:r>
    </w:p>
    <w:p w14:paraId="7EFCFE87" w14:textId="77777777" w:rsidR="00FA5280" w:rsidRDefault="00FA5280" w:rsidP="00457CE9">
      <w:pPr>
        <w:spacing w:after="0" w:line="240" w:lineRule="auto"/>
        <w:jc w:val="both"/>
        <w:rPr>
          <w:rFonts w:ascii="Times New Roman" w:eastAsiaTheme="minorEastAsia" w:hAnsi="Times New Roman" w:cs="Times New Roman"/>
          <w:sz w:val="28"/>
          <w:szCs w:val="28"/>
          <w:lang w:val="kk-KZ"/>
        </w:rPr>
      </w:pPr>
    </w:p>
    <w:p w14:paraId="64BD8C7E" w14:textId="77777777" w:rsidR="00FA5280" w:rsidRDefault="00FA5280" w:rsidP="00457CE9">
      <w:pPr>
        <w:spacing w:after="0" w:line="240" w:lineRule="auto"/>
        <w:jc w:val="both"/>
        <w:rPr>
          <w:rFonts w:ascii="Times New Roman" w:eastAsiaTheme="minorEastAsia" w:hAnsi="Times New Roman" w:cs="Times New Roman"/>
          <w:sz w:val="28"/>
          <w:szCs w:val="28"/>
          <w:lang w:val="kk-KZ"/>
        </w:rPr>
      </w:pPr>
    </w:p>
    <w:p w14:paraId="100CC3C5" w14:textId="4ABD8C56"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72</w:t>
      </w:r>
      <w:r w:rsidR="002E1D76" w:rsidRPr="00457CE9">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Үшінші деңгей факторлары 1-көрсеткіш іс-шараларына бөлінген бюджет қаражатының үлесі</w:t>
      </w:r>
    </w:p>
    <w:p w14:paraId="56788DD8" w14:textId="77777777" w:rsidR="00F61070" w:rsidRPr="00F61070" w:rsidRDefault="00F61070" w:rsidP="00457CE9">
      <w:pPr>
        <w:spacing w:after="0" w:line="240" w:lineRule="auto"/>
        <w:jc w:val="both"/>
        <w:rPr>
          <w:rFonts w:ascii="Times New Roman" w:eastAsiaTheme="minorEastAsia" w:hAnsi="Times New Roman" w:cs="Times New Roman"/>
          <w:sz w:val="16"/>
          <w:szCs w:val="16"/>
          <w:lang w:val="kk-KZ"/>
        </w:rPr>
      </w:pPr>
    </w:p>
    <w:tbl>
      <w:tblPr>
        <w:tblW w:w="9747" w:type="dxa"/>
        <w:tblInd w:w="-5" w:type="dxa"/>
        <w:tblLook w:val="04A0" w:firstRow="1" w:lastRow="0" w:firstColumn="1" w:lastColumn="0" w:noHBand="0" w:noVBand="1"/>
      </w:tblPr>
      <w:tblGrid>
        <w:gridCol w:w="6804"/>
        <w:gridCol w:w="896"/>
        <w:gridCol w:w="1036"/>
        <w:gridCol w:w="1011"/>
      </w:tblGrid>
      <w:tr w:rsidR="00BB2991" w:rsidRPr="00BB2991" w14:paraId="1B8F850D" w14:textId="77777777" w:rsidTr="00010EEC">
        <w:trPr>
          <w:trHeight w:val="244"/>
        </w:trPr>
        <w:tc>
          <w:tcPr>
            <w:tcW w:w="6804" w:type="dxa"/>
            <w:tcBorders>
              <w:top w:val="single" w:sz="4" w:space="0" w:color="auto"/>
              <w:left w:val="single" w:sz="4" w:space="0" w:color="auto"/>
              <w:bottom w:val="single" w:sz="4" w:space="0" w:color="auto"/>
              <w:right w:val="single" w:sz="4" w:space="0" w:color="000000"/>
            </w:tcBorders>
            <w:noWrap/>
            <w:vAlign w:val="center"/>
            <w:hideMark/>
          </w:tcPr>
          <w:p w14:paraId="442FE121"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Үшінші деңгей факторлары</w:t>
            </w:r>
          </w:p>
        </w:tc>
        <w:tc>
          <w:tcPr>
            <w:tcW w:w="896" w:type="dxa"/>
            <w:tcBorders>
              <w:top w:val="single" w:sz="4" w:space="0" w:color="auto"/>
              <w:left w:val="nil"/>
              <w:bottom w:val="single" w:sz="4" w:space="0" w:color="auto"/>
              <w:right w:val="single" w:sz="4" w:space="0" w:color="auto"/>
            </w:tcBorders>
            <w:noWrap/>
            <w:vAlign w:val="center"/>
            <w:hideMark/>
          </w:tcPr>
          <w:p w14:paraId="7BDC87ED" w14:textId="4D1B5F34" w:rsidR="00BB2991" w:rsidRPr="00BB2991" w:rsidRDefault="00BB2991" w:rsidP="00F61070">
            <w:pPr>
              <w:spacing w:after="0" w:line="228" w:lineRule="auto"/>
              <w:ind w:left="-136" w:right="-80"/>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Сома, млн.</w:t>
            </w:r>
            <w:r w:rsidR="00F61070">
              <w:rPr>
                <w:rFonts w:ascii="Times New Roman" w:eastAsia="Times New Roman" w:hAnsi="Times New Roman" w:cs="Times New Roman"/>
                <w:color w:val="000000"/>
                <w:sz w:val="24"/>
                <w:szCs w:val="24"/>
                <w:lang w:val="kk-KZ" w:eastAsia="ru-RU"/>
              </w:rPr>
              <w:t xml:space="preserve"> </w:t>
            </w:r>
            <w:r w:rsidRPr="00BB2991">
              <w:rPr>
                <w:rFonts w:ascii="Times New Roman" w:eastAsia="Times New Roman" w:hAnsi="Times New Roman" w:cs="Times New Roman"/>
                <w:color w:val="000000"/>
                <w:sz w:val="24"/>
                <w:szCs w:val="24"/>
                <w:lang w:val="kk-KZ" w:eastAsia="ru-RU"/>
              </w:rPr>
              <w:t>тг</w:t>
            </w:r>
          </w:p>
        </w:tc>
        <w:tc>
          <w:tcPr>
            <w:tcW w:w="1036" w:type="dxa"/>
            <w:tcBorders>
              <w:top w:val="single" w:sz="4" w:space="0" w:color="auto"/>
              <w:left w:val="nil"/>
              <w:bottom w:val="single" w:sz="4" w:space="0" w:color="auto"/>
              <w:right w:val="single" w:sz="4" w:space="0" w:color="auto"/>
            </w:tcBorders>
            <w:noWrap/>
            <w:vAlign w:val="center"/>
            <w:hideMark/>
          </w:tcPr>
          <w:p w14:paraId="5657803D"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 xml:space="preserve">Үлесі </w:t>
            </w:r>
          </w:p>
        </w:tc>
        <w:tc>
          <w:tcPr>
            <w:tcW w:w="1011" w:type="dxa"/>
            <w:tcBorders>
              <w:top w:val="single" w:sz="4" w:space="0" w:color="auto"/>
              <w:left w:val="nil"/>
              <w:bottom w:val="single" w:sz="4" w:space="0" w:color="auto"/>
              <w:right w:val="single" w:sz="4" w:space="0" w:color="auto"/>
            </w:tcBorders>
            <w:noWrap/>
            <w:vAlign w:val="center"/>
            <w:hideMark/>
          </w:tcPr>
          <w:p w14:paraId="75DF88C9"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 xml:space="preserve">Жиыны </w:t>
            </w:r>
          </w:p>
        </w:tc>
      </w:tr>
      <w:tr w:rsidR="00BB2991" w:rsidRPr="00BB2991" w14:paraId="3BA45872" w14:textId="77777777" w:rsidTr="00010EEC">
        <w:trPr>
          <w:trHeight w:val="1017"/>
        </w:trPr>
        <w:tc>
          <w:tcPr>
            <w:tcW w:w="6804" w:type="dxa"/>
            <w:tcBorders>
              <w:top w:val="single" w:sz="4" w:space="0" w:color="auto"/>
              <w:left w:val="single" w:sz="4" w:space="0" w:color="auto"/>
              <w:bottom w:val="single" w:sz="4" w:space="0" w:color="auto"/>
              <w:right w:val="single" w:sz="4" w:space="0" w:color="000000"/>
            </w:tcBorders>
            <w:noWrap/>
            <w:vAlign w:val="center"/>
          </w:tcPr>
          <w:p w14:paraId="72ED8E89" w14:textId="49521814" w:rsidR="00BB2991" w:rsidRPr="00BB2991" w:rsidRDefault="00BB2991" w:rsidP="00F61070">
            <w:pPr>
              <w:spacing w:after="0" w:line="228"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 xml:space="preserve">1-іс-шара. Кейіннен лизингке беру үшін техника, азық дайындайтын техника және мобильді жүйелер сатып алуды қаржыландыру мақсатында кейіннен </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ҚазАгроҚаржы</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АҚ-ның жарғылық капиталын ұлғайта отырып, </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Бәйтерек</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ұлттық басқарушы холдингі</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АҚ-ның жарғылық капиталын ұлғайту</w:t>
            </w:r>
          </w:p>
        </w:tc>
        <w:tc>
          <w:tcPr>
            <w:tcW w:w="896" w:type="dxa"/>
            <w:tcBorders>
              <w:top w:val="single" w:sz="4" w:space="0" w:color="auto"/>
              <w:left w:val="nil"/>
              <w:bottom w:val="single" w:sz="4" w:space="0" w:color="auto"/>
              <w:right w:val="single" w:sz="4" w:space="0" w:color="auto"/>
            </w:tcBorders>
            <w:noWrap/>
            <w:vAlign w:val="center"/>
            <w:hideMark/>
          </w:tcPr>
          <w:p w14:paraId="1E8225C4"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79400</w:t>
            </w:r>
          </w:p>
        </w:tc>
        <w:tc>
          <w:tcPr>
            <w:tcW w:w="1036" w:type="dxa"/>
            <w:tcBorders>
              <w:top w:val="single" w:sz="4" w:space="0" w:color="auto"/>
              <w:left w:val="nil"/>
              <w:bottom w:val="single" w:sz="4" w:space="0" w:color="auto"/>
              <w:right w:val="single" w:sz="4" w:space="0" w:color="auto"/>
            </w:tcBorders>
            <w:noWrap/>
            <w:vAlign w:val="center"/>
            <w:hideMark/>
          </w:tcPr>
          <w:p w14:paraId="01EF9DC2"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0,50686</w:t>
            </w:r>
          </w:p>
        </w:tc>
        <w:tc>
          <w:tcPr>
            <w:tcW w:w="1011" w:type="dxa"/>
            <w:tcBorders>
              <w:top w:val="single" w:sz="4" w:space="0" w:color="auto"/>
              <w:left w:val="nil"/>
              <w:bottom w:val="single" w:sz="4" w:space="0" w:color="auto"/>
              <w:right w:val="single" w:sz="4" w:space="0" w:color="auto"/>
            </w:tcBorders>
            <w:noWrap/>
            <w:vAlign w:val="center"/>
            <w:hideMark/>
          </w:tcPr>
          <w:p w14:paraId="6083CEE0"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156650</w:t>
            </w:r>
          </w:p>
        </w:tc>
      </w:tr>
      <w:tr w:rsidR="00BB2991" w:rsidRPr="00BB2991" w14:paraId="073002C8" w14:textId="77777777" w:rsidTr="00010EEC">
        <w:trPr>
          <w:trHeight w:val="58"/>
        </w:trPr>
        <w:tc>
          <w:tcPr>
            <w:tcW w:w="6804" w:type="dxa"/>
            <w:tcBorders>
              <w:top w:val="nil"/>
              <w:left w:val="single" w:sz="4" w:space="0" w:color="auto"/>
              <w:bottom w:val="single" w:sz="4" w:space="0" w:color="auto"/>
              <w:right w:val="single" w:sz="4" w:space="0" w:color="000000"/>
            </w:tcBorders>
            <w:noWrap/>
            <w:vAlign w:val="center"/>
          </w:tcPr>
          <w:p w14:paraId="35B10E76" w14:textId="76BB6B83" w:rsidR="00BB2991" w:rsidRPr="00BB2991" w:rsidRDefault="00BB2991" w:rsidP="00F61070">
            <w:pPr>
              <w:spacing w:after="0" w:line="228" w:lineRule="auto"/>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 xml:space="preserve">2-іс-шара. АӨК субъектілерінің ирригациялық жүйелерді сатып алуы және оларды орнату жөніндегі дайындық жұмыстарын қаржыландыру үшін кейіннен </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ҚарАгроҚаржы</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АҚ-ның жарғылық капиталын ұлғайта отырып, </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Бәйтерек</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ұлттық басқарушы холдингі</w:t>
            </w:r>
            <w:r w:rsidR="00A83E68">
              <w:rPr>
                <w:rFonts w:ascii="Times New Roman" w:eastAsia="Times New Roman" w:hAnsi="Times New Roman" w:cs="Times New Roman"/>
                <w:color w:val="000000"/>
                <w:sz w:val="24"/>
                <w:szCs w:val="24"/>
                <w:lang w:val="kk-KZ" w:eastAsia="ru-RU"/>
              </w:rPr>
              <w:t>»</w:t>
            </w:r>
            <w:r w:rsidRPr="00BB2991">
              <w:rPr>
                <w:rFonts w:ascii="Times New Roman" w:eastAsia="Times New Roman" w:hAnsi="Times New Roman" w:cs="Times New Roman"/>
                <w:color w:val="000000"/>
                <w:sz w:val="24"/>
                <w:szCs w:val="24"/>
                <w:lang w:eastAsia="ru-RU"/>
              </w:rPr>
              <w:t xml:space="preserve"> АҚ-ның жарғылық капиталын ұлғайту және өңірлер әкімдіктері мен және уәкілетті қаржы институттарының бюджеттік кредитін қамтамасыз ету</w:t>
            </w:r>
          </w:p>
        </w:tc>
        <w:tc>
          <w:tcPr>
            <w:tcW w:w="896" w:type="dxa"/>
            <w:tcBorders>
              <w:top w:val="nil"/>
              <w:left w:val="nil"/>
              <w:bottom w:val="single" w:sz="4" w:space="0" w:color="auto"/>
              <w:right w:val="single" w:sz="4" w:space="0" w:color="auto"/>
            </w:tcBorders>
            <w:noWrap/>
            <w:vAlign w:val="center"/>
            <w:hideMark/>
          </w:tcPr>
          <w:p w14:paraId="648494F7"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77250</w:t>
            </w:r>
          </w:p>
        </w:tc>
        <w:tc>
          <w:tcPr>
            <w:tcW w:w="1036" w:type="dxa"/>
            <w:tcBorders>
              <w:top w:val="nil"/>
              <w:left w:val="nil"/>
              <w:bottom w:val="single" w:sz="4" w:space="0" w:color="auto"/>
              <w:right w:val="single" w:sz="4" w:space="0" w:color="auto"/>
            </w:tcBorders>
            <w:noWrap/>
            <w:vAlign w:val="center"/>
            <w:hideMark/>
          </w:tcPr>
          <w:p w14:paraId="4D53A83D"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0,49314</w:t>
            </w:r>
          </w:p>
        </w:tc>
        <w:tc>
          <w:tcPr>
            <w:tcW w:w="1011" w:type="dxa"/>
            <w:tcBorders>
              <w:top w:val="nil"/>
              <w:left w:val="nil"/>
              <w:bottom w:val="single" w:sz="4" w:space="0" w:color="auto"/>
              <w:right w:val="single" w:sz="4" w:space="0" w:color="auto"/>
            </w:tcBorders>
            <w:noWrap/>
            <w:vAlign w:val="center"/>
            <w:hideMark/>
          </w:tcPr>
          <w:p w14:paraId="1D6A0434" w14:textId="77777777" w:rsidR="00BB2991" w:rsidRPr="00BB2991" w:rsidRDefault="00BB2991" w:rsidP="00F61070">
            <w:pPr>
              <w:spacing w:after="0" w:line="228"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156650</w:t>
            </w:r>
          </w:p>
        </w:tc>
      </w:tr>
      <w:tr w:rsidR="00647B71" w:rsidRPr="00BB2991" w14:paraId="60C7D4BB" w14:textId="77777777" w:rsidTr="00010EEC">
        <w:trPr>
          <w:trHeight w:val="58"/>
        </w:trPr>
        <w:tc>
          <w:tcPr>
            <w:tcW w:w="9747" w:type="dxa"/>
            <w:gridSpan w:val="4"/>
            <w:tcBorders>
              <w:top w:val="single" w:sz="4" w:space="0" w:color="auto"/>
              <w:left w:val="single" w:sz="4" w:space="0" w:color="auto"/>
              <w:bottom w:val="single" w:sz="4" w:space="0" w:color="auto"/>
              <w:right w:val="single" w:sz="4" w:space="0" w:color="auto"/>
            </w:tcBorders>
            <w:noWrap/>
            <w:vAlign w:val="bottom"/>
            <w:hideMark/>
          </w:tcPr>
          <w:p w14:paraId="57E7557F" w14:textId="6F2081AB" w:rsidR="00647B71" w:rsidRPr="00BB2991" w:rsidRDefault="00647B71" w:rsidP="00F61070">
            <w:pPr>
              <w:spacing w:after="0" w:line="228" w:lineRule="auto"/>
              <w:ind w:firstLine="550"/>
              <w:jc w:val="both"/>
              <w:rPr>
                <w:rFonts w:ascii="Times New Roman" w:eastAsia="Times New Roman" w:hAnsi="Times New Roman" w:cs="Times New Roman"/>
                <w:color w:val="000000"/>
                <w:sz w:val="24"/>
                <w:szCs w:val="24"/>
                <w:lang w:eastAsia="ru-RU"/>
              </w:rPr>
            </w:pPr>
            <w:r w:rsidRPr="00BB2991">
              <w:rPr>
                <w:rFonts w:ascii="Times New Roman" w:eastAsiaTheme="minorEastAsia" w:hAnsi="Times New Roman" w:cs="Times New Roman"/>
                <w:sz w:val="24"/>
                <w:szCs w:val="24"/>
                <w:lang w:val="kk-KZ"/>
              </w:rPr>
              <w:t xml:space="preserve">Ескерту – </w:t>
            </w:r>
            <w:r w:rsidR="00F61070" w:rsidRPr="00BB2991">
              <w:rPr>
                <w:rFonts w:ascii="Times New Roman" w:eastAsiaTheme="minorEastAsia" w:hAnsi="Times New Roman" w:cs="Times New Roman"/>
                <w:sz w:val="24"/>
                <w:szCs w:val="24"/>
                <w:lang w:val="kk-KZ"/>
              </w:rPr>
              <w:t xml:space="preserve">Автормен </w:t>
            </w:r>
            <w:r w:rsidRPr="00BB2991">
              <w:rPr>
                <w:rFonts w:ascii="Times New Roman" w:eastAsiaTheme="minorEastAsia" w:hAnsi="Times New Roman" w:cs="Times New Roman"/>
                <w:sz w:val="24"/>
                <w:szCs w:val="24"/>
                <w:lang w:val="kk-KZ"/>
              </w:rPr>
              <w:t>құрастырылған</w:t>
            </w:r>
          </w:p>
        </w:tc>
      </w:tr>
    </w:tbl>
    <w:p w14:paraId="6D3903D7" w14:textId="7777777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p>
    <w:p w14:paraId="3F553D40" w14:textId="767554A5" w:rsidR="00647B71" w:rsidRPr="00457CE9" w:rsidRDefault="00EB7D69"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72</w:t>
      </w:r>
      <w:r w:rsidR="00647B71" w:rsidRPr="00457CE9">
        <w:rPr>
          <w:rFonts w:ascii="Times New Roman" w:eastAsiaTheme="minorEastAsia" w:hAnsi="Times New Roman" w:cs="Times New Roman"/>
          <w:sz w:val="28"/>
          <w:szCs w:val="28"/>
          <w:lang w:val="kk-KZ"/>
        </w:rPr>
        <w:t xml:space="preserve">-кесте мәліметтерінен 1-көрсеткіштің екі іс-шарасына жалпы 156650 млн. теңге бөлінгенін көруге болады. 1-іс-шара үлесі 0,50686-ны құраса, 2-іс-шара 0,49314-ке тең болды. Бұл мәлімет негізінде жұптық салыстыру матрицасы негізінде олардың орташа геометриялық және меншікті векторы анықталды, ол </w:t>
      </w:r>
      <w:r>
        <w:rPr>
          <w:rFonts w:ascii="Times New Roman" w:eastAsiaTheme="minorEastAsia" w:hAnsi="Times New Roman" w:cs="Times New Roman"/>
          <w:sz w:val="28"/>
          <w:szCs w:val="28"/>
          <w:lang w:val="kk-KZ"/>
        </w:rPr>
        <w:t>73</w:t>
      </w:r>
      <w:r w:rsidR="00647B71" w:rsidRPr="00457CE9">
        <w:rPr>
          <w:rFonts w:ascii="Times New Roman" w:eastAsiaTheme="minorEastAsia" w:hAnsi="Times New Roman" w:cs="Times New Roman"/>
          <w:sz w:val="28"/>
          <w:szCs w:val="28"/>
          <w:lang w:val="kk-KZ"/>
        </w:rPr>
        <w:t xml:space="preserve">-кестеде келтірілген. </w:t>
      </w:r>
    </w:p>
    <w:p w14:paraId="35017796" w14:textId="77777777" w:rsidR="00A23F7A" w:rsidRDefault="00A23F7A" w:rsidP="00A23F7A">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73-кестедегі шыққан меншікті вектор мәндері 1-көрсеткіштің екі іс-шаралары альтернативалары матрицасының үлестерінің көбейтіндісі 74-кестеде келтірілген.</w:t>
      </w:r>
    </w:p>
    <w:p w14:paraId="18A2F538" w14:textId="77777777" w:rsidR="00A23F7A" w:rsidRDefault="00A23F7A" w:rsidP="00457CE9">
      <w:pPr>
        <w:spacing w:after="0" w:line="240" w:lineRule="auto"/>
        <w:ind w:firstLine="709"/>
        <w:jc w:val="both"/>
        <w:rPr>
          <w:rFonts w:ascii="Times New Roman" w:eastAsiaTheme="minorEastAsia" w:hAnsi="Times New Roman" w:cs="Times New Roman"/>
          <w:sz w:val="28"/>
          <w:szCs w:val="28"/>
          <w:lang w:val="kk-KZ"/>
        </w:rPr>
      </w:pPr>
    </w:p>
    <w:p w14:paraId="720A34FD" w14:textId="5B330978"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F61070">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3</w:t>
      </w:r>
      <w:r w:rsidRPr="00457CE9">
        <w:rPr>
          <w:rFonts w:ascii="Times New Roman" w:eastAsiaTheme="minorEastAsia" w:hAnsi="Times New Roman" w:cs="Times New Roman"/>
          <w:sz w:val="28"/>
          <w:szCs w:val="28"/>
          <w:lang w:val="kk-KZ"/>
        </w:rPr>
        <w:t xml:space="preserve"> – 1-көрсеткіш «Субсидия көлемін өсіру есебінен ауыл шаруашылығы техникасын сатып алуды 1,5 есеге ұлғайту» іс- шаралары үлесінің матрицасы</w:t>
      </w:r>
    </w:p>
    <w:p w14:paraId="39D54748" w14:textId="77777777" w:rsidR="00F61070" w:rsidRPr="00F61070" w:rsidRDefault="00F61070" w:rsidP="00457CE9">
      <w:pPr>
        <w:spacing w:after="0" w:line="240" w:lineRule="auto"/>
        <w:jc w:val="both"/>
        <w:rPr>
          <w:rFonts w:ascii="Times New Roman" w:eastAsiaTheme="minorEastAsia" w:hAnsi="Times New Roman" w:cs="Times New Roman"/>
          <w:sz w:val="16"/>
          <w:szCs w:val="16"/>
          <w:lang w:val="kk-KZ"/>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445"/>
        <w:gridCol w:w="1907"/>
        <w:gridCol w:w="1701"/>
        <w:gridCol w:w="1701"/>
        <w:gridCol w:w="1827"/>
      </w:tblGrid>
      <w:tr w:rsidR="00117667" w:rsidRPr="00BB2991" w14:paraId="75713256" w14:textId="77777777" w:rsidTr="00117667">
        <w:trPr>
          <w:trHeight w:val="288"/>
          <w:jc w:val="center"/>
        </w:trPr>
        <w:tc>
          <w:tcPr>
            <w:tcW w:w="987" w:type="dxa"/>
            <w:vMerge w:val="restart"/>
            <w:tcBorders>
              <w:top w:val="single" w:sz="4" w:space="0" w:color="auto"/>
              <w:left w:val="single" w:sz="4" w:space="0" w:color="auto"/>
              <w:right w:val="single" w:sz="4" w:space="0" w:color="auto"/>
            </w:tcBorders>
            <w:noWrap/>
            <w:vAlign w:val="center"/>
            <w:hideMark/>
          </w:tcPr>
          <w:p w14:paraId="0C9FD310" w14:textId="77777777" w:rsidR="00117667" w:rsidRPr="00BB2991" w:rsidRDefault="00117667" w:rsidP="00F61070">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А</w:t>
            </w:r>
          </w:p>
        </w:tc>
        <w:tc>
          <w:tcPr>
            <w:tcW w:w="1445" w:type="dxa"/>
            <w:vMerge w:val="restart"/>
            <w:tcBorders>
              <w:top w:val="single" w:sz="4" w:space="0" w:color="auto"/>
              <w:left w:val="single" w:sz="4" w:space="0" w:color="auto"/>
              <w:right w:val="single" w:sz="4" w:space="0" w:color="auto"/>
            </w:tcBorders>
            <w:noWrap/>
            <w:vAlign w:val="center"/>
            <w:hideMark/>
          </w:tcPr>
          <w:p w14:paraId="6A70B7BF" w14:textId="1843CC34" w:rsidR="00117667" w:rsidRPr="00BB2991" w:rsidRDefault="00117667"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М</w:t>
            </w:r>
          </w:p>
        </w:tc>
        <w:tc>
          <w:tcPr>
            <w:tcW w:w="1907" w:type="dxa"/>
            <w:tcBorders>
              <w:top w:val="single" w:sz="4" w:space="0" w:color="auto"/>
              <w:left w:val="single" w:sz="4" w:space="0" w:color="auto"/>
              <w:bottom w:val="single" w:sz="4" w:space="0" w:color="auto"/>
              <w:right w:val="single" w:sz="4" w:space="0" w:color="auto"/>
            </w:tcBorders>
            <w:noWrap/>
            <w:vAlign w:val="center"/>
            <w:hideMark/>
          </w:tcPr>
          <w:p w14:paraId="0145F74D" w14:textId="77777777" w:rsidR="00117667" w:rsidRPr="00BB2991" w:rsidRDefault="00117667" w:rsidP="00F61070">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2D0170" w14:textId="77777777" w:rsidR="00117667" w:rsidRPr="00BB2991" w:rsidRDefault="00117667" w:rsidP="00F61070">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7D9D15EE" w14:textId="77777777" w:rsidR="00117667" w:rsidRPr="00BB2991" w:rsidRDefault="00117667"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СГЕОМ</w:t>
            </w:r>
          </w:p>
        </w:tc>
        <w:tc>
          <w:tcPr>
            <w:tcW w:w="1827" w:type="dxa"/>
            <w:vMerge w:val="restart"/>
            <w:tcBorders>
              <w:top w:val="single" w:sz="4" w:space="0" w:color="auto"/>
              <w:left w:val="single" w:sz="4" w:space="0" w:color="auto"/>
              <w:bottom w:val="single" w:sz="4" w:space="0" w:color="auto"/>
              <w:right w:val="single" w:sz="4" w:space="0" w:color="auto"/>
            </w:tcBorders>
            <w:noWrap/>
            <w:vAlign w:val="center"/>
            <w:hideMark/>
          </w:tcPr>
          <w:p w14:paraId="0E5F3497" w14:textId="77777777" w:rsidR="00117667" w:rsidRPr="00BB2991" w:rsidRDefault="00117667" w:rsidP="00F61070">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М</w:t>
            </w:r>
            <w:r w:rsidRPr="00BB2991">
              <w:rPr>
                <w:rFonts w:ascii="Times New Roman" w:eastAsia="Times New Roman" w:hAnsi="Times New Roman" w:cs="Times New Roman"/>
                <w:color w:val="000000"/>
                <w:sz w:val="24"/>
                <w:szCs w:val="24"/>
                <w:lang w:val="kk-KZ" w:eastAsia="ru-RU"/>
              </w:rPr>
              <w:t>еншікті вектор</w:t>
            </w:r>
          </w:p>
        </w:tc>
      </w:tr>
      <w:tr w:rsidR="00117667" w:rsidRPr="00BB2991" w14:paraId="3E48ED3D" w14:textId="77777777" w:rsidTr="00117667">
        <w:trPr>
          <w:trHeight w:val="58"/>
          <w:jc w:val="center"/>
        </w:trPr>
        <w:tc>
          <w:tcPr>
            <w:tcW w:w="987" w:type="dxa"/>
            <w:vMerge/>
            <w:tcBorders>
              <w:left w:val="single" w:sz="4" w:space="0" w:color="auto"/>
              <w:bottom w:val="single" w:sz="4" w:space="0" w:color="auto"/>
              <w:right w:val="single" w:sz="4" w:space="0" w:color="auto"/>
            </w:tcBorders>
            <w:noWrap/>
            <w:vAlign w:val="bottom"/>
            <w:hideMark/>
          </w:tcPr>
          <w:p w14:paraId="12A4F0E6" w14:textId="1A7C9C4B" w:rsidR="00117667" w:rsidRPr="00F61070" w:rsidRDefault="00117667" w:rsidP="00457CE9">
            <w:pPr>
              <w:spacing w:after="0" w:line="240" w:lineRule="auto"/>
              <w:rPr>
                <w:rFonts w:ascii="Times New Roman" w:eastAsia="Times New Roman" w:hAnsi="Times New Roman" w:cs="Times New Roman"/>
                <w:sz w:val="24"/>
                <w:szCs w:val="24"/>
                <w:lang w:val="kk-KZ" w:eastAsia="ru-RU"/>
              </w:rPr>
            </w:pPr>
          </w:p>
        </w:tc>
        <w:tc>
          <w:tcPr>
            <w:tcW w:w="1445" w:type="dxa"/>
            <w:vMerge/>
            <w:tcBorders>
              <w:left w:val="single" w:sz="4" w:space="0" w:color="auto"/>
              <w:bottom w:val="single" w:sz="4" w:space="0" w:color="auto"/>
              <w:right w:val="single" w:sz="4" w:space="0" w:color="auto"/>
            </w:tcBorders>
            <w:noWrap/>
            <w:vAlign w:val="bottom"/>
            <w:hideMark/>
          </w:tcPr>
          <w:p w14:paraId="5CBA7182" w14:textId="0370C50A" w:rsidR="00117667" w:rsidRPr="00BB2991" w:rsidRDefault="00117667" w:rsidP="00457CE9">
            <w:pPr>
              <w:spacing w:after="0" w:line="240" w:lineRule="auto"/>
              <w:jc w:val="center"/>
              <w:rPr>
                <w:rFonts w:ascii="Times New Roman" w:eastAsia="Times New Roman" w:hAnsi="Times New Roman" w:cs="Times New Roman"/>
                <w:sz w:val="24"/>
                <w:szCs w:val="24"/>
                <w:lang w:val="kk-KZ" w:eastAsia="ru-RU"/>
              </w:rPr>
            </w:pPr>
          </w:p>
        </w:tc>
        <w:tc>
          <w:tcPr>
            <w:tcW w:w="1907" w:type="dxa"/>
            <w:tcBorders>
              <w:top w:val="single" w:sz="4" w:space="0" w:color="auto"/>
              <w:left w:val="single" w:sz="4" w:space="0" w:color="auto"/>
              <w:bottom w:val="single" w:sz="4" w:space="0" w:color="auto"/>
              <w:right w:val="single" w:sz="4" w:space="0" w:color="auto"/>
            </w:tcBorders>
            <w:noWrap/>
            <w:vAlign w:val="bottom"/>
            <w:hideMark/>
          </w:tcPr>
          <w:p w14:paraId="77A16CC7" w14:textId="77777777" w:rsidR="00117667" w:rsidRPr="00BB2991" w:rsidRDefault="00117667"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0,50686243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6D7055C" w14:textId="77777777" w:rsidR="00117667" w:rsidRPr="00BB2991" w:rsidRDefault="00117667"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0,493138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53FAA" w14:textId="77777777" w:rsidR="00117667" w:rsidRPr="00BB2991" w:rsidRDefault="00117667" w:rsidP="00457CE9">
            <w:pPr>
              <w:spacing w:after="0" w:line="240" w:lineRule="auto"/>
              <w:rPr>
                <w:rFonts w:ascii="Times New Roman" w:eastAsia="Times New Roman" w:hAnsi="Times New Roman" w:cs="Times New Roman"/>
                <w:color w:val="000000"/>
                <w:sz w:val="24"/>
                <w:szCs w:val="24"/>
                <w:lang w:eastAsia="ru-RU"/>
              </w:rPr>
            </w:pPr>
          </w:p>
        </w:tc>
        <w:tc>
          <w:tcPr>
            <w:tcW w:w="1827" w:type="dxa"/>
            <w:vMerge/>
            <w:tcBorders>
              <w:top w:val="single" w:sz="4" w:space="0" w:color="auto"/>
              <w:left w:val="single" w:sz="4" w:space="0" w:color="auto"/>
              <w:bottom w:val="single" w:sz="4" w:space="0" w:color="auto"/>
              <w:right w:val="single" w:sz="4" w:space="0" w:color="auto"/>
            </w:tcBorders>
            <w:vAlign w:val="center"/>
            <w:hideMark/>
          </w:tcPr>
          <w:p w14:paraId="38981ACD" w14:textId="77777777" w:rsidR="00117667" w:rsidRPr="00BB2991" w:rsidRDefault="00117667" w:rsidP="00457CE9">
            <w:pPr>
              <w:spacing w:after="0" w:line="240" w:lineRule="auto"/>
              <w:rPr>
                <w:rFonts w:ascii="Times New Roman" w:eastAsia="Times New Roman" w:hAnsi="Times New Roman" w:cs="Times New Roman"/>
                <w:sz w:val="24"/>
                <w:szCs w:val="24"/>
                <w:lang w:eastAsia="ru-RU"/>
              </w:rPr>
            </w:pPr>
          </w:p>
        </w:tc>
      </w:tr>
      <w:tr w:rsidR="00647B71" w:rsidRPr="00BB2991" w14:paraId="41489B12" w14:textId="77777777" w:rsidTr="00117667">
        <w:trPr>
          <w:trHeight w:val="58"/>
          <w:jc w:val="center"/>
        </w:trPr>
        <w:tc>
          <w:tcPr>
            <w:tcW w:w="987" w:type="dxa"/>
            <w:tcBorders>
              <w:top w:val="single" w:sz="4" w:space="0" w:color="auto"/>
              <w:left w:val="single" w:sz="4" w:space="0" w:color="auto"/>
              <w:bottom w:val="single" w:sz="4" w:space="0" w:color="auto"/>
              <w:right w:val="single" w:sz="4" w:space="0" w:color="auto"/>
            </w:tcBorders>
            <w:noWrap/>
            <w:vAlign w:val="bottom"/>
            <w:hideMark/>
          </w:tcPr>
          <w:p w14:paraId="0EC2019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43C311A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0,506862</w:t>
            </w:r>
          </w:p>
        </w:tc>
        <w:tc>
          <w:tcPr>
            <w:tcW w:w="1907" w:type="dxa"/>
            <w:tcBorders>
              <w:top w:val="single" w:sz="4" w:space="0" w:color="auto"/>
              <w:left w:val="single" w:sz="4" w:space="0" w:color="auto"/>
              <w:bottom w:val="single" w:sz="4" w:space="0" w:color="auto"/>
              <w:right w:val="single" w:sz="4" w:space="0" w:color="auto"/>
            </w:tcBorders>
            <w:noWrap/>
            <w:vAlign w:val="bottom"/>
            <w:hideMark/>
          </w:tcPr>
          <w:p w14:paraId="2D894F2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7AE149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1,027832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597A2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1,01382</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080C3"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0,50686243</w:t>
            </w:r>
          </w:p>
        </w:tc>
      </w:tr>
      <w:tr w:rsidR="00647B71" w:rsidRPr="00BB2991" w14:paraId="2603A612" w14:textId="77777777" w:rsidTr="00117667">
        <w:trPr>
          <w:trHeight w:val="58"/>
          <w:jc w:val="center"/>
        </w:trPr>
        <w:tc>
          <w:tcPr>
            <w:tcW w:w="987" w:type="dxa"/>
            <w:tcBorders>
              <w:top w:val="single" w:sz="4" w:space="0" w:color="auto"/>
              <w:left w:val="single" w:sz="4" w:space="0" w:color="auto"/>
              <w:bottom w:val="single" w:sz="4" w:space="0" w:color="auto"/>
              <w:right w:val="single" w:sz="4" w:space="0" w:color="auto"/>
            </w:tcBorders>
            <w:noWrap/>
            <w:vAlign w:val="bottom"/>
            <w:hideMark/>
          </w:tcPr>
          <w:p w14:paraId="1971E06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40BA813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0,493138</w:t>
            </w:r>
          </w:p>
        </w:tc>
        <w:tc>
          <w:tcPr>
            <w:tcW w:w="1907" w:type="dxa"/>
            <w:tcBorders>
              <w:top w:val="single" w:sz="4" w:space="0" w:color="auto"/>
              <w:left w:val="single" w:sz="4" w:space="0" w:color="auto"/>
              <w:bottom w:val="single" w:sz="4" w:space="0" w:color="auto"/>
              <w:right w:val="single" w:sz="4" w:space="0" w:color="auto"/>
            </w:tcBorders>
            <w:noWrap/>
            <w:vAlign w:val="bottom"/>
            <w:hideMark/>
          </w:tcPr>
          <w:p w14:paraId="4DFD1FB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0,97292191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B64A1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44CD9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0,986368</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CC8A"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0,49313757</w:t>
            </w:r>
          </w:p>
        </w:tc>
      </w:tr>
      <w:tr w:rsidR="00647B71" w:rsidRPr="00BB2991" w14:paraId="31AE390C" w14:textId="77777777" w:rsidTr="00117667">
        <w:trPr>
          <w:trHeight w:val="58"/>
          <w:jc w:val="center"/>
        </w:trPr>
        <w:tc>
          <w:tcPr>
            <w:tcW w:w="987" w:type="dxa"/>
            <w:tcBorders>
              <w:top w:val="single" w:sz="4" w:space="0" w:color="auto"/>
              <w:left w:val="single" w:sz="4" w:space="0" w:color="auto"/>
              <w:bottom w:val="single" w:sz="4" w:space="0" w:color="auto"/>
              <w:right w:val="single" w:sz="4" w:space="0" w:color="auto"/>
            </w:tcBorders>
            <w:noWrap/>
            <w:vAlign w:val="bottom"/>
            <w:hideMark/>
          </w:tcPr>
          <w:p w14:paraId="7506D581" w14:textId="472850D9" w:rsidR="00647B71" w:rsidRPr="00F61070" w:rsidRDefault="00F61070" w:rsidP="00457CE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w:t>
            </w:r>
          </w:p>
        </w:tc>
        <w:tc>
          <w:tcPr>
            <w:tcW w:w="1445" w:type="dxa"/>
            <w:tcBorders>
              <w:top w:val="single" w:sz="4" w:space="0" w:color="auto"/>
              <w:left w:val="single" w:sz="4" w:space="0" w:color="auto"/>
              <w:bottom w:val="single" w:sz="4" w:space="0" w:color="auto"/>
              <w:right w:val="single" w:sz="4" w:space="0" w:color="auto"/>
            </w:tcBorders>
            <w:noWrap/>
            <w:vAlign w:val="bottom"/>
            <w:hideMark/>
          </w:tcPr>
          <w:p w14:paraId="2239B552" w14:textId="70B2677A"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1907" w:type="dxa"/>
            <w:tcBorders>
              <w:top w:val="single" w:sz="4" w:space="0" w:color="auto"/>
              <w:left w:val="single" w:sz="4" w:space="0" w:color="auto"/>
              <w:bottom w:val="single" w:sz="4" w:space="0" w:color="auto"/>
              <w:right w:val="single" w:sz="4" w:space="0" w:color="auto"/>
            </w:tcBorders>
            <w:noWrap/>
            <w:vAlign w:val="bottom"/>
            <w:hideMark/>
          </w:tcPr>
          <w:p w14:paraId="1AEDBD38" w14:textId="07389A93"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D80CA30" w14:textId="218EB86B"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D959C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2,000188</w:t>
            </w:r>
          </w:p>
        </w:tc>
        <w:tc>
          <w:tcPr>
            <w:tcW w:w="1827" w:type="dxa"/>
            <w:tcBorders>
              <w:top w:val="single" w:sz="4" w:space="0" w:color="auto"/>
              <w:left w:val="single" w:sz="4" w:space="0" w:color="auto"/>
              <w:bottom w:val="single" w:sz="4" w:space="0" w:color="auto"/>
              <w:right w:val="single" w:sz="4" w:space="0" w:color="auto"/>
            </w:tcBorders>
            <w:noWrap/>
            <w:vAlign w:val="bottom"/>
            <w:hideMark/>
          </w:tcPr>
          <w:p w14:paraId="6D56B01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r>
      <w:tr w:rsidR="00647B71" w:rsidRPr="00BB2991" w14:paraId="45D63A98" w14:textId="77777777" w:rsidTr="00117667">
        <w:trPr>
          <w:trHeight w:val="58"/>
          <w:jc w:val="center"/>
        </w:trPr>
        <w:tc>
          <w:tcPr>
            <w:tcW w:w="9568" w:type="dxa"/>
            <w:gridSpan w:val="6"/>
            <w:tcBorders>
              <w:top w:val="single" w:sz="4" w:space="0" w:color="auto"/>
              <w:left w:val="single" w:sz="4" w:space="0" w:color="auto"/>
              <w:bottom w:val="single" w:sz="4" w:space="0" w:color="auto"/>
              <w:right w:val="single" w:sz="4" w:space="0" w:color="auto"/>
            </w:tcBorders>
            <w:noWrap/>
            <w:vAlign w:val="bottom"/>
            <w:hideMark/>
          </w:tcPr>
          <w:p w14:paraId="03CF6159" w14:textId="3BB719B2" w:rsidR="00647B71" w:rsidRPr="00BB2991" w:rsidRDefault="00647B71" w:rsidP="00457CE9">
            <w:pPr>
              <w:spacing w:after="0" w:line="240" w:lineRule="auto"/>
              <w:ind w:firstLine="601"/>
              <w:jc w:val="both"/>
              <w:rPr>
                <w:rFonts w:ascii="Times New Roman" w:eastAsia="Times New Roman" w:hAnsi="Times New Roman" w:cs="Times New Roman"/>
                <w:color w:val="000000"/>
                <w:sz w:val="24"/>
                <w:szCs w:val="24"/>
                <w:lang w:val="kk-KZ" w:eastAsia="ru-RU"/>
              </w:rPr>
            </w:pPr>
            <w:r w:rsidRPr="00BB2991">
              <w:rPr>
                <w:rFonts w:ascii="Times New Roman" w:eastAsiaTheme="minorEastAsia" w:hAnsi="Times New Roman" w:cs="Times New Roman"/>
                <w:sz w:val="24"/>
                <w:szCs w:val="24"/>
                <w:lang w:val="kk-KZ"/>
              </w:rPr>
              <w:t xml:space="preserve">Ескерту – </w:t>
            </w:r>
            <w:r w:rsidR="00F61070"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7A61A34B" w14:textId="77777777" w:rsidR="00F61070" w:rsidRDefault="00F61070" w:rsidP="00457CE9">
      <w:pPr>
        <w:spacing w:after="0" w:line="240" w:lineRule="auto"/>
        <w:ind w:firstLine="709"/>
        <w:jc w:val="both"/>
        <w:rPr>
          <w:rFonts w:ascii="Times New Roman" w:eastAsiaTheme="minorEastAsia" w:hAnsi="Times New Roman" w:cs="Times New Roman"/>
          <w:sz w:val="28"/>
          <w:szCs w:val="28"/>
          <w:lang w:val="kk-KZ"/>
        </w:rPr>
      </w:pPr>
    </w:p>
    <w:p w14:paraId="11B44498" w14:textId="77777777" w:rsidR="00647B71" w:rsidRPr="00457CE9" w:rsidRDefault="00647B71" w:rsidP="00457CE9">
      <w:pPr>
        <w:spacing w:after="0" w:line="240" w:lineRule="auto"/>
        <w:jc w:val="both"/>
        <w:rPr>
          <w:rFonts w:ascii="Times New Roman" w:eastAsiaTheme="minorEastAsia" w:hAnsi="Times New Roman" w:cs="Times New Roman"/>
          <w:sz w:val="16"/>
          <w:szCs w:val="16"/>
          <w:lang w:val="kk-KZ"/>
        </w:rPr>
      </w:pPr>
    </w:p>
    <w:p w14:paraId="4BB8458C" w14:textId="0E0E3F89"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74</w:t>
      </w:r>
      <w:r w:rsidR="00847107" w:rsidRPr="00457CE9">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1-міндет бойынша 1-көрсеткіш сандық матрицасы мен іс-шаралары альтернативалары матрицасының көбейтіндісінің нәтижесі</w:t>
      </w:r>
    </w:p>
    <w:p w14:paraId="0EC26817" w14:textId="77777777" w:rsidR="00F61070" w:rsidRPr="00F61070" w:rsidRDefault="00F61070" w:rsidP="00457CE9">
      <w:pPr>
        <w:spacing w:after="0" w:line="240" w:lineRule="auto"/>
        <w:jc w:val="both"/>
        <w:rPr>
          <w:rFonts w:ascii="Times New Roman" w:eastAsiaTheme="minorEastAsia" w:hAnsi="Times New Roman" w:cs="Times New Roman"/>
          <w:sz w:val="16"/>
          <w:szCs w:val="16"/>
          <w:lang w:val="kk-KZ"/>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012"/>
        <w:gridCol w:w="1985"/>
        <w:gridCol w:w="845"/>
        <w:gridCol w:w="2126"/>
        <w:gridCol w:w="1483"/>
      </w:tblGrid>
      <w:tr w:rsidR="00647B71" w:rsidRPr="00BB2991" w14:paraId="2DF65E63" w14:textId="77777777" w:rsidTr="00F61070">
        <w:trPr>
          <w:trHeight w:val="312"/>
          <w:jc w:val="center"/>
        </w:trPr>
        <w:tc>
          <w:tcPr>
            <w:tcW w:w="1193" w:type="dxa"/>
            <w:tcBorders>
              <w:top w:val="single" w:sz="4" w:space="0" w:color="auto"/>
              <w:left w:val="single" w:sz="4" w:space="0" w:color="auto"/>
              <w:bottom w:val="single" w:sz="4" w:space="0" w:color="auto"/>
              <w:right w:val="single" w:sz="4" w:space="0" w:color="auto"/>
            </w:tcBorders>
            <w:noWrap/>
            <w:vAlign w:val="center"/>
            <w:hideMark/>
          </w:tcPr>
          <w:p w14:paraId="7750ECE3" w14:textId="77777777" w:rsidR="00647B71" w:rsidRPr="00F61070" w:rsidRDefault="00647B71" w:rsidP="00F61070">
            <w:pPr>
              <w:spacing w:after="0" w:line="240" w:lineRule="auto"/>
              <w:jc w:val="center"/>
              <w:rPr>
                <w:rFonts w:ascii="Times New Roman" w:eastAsia="Times New Roman" w:hAnsi="Times New Roman" w:cs="Times New Roman"/>
                <w:sz w:val="24"/>
                <w:szCs w:val="24"/>
                <w:lang w:val="kk-KZ" w:eastAsia="ru-RU"/>
              </w:rPr>
            </w:pPr>
            <w:r w:rsidRPr="00F61070">
              <w:rPr>
                <w:rFonts w:ascii="Times New Roman" w:eastAsia="Times New Roman" w:hAnsi="Times New Roman" w:cs="Times New Roman"/>
                <w:sz w:val="24"/>
                <w:szCs w:val="24"/>
                <w:lang w:val="kk-KZ" w:eastAsia="ru-RU"/>
              </w:rPr>
              <w:t>Саны</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69CC948" w14:textId="77777777" w:rsidR="00647B71" w:rsidRPr="00F61070" w:rsidRDefault="00647B71" w:rsidP="00F61070">
            <w:pPr>
              <w:spacing w:after="0" w:line="240" w:lineRule="auto"/>
              <w:jc w:val="center"/>
              <w:rPr>
                <w:rFonts w:ascii="Times New Roman" w:eastAsia="Times New Roman" w:hAnsi="Times New Roman" w:cs="Times New Roman"/>
                <w:i/>
                <w:sz w:val="24"/>
                <w:szCs w:val="24"/>
                <w:lang w:val="kk-KZ" w:eastAsia="ru-RU"/>
              </w:rPr>
            </w:pPr>
            <w:r w:rsidRPr="00F61070">
              <w:rPr>
                <w:rFonts w:ascii="Times New Roman" w:eastAsia="Times New Roman" w:hAnsi="Times New Roman" w:cs="Times New Roman"/>
                <w:i/>
                <w:sz w:val="24"/>
                <w:szCs w:val="24"/>
                <w:lang w:val="kk-KZ" w:eastAsia="ru-RU"/>
              </w:rPr>
              <w:t>1-іс-шара матрицасы үлесі</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E2C311" w14:textId="77777777" w:rsidR="00647B71" w:rsidRPr="00F61070" w:rsidRDefault="00647B71" w:rsidP="00F61070">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val="kk-KZ" w:eastAsia="ru-RU"/>
              </w:rPr>
              <w:t>2-іс-шара матрицасы үлесі</w:t>
            </w:r>
          </w:p>
        </w:tc>
        <w:tc>
          <w:tcPr>
            <w:tcW w:w="845" w:type="dxa"/>
            <w:tcBorders>
              <w:top w:val="single" w:sz="4" w:space="0" w:color="auto"/>
              <w:left w:val="single" w:sz="4" w:space="0" w:color="auto"/>
              <w:bottom w:val="single" w:sz="4" w:space="0" w:color="auto"/>
              <w:right w:val="single" w:sz="4" w:space="0" w:color="auto"/>
            </w:tcBorders>
            <w:vAlign w:val="center"/>
            <w:hideMark/>
          </w:tcPr>
          <w:p w14:paraId="51626361" w14:textId="77777777" w:rsidR="00647B71" w:rsidRPr="00F61070" w:rsidRDefault="00647B71" w:rsidP="00F61070">
            <w:pPr>
              <w:spacing w:after="0" w:line="240" w:lineRule="auto"/>
              <w:jc w:val="center"/>
              <w:rPr>
                <w:rFonts w:ascii="Times New Roman" w:eastAsia="Times New Roman" w:hAnsi="Times New Roman" w:cs="Times New Roman"/>
                <w:sz w:val="24"/>
                <w:szCs w:val="24"/>
                <w:lang w:val="kk-KZ" w:eastAsia="ru-RU"/>
              </w:rPr>
            </w:pPr>
            <w:r w:rsidRPr="00F61070">
              <w:rPr>
                <w:rFonts w:ascii="Times New Roman" w:eastAsia="Times New Roman" w:hAnsi="Times New Roman" w:cs="Times New Roman"/>
                <w:sz w:val="24"/>
                <w:szCs w:val="24"/>
                <w:lang w:val="kk-KZ" w:eastAsia="ru-RU"/>
              </w:rPr>
              <w:t>Іс-шара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68B51FC" w14:textId="77777777" w:rsidR="00647B71" w:rsidRPr="00F61070" w:rsidRDefault="00647B71" w:rsidP="00F61070">
            <w:pPr>
              <w:spacing w:after="0" w:line="240" w:lineRule="auto"/>
              <w:jc w:val="center"/>
              <w:rPr>
                <w:rFonts w:ascii="Times New Roman" w:eastAsia="Times New Roman" w:hAnsi="Times New Roman" w:cs="Times New Roman"/>
                <w:sz w:val="24"/>
                <w:szCs w:val="24"/>
                <w:lang w:val="kk-KZ" w:eastAsia="ru-RU"/>
              </w:rPr>
            </w:pPr>
            <w:r w:rsidRPr="00F61070">
              <w:rPr>
                <w:rFonts w:ascii="Times New Roman" w:eastAsia="Times New Roman" w:hAnsi="Times New Roman" w:cs="Times New Roman"/>
                <w:sz w:val="24"/>
                <w:szCs w:val="24"/>
                <w:lang w:val="kk-KZ" w:eastAsia="ru-RU"/>
              </w:rPr>
              <w:t>Іс-шара үлесінің меншікті векторы</w:t>
            </w:r>
          </w:p>
        </w:tc>
        <w:tc>
          <w:tcPr>
            <w:tcW w:w="1483" w:type="dxa"/>
            <w:tcBorders>
              <w:top w:val="single" w:sz="4" w:space="0" w:color="auto"/>
              <w:left w:val="single" w:sz="4" w:space="0" w:color="auto"/>
              <w:bottom w:val="single" w:sz="4" w:space="0" w:color="auto"/>
              <w:right w:val="single" w:sz="4" w:space="0" w:color="auto"/>
            </w:tcBorders>
            <w:noWrap/>
            <w:vAlign w:val="center"/>
            <w:hideMark/>
          </w:tcPr>
          <w:p w14:paraId="69D510E7" w14:textId="77777777" w:rsidR="00647B71" w:rsidRPr="00F61070" w:rsidRDefault="00647B71" w:rsidP="00F61070">
            <w:pPr>
              <w:spacing w:after="0" w:line="240" w:lineRule="auto"/>
              <w:jc w:val="center"/>
              <w:rPr>
                <w:rFonts w:ascii="Times New Roman" w:eastAsia="Times New Roman" w:hAnsi="Times New Roman" w:cs="Times New Roman"/>
                <w:sz w:val="24"/>
                <w:szCs w:val="24"/>
                <w:lang w:val="kk-KZ" w:eastAsia="ru-RU"/>
              </w:rPr>
            </w:pPr>
            <w:r w:rsidRPr="00F61070">
              <w:rPr>
                <w:rFonts w:ascii="Times New Roman" w:eastAsia="Times New Roman" w:hAnsi="Times New Roman" w:cs="Times New Roman"/>
                <w:sz w:val="24"/>
                <w:szCs w:val="24"/>
                <w:lang w:eastAsia="ru-RU"/>
              </w:rPr>
              <w:t>Мен</w:t>
            </w:r>
            <w:r w:rsidRPr="00F61070">
              <w:rPr>
                <w:rFonts w:ascii="Times New Roman" w:eastAsia="Times New Roman" w:hAnsi="Times New Roman" w:cs="Times New Roman"/>
                <w:sz w:val="24"/>
                <w:szCs w:val="24"/>
                <w:lang w:val="kk-KZ" w:eastAsia="ru-RU"/>
              </w:rPr>
              <w:t>шікті вектор</w:t>
            </w:r>
          </w:p>
        </w:tc>
      </w:tr>
      <w:tr w:rsidR="005216D1" w:rsidRPr="00BB2991" w14:paraId="1EC6ED19" w14:textId="77777777" w:rsidTr="00F61070">
        <w:trPr>
          <w:trHeight w:val="58"/>
          <w:jc w:val="center"/>
        </w:trPr>
        <w:tc>
          <w:tcPr>
            <w:tcW w:w="1193" w:type="dxa"/>
            <w:tcBorders>
              <w:top w:val="single" w:sz="4" w:space="0" w:color="auto"/>
              <w:left w:val="single" w:sz="4" w:space="0" w:color="auto"/>
              <w:bottom w:val="single" w:sz="4" w:space="0" w:color="auto"/>
              <w:right w:val="single" w:sz="4" w:space="0" w:color="auto"/>
            </w:tcBorders>
            <w:noWrap/>
            <w:vAlign w:val="center"/>
            <w:hideMark/>
          </w:tcPr>
          <w:p w14:paraId="5F8FC817" w14:textId="77777777" w:rsidR="005216D1" w:rsidRPr="00BB2991" w:rsidRDefault="005216D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2012" w:type="dxa"/>
            <w:tcBorders>
              <w:top w:val="single" w:sz="4" w:space="0" w:color="auto"/>
              <w:left w:val="single" w:sz="4" w:space="0" w:color="auto"/>
              <w:bottom w:val="single" w:sz="4" w:space="0" w:color="auto"/>
              <w:right w:val="single" w:sz="4" w:space="0" w:color="auto"/>
            </w:tcBorders>
            <w:vAlign w:val="bottom"/>
            <w:hideMark/>
          </w:tcPr>
          <w:p w14:paraId="29FC092D" w14:textId="66536B7D" w:rsidR="005216D1" w:rsidRPr="00F61070" w:rsidRDefault="005216D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hAnsi="Times New Roman" w:cs="Times New Roman"/>
                <w:bCs/>
                <w:i/>
                <w:sz w:val="24"/>
                <w:szCs w:val="24"/>
              </w:rPr>
              <w:t>0,211268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4F8CFA0" w14:textId="6B6D276A" w:rsidR="005216D1" w:rsidRPr="00BB2991" w:rsidRDefault="005216D1" w:rsidP="00457CE9">
            <w:pPr>
              <w:spacing w:after="0" w:line="240" w:lineRule="auto"/>
              <w:jc w:val="center"/>
              <w:rPr>
                <w:rFonts w:ascii="Times New Roman" w:eastAsia="Times New Roman" w:hAnsi="Times New Roman" w:cs="Times New Roman"/>
                <w:color w:val="FF0000"/>
                <w:sz w:val="24"/>
                <w:szCs w:val="24"/>
                <w:lang w:eastAsia="ru-RU"/>
              </w:rPr>
            </w:pPr>
            <w:r w:rsidRPr="00BB2991">
              <w:rPr>
                <w:rFonts w:ascii="Times New Roman" w:hAnsi="Times New Roman" w:cs="Times New Roman"/>
                <w:color w:val="000000"/>
                <w:sz w:val="24"/>
                <w:szCs w:val="24"/>
              </w:rPr>
              <w:t>0,189873</w:t>
            </w:r>
          </w:p>
        </w:tc>
        <w:tc>
          <w:tcPr>
            <w:tcW w:w="845" w:type="dxa"/>
            <w:tcBorders>
              <w:top w:val="single" w:sz="4" w:space="0" w:color="auto"/>
              <w:left w:val="single" w:sz="4" w:space="0" w:color="auto"/>
              <w:bottom w:val="single" w:sz="4" w:space="0" w:color="auto"/>
              <w:right w:val="single" w:sz="4" w:space="0" w:color="auto"/>
            </w:tcBorders>
            <w:hideMark/>
          </w:tcPr>
          <w:p w14:paraId="18420385" w14:textId="77777777" w:rsidR="005216D1" w:rsidRPr="00BB2991" w:rsidRDefault="005216D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DC95A" w14:textId="127909F9" w:rsidR="005216D1" w:rsidRPr="00F61070" w:rsidRDefault="005216D1" w:rsidP="00457CE9">
            <w:pPr>
              <w:spacing w:after="0" w:line="240" w:lineRule="auto"/>
              <w:jc w:val="center"/>
              <w:rPr>
                <w:rFonts w:ascii="Times New Roman" w:eastAsia="Times New Roman" w:hAnsi="Times New Roman" w:cs="Times New Roman"/>
                <w:i/>
                <w:sz w:val="24"/>
                <w:szCs w:val="24"/>
                <w:highlight w:val="green"/>
                <w:lang w:eastAsia="ru-RU"/>
              </w:rPr>
            </w:pPr>
            <w:r w:rsidRPr="00F61070">
              <w:rPr>
                <w:rFonts w:ascii="Times New Roman" w:hAnsi="Times New Roman" w:cs="Times New Roman"/>
                <w:i/>
                <w:sz w:val="24"/>
                <w:szCs w:val="24"/>
              </w:rPr>
              <w:t>0,506862</w:t>
            </w:r>
          </w:p>
        </w:tc>
        <w:tc>
          <w:tcPr>
            <w:tcW w:w="1483" w:type="dxa"/>
            <w:tcBorders>
              <w:top w:val="single" w:sz="4" w:space="0" w:color="auto"/>
              <w:left w:val="single" w:sz="4" w:space="0" w:color="auto"/>
              <w:bottom w:val="single" w:sz="4" w:space="0" w:color="auto"/>
              <w:right w:val="single" w:sz="4" w:space="0" w:color="auto"/>
            </w:tcBorders>
            <w:noWrap/>
            <w:vAlign w:val="bottom"/>
            <w:hideMark/>
          </w:tcPr>
          <w:p w14:paraId="557258D6" w14:textId="40BE253D" w:rsidR="005216D1" w:rsidRPr="00F61070" w:rsidRDefault="005216D1" w:rsidP="00457CE9">
            <w:pPr>
              <w:spacing w:after="0" w:line="240" w:lineRule="auto"/>
              <w:jc w:val="center"/>
              <w:rPr>
                <w:rFonts w:ascii="Times New Roman" w:eastAsia="Times New Roman" w:hAnsi="Times New Roman" w:cs="Times New Roman"/>
                <w:i/>
                <w:color w:val="000000"/>
                <w:sz w:val="24"/>
                <w:szCs w:val="24"/>
                <w:lang w:eastAsia="ru-RU"/>
              </w:rPr>
            </w:pPr>
            <w:r w:rsidRPr="00F61070">
              <w:rPr>
                <w:rFonts w:ascii="Times New Roman" w:hAnsi="Times New Roman" w:cs="Times New Roman"/>
                <w:bCs/>
                <w:i/>
                <w:color w:val="000000"/>
                <w:sz w:val="24"/>
                <w:szCs w:val="24"/>
              </w:rPr>
              <w:t>0,20072</w:t>
            </w:r>
          </w:p>
        </w:tc>
      </w:tr>
      <w:tr w:rsidR="005216D1" w:rsidRPr="00BB2991" w14:paraId="24C29CDD" w14:textId="77777777" w:rsidTr="00F61070">
        <w:trPr>
          <w:trHeight w:val="58"/>
          <w:jc w:val="center"/>
        </w:trPr>
        <w:tc>
          <w:tcPr>
            <w:tcW w:w="1193" w:type="dxa"/>
            <w:tcBorders>
              <w:top w:val="single" w:sz="4" w:space="0" w:color="auto"/>
              <w:left w:val="single" w:sz="4" w:space="0" w:color="auto"/>
              <w:bottom w:val="single" w:sz="4" w:space="0" w:color="auto"/>
              <w:right w:val="single" w:sz="4" w:space="0" w:color="auto"/>
            </w:tcBorders>
            <w:noWrap/>
            <w:vAlign w:val="center"/>
            <w:hideMark/>
          </w:tcPr>
          <w:p w14:paraId="5082AC60" w14:textId="77777777" w:rsidR="005216D1" w:rsidRPr="00BB2991" w:rsidRDefault="005216D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2012" w:type="dxa"/>
            <w:tcBorders>
              <w:top w:val="single" w:sz="4" w:space="0" w:color="auto"/>
              <w:left w:val="single" w:sz="4" w:space="0" w:color="auto"/>
              <w:bottom w:val="single" w:sz="4" w:space="0" w:color="auto"/>
              <w:right w:val="single" w:sz="4" w:space="0" w:color="auto"/>
            </w:tcBorders>
            <w:vAlign w:val="bottom"/>
            <w:hideMark/>
          </w:tcPr>
          <w:p w14:paraId="401BC5FA" w14:textId="44BF5BBA" w:rsidR="005216D1" w:rsidRPr="00F61070" w:rsidRDefault="005216D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hAnsi="Times New Roman" w:cs="Times New Roman"/>
                <w:bCs/>
                <w:i/>
                <w:sz w:val="24"/>
                <w:szCs w:val="24"/>
              </w:rPr>
              <w:t>0,140845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486DF44" w14:textId="2AE7C904" w:rsidR="005216D1" w:rsidRPr="00BB2991" w:rsidRDefault="005216D1" w:rsidP="00457CE9">
            <w:pPr>
              <w:spacing w:after="0" w:line="240" w:lineRule="auto"/>
              <w:jc w:val="center"/>
              <w:rPr>
                <w:rFonts w:ascii="Times New Roman" w:eastAsia="Times New Roman" w:hAnsi="Times New Roman" w:cs="Times New Roman"/>
                <w:color w:val="FF0000"/>
                <w:sz w:val="24"/>
                <w:szCs w:val="24"/>
                <w:lang w:eastAsia="ru-RU"/>
              </w:rPr>
            </w:pPr>
            <w:r w:rsidRPr="00BB2991">
              <w:rPr>
                <w:rFonts w:ascii="Times New Roman" w:hAnsi="Times New Roman" w:cs="Times New Roman"/>
                <w:color w:val="000000"/>
                <w:sz w:val="24"/>
                <w:szCs w:val="24"/>
              </w:rPr>
              <w:t>0,189873</w:t>
            </w:r>
          </w:p>
        </w:tc>
        <w:tc>
          <w:tcPr>
            <w:tcW w:w="845" w:type="dxa"/>
            <w:tcBorders>
              <w:top w:val="single" w:sz="4" w:space="0" w:color="auto"/>
              <w:left w:val="single" w:sz="4" w:space="0" w:color="auto"/>
              <w:bottom w:val="single" w:sz="4" w:space="0" w:color="auto"/>
              <w:right w:val="single" w:sz="4" w:space="0" w:color="auto"/>
            </w:tcBorders>
            <w:hideMark/>
          </w:tcPr>
          <w:p w14:paraId="452FE634" w14:textId="77777777" w:rsidR="005216D1" w:rsidRPr="00BB2991" w:rsidRDefault="005216D1"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4310" w14:textId="7E74B3BB" w:rsidR="005216D1" w:rsidRPr="00F61070" w:rsidRDefault="005216D1" w:rsidP="00457CE9">
            <w:pPr>
              <w:spacing w:after="0" w:line="240" w:lineRule="auto"/>
              <w:jc w:val="center"/>
              <w:rPr>
                <w:rFonts w:ascii="Times New Roman" w:eastAsia="Times New Roman" w:hAnsi="Times New Roman" w:cs="Times New Roman"/>
                <w:i/>
                <w:sz w:val="24"/>
                <w:szCs w:val="24"/>
                <w:highlight w:val="green"/>
                <w:lang w:eastAsia="ru-RU"/>
              </w:rPr>
            </w:pPr>
            <w:r w:rsidRPr="00F61070">
              <w:rPr>
                <w:rFonts w:ascii="Times New Roman" w:hAnsi="Times New Roman" w:cs="Times New Roman"/>
                <w:i/>
                <w:sz w:val="24"/>
                <w:szCs w:val="24"/>
              </w:rPr>
              <w:t>0,493138</w:t>
            </w:r>
          </w:p>
        </w:tc>
        <w:tc>
          <w:tcPr>
            <w:tcW w:w="1483" w:type="dxa"/>
            <w:tcBorders>
              <w:top w:val="single" w:sz="4" w:space="0" w:color="auto"/>
              <w:left w:val="single" w:sz="4" w:space="0" w:color="auto"/>
              <w:bottom w:val="single" w:sz="4" w:space="0" w:color="auto"/>
              <w:right w:val="single" w:sz="4" w:space="0" w:color="auto"/>
            </w:tcBorders>
            <w:noWrap/>
            <w:vAlign w:val="bottom"/>
            <w:hideMark/>
          </w:tcPr>
          <w:p w14:paraId="4DDCA569" w14:textId="07EF9DF3" w:rsidR="005216D1" w:rsidRPr="00F61070" w:rsidRDefault="005216D1" w:rsidP="00457CE9">
            <w:pPr>
              <w:spacing w:after="0" w:line="240" w:lineRule="auto"/>
              <w:jc w:val="center"/>
              <w:rPr>
                <w:rFonts w:ascii="Times New Roman" w:eastAsia="Times New Roman" w:hAnsi="Times New Roman" w:cs="Times New Roman"/>
                <w:i/>
                <w:color w:val="000000"/>
                <w:sz w:val="24"/>
                <w:szCs w:val="24"/>
                <w:lang w:eastAsia="ru-RU"/>
              </w:rPr>
            </w:pPr>
            <w:r w:rsidRPr="00F61070">
              <w:rPr>
                <w:rFonts w:ascii="Times New Roman" w:hAnsi="Times New Roman" w:cs="Times New Roman"/>
                <w:bCs/>
                <w:i/>
                <w:color w:val="000000"/>
                <w:sz w:val="24"/>
                <w:szCs w:val="24"/>
              </w:rPr>
              <w:t>0,16502</w:t>
            </w:r>
          </w:p>
        </w:tc>
      </w:tr>
      <w:tr w:rsidR="005216D1" w:rsidRPr="00BB2991" w14:paraId="5D74015D" w14:textId="77777777" w:rsidTr="00F61070">
        <w:trPr>
          <w:trHeight w:val="58"/>
          <w:jc w:val="center"/>
        </w:trPr>
        <w:tc>
          <w:tcPr>
            <w:tcW w:w="1193" w:type="dxa"/>
            <w:tcBorders>
              <w:top w:val="single" w:sz="4" w:space="0" w:color="auto"/>
              <w:left w:val="single" w:sz="4" w:space="0" w:color="auto"/>
              <w:bottom w:val="single" w:sz="4" w:space="0" w:color="auto"/>
              <w:right w:val="single" w:sz="4" w:space="0" w:color="auto"/>
            </w:tcBorders>
            <w:noWrap/>
            <w:vAlign w:val="center"/>
            <w:hideMark/>
          </w:tcPr>
          <w:p w14:paraId="59089D74" w14:textId="77777777" w:rsidR="005216D1" w:rsidRPr="00BB2991" w:rsidRDefault="005216D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2012" w:type="dxa"/>
            <w:tcBorders>
              <w:top w:val="single" w:sz="4" w:space="0" w:color="auto"/>
              <w:left w:val="single" w:sz="4" w:space="0" w:color="auto"/>
              <w:bottom w:val="single" w:sz="4" w:space="0" w:color="auto"/>
              <w:right w:val="single" w:sz="4" w:space="0" w:color="auto"/>
            </w:tcBorders>
            <w:vAlign w:val="bottom"/>
            <w:hideMark/>
          </w:tcPr>
          <w:p w14:paraId="3A8D5CCF" w14:textId="30BA1199" w:rsidR="005216D1" w:rsidRPr="00F61070" w:rsidRDefault="005216D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hAnsi="Times New Roman" w:cs="Times New Roman"/>
                <w:bCs/>
                <w:i/>
                <w:sz w:val="24"/>
                <w:szCs w:val="24"/>
              </w:rPr>
              <w:t>0,140845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2E39BA" w14:textId="130ECA28" w:rsidR="005216D1" w:rsidRPr="00BB2991" w:rsidRDefault="005216D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hAnsi="Times New Roman" w:cs="Times New Roman"/>
                <w:color w:val="000000"/>
                <w:sz w:val="24"/>
                <w:szCs w:val="24"/>
              </w:rPr>
              <w:t>0,189873</w:t>
            </w:r>
          </w:p>
        </w:tc>
        <w:tc>
          <w:tcPr>
            <w:tcW w:w="845" w:type="dxa"/>
            <w:tcBorders>
              <w:top w:val="single" w:sz="4" w:space="0" w:color="auto"/>
              <w:left w:val="single" w:sz="4" w:space="0" w:color="auto"/>
              <w:bottom w:val="single" w:sz="4" w:space="0" w:color="auto"/>
              <w:right w:val="single" w:sz="4" w:space="0" w:color="auto"/>
            </w:tcBorders>
          </w:tcPr>
          <w:p w14:paraId="74698E2D" w14:textId="77777777" w:rsidR="005216D1" w:rsidRPr="00BB2991" w:rsidRDefault="005216D1" w:rsidP="00457CE9">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0804CFC" w14:textId="77777777" w:rsidR="005216D1" w:rsidRPr="00BB2991" w:rsidRDefault="005216D1" w:rsidP="00457CE9">
            <w:pPr>
              <w:spacing w:after="0" w:line="240" w:lineRule="auto"/>
              <w:rPr>
                <w:rFonts w:ascii="Times New Roman" w:eastAsia="Times New Roman" w:hAnsi="Times New Roman" w:cs="Times New Roman"/>
                <w:sz w:val="24"/>
                <w:szCs w:val="24"/>
                <w:lang w:eastAsia="ru-RU"/>
              </w:rPr>
            </w:pPr>
          </w:p>
        </w:tc>
        <w:tc>
          <w:tcPr>
            <w:tcW w:w="1483" w:type="dxa"/>
            <w:tcBorders>
              <w:top w:val="single" w:sz="4" w:space="0" w:color="auto"/>
              <w:left w:val="single" w:sz="4" w:space="0" w:color="auto"/>
              <w:bottom w:val="single" w:sz="4" w:space="0" w:color="auto"/>
              <w:right w:val="single" w:sz="4" w:space="0" w:color="auto"/>
            </w:tcBorders>
            <w:noWrap/>
            <w:vAlign w:val="bottom"/>
            <w:hideMark/>
          </w:tcPr>
          <w:p w14:paraId="2516241C" w14:textId="0DAAB126" w:rsidR="005216D1" w:rsidRPr="00F61070" w:rsidRDefault="005216D1" w:rsidP="00457CE9">
            <w:pPr>
              <w:spacing w:after="0" w:line="240" w:lineRule="auto"/>
              <w:jc w:val="center"/>
              <w:rPr>
                <w:rFonts w:ascii="Times New Roman" w:eastAsia="Times New Roman" w:hAnsi="Times New Roman" w:cs="Times New Roman"/>
                <w:i/>
                <w:color w:val="000000"/>
                <w:sz w:val="24"/>
                <w:szCs w:val="24"/>
                <w:lang w:eastAsia="ru-RU"/>
              </w:rPr>
            </w:pPr>
            <w:r w:rsidRPr="00F61070">
              <w:rPr>
                <w:rFonts w:ascii="Times New Roman" w:hAnsi="Times New Roman" w:cs="Times New Roman"/>
                <w:bCs/>
                <w:i/>
                <w:color w:val="000000"/>
                <w:sz w:val="24"/>
                <w:szCs w:val="24"/>
              </w:rPr>
              <w:t>0,16502</w:t>
            </w:r>
          </w:p>
        </w:tc>
      </w:tr>
      <w:tr w:rsidR="005216D1" w:rsidRPr="00BB2991" w14:paraId="6ACC751A" w14:textId="77777777" w:rsidTr="00F61070">
        <w:trPr>
          <w:trHeight w:val="58"/>
          <w:jc w:val="center"/>
        </w:trPr>
        <w:tc>
          <w:tcPr>
            <w:tcW w:w="1193" w:type="dxa"/>
            <w:tcBorders>
              <w:top w:val="single" w:sz="4" w:space="0" w:color="auto"/>
              <w:left w:val="single" w:sz="4" w:space="0" w:color="auto"/>
              <w:bottom w:val="single" w:sz="4" w:space="0" w:color="auto"/>
              <w:right w:val="single" w:sz="4" w:space="0" w:color="auto"/>
            </w:tcBorders>
            <w:noWrap/>
            <w:vAlign w:val="center"/>
            <w:hideMark/>
          </w:tcPr>
          <w:p w14:paraId="466539A8" w14:textId="77777777" w:rsidR="005216D1" w:rsidRPr="00BB2991" w:rsidRDefault="005216D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2012" w:type="dxa"/>
            <w:tcBorders>
              <w:top w:val="single" w:sz="4" w:space="0" w:color="auto"/>
              <w:left w:val="single" w:sz="4" w:space="0" w:color="auto"/>
              <w:bottom w:val="single" w:sz="4" w:space="0" w:color="auto"/>
              <w:right w:val="single" w:sz="4" w:space="0" w:color="auto"/>
            </w:tcBorders>
            <w:vAlign w:val="bottom"/>
            <w:hideMark/>
          </w:tcPr>
          <w:p w14:paraId="3461B8F3" w14:textId="4E9AE70E" w:rsidR="005216D1" w:rsidRPr="00F61070" w:rsidRDefault="005216D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hAnsi="Times New Roman" w:cs="Times New Roman"/>
                <w:bCs/>
                <w:i/>
                <w:sz w:val="24"/>
                <w:szCs w:val="24"/>
              </w:rPr>
              <w:t>0,28169</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40110BB" w14:textId="13DFE858" w:rsidR="005216D1" w:rsidRPr="00BB2991" w:rsidRDefault="005216D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hAnsi="Times New Roman" w:cs="Times New Roman"/>
                <w:color w:val="000000"/>
                <w:sz w:val="24"/>
                <w:szCs w:val="24"/>
              </w:rPr>
              <w:t>0,227848</w:t>
            </w:r>
          </w:p>
        </w:tc>
        <w:tc>
          <w:tcPr>
            <w:tcW w:w="845" w:type="dxa"/>
            <w:tcBorders>
              <w:top w:val="single" w:sz="4" w:space="0" w:color="auto"/>
              <w:left w:val="single" w:sz="4" w:space="0" w:color="auto"/>
              <w:bottom w:val="single" w:sz="4" w:space="0" w:color="auto"/>
              <w:right w:val="single" w:sz="4" w:space="0" w:color="auto"/>
            </w:tcBorders>
          </w:tcPr>
          <w:p w14:paraId="57EB903A" w14:textId="77777777" w:rsidR="005216D1" w:rsidRPr="00BB2991" w:rsidRDefault="005216D1" w:rsidP="00457CE9">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0308E70D" w14:textId="77777777" w:rsidR="005216D1" w:rsidRPr="00BB2991" w:rsidRDefault="005216D1" w:rsidP="00457CE9">
            <w:pPr>
              <w:spacing w:after="0" w:line="240" w:lineRule="auto"/>
              <w:rPr>
                <w:rFonts w:ascii="Times New Roman" w:eastAsia="Times New Roman" w:hAnsi="Times New Roman" w:cs="Times New Roman"/>
                <w:sz w:val="24"/>
                <w:szCs w:val="24"/>
                <w:lang w:eastAsia="ru-RU"/>
              </w:rPr>
            </w:pPr>
          </w:p>
        </w:tc>
        <w:tc>
          <w:tcPr>
            <w:tcW w:w="1483" w:type="dxa"/>
            <w:tcBorders>
              <w:top w:val="single" w:sz="4" w:space="0" w:color="auto"/>
              <w:left w:val="single" w:sz="4" w:space="0" w:color="auto"/>
              <w:bottom w:val="single" w:sz="4" w:space="0" w:color="auto"/>
              <w:right w:val="single" w:sz="4" w:space="0" w:color="auto"/>
            </w:tcBorders>
            <w:noWrap/>
            <w:vAlign w:val="bottom"/>
            <w:hideMark/>
          </w:tcPr>
          <w:p w14:paraId="0794995F" w14:textId="79A74F23" w:rsidR="005216D1" w:rsidRPr="00F61070" w:rsidRDefault="005216D1" w:rsidP="00457CE9">
            <w:pPr>
              <w:spacing w:after="0" w:line="240" w:lineRule="auto"/>
              <w:jc w:val="center"/>
              <w:rPr>
                <w:rFonts w:ascii="Times New Roman" w:eastAsia="Times New Roman" w:hAnsi="Times New Roman" w:cs="Times New Roman"/>
                <w:i/>
                <w:color w:val="000000"/>
                <w:sz w:val="24"/>
                <w:szCs w:val="24"/>
                <w:lang w:eastAsia="ru-RU"/>
              </w:rPr>
            </w:pPr>
            <w:r w:rsidRPr="00F61070">
              <w:rPr>
                <w:rFonts w:ascii="Times New Roman" w:hAnsi="Times New Roman" w:cs="Times New Roman"/>
                <w:bCs/>
                <w:i/>
                <w:color w:val="000000"/>
                <w:sz w:val="24"/>
                <w:szCs w:val="24"/>
              </w:rPr>
              <w:t>0,25514</w:t>
            </w:r>
          </w:p>
        </w:tc>
      </w:tr>
      <w:tr w:rsidR="005216D1" w:rsidRPr="00BB2991" w14:paraId="2C05B6AE" w14:textId="77777777" w:rsidTr="00F61070">
        <w:trPr>
          <w:trHeight w:val="58"/>
          <w:jc w:val="center"/>
        </w:trPr>
        <w:tc>
          <w:tcPr>
            <w:tcW w:w="1193" w:type="dxa"/>
            <w:tcBorders>
              <w:top w:val="single" w:sz="4" w:space="0" w:color="auto"/>
              <w:left w:val="single" w:sz="4" w:space="0" w:color="auto"/>
              <w:bottom w:val="single" w:sz="4" w:space="0" w:color="auto"/>
              <w:right w:val="single" w:sz="4" w:space="0" w:color="auto"/>
            </w:tcBorders>
            <w:noWrap/>
            <w:vAlign w:val="center"/>
            <w:hideMark/>
          </w:tcPr>
          <w:p w14:paraId="40B561FE" w14:textId="77777777" w:rsidR="005216D1" w:rsidRPr="00BB2991" w:rsidRDefault="005216D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2012" w:type="dxa"/>
            <w:tcBorders>
              <w:top w:val="single" w:sz="4" w:space="0" w:color="auto"/>
              <w:left w:val="single" w:sz="4" w:space="0" w:color="auto"/>
              <w:bottom w:val="single" w:sz="4" w:space="0" w:color="auto"/>
              <w:right w:val="single" w:sz="4" w:space="0" w:color="auto"/>
            </w:tcBorders>
            <w:vAlign w:val="bottom"/>
            <w:hideMark/>
          </w:tcPr>
          <w:p w14:paraId="097D2C10" w14:textId="4BF08A39" w:rsidR="005216D1" w:rsidRPr="00F61070" w:rsidRDefault="005216D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hAnsi="Times New Roman" w:cs="Times New Roman"/>
                <w:bCs/>
                <w:i/>
                <w:sz w:val="24"/>
                <w:szCs w:val="24"/>
              </w:rPr>
              <w:t>0,225352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2100CAC" w14:textId="4CF01E56" w:rsidR="005216D1" w:rsidRPr="00BB2991" w:rsidRDefault="005216D1"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hAnsi="Times New Roman" w:cs="Times New Roman"/>
                <w:color w:val="000000"/>
                <w:sz w:val="24"/>
                <w:szCs w:val="24"/>
              </w:rPr>
              <w:t>0,202532</w:t>
            </w:r>
          </w:p>
        </w:tc>
        <w:tc>
          <w:tcPr>
            <w:tcW w:w="845" w:type="dxa"/>
            <w:tcBorders>
              <w:top w:val="single" w:sz="4" w:space="0" w:color="auto"/>
              <w:left w:val="single" w:sz="4" w:space="0" w:color="auto"/>
              <w:bottom w:val="single" w:sz="4" w:space="0" w:color="auto"/>
              <w:right w:val="single" w:sz="4" w:space="0" w:color="auto"/>
            </w:tcBorders>
          </w:tcPr>
          <w:p w14:paraId="5CC2F86D" w14:textId="77777777" w:rsidR="005216D1" w:rsidRPr="00BB2991" w:rsidRDefault="005216D1" w:rsidP="00457CE9">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EC1548D" w14:textId="77777777" w:rsidR="005216D1" w:rsidRPr="00BB2991" w:rsidRDefault="005216D1" w:rsidP="00457CE9">
            <w:pPr>
              <w:spacing w:after="0" w:line="240" w:lineRule="auto"/>
              <w:rPr>
                <w:rFonts w:ascii="Times New Roman" w:eastAsia="Times New Roman" w:hAnsi="Times New Roman" w:cs="Times New Roman"/>
                <w:sz w:val="24"/>
                <w:szCs w:val="24"/>
                <w:lang w:eastAsia="ru-RU"/>
              </w:rPr>
            </w:pPr>
          </w:p>
        </w:tc>
        <w:tc>
          <w:tcPr>
            <w:tcW w:w="1483" w:type="dxa"/>
            <w:tcBorders>
              <w:top w:val="single" w:sz="4" w:space="0" w:color="auto"/>
              <w:left w:val="single" w:sz="4" w:space="0" w:color="auto"/>
              <w:bottom w:val="single" w:sz="4" w:space="0" w:color="auto"/>
              <w:right w:val="single" w:sz="4" w:space="0" w:color="auto"/>
            </w:tcBorders>
            <w:noWrap/>
            <w:vAlign w:val="bottom"/>
            <w:hideMark/>
          </w:tcPr>
          <w:p w14:paraId="19D56EBB" w14:textId="1F1C687C" w:rsidR="005216D1" w:rsidRPr="00F61070" w:rsidRDefault="005216D1" w:rsidP="00457CE9">
            <w:pPr>
              <w:spacing w:after="0" w:line="240" w:lineRule="auto"/>
              <w:jc w:val="center"/>
              <w:rPr>
                <w:rFonts w:ascii="Times New Roman" w:eastAsia="Times New Roman" w:hAnsi="Times New Roman" w:cs="Times New Roman"/>
                <w:i/>
                <w:color w:val="000000"/>
                <w:sz w:val="24"/>
                <w:szCs w:val="24"/>
                <w:lang w:eastAsia="ru-RU"/>
              </w:rPr>
            </w:pPr>
            <w:r w:rsidRPr="00F61070">
              <w:rPr>
                <w:rFonts w:ascii="Times New Roman" w:hAnsi="Times New Roman" w:cs="Times New Roman"/>
                <w:bCs/>
                <w:i/>
                <w:color w:val="000000"/>
                <w:sz w:val="24"/>
                <w:szCs w:val="24"/>
              </w:rPr>
              <w:t>0,2141</w:t>
            </w:r>
          </w:p>
        </w:tc>
      </w:tr>
      <w:tr w:rsidR="00647B71" w:rsidRPr="00BB2991" w14:paraId="4DD0EAB6" w14:textId="77777777" w:rsidTr="00F61070">
        <w:trPr>
          <w:trHeight w:val="58"/>
          <w:jc w:val="center"/>
        </w:trPr>
        <w:tc>
          <w:tcPr>
            <w:tcW w:w="9644" w:type="dxa"/>
            <w:gridSpan w:val="6"/>
            <w:tcBorders>
              <w:top w:val="single" w:sz="4" w:space="0" w:color="auto"/>
              <w:left w:val="single" w:sz="4" w:space="0" w:color="auto"/>
              <w:bottom w:val="single" w:sz="4" w:space="0" w:color="auto"/>
              <w:right w:val="single" w:sz="4" w:space="0" w:color="auto"/>
            </w:tcBorders>
            <w:hideMark/>
          </w:tcPr>
          <w:p w14:paraId="723DF445" w14:textId="42345E99" w:rsidR="00647B71" w:rsidRPr="00BB2991" w:rsidRDefault="00647B71" w:rsidP="00457CE9">
            <w:pPr>
              <w:spacing w:after="0" w:line="240" w:lineRule="auto"/>
              <w:ind w:firstLine="601"/>
              <w:jc w:val="both"/>
              <w:rPr>
                <w:rFonts w:ascii="Times New Roman" w:eastAsia="Times New Roman" w:hAnsi="Times New Roman" w:cs="Times New Roman"/>
                <w:color w:val="000000"/>
                <w:sz w:val="24"/>
                <w:szCs w:val="24"/>
                <w:lang w:eastAsia="ru-RU"/>
              </w:rPr>
            </w:pPr>
            <w:r w:rsidRPr="00BB2991">
              <w:rPr>
                <w:rFonts w:ascii="Times New Roman" w:eastAsiaTheme="minorEastAsia" w:hAnsi="Times New Roman" w:cs="Times New Roman"/>
                <w:sz w:val="24"/>
                <w:szCs w:val="24"/>
                <w:lang w:val="kk-KZ"/>
              </w:rPr>
              <w:t xml:space="preserve">Ескерту – </w:t>
            </w:r>
            <w:r w:rsidR="00F61070"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2667ECD3" w14:textId="77777777" w:rsidR="00A23F7A" w:rsidRDefault="00A23F7A" w:rsidP="00F61070">
      <w:pPr>
        <w:spacing w:after="0" w:line="240" w:lineRule="auto"/>
        <w:ind w:firstLine="709"/>
        <w:jc w:val="both"/>
        <w:rPr>
          <w:rFonts w:ascii="Times New Roman" w:eastAsiaTheme="minorEastAsia" w:hAnsi="Times New Roman" w:cs="Times New Roman"/>
          <w:sz w:val="28"/>
          <w:szCs w:val="28"/>
          <w:lang w:val="kk-KZ"/>
        </w:rPr>
      </w:pPr>
    </w:p>
    <w:p w14:paraId="62C91478" w14:textId="67D3EF66" w:rsidR="00647B71" w:rsidRPr="00457CE9" w:rsidRDefault="00294763" w:rsidP="00F61070">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Ұқсас</w:t>
      </w:r>
      <w:r w:rsidR="00647B71" w:rsidRPr="00457CE9">
        <w:rPr>
          <w:rFonts w:ascii="Times New Roman" w:eastAsiaTheme="minorEastAsia" w:hAnsi="Times New Roman" w:cs="Times New Roman"/>
          <w:sz w:val="28"/>
          <w:szCs w:val="28"/>
          <w:lang w:val="kk-KZ"/>
        </w:rPr>
        <w:t xml:space="preserve"> әдіспен 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2021-2025 жж. дамытудың жоспарланған 1-міндеті бойынша 7 көрсеткіштерінің сандық мәліметтері иерархиялық талдау моделінде екінші деңгей факторлары ретінде анықталды, аталған жылдарға бөлінген бюджет қаражаттырының үлестері туралы мәлімет </w:t>
      </w:r>
      <w:r w:rsidR="00EB7D69">
        <w:rPr>
          <w:rFonts w:ascii="Times New Roman" w:eastAsiaTheme="minorEastAsia" w:hAnsi="Times New Roman" w:cs="Times New Roman"/>
          <w:sz w:val="28"/>
          <w:szCs w:val="28"/>
          <w:lang w:val="kk-KZ"/>
        </w:rPr>
        <w:t>75</w:t>
      </w:r>
      <w:r w:rsidR="00647B71" w:rsidRPr="00457CE9">
        <w:rPr>
          <w:rFonts w:ascii="Times New Roman" w:eastAsiaTheme="minorEastAsia" w:hAnsi="Times New Roman" w:cs="Times New Roman"/>
          <w:sz w:val="28"/>
          <w:szCs w:val="28"/>
          <w:lang w:val="kk-KZ"/>
        </w:rPr>
        <w:t xml:space="preserve">-кестеде келтірілген.  </w:t>
      </w:r>
    </w:p>
    <w:p w14:paraId="57231CF4"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w:p>
    <w:p w14:paraId="791AA2EA" w14:textId="746BE8E3"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75</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дамытудың жоспарланған 1-міндеті бойынша 7 көрсеткіштерінің сандық мәліметтері </w:t>
      </w:r>
    </w:p>
    <w:p w14:paraId="02CF8F48" w14:textId="77777777" w:rsidR="00F61070" w:rsidRPr="00F61070" w:rsidRDefault="00F61070" w:rsidP="00457CE9">
      <w:pPr>
        <w:spacing w:after="0" w:line="240" w:lineRule="auto"/>
        <w:jc w:val="both"/>
        <w:rPr>
          <w:rFonts w:ascii="Times New Roman" w:eastAsiaTheme="minorEastAsia" w:hAnsi="Times New Roman" w:cs="Times New Roman"/>
          <w:sz w:val="16"/>
          <w:szCs w:val="16"/>
          <w:lang w:val="kk-KZ"/>
        </w:rPr>
      </w:pPr>
    </w:p>
    <w:tbl>
      <w:tblPr>
        <w:tblStyle w:val="a3"/>
        <w:tblW w:w="9580" w:type="dxa"/>
        <w:jc w:val="center"/>
        <w:tblLook w:val="04A0" w:firstRow="1" w:lastRow="0" w:firstColumn="1" w:lastColumn="0" w:noHBand="0" w:noVBand="1"/>
      </w:tblPr>
      <w:tblGrid>
        <w:gridCol w:w="902"/>
        <w:gridCol w:w="7588"/>
        <w:gridCol w:w="1090"/>
      </w:tblGrid>
      <w:tr w:rsidR="00647B71" w:rsidRPr="00BB2991" w14:paraId="12C04D5F"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0DE8E8E4" w14:textId="674E725D" w:rsidR="00647B71" w:rsidRPr="00BB2991" w:rsidRDefault="00647B71" w:rsidP="00F61070">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Саны</w:t>
            </w:r>
          </w:p>
        </w:tc>
        <w:tc>
          <w:tcPr>
            <w:tcW w:w="7588" w:type="dxa"/>
            <w:tcBorders>
              <w:top w:val="single" w:sz="4" w:space="0" w:color="auto"/>
              <w:left w:val="single" w:sz="4" w:space="0" w:color="auto"/>
              <w:bottom w:val="single" w:sz="4" w:space="0" w:color="auto"/>
              <w:right w:val="single" w:sz="4" w:space="0" w:color="auto"/>
            </w:tcBorders>
            <w:vAlign w:val="center"/>
            <w:hideMark/>
          </w:tcPr>
          <w:p w14:paraId="3B3B2C4C" w14:textId="77777777" w:rsidR="00647B71" w:rsidRPr="00BB2991" w:rsidRDefault="00647B71" w:rsidP="00F61070">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Екінші деңгей факторлары</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81F45A9" w14:textId="77777777" w:rsidR="00647B71" w:rsidRPr="00BB2991" w:rsidRDefault="00647B71" w:rsidP="00F61070">
            <w:pPr>
              <w:jc w:val="center"/>
              <w:rPr>
                <w:rFonts w:ascii="Times New Roman" w:eastAsiaTheme="minorEastAsia" w:hAnsi="Times New Roman" w:cs="Times New Roman"/>
                <w:sz w:val="24"/>
                <w:szCs w:val="24"/>
              </w:rPr>
            </w:pPr>
            <w:r w:rsidRPr="00BB2991">
              <w:rPr>
                <w:rFonts w:ascii="Times New Roman" w:eastAsiaTheme="minorEastAsia" w:hAnsi="Times New Roman" w:cs="Times New Roman"/>
                <w:sz w:val="24"/>
                <w:szCs w:val="24"/>
                <w:lang w:val="kk-KZ"/>
              </w:rPr>
              <w:t xml:space="preserve">Үлесі, </w:t>
            </w:r>
            <w:r w:rsidRPr="00BB2991">
              <w:rPr>
                <w:rFonts w:ascii="Times New Roman" w:eastAsiaTheme="minorEastAsia" w:hAnsi="Times New Roman" w:cs="Times New Roman"/>
                <w:sz w:val="24"/>
                <w:szCs w:val="24"/>
              </w:rPr>
              <w:t>%</w:t>
            </w:r>
          </w:p>
        </w:tc>
      </w:tr>
      <w:tr w:rsidR="00647B71" w:rsidRPr="00BB2991" w14:paraId="08BE1218"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7664FB58"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w:t>
            </w:r>
          </w:p>
        </w:tc>
        <w:tc>
          <w:tcPr>
            <w:tcW w:w="7588" w:type="dxa"/>
            <w:tcBorders>
              <w:top w:val="single" w:sz="4" w:space="0" w:color="auto"/>
              <w:left w:val="single" w:sz="4" w:space="0" w:color="auto"/>
              <w:bottom w:val="single" w:sz="4" w:space="0" w:color="auto"/>
              <w:right w:val="single" w:sz="4" w:space="0" w:color="auto"/>
            </w:tcBorders>
            <w:hideMark/>
          </w:tcPr>
          <w:p w14:paraId="1B0B43E6"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1-көрсеткіш. Субсидия көлемін өсіру есебінен ауыл шаруашылығы техникасын сатып алуды 1,5 есеге ұлғайту,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A389BCF"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13,38</w:t>
            </w:r>
          </w:p>
        </w:tc>
      </w:tr>
      <w:tr w:rsidR="00647B71" w:rsidRPr="00BB2991" w14:paraId="56041E4D"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7EC8D78A"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w:t>
            </w:r>
          </w:p>
        </w:tc>
        <w:tc>
          <w:tcPr>
            <w:tcW w:w="7588" w:type="dxa"/>
            <w:tcBorders>
              <w:top w:val="single" w:sz="4" w:space="0" w:color="auto"/>
              <w:left w:val="single" w:sz="4" w:space="0" w:color="auto"/>
              <w:bottom w:val="single" w:sz="4" w:space="0" w:color="auto"/>
              <w:right w:val="single" w:sz="4" w:space="0" w:color="auto"/>
            </w:tcBorders>
            <w:hideMark/>
          </w:tcPr>
          <w:p w14:paraId="7A01CB8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2-көрсеткіш. Су үнемдеу технологиялары (тамшылатып суару, жаңбырлатып суару) қолданылатын жерлер алаңы, мың га</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1E9162A"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1,4</w:t>
            </w:r>
          </w:p>
        </w:tc>
      </w:tr>
      <w:tr w:rsidR="00647B71" w:rsidRPr="00BB2991" w14:paraId="23410D5D"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770B5007"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w:t>
            </w:r>
          </w:p>
        </w:tc>
        <w:tc>
          <w:tcPr>
            <w:tcW w:w="7588" w:type="dxa"/>
            <w:tcBorders>
              <w:top w:val="single" w:sz="4" w:space="0" w:color="auto"/>
              <w:left w:val="single" w:sz="4" w:space="0" w:color="auto"/>
              <w:bottom w:val="single" w:sz="4" w:space="0" w:color="auto"/>
              <w:right w:val="single" w:sz="4" w:space="0" w:color="auto"/>
            </w:tcBorders>
            <w:hideMark/>
          </w:tcPr>
          <w:p w14:paraId="080A178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3-көрсеткіш. Субсидиялау көлемін өсіру есебінен жоғары сапалы тұқымдарды 1,2 есе ұлғайту,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6346631"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7,45</w:t>
            </w:r>
          </w:p>
        </w:tc>
      </w:tr>
      <w:tr w:rsidR="00647B71" w:rsidRPr="00BB2991" w14:paraId="701FBEFD"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11AA7F08"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w:t>
            </w:r>
          </w:p>
        </w:tc>
        <w:tc>
          <w:tcPr>
            <w:tcW w:w="7588" w:type="dxa"/>
            <w:tcBorders>
              <w:top w:val="single" w:sz="4" w:space="0" w:color="auto"/>
              <w:left w:val="single" w:sz="4" w:space="0" w:color="auto"/>
              <w:bottom w:val="single" w:sz="4" w:space="0" w:color="auto"/>
              <w:right w:val="single" w:sz="4" w:space="0" w:color="auto"/>
            </w:tcBorders>
            <w:hideMark/>
          </w:tcPr>
          <w:p w14:paraId="54D80C0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4-көрсеткіш. Субсидиялау көлемін өсіру есебінен минералды тыңайтқыштарды 1,4 есе ұлғайту,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F5161BE"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15,05</w:t>
            </w:r>
          </w:p>
        </w:tc>
      </w:tr>
      <w:tr w:rsidR="00647B71" w:rsidRPr="00BB2991" w14:paraId="3692421D"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0CEEF19D"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5</w:t>
            </w:r>
          </w:p>
        </w:tc>
        <w:tc>
          <w:tcPr>
            <w:tcW w:w="7588" w:type="dxa"/>
            <w:tcBorders>
              <w:top w:val="single" w:sz="4" w:space="0" w:color="auto"/>
              <w:left w:val="single" w:sz="4" w:space="0" w:color="auto"/>
              <w:bottom w:val="single" w:sz="4" w:space="0" w:color="auto"/>
              <w:right w:val="single" w:sz="4" w:space="0" w:color="auto"/>
            </w:tcBorders>
            <w:hideMark/>
          </w:tcPr>
          <w:p w14:paraId="45B7D7B2"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5-көрсеткіш. Егістікті (сүрі жерлерді) тиімді өңдеуге арналған өсімдіктерді қорғау құралдарын сатып алу шығындарының 50 %-ын субсидиялау, млн га</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8DAA254"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16,11</w:t>
            </w:r>
          </w:p>
        </w:tc>
      </w:tr>
      <w:tr w:rsidR="00647B71" w:rsidRPr="00BB2991" w14:paraId="31711567"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23FF24F5"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6</w:t>
            </w:r>
          </w:p>
        </w:tc>
        <w:tc>
          <w:tcPr>
            <w:tcW w:w="7588" w:type="dxa"/>
            <w:tcBorders>
              <w:top w:val="single" w:sz="4" w:space="0" w:color="auto"/>
              <w:left w:val="single" w:sz="4" w:space="0" w:color="auto"/>
              <w:bottom w:val="single" w:sz="4" w:space="0" w:color="auto"/>
              <w:right w:val="single" w:sz="4" w:space="0" w:color="auto"/>
            </w:tcBorders>
            <w:hideMark/>
          </w:tcPr>
          <w:p w14:paraId="0E399D5A"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6-көрсеткіш. ІҚМ-нің орташа тірідей салмағы, кг</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3565113"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42,27</w:t>
            </w:r>
          </w:p>
        </w:tc>
      </w:tr>
      <w:tr w:rsidR="00647B71" w:rsidRPr="00BB2991" w14:paraId="158091E6" w14:textId="77777777" w:rsidTr="00F61070">
        <w:trPr>
          <w:jc w:val="center"/>
        </w:trPr>
        <w:tc>
          <w:tcPr>
            <w:tcW w:w="902" w:type="dxa"/>
            <w:tcBorders>
              <w:top w:val="single" w:sz="4" w:space="0" w:color="auto"/>
              <w:left w:val="single" w:sz="4" w:space="0" w:color="auto"/>
              <w:bottom w:val="single" w:sz="4" w:space="0" w:color="auto"/>
              <w:right w:val="single" w:sz="4" w:space="0" w:color="auto"/>
            </w:tcBorders>
            <w:vAlign w:val="center"/>
            <w:hideMark/>
          </w:tcPr>
          <w:p w14:paraId="5A4EDF8A" w14:textId="77777777" w:rsidR="00647B71" w:rsidRPr="00BB2991" w:rsidRDefault="00647B71" w:rsidP="00457CE9">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7</w:t>
            </w:r>
          </w:p>
        </w:tc>
        <w:tc>
          <w:tcPr>
            <w:tcW w:w="7588" w:type="dxa"/>
            <w:tcBorders>
              <w:top w:val="single" w:sz="4" w:space="0" w:color="auto"/>
              <w:left w:val="single" w:sz="4" w:space="0" w:color="auto"/>
              <w:bottom w:val="single" w:sz="4" w:space="0" w:color="auto"/>
              <w:right w:val="single" w:sz="4" w:space="0" w:color="auto"/>
            </w:tcBorders>
            <w:hideMark/>
          </w:tcPr>
          <w:p w14:paraId="1EE2AA25"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lang w:val="kk-KZ"/>
              </w:rPr>
              <w:t>7-көрсеткіш. АӨК-ге енгізілген аяқталған ғылыми әзірлемелердің үлесі, %</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8A60E54" w14:textId="77777777" w:rsidR="00647B71" w:rsidRPr="00F61070" w:rsidRDefault="00647B71" w:rsidP="00457CE9">
            <w:pPr>
              <w:jc w:val="center"/>
              <w:rPr>
                <w:rFonts w:ascii="Times New Roman" w:eastAsiaTheme="minorEastAsia" w:hAnsi="Times New Roman" w:cs="Times New Roman"/>
                <w:i/>
                <w:sz w:val="24"/>
                <w:szCs w:val="24"/>
                <w:lang w:val="kk-KZ"/>
              </w:rPr>
            </w:pPr>
            <w:r w:rsidRPr="00F61070">
              <w:rPr>
                <w:rFonts w:ascii="Times New Roman" w:hAnsi="Times New Roman" w:cs="Times New Roman"/>
                <w:bCs/>
                <w:i/>
                <w:sz w:val="24"/>
                <w:szCs w:val="24"/>
              </w:rPr>
              <w:t>0,12</w:t>
            </w:r>
          </w:p>
        </w:tc>
      </w:tr>
      <w:tr w:rsidR="00647B71" w:rsidRPr="00BB2991" w14:paraId="7632CC5A" w14:textId="77777777" w:rsidTr="00F61070">
        <w:trPr>
          <w:jc w:val="center"/>
        </w:trPr>
        <w:tc>
          <w:tcPr>
            <w:tcW w:w="9580" w:type="dxa"/>
            <w:gridSpan w:val="3"/>
            <w:tcBorders>
              <w:top w:val="single" w:sz="4" w:space="0" w:color="auto"/>
              <w:left w:val="single" w:sz="4" w:space="0" w:color="auto"/>
              <w:bottom w:val="single" w:sz="4" w:space="0" w:color="auto"/>
              <w:right w:val="single" w:sz="4" w:space="0" w:color="auto"/>
            </w:tcBorders>
            <w:vAlign w:val="center"/>
            <w:hideMark/>
          </w:tcPr>
          <w:p w14:paraId="0069CEE5" w14:textId="0548D257" w:rsidR="00647B71" w:rsidRPr="00BB2991" w:rsidRDefault="00647B71" w:rsidP="00F61070">
            <w:pPr>
              <w:ind w:firstLine="555"/>
              <w:rPr>
                <w:rFonts w:ascii="Times New Roman" w:hAnsi="Times New Roman" w:cs="Times New Roman"/>
                <w:b/>
                <w:bCs/>
                <w:color w:val="7030A0"/>
                <w:sz w:val="24"/>
                <w:szCs w:val="24"/>
              </w:rPr>
            </w:pPr>
            <w:r w:rsidRPr="00BB2991">
              <w:rPr>
                <w:rFonts w:ascii="Times New Roman" w:eastAsiaTheme="minorEastAsia" w:hAnsi="Times New Roman" w:cs="Times New Roman"/>
                <w:sz w:val="24"/>
                <w:szCs w:val="24"/>
                <w:lang w:val="kk-KZ"/>
              </w:rPr>
              <w:t xml:space="preserve">Ескерту – </w:t>
            </w:r>
            <w:r w:rsidR="00F61070" w:rsidRPr="00BB2991">
              <w:rPr>
                <w:rFonts w:ascii="Times New Roman" w:eastAsiaTheme="minorEastAsia" w:hAnsi="Times New Roman" w:cs="Times New Roman"/>
                <w:sz w:val="24"/>
                <w:szCs w:val="24"/>
                <w:lang w:val="kk-KZ"/>
              </w:rPr>
              <w:t>А</w:t>
            </w:r>
            <w:r w:rsidRPr="00BB2991">
              <w:rPr>
                <w:rFonts w:ascii="Times New Roman" w:eastAsiaTheme="minorEastAsia" w:hAnsi="Times New Roman" w:cs="Times New Roman"/>
                <w:sz w:val="24"/>
                <w:szCs w:val="24"/>
                <w:lang w:val="kk-KZ"/>
              </w:rPr>
              <w:t>втормен құрастырылған</w:t>
            </w:r>
          </w:p>
        </w:tc>
      </w:tr>
    </w:tbl>
    <w:p w14:paraId="15D69C80" w14:textId="77777777" w:rsidR="00647B71" w:rsidRPr="00457CE9" w:rsidRDefault="00647B71" w:rsidP="00457CE9">
      <w:pPr>
        <w:spacing w:after="0" w:line="240" w:lineRule="auto"/>
        <w:ind w:firstLine="851"/>
        <w:jc w:val="both"/>
        <w:rPr>
          <w:rFonts w:ascii="Times New Roman" w:eastAsiaTheme="minorEastAsia" w:hAnsi="Times New Roman" w:cs="Times New Roman"/>
          <w:sz w:val="28"/>
          <w:lang w:val="kk-KZ"/>
        </w:rPr>
      </w:pPr>
    </w:p>
    <w:p w14:paraId="653E897A" w14:textId="435B0290" w:rsidR="00647B71" w:rsidRPr="00457CE9" w:rsidRDefault="00EB7D69"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75</w:t>
      </w:r>
      <w:r w:rsidR="00647B71" w:rsidRPr="00457CE9">
        <w:rPr>
          <w:rFonts w:ascii="Times New Roman" w:eastAsiaTheme="minorEastAsia" w:hAnsi="Times New Roman" w:cs="Times New Roman"/>
          <w:sz w:val="28"/>
          <w:szCs w:val="28"/>
          <w:lang w:val="kk-KZ"/>
        </w:rPr>
        <w:t xml:space="preserve">-кесте мәліметтерінен 1-міндет бойынша 7 көрсеткіш орындалуға жоспарланған, әр көрсеткіштерге бөлінген бюджет қаражатының үлестері есептелді, және оның мәндерін жұптық салыстыру матрицасында анықтау </w:t>
      </w:r>
      <w:r w:rsidR="00B90011" w:rsidRPr="00457CE9">
        <w:rPr>
          <w:rFonts w:ascii="Times New Roman" w:eastAsiaTheme="minorEastAsia" w:hAnsi="Times New Roman" w:cs="Times New Roman"/>
          <w:sz w:val="28"/>
          <w:szCs w:val="28"/>
          <w:lang w:val="kk-KZ"/>
        </w:rPr>
        <w:t>7</w:t>
      </w:r>
      <w:r>
        <w:rPr>
          <w:rFonts w:ascii="Times New Roman" w:eastAsiaTheme="minorEastAsia" w:hAnsi="Times New Roman" w:cs="Times New Roman"/>
          <w:sz w:val="28"/>
          <w:szCs w:val="28"/>
          <w:lang w:val="kk-KZ"/>
        </w:rPr>
        <w:t>6</w:t>
      </w:r>
      <w:r w:rsidR="00647B71" w:rsidRPr="00457CE9">
        <w:rPr>
          <w:rFonts w:ascii="Times New Roman" w:eastAsiaTheme="minorEastAsia" w:hAnsi="Times New Roman" w:cs="Times New Roman"/>
          <w:sz w:val="28"/>
          <w:szCs w:val="28"/>
          <w:lang w:val="kk-KZ"/>
        </w:rPr>
        <w:t>-кестеде келтірілген.</w:t>
      </w:r>
    </w:p>
    <w:p w14:paraId="2B2D0941" w14:textId="7777777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p>
    <w:p w14:paraId="79C8C6B8" w14:textId="20D9CD9D"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6</w:t>
      </w:r>
      <w:r w:rsidRPr="00457CE9">
        <w:rPr>
          <w:rFonts w:ascii="Times New Roman" w:eastAsiaTheme="minorEastAsia" w:hAnsi="Times New Roman" w:cs="Times New Roman"/>
          <w:sz w:val="28"/>
          <w:szCs w:val="28"/>
          <w:lang w:val="kk-KZ"/>
        </w:rPr>
        <w:t xml:space="preserve">–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екінші деңгей факторлары 1-міндет бойынша 7 көрсеткіштің сандық мәліметтерінің жұптық салыстыру матрицасының нәтижесі</w:t>
      </w:r>
    </w:p>
    <w:p w14:paraId="4B93539F" w14:textId="77777777" w:rsidR="00F61070" w:rsidRPr="00F61070" w:rsidRDefault="00F61070" w:rsidP="00457CE9">
      <w:pPr>
        <w:spacing w:after="0" w:line="240" w:lineRule="auto"/>
        <w:jc w:val="both"/>
        <w:rPr>
          <w:rFonts w:ascii="Times New Roman" w:eastAsiaTheme="minorEastAsia" w:hAnsi="Times New Roman" w:cs="Times New Roman"/>
          <w:sz w:val="16"/>
          <w:szCs w:val="16"/>
          <w:lang w:val="kk-KZ"/>
        </w:rPr>
      </w:pP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789"/>
        <w:gridCol w:w="876"/>
        <w:gridCol w:w="876"/>
        <w:gridCol w:w="876"/>
        <w:gridCol w:w="876"/>
        <w:gridCol w:w="876"/>
        <w:gridCol w:w="876"/>
        <w:gridCol w:w="876"/>
        <w:gridCol w:w="1049"/>
        <w:gridCol w:w="1311"/>
      </w:tblGrid>
      <w:tr w:rsidR="00F61070" w:rsidRPr="00BB2991" w14:paraId="34ACD90B" w14:textId="77777777" w:rsidTr="00117667">
        <w:trPr>
          <w:trHeight w:val="58"/>
          <w:jc w:val="center"/>
        </w:trPr>
        <w:tc>
          <w:tcPr>
            <w:tcW w:w="380" w:type="dxa"/>
            <w:vMerge w:val="restart"/>
            <w:tcBorders>
              <w:top w:val="single" w:sz="4" w:space="0" w:color="auto"/>
              <w:left w:val="single" w:sz="4" w:space="0" w:color="auto"/>
              <w:right w:val="single" w:sz="4" w:space="0" w:color="auto"/>
            </w:tcBorders>
            <w:noWrap/>
            <w:vAlign w:val="center"/>
            <w:hideMark/>
          </w:tcPr>
          <w:p w14:paraId="267C8552" w14:textId="77777777" w:rsidR="00F61070" w:rsidRPr="00BB2991" w:rsidRDefault="00F61070" w:rsidP="00F61070">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К</w:t>
            </w:r>
          </w:p>
        </w:tc>
        <w:tc>
          <w:tcPr>
            <w:tcW w:w="789" w:type="dxa"/>
            <w:vMerge w:val="restart"/>
            <w:tcBorders>
              <w:top w:val="single" w:sz="4" w:space="0" w:color="auto"/>
              <w:left w:val="single" w:sz="4" w:space="0" w:color="auto"/>
              <w:right w:val="single" w:sz="4" w:space="0" w:color="auto"/>
            </w:tcBorders>
            <w:noWrap/>
            <w:vAlign w:val="center"/>
            <w:hideMark/>
          </w:tcPr>
          <w:p w14:paraId="121353AA" w14:textId="59AE83CF" w:rsidR="00F61070" w:rsidRPr="00BB2991" w:rsidRDefault="00F61070"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Үлесі</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A7D4F11"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44EFC65"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65357187"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4E5122C8"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9B02B39"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676F803"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6D153772"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61FCFEA2" w14:textId="77777777" w:rsidR="00F61070" w:rsidRPr="00BB2991" w:rsidRDefault="00F61070" w:rsidP="00F61070">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СГЕОМ</w:t>
            </w:r>
          </w:p>
        </w:tc>
        <w:tc>
          <w:tcPr>
            <w:tcW w:w="1311" w:type="dxa"/>
            <w:vMerge w:val="restart"/>
            <w:tcBorders>
              <w:top w:val="single" w:sz="4" w:space="0" w:color="auto"/>
              <w:left w:val="single" w:sz="4" w:space="0" w:color="auto"/>
              <w:bottom w:val="single" w:sz="4" w:space="0" w:color="auto"/>
              <w:right w:val="single" w:sz="4" w:space="0" w:color="auto"/>
            </w:tcBorders>
            <w:noWrap/>
            <w:vAlign w:val="center"/>
            <w:hideMark/>
          </w:tcPr>
          <w:p w14:paraId="41C16E2F" w14:textId="77777777" w:rsidR="00F61070" w:rsidRPr="00BB2991" w:rsidRDefault="00F61070" w:rsidP="00F61070">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color w:val="000000"/>
                <w:sz w:val="24"/>
                <w:szCs w:val="24"/>
                <w:lang w:eastAsia="ru-RU"/>
              </w:rPr>
              <w:t>М</w:t>
            </w:r>
            <w:r w:rsidRPr="00BB2991">
              <w:rPr>
                <w:rFonts w:ascii="Times New Roman" w:eastAsia="Times New Roman" w:hAnsi="Times New Roman" w:cs="Times New Roman"/>
                <w:color w:val="000000"/>
                <w:sz w:val="24"/>
                <w:szCs w:val="24"/>
                <w:lang w:val="kk-KZ" w:eastAsia="ru-RU"/>
              </w:rPr>
              <w:t>еншікті вектор</w:t>
            </w:r>
          </w:p>
        </w:tc>
      </w:tr>
      <w:tr w:rsidR="00F61070" w:rsidRPr="00BB2991" w14:paraId="0F462AD3" w14:textId="77777777" w:rsidTr="00117667">
        <w:trPr>
          <w:trHeight w:val="58"/>
          <w:jc w:val="center"/>
        </w:trPr>
        <w:tc>
          <w:tcPr>
            <w:tcW w:w="380" w:type="dxa"/>
            <w:vMerge/>
            <w:tcBorders>
              <w:left w:val="single" w:sz="4" w:space="0" w:color="auto"/>
              <w:bottom w:val="single" w:sz="4" w:space="0" w:color="auto"/>
              <w:right w:val="single" w:sz="4" w:space="0" w:color="auto"/>
            </w:tcBorders>
            <w:noWrap/>
            <w:vAlign w:val="center"/>
            <w:hideMark/>
          </w:tcPr>
          <w:p w14:paraId="660F37E9" w14:textId="77777777" w:rsidR="00F61070" w:rsidRPr="00BB2991" w:rsidRDefault="00F61070" w:rsidP="00457CE9">
            <w:pPr>
              <w:spacing w:after="0" w:line="240" w:lineRule="auto"/>
              <w:rPr>
                <w:rFonts w:ascii="Times New Roman" w:eastAsia="Times New Roman" w:hAnsi="Times New Roman" w:cs="Times New Roman"/>
                <w:sz w:val="24"/>
                <w:szCs w:val="24"/>
                <w:lang w:eastAsia="ru-RU"/>
              </w:rPr>
            </w:pPr>
          </w:p>
        </w:tc>
        <w:tc>
          <w:tcPr>
            <w:tcW w:w="789" w:type="dxa"/>
            <w:vMerge/>
            <w:tcBorders>
              <w:left w:val="single" w:sz="4" w:space="0" w:color="auto"/>
              <w:bottom w:val="single" w:sz="4" w:space="0" w:color="auto"/>
              <w:right w:val="single" w:sz="4" w:space="0" w:color="auto"/>
            </w:tcBorders>
            <w:noWrap/>
            <w:vAlign w:val="center"/>
            <w:hideMark/>
          </w:tcPr>
          <w:p w14:paraId="70E0D955" w14:textId="1C96A116" w:rsidR="00F61070" w:rsidRPr="00BB2991" w:rsidRDefault="00F61070" w:rsidP="00457CE9">
            <w:pPr>
              <w:spacing w:after="0" w:line="240" w:lineRule="auto"/>
              <w:jc w:val="center"/>
              <w:rPr>
                <w:rFonts w:ascii="Times New Roman" w:eastAsia="Times New Roman" w:hAnsi="Times New Roman" w:cs="Times New Roman"/>
                <w:sz w:val="24"/>
                <w:szCs w:val="24"/>
                <w:lang w:val="kk-KZ" w:eastAsia="ru-RU"/>
              </w:rPr>
            </w:pP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CFE7D19"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13,38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4A122596"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538CEEC"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7,45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F670EFF"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15,05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FB72F9F"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16,11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1AA9838"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42,27</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89E4B54" w14:textId="77777777" w:rsidR="00F61070" w:rsidRPr="00F61070" w:rsidRDefault="00F61070"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0,12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C84B9" w14:textId="77777777" w:rsidR="00F61070" w:rsidRPr="00BB2991" w:rsidRDefault="00F61070" w:rsidP="00457CE9">
            <w:pPr>
              <w:spacing w:after="0" w:line="240" w:lineRule="auto"/>
              <w:rPr>
                <w:rFonts w:ascii="Times New Roman" w:eastAsia="Times New Roman" w:hAnsi="Times New Roman" w:cs="Times New Roman"/>
                <w:color w:val="000000"/>
                <w:sz w:val="24"/>
                <w:szCs w:val="24"/>
                <w:lang w:eastAsia="ru-RU"/>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4A3C884F" w14:textId="77777777" w:rsidR="00F61070" w:rsidRPr="00BB2991" w:rsidRDefault="00F61070" w:rsidP="00457CE9">
            <w:pPr>
              <w:spacing w:after="0" w:line="240" w:lineRule="auto"/>
              <w:rPr>
                <w:rFonts w:ascii="Times New Roman" w:eastAsia="Times New Roman" w:hAnsi="Times New Roman" w:cs="Times New Roman"/>
                <w:sz w:val="24"/>
                <w:szCs w:val="24"/>
                <w:lang w:eastAsia="ru-RU"/>
              </w:rPr>
            </w:pPr>
          </w:p>
        </w:tc>
      </w:tr>
      <w:tr w:rsidR="00647B71" w:rsidRPr="00BB2991" w14:paraId="5EF1D792"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11E5984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300EA08C"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13,38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C31F7C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63FB236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9,5571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489C9E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1,796</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514B36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0,889</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63397F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0,8305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459A9E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0,3165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ED7241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111,5</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3E8F2EF0"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2,39143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87EB6"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0,1396951</w:t>
            </w:r>
          </w:p>
        </w:tc>
      </w:tr>
      <w:tr w:rsidR="00647B71" w:rsidRPr="00BB2991" w14:paraId="3BD9A125"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7EE7D28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1E83903B"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840FA8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0,1046</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FD7F7B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B4800A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0,1879</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644EBFB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0,093</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C1DCBA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0,0869</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E1A053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0,0331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7477A2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11,667</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7C27171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0,25022</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CD7A6"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0,0146168</w:t>
            </w:r>
          </w:p>
        </w:tc>
      </w:tr>
      <w:tr w:rsidR="00647B71" w:rsidRPr="00BB2991" w14:paraId="7D39CA13"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2707D7D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72F13ECE"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7,45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C0358E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0,5568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776575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5,3214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201214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067ADD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0,495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484D84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0,4624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076A57F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0,1762</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5BC6FD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62,083</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791BB39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1,33155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A1CB"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0,0777824</w:t>
            </w:r>
          </w:p>
        </w:tc>
      </w:tr>
      <w:tr w:rsidR="00647B71" w:rsidRPr="00BB2991" w14:paraId="68ECDBCC"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2D0A393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7C426FDC"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15,05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BCA4C8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1,1248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AE779F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10,75</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D3FC4A9"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2,0201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2687AD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D3E203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0,9342</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4367A79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0,356</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A95271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125,42</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470A8CE1"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2,68991</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6BA0"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0,1571309</w:t>
            </w:r>
          </w:p>
        </w:tc>
      </w:tr>
      <w:tr w:rsidR="00647B71" w:rsidRPr="00BB2991" w14:paraId="33510061"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61B918E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14FDDA39"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16,11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69A970E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1,204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45E4B74"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11,507</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08177AF"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2,1624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1D9468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1,0704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77437C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08BF19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0,3811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3BFAE6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134,25</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5B91A37E"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2,87937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9F3F5"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0,168198</w:t>
            </w:r>
          </w:p>
        </w:tc>
      </w:tr>
      <w:tr w:rsidR="00647B71" w:rsidRPr="00BB2991" w14:paraId="297E4620"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4588652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1C9E4452"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42,27</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EAFB08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3,1592</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51390AB"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30,193</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4AA1CC5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5,6738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C29AFE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2,8086</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64DF98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2,6238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86A63E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44871657"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352,25</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0D70F2C2"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7,555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DA636"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0,4413239</w:t>
            </w:r>
          </w:p>
        </w:tc>
      </w:tr>
      <w:tr w:rsidR="00647B71" w:rsidRPr="00BB2991" w14:paraId="2CB101E3"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6C5511AA"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16939102" w14:textId="77777777" w:rsidR="00647B71" w:rsidRPr="00F61070" w:rsidRDefault="00647B71" w:rsidP="00457CE9">
            <w:pPr>
              <w:spacing w:after="0" w:line="240" w:lineRule="auto"/>
              <w:jc w:val="center"/>
              <w:rPr>
                <w:rFonts w:ascii="Times New Roman" w:eastAsia="Times New Roman" w:hAnsi="Times New Roman" w:cs="Times New Roman"/>
                <w:i/>
                <w:sz w:val="24"/>
                <w:szCs w:val="24"/>
                <w:lang w:eastAsia="ru-RU"/>
              </w:rPr>
            </w:pPr>
            <w:r w:rsidRPr="00F61070">
              <w:rPr>
                <w:rFonts w:ascii="Times New Roman" w:eastAsia="Times New Roman" w:hAnsi="Times New Roman" w:cs="Times New Roman"/>
                <w:i/>
                <w:sz w:val="24"/>
                <w:szCs w:val="24"/>
                <w:lang w:eastAsia="ru-RU"/>
              </w:rPr>
              <w:t>0,12</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62EC315"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0,009</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AFECFC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0,0857</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C76B6C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0,0161</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14EB8D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0,008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41549E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0,0074</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4FC0CED3"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0,0028</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2CB5F6D"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3F18AC38"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0,02145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3AF18" w14:textId="77777777" w:rsidR="00647B71" w:rsidRPr="00F61070"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F61070">
              <w:rPr>
                <w:rFonts w:ascii="Times New Roman" w:eastAsia="Times New Roman" w:hAnsi="Times New Roman" w:cs="Times New Roman"/>
                <w:bCs/>
                <w:i/>
                <w:color w:val="000000"/>
                <w:sz w:val="24"/>
                <w:szCs w:val="24"/>
                <w:lang w:eastAsia="ru-RU"/>
              </w:rPr>
              <w:t>0,0012529</w:t>
            </w:r>
          </w:p>
        </w:tc>
      </w:tr>
      <w:tr w:rsidR="00647B71" w:rsidRPr="00BB2991" w14:paraId="522DACA4" w14:textId="77777777" w:rsidTr="00117667">
        <w:trPr>
          <w:trHeight w:val="58"/>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14:paraId="1DA236F6" w14:textId="1AF8A41D" w:rsidR="00647B71" w:rsidRPr="00F61070" w:rsidRDefault="00F61070" w:rsidP="00457CE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w:t>
            </w:r>
          </w:p>
        </w:tc>
        <w:tc>
          <w:tcPr>
            <w:tcW w:w="789" w:type="dxa"/>
            <w:tcBorders>
              <w:top w:val="single" w:sz="4" w:space="0" w:color="auto"/>
              <w:left w:val="single" w:sz="4" w:space="0" w:color="auto"/>
              <w:bottom w:val="single" w:sz="4" w:space="0" w:color="auto"/>
              <w:right w:val="single" w:sz="4" w:space="0" w:color="auto"/>
            </w:tcBorders>
            <w:noWrap/>
            <w:vAlign w:val="center"/>
            <w:hideMark/>
          </w:tcPr>
          <w:p w14:paraId="73233882" w14:textId="4FBCBD86"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293BB576" w14:textId="16BF95D6"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2AD286F" w14:textId="4EE3EDEF"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7F52FD8" w14:textId="192BD6B3"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143965AF" w14:textId="41D84195"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78FEB9EC" w14:textId="2058BF95"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5F2F7A49" w14:textId="07BA716D"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876" w:type="dxa"/>
            <w:tcBorders>
              <w:top w:val="single" w:sz="4" w:space="0" w:color="auto"/>
              <w:left w:val="single" w:sz="4" w:space="0" w:color="auto"/>
              <w:bottom w:val="single" w:sz="4" w:space="0" w:color="auto"/>
              <w:right w:val="single" w:sz="4" w:space="0" w:color="auto"/>
            </w:tcBorders>
            <w:noWrap/>
            <w:vAlign w:val="center"/>
            <w:hideMark/>
          </w:tcPr>
          <w:p w14:paraId="3B731D8F" w14:textId="169E2237" w:rsidR="00647B71" w:rsidRPr="00F61070" w:rsidRDefault="00F61070" w:rsidP="00457CE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p>
        </w:tc>
        <w:tc>
          <w:tcPr>
            <w:tcW w:w="1049" w:type="dxa"/>
            <w:tcBorders>
              <w:top w:val="single" w:sz="4" w:space="0" w:color="auto"/>
              <w:left w:val="single" w:sz="4" w:space="0" w:color="auto"/>
              <w:bottom w:val="single" w:sz="4" w:space="0" w:color="auto"/>
              <w:right w:val="single" w:sz="4" w:space="0" w:color="auto"/>
            </w:tcBorders>
            <w:noWrap/>
            <w:vAlign w:val="center"/>
            <w:hideMark/>
          </w:tcPr>
          <w:p w14:paraId="4A41C506"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17,1189</w:t>
            </w: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58305B5C" w14:textId="77777777" w:rsidR="00647B71" w:rsidRPr="00BB2991" w:rsidRDefault="00647B71" w:rsidP="00457CE9">
            <w:pPr>
              <w:spacing w:after="0" w:line="240" w:lineRule="auto"/>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r>
      <w:tr w:rsidR="00647B71" w:rsidRPr="00BB2991" w14:paraId="18ACF4AF" w14:textId="77777777" w:rsidTr="00117667">
        <w:trPr>
          <w:trHeight w:val="288"/>
          <w:jc w:val="center"/>
        </w:trPr>
        <w:tc>
          <w:tcPr>
            <w:tcW w:w="9661" w:type="dxa"/>
            <w:gridSpan w:val="11"/>
            <w:tcBorders>
              <w:top w:val="single" w:sz="4" w:space="0" w:color="auto"/>
              <w:left w:val="single" w:sz="4" w:space="0" w:color="auto"/>
              <w:bottom w:val="single" w:sz="4" w:space="0" w:color="auto"/>
              <w:right w:val="single" w:sz="4" w:space="0" w:color="auto"/>
            </w:tcBorders>
            <w:noWrap/>
            <w:vAlign w:val="center"/>
            <w:hideMark/>
          </w:tcPr>
          <w:p w14:paraId="3D44EFB6" w14:textId="17FBC620" w:rsidR="00647B71" w:rsidRPr="00BB2991" w:rsidRDefault="00647B71" w:rsidP="00F61070">
            <w:pPr>
              <w:spacing w:after="0" w:line="240" w:lineRule="auto"/>
              <w:ind w:firstLine="686"/>
              <w:jc w:val="both"/>
              <w:rPr>
                <w:rFonts w:ascii="Times New Roman" w:eastAsia="Times New Roman" w:hAnsi="Times New Roman" w:cs="Times New Roman"/>
                <w:color w:val="000000"/>
                <w:sz w:val="24"/>
                <w:szCs w:val="24"/>
                <w:lang w:val="kk-KZ" w:eastAsia="ru-RU"/>
              </w:rPr>
            </w:pPr>
            <w:r w:rsidRPr="00BB2991">
              <w:rPr>
                <w:rFonts w:ascii="Times New Roman" w:eastAsiaTheme="minorEastAsia" w:hAnsi="Times New Roman" w:cs="Times New Roman"/>
                <w:sz w:val="24"/>
                <w:szCs w:val="24"/>
                <w:lang w:val="kk-KZ"/>
              </w:rPr>
              <w:t xml:space="preserve">Ескерту – </w:t>
            </w:r>
            <w:r w:rsidR="00117667" w:rsidRPr="00BB2991">
              <w:rPr>
                <w:rFonts w:ascii="Times New Roman" w:eastAsiaTheme="minorEastAsia" w:hAnsi="Times New Roman" w:cs="Times New Roman"/>
                <w:sz w:val="24"/>
                <w:szCs w:val="24"/>
                <w:lang w:val="kk-KZ"/>
              </w:rPr>
              <w:t xml:space="preserve">Автормен </w:t>
            </w:r>
            <w:r w:rsidRPr="00BB2991">
              <w:rPr>
                <w:rFonts w:ascii="Times New Roman" w:eastAsiaTheme="minorEastAsia" w:hAnsi="Times New Roman" w:cs="Times New Roman"/>
                <w:sz w:val="24"/>
                <w:szCs w:val="24"/>
                <w:lang w:val="kk-KZ"/>
              </w:rPr>
              <w:t>құрастырылған</w:t>
            </w:r>
          </w:p>
        </w:tc>
      </w:tr>
    </w:tbl>
    <w:p w14:paraId="4DAF6FB2" w14:textId="77777777" w:rsidR="00984CC8" w:rsidRPr="00457CE9" w:rsidRDefault="00984CC8" w:rsidP="00457CE9">
      <w:pPr>
        <w:spacing w:after="0" w:line="240" w:lineRule="auto"/>
        <w:ind w:firstLine="851"/>
        <w:jc w:val="both"/>
        <w:rPr>
          <w:rFonts w:ascii="Times New Roman" w:eastAsiaTheme="minorEastAsia" w:hAnsi="Times New Roman" w:cs="Times New Roman"/>
          <w:sz w:val="28"/>
          <w:szCs w:val="28"/>
        </w:rPr>
      </w:pPr>
    </w:p>
    <w:p w14:paraId="5B1CB3B9" w14:textId="3BBED0BD" w:rsidR="00647B71" w:rsidRDefault="00B90011" w:rsidP="00457CE9">
      <w:pPr>
        <w:spacing w:after="0" w:line="240" w:lineRule="auto"/>
        <w:ind w:firstLine="851"/>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6</w:t>
      </w:r>
      <w:r w:rsidR="00647B71" w:rsidRPr="00457CE9">
        <w:rPr>
          <w:rFonts w:ascii="Times New Roman" w:eastAsiaTheme="minorEastAsia" w:hAnsi="Times New Roman" w:cs="Times New Roman"/>
          <w:sz w:val="28"/>
          <w:szCs w:val="28"/>
          <w:lang w:val="kk-KZ"/>
        </w:rPr>
        <w:t>-кесте мәліметтерінен 7 көрсеткіш бойынша матрица нәтижесінің орташа геометриялық мәні және меншікті векторы анықталған. Меншікті вектор мәндері</w:t>
      </w:r>
      <w:r w:rsidR="002E1D76" w:rsidRPr="00457CE9">
        <w:rPr>
          <w:rFonts w:ascii="Times New Roman" w:eastAsiaTheme="minorEastAsia" w:hAnsi="Times New Roman" w:cs="Times New Roman"/>
          <w:sz w:val="28"/>
          <w:szCs w:val="28"/>
          <w:lang w:val="kk-KZ"/>
        </w:rPr>
        <w:t>нің көбейтіндісі 7</w:t>
      </w:r>
      <w:r w:rsidR="00EB7D69">
        <w:rPr>
          <w:rFonts w:ascii="Times New Roman" w:eastAsiaTheme="minorEastAsia" w:hAnsi="Times New Roman" w:cs="Times New Roman"/>
          <w:sz w:val="28"/>
          <w:szCs w:val="28"/>
          <w:lang w:val="kk-KZ"/>
        </w:rPr>
        <w:t>7</w:t>
      </w:r>
      <w:r w:rsidR="002E1D76" w:rsidRPr="00457CE9">
        <w:rPr>
          <w:rFonts w:ascii="Times New Roman" w:eastAsiaTheme="minorEastAsia" w:hAnsi="Times New Roman" w:cs="Times New Roman"/>
          <w:sz w:val="28"/>
          <w:szCs w:val="28"/>
          <w:lang w:val="kk-KZ"/>
        </w:rPr>
        <w:t>-кестеде келтірілген.</w:t>
      </w:r>
    </w:p>
    <w:p w14:paraId="30EC6948" w14:textId="77777777" w:rsidR="00117667" w:rsidRPr="00457CE9" w:rsidRDefault="00117667" w:rsidP="00457CE9">
      <w:pPr>
        <w:spacing w:after="0" w:line="240" w:lineRule="auto"/>
        <w:ind w:firstLine="851"/>
        <w:jc w:val="both"/>
        <w:rPr>
          <w:rFonts w:ascii="Times New Roman" w:eastAsiaTheme="minorEastAsia" w:hAnsi="Times New Roman" w:cs="Times New Roman"/>
          <w:sz w:val="28"/>
          <w:szCs w:val="28"/>
          <w:lang w:val="kk-KZ"/>
        </w:rPr>
      </w:pPr>
    </w:p>
    <w:p w14:paraId="44DA9534" w14:textId="62013D1B"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1406AE"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7</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 ж. дамытудың 1-міндеті бойынша үшінші және екінші деңгей факторлары матриц</w:t>
      </w:r>
      <w:r w:rsidR="00117667">
        <w:rPr>
          <w:rFonts w:ascii="Times New Roman" w:eastAsiaTheme="minorEastAsia" w:hAnsi="Times New Roman" w:cs="Times New Roman"/>
          <w:sz w:val="28"/>
          <w:szCs w:val="28"/>
          <w:lang w:val="kk-KZ"/>
        </w:rPr>
        <w:t xml:space="preserve">аларының көбейтіндісі нәтижесі </w:t>
      </w:r>
    </w:p>
    <w:p w14:paraId="574435D5" w14:textId="77777777" w:rsidR="00117667" w:rsidRPr="00117667" w:rsidRDefault="00117667" w:rsidP="00457CE9">
      <w:pPr>
        <w:spacing w:after="0" w:line="240" w:lineRule="auto"/>
        <w:jc w:val="both"/>
        <w:rPr>
          <w:rFonts w:ascii="Times New Roman" w:eastAsiaTheme="minorEastAsia" w:hAnsi="Times New Roman" w:cs="Times New Roman"/>
          <w:sz w:val="16"/>
          <w:szCs w:val="16"/>
          <w:lang w:val="kk-KZ"/>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003"/>
        <w:gridCol w:w="1003"/>
        <w:gridCol w:w="1003"/>
        <w:gridCol w:w="1003"/>
        <w:gridCol w:w="1003"/>
        <w:gridCol w:w="1003"/>
        <w:gridCol w:w="1003"/>
        <w:gridCol w:w="377"/>
        <w:gridCol w:w="1066"/>
        <w:gridCol w:w="1045"/>
      </w:tblGrid>
      <w:tr w:rsidR="0045111C" w:rsidRPr="00BB2991" w14:paraId="45789E4D" w14:textId="77777777" w:rsidTr="00117667">
        <w:trPr>
          <w:trHeight w:val="288"/>
          <w:jc w:val="center"/>
        </w:trPr>
        <w:tc>
          <w:tcPr>
            <w:tcW w:w="391" w:type="dxa"/>
            <w:shd w:val="clear" w:color="auto" w:fill="auto"/>
            <w:noWrap/>
            <w:vAlign w:val="center"/>
          </w:tcPr>
          <w:p w14:paraId="3CC3AE0C" w14:textId="28178B52"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val="kk-KZ" w:eastAsia="ru-RU"/>
              </w:rPr>
              <w:t>А</w:t>
            </w:r>
          </w:p>
        </w:tc>
        <w:tc>
          <w:tcPr>
            <w:tcW w:w="884" w:type="dxa"/>
            <w:vAlign w:val="center"/>
          </w:tcPr>
          <w:p w14:paraId="549F992A" w14:textId="61115FE1"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1</w:t>
            </w:r>
          </w:p>
        </w:tc>
        <w:tc>
          <w:tcPr>
            <w:tcW w:w="990" w:type="dxa"/>
            <w:shd w:val="clear" w:color="auto" w:fill="auto"/>
            <w:noWrap/>
            <w:vAlign w:val="center"/>
            <w:hideMark/>
          </w:tcPr>
          <w:p w14:paraId="39F8CA71" w14:textId="1B8B9353"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2</w:t>
            </w:r>
          </w:p>
        </w:tc>
        <w:tc>
          <w:tcPr>
            <w:tcW w:w="989" w:type="dxa"/>
            <w:shd w:val="clear" w:color="auto" w:fill="auto"/>
            <w:noWrap/>
            <w:vAlign w:val="center"/>
            <w:hideMark/>
          </w:tcPr>
          <w:p w14:paraId="187B20DA" w14:textId="77777777"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3</w:t>
            </w:r>
          </w:p>
        </w:tc>
        <w:tc>
          <w:tcPr>
            <w:tcW w:w="989" w:type="dxa"/>
            <w:shd w:val="clear" w:color="auto" w:fill="auto"/>
            <w:noWrap/>
            <w:vAlign w:val="center"/>
            <w:hideMark/>
          </w:tcPr>
          <w:p w14:paraId="46A80FD4" w14:textId="77777777"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4</w:t>
            </w:r>
          </w:p>
        </w:tc>
        <w:tc>
          <w:tcPr>
            <w:tcW w:w="989" w:type="dxa"/>
            <w:shd w:val="clear" w:color="auto" w:fill="auto"/>
            <w:noWrap/>
            <w:vAlign w:val="center"/>
            <w:hideMark/>
          </w:tcPr>
          <w:p w14:paraId="3874208B" w14:textId="77777777"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5</w:t>
            </w:r>
          </w:p>
        </w:tc>
        <w:tc>
          <w:tcPr>
            <w:tcW w:w="989" w:type="dxa"/>
            <w:shd w:val="clear" w:color="auto" w:fill="auto"/>
            <w:noWrap/>
            <w:vAlign w:val="center"/>
            <w:hideMark/>
          </w:tcPr>
          <w:p w14:paraId="5A1136E2" w14:textId="77777777"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6</w:t>
            </w:r>
          </w:p>
        </w:tc>
        <w:tc>
          <w:tcPr>
            <w:tcW w:w="989" w:type="dxa"/>
            <w:shd w:val="clear" w:color="auto" w:fill="auto"/>
            <w:noWrap/>
            <w:vAlign w:val="center"/>
            <w:hideMark/>
          </w:tcPr>
          <w:p w14:paraId="61735364" w14:textId="77777777"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eastAsia="ru-RU"/>
              </w:rPr>
              <w:t>7</w:t>
            </w:r>
          </w:p>
        </w:tc>
        <w:tc>
          <w:tcPr>
            <w:tcW w:w="377" w:type="dxa"/>
            <w:shd w:val="clear" w:color="auto" w:fill="auto"/>
            <w:noWrap/>
            <w:vAlign w:val="center"/>
            <w:hideMark/>
          </w:tcPr>
          <w:p w14:paraId="2053149F" w14:textId="12A1526D" w:rsidR="0045111C" w:rsidRPr="00BB2991" w:rsidRDefault="0045111C" w:rsidP="00457CE9">
            <w:pPr>
              <w:spacing w:after="0" w:line="240" w:lineRule="auto"/>
              <w:jc w:val="center"/>
              <w:rPr>
                <w:rFonts w:ascii="Times New Roman" w:eastAsia="Times New Roman" w:hAnsi="Times New Roman" w:cs="Times New Roman"/>
                <w:color w:val="000000"/>
                <w:sz w:val="24"/>
                <w:szCs w:val="24"/>
                <w:lang w:eastAsia="ru-RU"/>
              </w:rPr>
            </w:pPr>
            <w:r w:rsidRPr="00BB2991">
              <w:rPr>
                <w:rFonts w:ascii="Times New Roman" w:eastAsia="Times New Roman" w:hAnsi="Times New Roman" w:cs="Times New Roman"/>
                <w:color w:val="000000"/>
                <w:sz w:val="24"/>
                <w:szCs w:val="24"/>
                <w:lang w:val="kk-KZ" w:eastAsia="ru-RU"/>
              </w:rPr>
              <w:t>К</w:t>
            </w:r>
          </w:p>
        </w:tc>
        <w:tc>
          <w:tcPr>
            <w:tcW w:w="1066" w:type="dxa"/>
            <w:shd w:val="clear" w:color="auto" w:fill="auto"/>
            <w:noWrap/>
            <w:vAlign w:val="center"/>
            <w:hideMark/>
          </w:tcPr>
          <w:p w14:paraId="2E4AE3D1" w14:textId="4E19D396" w:rsidR="0045111C" w:rsidRPr="00BB2991" w:rsidRDefault="0045111C" w:rsidP="00117667">
            <w:pPr>
              <w:spacing w:after="0" w:line="240" w:lineRule="auto"/>
              <w:ind w:left="-85" w:right="-105"/>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val="kk-KZ" w:eastAsia="ru-RU"/>
              </w:rPr>
              <w:t>Меншік</w:t>
            </w:r>
            <w:r w:rsidR="00117667">
              <w:rPr>
                <w:rFonts w:ascii="Times New Roman" w:eastAsia="Times New Roman" w:hAnsi="Times New Roman" w:cs="Times New Roman"/>
                <w:sz w:val="24"/>
                <w:szCs w:val="24"/>
                <w:lang w:val="kk-KZ" w:eastAsia="ru-RU"/>
              </w:rPr>
              <w:t xml:space="preserve"> </w:t>
            </w:r>
            <w:r w:rsidRPr="00BB2991">
              <w:rPr>
                <w:rFonts w:ascii="Times New Roman" w:eastAsia="Times New Roman" w:hAnsi="Times New Roman" w:cs="Times New Roman"/>
                <w:sz w:val="24"/>
                <w:szCs w:val="24"/>
                <w:lang w:val="kk-KZ" w:eastAsia="ru-RU"/>
              </w:rPr>
              <w:t>ті вектор</w:t>
            </w:r>
          </w:p>
        </w:tc>
        <w:tc>
          <w:tcPr>
            <w:tcW w:w="1001" w:type="dxa"/>
            <w:shd w:val="clear" w:color="auto" w:fill="auto"/>
            <w:noWrap/>
            <w:vAlign w:val="center"/>
            <w:hideMark/>
          </w:tcPr>
          <w:p w14:paraId="0454D4E9" w14:textId="33CCB312" w:rsidR="0045111C" w:rsidRPr="00BB2991" w:rsidRDefault="0045111C" w:rsidP="00117667">
            <w:pPr>
              <w:spacing w:after="0" w:line="240" w:lineRule="auto"/>
              <w:ind w:left="-85" w:right="-105"/>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val="kk-KZ" w:eastAsia="ru-RU"/>
              </w:rPr>
              <w:t>Матрица нәтижесі</w:t>
            </w:r>
          </w:p>
        </w:tc>
      </w:tr>
      <w:tr w:rsidR="00117667" w:rsidRPr="00BB2991" w14:paraId="70D7ED12" w14:textId="77777777" w:rsidTr="00117667">
        <w:trPr>
          <w:trHeight w:val="58"/>
          <w:jc w:val="center"/>
        </w:trPr>
        <w:tc>
          <w:tcPr>
            <w:tcW w:w="391" w:type="dxa"/>
            <w:shd w:val="clear" w:color="auto" w:fill="auto"/>
            <w:noWrap/>
            <w:vAlign w:val="bottom"/>
          </w:tcPr>
          <w:p w14:paraId="3F5DB788" w14:textId="2E665A8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val="kk-KZ" w:eastAsia="ru-RU"/>
              </w:rPr>
            </w:pPr>
            <w:r w:rsidRPr="00117667">
              <w:rPr>
                <w:rFonts w:ascii="Times New Roman" w:eastAsia="Times New Roman" w:hAnsi="Times New Roman" w:cs="Times New Roman"/>
                <w:i/>
                <w:color w:val="000000"/>
                <w:sz w:val="24"/>
                <w:szCs w:val="24"/>
                <w:lang w:val="kk-KZ" w:eastAsia="ru-RU"/>
              </w:rPr>
              <w:t>1</w:t>
            </w:r>
          </w:p>
        </w:tc>
        <w:tc>
          <w:tcPr>
            <w:tcW w:w="884" w:type="dxa"/>
            <w:shd w:val="clear" w:color="auto" w:fill="auto"/>
            <w:vAlign w:val="bottom"/>
          </w:tcPr>
          <w:p w14:paraId="34EC8113" w14:textId="72982AC1"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0,200717</w:t>
            </w:r>
          </w:p>
        </w:tc>
        <w:tc>
          <w:tcPr>
            <w:tcW w:w="990" w:type="dxa"/>
            <w:shd w:val="clear" w:color="auto" w:fill="auto"/>
            <w:noWrap/>
            <w:vAlign w:val="bottom"/>
            <w:hideMark/>
          </w:tcPr>
          <w:p w14:paraId="0956A1CB" w14:textId="09C3BB13"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0,00284</w:t>
            </w:r>
          </w:p>
        </w:tc>
        <w:tc>
          <w:tcPr>
            <w:tcW w:w="989" w:type="dxa"/>
            <w:shd w:val="clear" w:color="auto" w:fill="auto"/>
            <w:noWrap/>
            <w:vAlign w:val="bottom"/>
            <w:hideMark/>
          </w:tcPr>
          <w:p w14:paraId="5B89A3DD"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0,014565</w:t>
            </w:r>
          </w:p>
        </w:tc>
        <w:tc>
          <w:tcPr>
            <w:tcW w:w="989" w:type="dxa"/>
            <w:shd w:val="clear" w:color="auto" w:fill="auto"/>
            <w:noWrap/>
            <w:vAlign w:val="bottom"/>
            <w:hideMark/>
          </w:tcPr>
          <w:p w14:paraId="4A603B30"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0,214286</w:t>
            </w:r>
          </w:p>
        </w:tc>
        <w:tc>
          <w:tcPr>
            <w:tcW w:w="989" w:type="dxa"/>
            <w:shd w:val="clear" w:color="auto" w:fill="auto"/>
            <w:noWrap/>
            <w:vAlign w:val="bottom"/>
            <w:hideMark/>
          </w:tcPr>
          <w:p w14:paraId="68CB7B79"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0,034521</w:t>
            </w:r>
          </w:p>
        </w:tc>
        <w:tc>
          <w:tcPr>
            <w:tcW w:w="989" w:type="dxa"/>
            <w:shd w:val="clear" w:color="auto" w:fill="auto"/>
            <w:noWrap/>
            <w:vAlign w:val="bottom"/>
            <w:hideMark/>
          </w:tcPr>
          <w:p w14:paraId="614CC565"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0,214286</w:t>
            </w:r>
          </w:p>
        </w:tc>
        <w:tc>
          <w:tcPr>
            <w:tcW w:w="989" w:type="dxa"/>
            <w:shd w:val="clear" w:color="auto" w:fill="auto"/>
            <w:noWrap/>
            <w:vAlign w:val="bottom"/>
            <w:hideMark/>
          </w:tcPr>
          <w:p w14:paraId="593D97DF"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0,213406</w:t>
            </w:r>
          </w:p>
        </w:tc>
        <w:tc>
          <w:tcPr>
            <w:tcW w:w="377" w:type="dxa"/>
            <w:shd w:val="clear" w:color="auto" w:fill="auto"/>
            <w:noWrap/>
            <w:vAlign w:val="bottom"/>
            <w:hideMark/>
          </w:tcPr>
          <w:p w14:paraId="2AF81A3C" w14:textId="1383C2EC" w:rsidR="0045111C" w:rsidRPr="00BB2991" w:rsidRDefault="0045111C" w:rsidP="00117667">
            <w:pPr>
              <w:spacing w:after="0" w:line="240" w:lineRule="auto"/>
              <w:ind w:left="-114" w:right="-11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1</w:t>
            </w:r>
          </w:p>
        </w:tc>
        <w:tc>
          <w:tcPr>
            <w:tcW w:w="1066" w:type="dxa"/>
            <w:shd w:val="clear" w:color="auto" w:fill="auto"/>
            <w:noWrap/>
            <w:vAlign w:val="bottom"/>
            <w:hideMark/>
          </w:tcPr>
          <w:p w14:paraId="0B132992"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0,139695</w:t>
            </w:r>
          </w:p>
        </w:tc>
        <w:tc>
          <w:tcPr>
            <w:tcW w:w="1001" w:type="dxa"/>
            <w:shd w:val="clear" w:color="auto" w:fill="auto"/>
            <w:noWrap/>
            <w:vAlign w:val="bottom"/>
            <w:hideMark/>
          </w:tcPr>
          <w:p w14:paraId="073AABA7" w14:textId="77777777" w:rsidR="0045111C" w:rsidRPr="00117667" w:rsidRDefault="0045111C" w:rsidP="00117667">
            <w:pPr>
              <w:spacing w:after="0" w:line="240" w:lineRule="auto"/>
              <w:ind w:left="-114" w:right="-119"/>
              <w:jc w:val="center"/>
              <w:rPr>
                <w:rFonts w:ascii="Times New Roman" w:eastAsia="Times New Roman" w:hAnsi="Times New Roman" w:cs="Times New Roman"/>
                <w:bCs/>
                <w:i/>
                <w:color w:val="000000"/>
                <w:sz w:val="24"/>
                <w:szCs w:val="24"/>
                <w:lang w:eastAsia="ru-RU"/>
              </w:rPr>
            </w:pPr>
            <w:r w:rsidRPr="00117667">
              <w:rPr>
                <w:rFonts w:ascii="Times New Roman" w:eastAsia="Times New Roman" w:hAnsi="Times New Roman" w:cs="Times New Roman"/>
                <w:bCs/>
                <w:i/>
                <w:color w:val="000000"/>
                <w:sz w:val="24"/>
                <w:szCs w:val="24"/>
                <w:lang w:eastAsia="ru-RU"/>
              </w:rPr>
              <w:t>0,163528</w:t>
            </w:r>
          </w:p>
        </w:tc>
      </w:tr>
      <w:tr w:rsidR="00117667" w:rsidRPr="00BB2991" w14:paraId="3B1C95A1" w14:textId="77777777" w:rsidTr="00117667">
        <w:trPr>
          <w:trHeight w:val="58"/>
          <w:jc w:val="center"/>
        </w:trPr>
        <w:tc>
          <w:tcPr>
            <w:tcW w:w="391" w:type="dxa"/>
            <w:shd w:val="clear" w:color="auto" w:fill="auto"/>
            <w:noWrap/>
            <w:vAlign w:val="bottom"/>
          </w:tcPr>
          <w:p w14:paraId="26AECFB7" w14:textId="27ABC2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val="kk-KZ" w:eastAsia="ru-RU"/>
              </w:rPr>
            </w:pPr>
            <w:r w:rsidRPr="00117667">
              <w:rPr>
                <w:rFonts w:ascii="Times New Roman" w:eastAsia="Times New Roman" w:hAnsi="Times New Roman" w:cs="Times New Roman"/>
                <w:i/>
                <w:color w:val="000000"/>
                <w:sz w:val="24"/>
                <w:szCs w:val="24"/>
                <w:lang w:val="kk-KZ" w:eastAsia="ru-RU"/>
              </w:rPr>
              <w:t>2</w:t>
            </w:r>
          </w:p>
        </w:tc>
        <w:tc>
          <w:tcPr>
            <w:tcW w:w="884" w:type="dxa"/>
            <w:shd w:val="clear" w:color="auto" w:fill="auto"/>
            <w:vAlign w:val="bottom"/>
          </w:tcPr>
          <w:p w14:paraId="29DE78BA" w14:textId="52AD1D28"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0,165023</w:t>
            </w:r>
          </w:p>
        </w:tc>
        <w:tc>
          <w:tcPr>
            <w:tcW w:w="990" w:type="dxa"/>
            <w:shd w:val="clear" w:color="auto" w:fill="auto"/>
            <w:noWrap/>
            <w:vAlign w:val="bottom"/>
            <w:hideMark/>
          </w:tcPr>
          <w:p w14:paraId="1B6362D8" w14:textId="70208014"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0,00284</w:t>
            </w:r>
          </w:p>
        </w:tc>
        <w:tc>
          <w:tcPr>
            <w:tcW w:w="989" w:type="dxa"/>
            <w:shd w:val="clear" w:color="auto" w:fill="auto"/>
            <w:noWrap/>
            <w:vAlign w:val="bottom"/>
            <w:hideMark/>
          </w:tcPr>
          <w:p w14:paraId="4ED3B742"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0,015422</w:t>
            </w:r>
          </w:p>
        </w:tc>
        <w:tc>
          <w:tcPr>
            <w:tcW w:w="989" w:type="dxa"/>
            <w:shd w:val="clear" w:color="auto" w:fill="auto"/>
            <w:noWrap/>
            <w:vAlign w:val="bottom"/>
            <w:hideMark/>
          </w:tcPr>
          <w:p w14:paraId="2B2A410F"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0,214286</w:t>
            </w:r>
          </w:p>
        </w:tc>
        <w:tc>
          <w:tcPr>
            <w:tcW w:w="989" w:type="dxa"/>
            <w:shd w:val="clear" w:color="auto" w:fill="auto"/>
            <w:noWrap/>
            <w:vAlign w:val="bottom"/>
            <w:hideMark/>
          </w:tcPr>
          <w:p w14:paraId="0F0EAD60"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0,034521</w:t>
            </w:r>
          </w:p>
        </w:tc>
        <w:tc>
          <w:tcPr>
            <w:tcW w:w="989" w:type="dxa"/>
            <w:shd w:val="clear" w:color="auto" w:fill="auto"/>
            <w:noWrap/>
            <w:vAlign w:val="bottom"/>
            <w:hideMark/>
          </w:tcPr>
          <w:p w14:paraId="411DF5F2"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0,214286</w:t>
            </w:r>
          </w:p>
        </w:tc>
        <w:tc>
          <w:tcPr>
            <w:tcW w:w="989" w:type="dxa"/>
            <w:shd w:val="clear" w:color="auto" w:fill="auto"/>
            <w:noWrap/>
            <w:vAlign w:val="bottom"/>
            <w:hideMark/>
          </w:tcPr>
          <w:p w14:paraId="357115FD"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0,213406</w:t>
            </w:r>
          </w:p>
        </w:tc>
        <w:tc>
          <w:tcPr>
            <w:tcW w:w="377" w:type="dxa"/>
            <w:shd w:val="clear" w:color="auto" w:fill="auto"/>
            <w:noWrap/>
            <w:vAlign w:val="bottom"/>
            <w:hideMark/>
          </w:tcPr>
          <w:p w14:paraId="4E6552EA" w14:textId="40D993E7" w:rsidR="0045111C" w:rsidRPr="00BB2991" w:rsidRDefault="0045111C" w:rsidP="00117667">
            <w:pPr>
              <w:spacing w:after="0" w:line="240" w:lineRule="auto"/>
              <w:ind w:left="-114" w:right="-11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2</w:t>
            </w:r>
          </w:p>
        </w:tc>
        <w:tc>
          <w:tcPr>
            <w:tcW w:w="1066" w:type="dxa"/>
            <w:shd w:val="clear" w:color="auto" w:fill="auto"/>
            <w:noWrap/>
            <w:vAlign w:val="bottom"/>
            <w:hideMark/>
          </w:tcPr>
          <w:p w14:paraId="202ACA34"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0,014617</w:t>
            </w:r>
          </w:p>
        </w:tc>
        <w:tc>
          <w:tcPr>
            <w:tcW w:w="1001" w:type="dxa"/>
            <w:shd w:val="clear" w:color="auto" w:fill="auto"/>
            <w:noWrap/>
            <w:vAlign w:val="bottom"/>
            <w:hideMark/>
          </w:tcPr>
          <w:p w14:paraId="0E2BA318" w14:textId="77777777" w:rsidR="0045111C" w:rsidRPr="00117667" w:rsidRDefault="0045111C" w:rsidP="00117667">
            <w:pPr>
              <w:spacing w:after="0" w:line="240" w:lineRule="auto"/>
              <w:ind w:left="-114" w:right="-119"/>
              <w:jc w:val="center"/>
              <w:rPr>
                <w:rFonts w:ascii="Times New Roman" w:eastAsia="Times New Roman" w:hAnsi="Times New Roman" w:cs="Times New Roman"/>
                <w:bCs/>
                <w:i/>
                <w:color w:val="000000"/>
                <w:sz w:val="24"/>
                <w:szCs w:val="24"/>
                <w:lang w:eastAsia="ru-RU"/>
              </w:rPr>
            </w:pPr>
            <w:r w:rsidRPr="00117667">
              <w:rPr>
                <w:rFonts w:ascii="Times New Roman" w:eastAsia="Times New Roman" w:hAnsi="Times New Roman" w:cs="Times New Roman"/>
                <w:bCs/>
                <w:i/>
                <w:color w:val="000000"/>
                <w:sz w:val="24"/>
                <w:szCs w:val="24"/>
                <w:lang w:eastAsia="ru-RU"/>
              </w:rPr>
              <w:t>0,158608</w:t>
            </w:r>
          </w:p>
        </w:tc>
      </w:tr>
      <w:tr w:rsidR="00117667" w:rsidRPr="00BB2991" w14:paraId="52EB307E" w14:textId="77777777" w:rsidTr="00117667">
        <w:trPr>
          <w:trHeight w:val="58"/>
          <w:jc w:val="center"/>
        </w:trPr>
        <w:tc>
          <w:tcPr>
            <w:tcW w:w="391" w:type="dxa"/>
            <w:shd w:val="clear" w:color="auto" w:fill="auto"/>
            <w:noWrap/>
            <w:vAlign w:val="bottom"/>
          </w:tcPr>
          <w:p w14:paraId="52A50705" w14:textId="03500568"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val="kk-KZ" w:eastAsia="ru-RU"/>
              </w:rPr>
            </w:pPr>
            <w:r w:rsidRPr="00117667">
              <w:rPr>
                <w:rFonts w:ascii="Times New Roman" w:eastAsia="Times New Roman" w:hAnsi="Times New Roman" w:cs="Times New Roman"/>
                <w:i/>
                <w:color w:val="000000"/>
                <w:sz w:val="24"/>
                <w:szCs w:val="24"/>
                <w:lang w:val="kk-KZ" w:eastAsia="ru-RU"/>
              </w:rPr>
              <w:t>3</w:t>
            </w:r>
          </w:p>
        </w:tc>
        <w:tc>
          <w:tcPr>
            <w:tcW w:w="884" w:type="dxa"/>
            <w:shd w:val="clear" w:color="auto" w:fill="auto"/>
            <w:vAlign w:val="bottom"/>
          </w:tcPr>
          <w:p w14:paraId="276BDFCE" w14:textId="564468DD"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0,165023</w:t>
            </w:r>
          </w:p>
        </w:tc>
        <w:tc>
          <w:tcPr>
            <w:tcW w:w="990" w:type="dxa"/>
            <w:shd w:val="clear" w:color="auto" w:fill="auto"/>
            <w:noWrap/>
            <w:vAlign w:val="bottom"/>
            <w:hideMark/>
          </w:tcPr>
          <w:p w14:paraId="200B3A3D" w14:textId="56CA3BFB"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0,00284</w:t>
            </w:r>
          </w:p>
        </w:tc>
        <w:tc>
          <w:tcPr>
            <w:tcW w:w="989" w:type="dxa"/>
            <w:shd w:val="clear" w:color="auto" w:fill="auto"/>
            <w:noWrap/>
            <w:vAlign w:val="bottom"/>
            <w:hideMark/>
          </w:tcPr>
          <w:p w14:paraId="69C5ED74"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0,015422</w:t>
            </w:r>
          </w:p>
        </w:tc>
        <w:tc>
          <w:tcPr>
            <w:tcW w:w="989" w:type="dxa"/>
            <w:shd w:val="clear" w:color="auto" w:fill="auto"/>
            <w:noWrap/>
            <w:vAlign w:val="bottom"/>
            <w:hideMark/>
          </w:tcPr>
          <w:p w14:paraId="69337D4A"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0,178571</w:t>
            </w:r>
          </w:p>
        </w:tc>
        <w:tc>
          <w:tcPr>
            <w:tcW w:w="989" w:type="dxa"/>
            <w:shd w:val="clear" w:color="auto" w:fill="auto"/>
            <w:noWrap/>
            <w:vAlign w:val="bottom"/>
            <w:hideMark/>
          </w:tcPr>
          <w:p w14:paraId="775A6D46"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0,028768</w:t>
            </w:r>
          </w:p>
        </w:tc>
        <w:tc>
          <w:tcPr>
            <w:tcW w:w="989" w:type="dxa"/>
            <w:shd w:val="clear" w:color="auto" w:fill="auto"/>
            <w:noWrap/>
            <w:vAlign w:val="bottom"/>
            <w:hideMark/>
          </w:tcPr>
          <w:p w14:paraId="631F1E1F"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0,178571</w:t>
            </w:r>
          </w:p>
        </w:tc>
        <w:tc>
          <w:tcPr>
            <w:tcW w:w="989" w:type="dxa"/>
            <w:shd w:val="clear" w:color="auto" w:fill="auto"/>
            <w:noWrap/>
            <w:vAlign w:val="bottom"/>
            <w:hideMark/>
          </w:tcPr>
          <w:p w14:paraId="3BD389AB"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0,179451</w:t>
            </w:r>
          </w:p>
        </w:tc>
        <w:tc>
          <w:tcPr>
            <w:tcW w:w="377" w:type="dxa"/>
            <w:shd w:val="clear" w:color="auto" w:fill="auto"/>
            <w:noWrap/>
            <w:vAlign w:val="bottom"/>
            <w:hideMark/>
          </w:tcPr>
          <w:p w14:paraId="3D552902" w14:textId="760BD949" w:rsidR="0045111C" w:rsidRPr="00BB2991" w:rsidRDefault="0045111C" w:rsidP="00117667">
            <w:pPr>
              <w:spacing w:after="0" w:line="240" w:lineRule="auto"/>
              <w:ind w:left="-114" w:right="-11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3</w:t>
            </w:r>
          </w:p>
        </w:tc>
        <w:tc>
          <w:tcPr>
            <w:tcW w:w="1066" w:type="dxa"/>
            <w:shd w:val="clear" w:color="auto" w:fill="auto"/>
            <w:noWrap/>
            <w:vAlign w:val="bottom"/>
            <w:hideMark/>
          </w:tcPr>
          <w:p w14:paraId="0712FAEF"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0,077782</w:t>
            </w:r>
          </w:p>
        </w:tc>
        <w:tc>
          <w:tcPr>
            <w:tcW w:w="1001" w:type="dxa"/>
            <w:shd w:val="clear" w:color="auto" w:fill="auto"/>
            <w:noWrap/>
            <w:vAlign w:val="bottom"/>
            <w:hideMark/>
          </w:tcPr>
          <w:p w14:paraId="4871DAFE" w14:textId="77777777" w:rsidR="0045111C" w:rsidRPr="00117667" w:rsidRDefault="0045111C" w:rsidP="00117667">
            <w:pPr>
              <w:spacing w:after="0" w:line="240" w:lineRule="auto"/>
              <w:ind w:left="-114" w:right="-119"/>
              <w:jc w:val="center"/>
              <w:rPr>
                <w:rFonts w:ascii="Times New Roman" w:eastAsia="Times New Roman" w:hAnsi="Times New Roman" w:cs="Times New Roman"/>
                <w:bCs/>
                <w:i/>
                <w:color w:val="000000"/>
                <w:sz w:val="24"/>
                <w:szCs w:val="24"/>
                <w:lang w:eastAsia="ru-RU"/>
              </w:rPr>
            </w:pPr>
            <w:r w:rsidRPr="00117667">
              <w:rPr>
                <w:rFonts w:ascii="Times New Roman" w:eastAsia="Times New Roman" w:hAnsi="Times New Roman" w:cs="Times New Roman"/>
                <w:bCs/>
                <w:i/>
                <w:color w:val="000000"/>
                <w:sz w:val="24"/>
                <w:szCs w:val="24"/>
                <w:lang w:eastAsia="ru-RU"/>
              </w:rPr>
              <w:t>0,136224</w:t>
            </w:r>
          </w:p>
        </w:tc>
      </w:tr>
      <w:tr w:rsidR="00117667" w:rsidRPr="00BB2991" w14:paraId="034D2A75" w14:textId="77777777" w:rsidTr="00117667">
        <w:trPr>
          <w:trHeight w:val="58"/>
          <w:jc w:val="center"/>
        </w:trPr>
        <w:tc>
          <w:tcPr>
            <w:tcW w:w="391" w:type="dxa"/>
            <w:shd w:val="clear" w:color="auto" w:fill="auto"/>
            <w:noWrap/>
            <w:vAlign w:val="bottom"/>
          </w:tcPr>
          <w:p w14:paraId="23B03308" w14:textId="2FEC26C5"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val="kk-KZ" w:eastAsia="ru-RU"/>
              </w:rPr>
            </w:pPr>
            <w:r w:rsidRPr="00117667">
              <w:rPr>
                <w:rFonts w:ascii="Times New Roman" w:eastAsia="Times New Roman" w:hAnsi="Times New Roman" w:cs="Times New Roman"/>
                <w:i/>
                <w:color w:val="000000"/>
                <w:sz w:val="24"/>
                <w:szCs w:val="24"/>
                <w:lang w:val="kk-KZ" w:eastAsia="ru-RU"/>
              </w:rPr>
              <w:t>4</w:t>
            </w:r>
          </w:p>
        </w:tc>
        <w:tc>
          <w:tcPr>
            <w:tcW w:w="884" w:type="dxa"/>
            <w:shd w:val="clear" w:color="auto" w:fill="auto"/>
            <w:vAlign w:val="bottom"/>
          </w:tcPr>
          <w:p w14:paraId="6E0440A8" w14:textId="1977BE41"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0,255139</w:t>
            </w:r>
          </w:p>
        </w:tc>
        <w:tc>
          <w:tcPr>
            <w:tcW w:w="990" w:type="dxa"/>
            <w:shd w:val="clear" w:color="auto" w:fill="auto"/>
            <w:noWrap/>
            <w:vAlign w:val="bottom"/>
            <w:hideMark/>
          </w:tcPr>
          <w:p w14:paraId="39A28AE8" w14:textId="7075B095"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0,003007</w:t>
            </w:r>
          </w:p>
        </w:tc>
        <w:tc>
          <w:tcPr>
            <w:tcW w:w="989" w:type="dxa"/>
            <w:shd w:val="clear" w:color="auto" w:fill="auto"/>
            <w:noWrap/>
            <w:vAlign w:val="bottom"/>
            <w:hideMark/>
          </w:tcPr>
          <w:p w14:paraId="2BB7A752"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0,015422</w:t>
            </w:r>
          </w:p>
        </w:tc>
        <w:tc>
          <w:tcPr>
            <w:tcW w:w="989" w:type="dxa"/>
            <w:shd w:val="clear" w:color="auto" w:fill="auto"/>
            <w:noWrap/>
            <w:vAlign w:val="bottom"/>
            <w:hideMark/>
          </w:tcPr>
          <w:p w14:paraId="3F9AC1BE"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0,190476</w:t>
            </w:r>
          </w:p>
        </w:tc>
        <w:tc>
          <w:tcPr>
            <w:tcW w:w="989" w:type="dxa"/>
            <w:shd w:val="clear" w:color="auto" w:fill="auto"/>
            <w:noWrap/>
            <w:vAlign w:val="bottom"/>
            <w:hideMark/>
          </w:tcPr>
          <w:p w14:paraId="2F075E68"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0,030686</w:t>
            </w:r>
          </w:p>
        </w:tc>
        <w:tc>
          <w:tcPr>
            <w:tcW w:w="989" w:type="dxa"/>
            <w:shd w:val="clear" w:color="auto" w:fill="auto"/>
            <w:noWrap/>
            <w:vAlign w:val="bottom"/>
            <w:hideMark/>
          </w:tcPr>
          <w:p w14:paraId="48BD8117"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0,190476</w:t>
            </w:r>
          </w:p>
        </w:tc>
        <w:tc>
          <w:tcPr>
            <w:tcW w:w="989" w:type="dxa"/>
            <w:shd w:val="clear" w:color="auto" w:fill="auto"/>
            <w:noWrap/>
            <w:vAlign w:val="bottom"/>
            <w:hideMark/>
          </w:tcPr>
          <w:p w14:paraId="290E29DF"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0,190916</w:t>
            </w:r>
          </w:p>
        </w:tc>
        <w:tc>
          <w:tcPr>
            <w:tcW w:w="377" w:type="dxa"/>
            <w:shd w:val="clear" w:color="auto" w:fill="auto"/>
            <w:noWrap/>
            <w:vAlign w:val="bottom"/>
            <w:hideMark/>
          </w:tcPr>
          <w:p w14:paraId="1F6913AD" w14:textId="3F9BB397" w:rsidR="0045111C" w:rsidRPr="00BB2991" w:rsidRDefault="0045111C" w:rsidP="00117667">
            <w:pPr>
              <w:spacing w:after="0" w:line="240" w:lineRule="auto"/>
              <w:ind w:left="-114" w:right="-11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4</w:t>
            </w:r>
          </w:p>
        </w:tc>
        <w:tc>
          <w:tcPr>
            <w:tcW w:w="1066" w:type="dxa"/>
            <w:shd w:val="clear" w:color="auto" w:fill="auto"/>
            <w:noWrap/>
            <w:vAlign w:val="bottom"/>
            <w:hideMark/>
          </w:tcPr>
          <w:p w14:paraId="1D248826"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0,157131</w:t>
            </w:r>
          </w:p>
        </w:tc>
        <w:tc>
          <w:tcPr>
            <w:tcW w:w="1001" w:type="dxa"/>
            <w:shd w:val="clear" w:color="auto" w:fill="auto"/>
            <w:noWrap/>
            <w:vAlign w:val="bottom"/>
            <w:hideMark/>
          </w:tcPr>
          <w:p w14:paraId="025EA0D8" w14:textId="77777777" w:rsidR="0045111C" w:rsidRPr="00117667" w:rsidRDefault="0045111C" w:rsidP="00117667">
            <w:pPr>
              <w:spacing w:after="0" w:line="240" w:lineRule="auto"/>
              <w:ind w:left="-114" w:right="-119"/>
              <w:jc w:val="center"/>
              <w:rPr>
                <w:rFonts w:ascii="Times New Roman" w:eastAsia="Times New Roman" w:hAnsi="Times New Roman" w:cs="Times New Roman"/>
                <w:bCs/>
                <w:i/>
                <w:color w:val="000000"/>
                <w:sz w:val="24"/>
                <w:szCs w:val="24"/>
                <w:lang w:eastAsia="ru-RU"/>
              </w:rPr>
            </w:pPr>
            <w:r w:rsidRPr="00117667">
              <w:rPr>
                <w:rFonts w:ascii="Times New Roman" w:eastAsia="Times New Roman" w:hAnsi="Times New Roman" w:cs="Times New Roman"/>
                <w:bCs/>
                <w:i/>
                <w:color w:val="000000"/>
                <w:sz w:val="24"/>
                <w:szCs w:val="24"/>
                <w:lang w:eastAsia="ru-RU"/>
              </w:rPr>
              <w:t>0,156277</w:t>
            </w:r>
          </w:p>
        </w:tc>
      </w:tr>
      <w:tr w:rsidR="00117667" w:rsidRPr="00BB2991" w14:paraId="5EB773B1" w14:textId="77777777" w:rsidTr="00117667">
        <w:trPr>
          <w:trHeight w:val="58"/>
          <w:jc w:val="center"/>
        </w:trPr>
        <w:tc>
          <w:tcPr>
            <w:tcW w:w="391" w:type="dxa"/>
            <w:shd w:val="clear" w:color="auto" w:fill="auto"/>
            <w:noWrap/>
            <w:vAlign w:val="bottom"/>
          </w:tcPr>
          <w:p w14:paraId="42626F85" w14:textId="1198320E"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val="kk-KZ" w:eastAsia="ru-RU"/>
              </w:rPr>
            </w:pPr>
            <w:r w:rsidRPr="00117667">
              <w:rPr>
                <w:rFonts w:ascii="Times New Roman" w:eastAsia="Times New Roman" w:hAnsi="Times New Roman" w:cs="Times New Roman"/>
                <w:i/>
                <w:color w:val="000000"/>
                <w:sz w:val="24"/>
                <w:szCs w:val="24"/>
                <w:lang w:val="kk-KZ" w:eastAsia="ru-RU"/>
              </w:rPr>
              <w:t>5</w:t>
            </w:r>
          </w:p>
        </w:tc>
        <w:tc>
          <w:tcPr>
            <w:tcW w:w="884" w:type="dxa"/>
            <w:shd w:val="clear" w:color="auto" w:fill="auto"/>
            <w:vAlign w:val="bottom"/>
          </w:tcPr>
          <w:p w14:paraId="66976FC9" w14:textId="21CA8088"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0,214098</w:t>
            </w:r>
          </w:p>
        </w:tc>
        <w:tc>
          <w:tcPr>
            <w:tcW w:w="990" w:type="dxa"/>
            <w:shd w:val="clear" w:color="auto" w:fill="auto"/>
            <w:noWrap/>
            <w:vAlign w:val="bottom"/>
            <w:hideMark/>
          </w:tcPr>
          <w:p w14:paraId="555D27D0" w14:textId="3431690A"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0,002506</w:t>
            </w:r>
          </w:p>
        </w:tc>
        <w:tc>
          <w:tcPr>
            <w:tcW w:w="989" w:type="dxa"/>
            <w:shd w:val="clear" w:color="auto" w:fill="auto"/>
            <w:noWrap/>
            <w:vAlign w:val="bottom"/>
            <w:hideMark/>
          </w:tcPr>
          <w:p w14:paraId="71CD3B57"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0,013708</w:t>
            </w:r>
          </w:p>
        </w:tc>
        <w:tc>
          <w:tcPr>
            <w:tcW w:w="989" w:type="dxa"/>
            <w:shd w:val="clear" w:color="auto" w:fill="auto"/>
            <w:noWrap/>
            <w:vAlign w:val="bottom"/>
            <w:hideMark/>
          </w:tcPr>
          <w:p w14:paraId="696A5E35"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0,202381</w:t>
            </w:r>
          </w:p>
        </w:tc>
        <w:tc>
          <w:tcPr>
            <w:tcW w:w="989" w:type="dxa"/>
            <w:shd w:val="clear" w:color="auto" w:fill="auto"/>
            <w:noWrap/>
            <w:vAlign w:val="bottom"/>
            <w:hideMark/>
          </w:tcPr>
          <w:p w14:paraId="30ACFCC8"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0,032604</w:t>
            </w:r>
          </w:p>
        </w:tc>
        <w:tc>
          <w:tcPr>
            <w:tcW w:w="989" w:type="dxa"/>
            <w:shd w:val="clear" w:color="auto" w:fill="auto"/>
            <w:noWrap/>
            <w:vAlign w:val="bottom"/>
            <w:hideMark/>
          </w:tcPr>
          <w:p w14:paraId="776A6336"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0,202381</w:t>
            </w:r>
          </w:p>
        </w:tc>
        <w:tc>
          <w:tcPr>
            <w:tcW w:w="989" w:type="dxa"/>
            <w:shd w:val="clear" w:color="auto" w:fill="auto"/>
            <w:noWrap/>
            <w:vAlign w:val="bottom"/>
            <w:hideMark/>
          </w:tcPr>
          <w:p w14:paraId="476D17A9"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0,202821</w:t>
            </w:r>
          </w:p>
        </w:tc>
        <w:tc>
          <w:tcPr>
            <w:tcW w:w="377" w:type="dxa"/>
            <w:shd w:val="clear" w:color="auto" w:fill="auto"/>
            <w:noWrap/>
            <w:vAlign w:val="bottom"/>
            <w:hideMark/>
          </w:tcPr>
          <w:p w14:paraId="3F3190C7" w14:textId="53457B40" w:rsidR="0045111C" w:rsidRPr="00BB2991" w:rsidRDefault="0045111C" w:rsidP="00117667">
            <w:pPr>
              <w:spacing w:after="0" w:line="240" w:lineRule="auto"/>
              <w:ind w:left="-114" w:right="-119"/>
              <w:jc w:val="center"/>
              <w:rPr>
                <w:rFonts w:ascii="Times New Roman" w:eastAsia="Times New Roman" w:hAnsi="Times New Roman" w:cs="Times New Roman"/>
                <w:color w:val="000000"/>
                <w:sz w:val="24"/>
                <w:szCs w:val="24"/>
                <w:lang w:val="kk-KZ" w:eastAsia="ru-RU"/>
              </w:rPr>
            </w:pPr>
            <w:r w:rsidRPr="00BB2991">
              <w:rPr>
                <w:rFonts w:ascii="Times New Roman" w:eastAsia="Times New Roman" w:hAnsi="Times New Roman" w:cs="Times New Roman"/>
                <w:color w:val="000000"/>
                <w:sz w:val="24"/>
                <w:szCs w:val="24"/>
                <w:lang w:val="kk-KZ" w:eastAsia="ru-RU"/>
              </w:rPr>
              <w:t>5</w:t>
            </w:r>
          </w:p>
        </w:tc>
        <w:tc>
          <w:tcPr>
            <w:tcW w:w="1066" w:type="dxa"/>
            <w:tcBorders>
              <w:bottom w:val="single" w:sz="4" w:space="0" w:color="auto"/>
            </w:tcBorders>
            <w:shd w:val="clear" w:color="auto" w:fill="auto"/>
            <w:noWrap/>
            <w:vAlign w:val="bottom"/>
            <w:hideMark/>
          </w:tcPr>
          <w:p w14:paraId="6B8BE8B9" w14:textId="77777777" w:rsidR="0045111C" w:rsidRPr="00117667" w:rsidRDefault="0045111C"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0,168198</w:t>
            </w:r>
          </w:p>
        </w:tc>
        <w:tc>
          <w:tcPr>
            <w:tcW w:w="1001" w:type="dxa"/>
            <w:shd w:val="clear" w:color="auto" w:fill="auto"/>
            <w:noWrap/>
            <w:vAlign w:val="bottom"/>
            <w:hideMark/>
          </w:tcPr>
          <w:p w14:paraId="56037BF6" w14:textId="77777777" w:rsidR="0045111C" w:rsidRPr="00117667" w:rsidRDefault="0045111C" w:rsidP="00117667">
            <w:pPr>
              <w:spacing w:after="0" w:line="240" w:lineRule="auto"/>
              <w:ind w:left="-114" w:right="-119"/>
              <w:jc w:val="center"/>
              <w:rPr>
                <w:rFonts w:ascii="Times New Roman" w:eastAsia="Times New Roman" w:hAnsi="Times New Roman" w:cs="Times New Roman"/>
                <w:bCs/>
                <w:i/>
                <w:color w:val="000000"/>
                <w:sz w:val="24"/>
                <w:szCs w:val="24"/>
                <w:lang w:eastAsia="ru-RU"/>
              </w:rPr>
            </w:pPr>
            <w:r w:rsidRPr="00117667">
              <w:rPr>
                <w:rFonts w:ascii="Times New Roman" w:eastAsia="Times New Roman" w:hAnsi="Times New Roman" w:cs="Times New Roman"/>
                <w:bCs/>
                <w:i/>
                <w:color w:val="000000"/>
                <w:sz w:val="24"/>
                <w:szCs w:val="24"/>
                <w:lang w:eastAsia="ru-RU"/>
              </w:rPr>
              <w:t>0,157865</w:t>
            </w:r>
          </w:p>
        </w:tc>
      </w:tr>
      <w:tr w:rsidR="00117667" w:rsidRPr="00BB2991" w14:paraId="72BD8C56" w14:textId="77777777" w:rsidTr="00010EEC">
        <w:trPr>
          <w:trHeight w:val="58"/>
          <w:jc w:val="center"/>
        </w:trPr>
        <w:tc>
          <w:tcPr>
            <w:tcW w:w="391" w:type="dxa"/>
            <w:shd w:val="clear" w:color="auto" w:fill="auto"/>
            <w:noWrap/>
            <w:vAlign w:val="bottom"/>
          </w:tcPr>
          <w:p w14:paraId="3EDE39A6" w14:textId="2C5EF185" w:rsidR="00117667" w:rsidRPr="00117667" w:rsidRDefault="00117667" w:rsidP="00117667">
            <w:pPr>
              <w:spacing w:after="0" w:line="240" w:lineRule="auto"/>
              <w:ind w:left="-114" w:right="-119"/>
              <w:jc w:val="center"/>
              <w:rPr>
                <w:rFonts w:ascii="Times New Roman" w:eastAsia="Times New Roman" w:hAnsi="Times New Roman" w:cs="Times New Roman"/>
                <w:bCs/>
                <w:color w:val="FF0000"/>
                <w:sz w:val="24"/>
                <w:szCs w:val="24"/>
                <w:highlight w:val="yellow"/>
                <w:lang w:val="kk-KZ" w:eastAsia="ru-RU"/>
              </w:rPr>
            </w:pPr>
          </w:p>
        </w:tc>
        <w:tc>
          <w:tcPr>
            <w:tcW w:w="884" w:type="dxa"/>
            <w:vAlign w:val="bottom"/>
          </w:tcPr>
          <w:p w14:paraId="06841C50" w14:textId="4DB36C7D"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90" w:type="dxa"/>
            <w:shd w:val="clear" w:color="auto" w:fill="auto"/>
            <w:noWrap/>
            <w:vAlign w:val="bottom"/>
          </w:tcPr>
          <w:p w14:paraId="6E5661CE" w14:textId="7755C81B"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02F30723" w14:textId="30EAA5B3"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40658163" w14:textId="34E3A177"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11218B3C" w14:textId="1BB6191D"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4EE7463A" w14:textId="33EE40EE"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197DF936" w14:textId="563DCAAB"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377" w:type="dxa"/>
            <w:shd w:val="clear" w:color="auto" w:fill="auto"/>
            <w:noWrap/>
            <w:vAlign w:val="bottom"/>
            <w:hideMark/>
          </w:tcPr>
          <w:p w14:paraId="10CE53CD" w14:textId="3A14AF0A" w:rsidR="00117667" w:rsidRPr="00BB2991" w:rsidRDefault="00117667" w:rsidP="00117667">
            <w:pPr>
              <w:spacing w:after="0" w:line="240" w:lineRule="auto"/>
              <w:ind w:left="-114" w:right="-119"/>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6</w:t>
            </w:r>
          </w:p>
        </w:tc>
        <w:tc>
          <w:tcPr>
            <w:tcW w:w="1066" w:type="dxa"/>
            <w:shd w:val="clear" w:color="000000" w:fill="auto"/>
            <w:noWrap/>
            <w:vAlign w:val="bottom"/>
            <w:hideMark/>
          </w:tcPr>
          <w:p w14:paraId="5671A860" w14:textId="77777777" w:rsidR="00117667" w:rsidRPr="00117667" w:rsidRDefault="00117667"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0,441324</w:t>
            </w:r>
          </w:p>
        </w:tc>
        <w:tc>
          <w:tcPr>
            <w:tcW w:w="1001" w:type="dxa"/>
            <w:shd w:val="clear" w:color="auto" w:fill="auto"/>
            <w:noWrap/>
            <w:vAlign w:val="bottom"/>
          </w:tcPr>
          <w:p w14:paraId="2375A166" w14:textId="5D401E17"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117667" w:rsidRPr="00BB2991" w14:paraId="693E777D" w14:textId="77777777" w:rsidTr="00010EEC">
        <w:trPr>
          <w:trHeight w:val="58"/>
          <w:jc w:val="center"/>
        </w:trPr>
        <w:tc>
          <w:tcPr>
            <w:tcW w:w="391" w:type="dxa"/>
            <w:shd w:val="clear" w:color="auto" w:fill="auto"/>
            <w:noWrap/>
            <w:vAlign w:val="bottom"/>
          </w:tcPr>
          <w:p w14:paraId="6CBDA79D" w14:textId="68EA6C25" w:rsidR="00117667" w:rsidRPr="00117667" w:rsidRDefault="00117667" w:rsidP="00117667">
            <w:pPr>
              <w:spacing w:after="0" w:line="240" w:lineRule="auto"/>
              <w:ind w:left="-114" w:right="-119"/>
              <w:jc w:val="center"/>
              <w:rPr>
                <w:rFonts w:ascii="Times New Roman" w:eastAsia="Times New Roman" w:hAnsi="Times New Roman" w:cs="Times New Roman"/>
                <w:color w:val="FF0000"/>
                <w:sz w:val="24"/>
                <w:szCs w:val="24"/>
                <w:highlight w:val="yellow"/>
                <w:lang w:val="kk-KZ" w:eastAsia="ru-RU"/>
              </w:rPr>
            </w:pPr>
          </w:p>
        </w:tc>
        <w:tc>
          <w:tcPr>
            <w:tcW w:w="884" w:type="dxa"/>
            <w:vAlign w:val="bottom"/>
          </w:tcPr>
          <w:p w14:paraId="26605A29" w14:textId="7E440EEC"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90" w:type="dxa"/>
            <w:shd w:val="clear" w:color="auto" w:fill="auto"/>
            <w:noWrap/>
            <w:vAlign w:val="bottom"/>
          </w:tcPr>
          <w:p w14:paraId="42D43349" w14:textId="13FD7357"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61C05E18" w14:textId="7D3E90F7"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2BE6B21C" w14:textId="644C550E"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4C4BAB85" w14:textId="5F67E7B4"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0DFFF4DF" w14:textId="3030DAA1"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9" w:type="dxa"/>
            <w:shd w:val="clear" w:color="auto" w:fill="auto"/>
            <w:noWrap/>
            <w:vAlign w:val="bottom"/>
          </w:tcPr>
          <w:p w14:paraId="2F61C38A" w14:textId="468BDA57"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377" w:type="dxa"/>
            <w:shd w:val="clear" w:color="auto" w:fill="auto"/>
            <w:noWrap/>
            <w:vAlign w:val="bottom"/>
            <w:hideMark/>
          </w:tcPr>
          <w:p w14:paraId="54974545" w14:textId="3A4E3909" w:rsidR="00117667" w:rsidRPr="00BB2991" w:rsidRDefault="00117667" w:rsidP="00117667">
            <w:pPr>
              <w:spacing w:after="0" w:line="240" w:lineRule="auto"/>
              <w:ind w:left="-114" w:right="-119"/>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7</w:t>
            </w:r>
          </w:p>
        </w:tc>
        <w:tc>
          <w:tcPr>
            <w:tcW w:w="1066" w:type="dxa"/>
            <w:shd w:val="clear" w:color="000000" w:fill="auto"/>
            <w:noWrap/>
            <w:vAlign w:val="bottom"/>
            <w:hideMark/>
          </w:tcPr>
          <w:p w14:paraId="4A49547D" w14:textId="77777777" w:rsidR="00117667" w:rsidRPr="00117667" w:rsidRDefault="00117667" w:rsidP="00117667">
            <w:pPr>
              <w:spacing w:after="0" w:line="240" w:lineRule="auto"/>
              <w:ind w:left="-114" w:right="-119"/>
              <w:jc w:val="center"/>
              <w:rPr>
                <w:rFonts w:ascii="Times New Roman" w:eastAsia="Times New Roman" w:hAnsi="Times New Roman" w:cs="Times New Roman"/>
                <w:i/>
                <w:color w:val="000000"/>
                <w:sz w:val="24"/>
                <w:szCs w:val="24"/>
                <w:lang w:eastAsia="ru-RU"/>
              </w:rPr>
            </w:pPr>
            <w:r w:rsidRPr="00117667">
              <w:rPr>
                <w:rFonts w:ascii="Times New Roman" w:eastAsia="Times New Roman" w:hAnsi="Times New Roman" w:cs="Times New Roman"/>
                <w:i/>
                <w:color w:val="000000"/>
                <w:sz w:val="24"/>
                <w:szCs w:val="24"/>
                <w:lang w:eastAsia="ru-RU"/>
              </w:rPr>
              <w:t>0,001253</w:t>
            </w:r>
          </w:p>
        </w:tc>
        <w:tc>
          <w:tcPr>
            <w:tcW w:w="1001" w:type="dxa"/>
            <w:shd w:val="clear" w:color="auto" w:fill="auto"/>
            <w:noWrap/>
            <w:vAlign w:val="bottom"/>
          </w:tcPr>
          <w:p w14:paraId="475028EA" w14:textId="7FCF3CC1" w:rsidR="00117667" w:rsidRPr="00010EEC" w:rsidRDefault="00010EEC" w:rsidP="00117667">
            <w:pPr>
              <w:spacing w:after="0" w:line="240" w:lineRule="auto"/>
              <w:ind w:left="-114" w:right="-11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45111C" w:rsidRPr="00BB2991" w14:paraId="79C859E5" w14:textId="77777777" w:rsidTr="00117667">
        <w:trPr>
          <w:trHeight w:val="58"/>
          <w:jc w:val="center"/>
        </w:trPr>
        <w:tc>
          <w:tcPr>
            <w:tcW w:w="9654" w:type="dxa"/>
            <w:gridSpan w:val="11"/>
            <w:shd w:val="clear" w:color="auto" w:fill="auto"/>
            <w:noWrap/>
            <w:vAlign w:val="bottom"/>
          </w:tcPr>
          <w:p w14:paraId="3E486145" w14:textId="11BDF580" w:rsidR="0045111C" w:rsidRPr="00BB2991" w:rsidRDefault="0045111C" w:rsidP="00457CE9">
            <w:pPr>
              <w:spacing w:after="0" w:line="240" w:lineRule="auto"/>
              <w:ind w:firstLine="601"/>
              <w:rPr>
                <w:rFonts w:ascii="Times New Roman" w:eastAsia="Times New Roman" w:hAnsi="Times New Roman" w:cs="Times New Roman"/>
                <w:sz w:val="24"/>
                <w:szCs w:val="24"/>
                <w:lang w:eastAsia="ru-RU"/>
              </w:rPr>
            </w:pPr>
            <w:r w:rsidRPr="00BB2991">
              <w:rPr>
                <w:rFonts w:ascii="Times New Roman" w:eastAsiaTheme="minorEastAsia" w:hAnsi="Times New Roman" w:cs="Times New Roman"/>
                <w:sz w:val="24"/>
                <w:szCs w:val="24"/>
                <w:lang w:val="kk-KZ"/>
              </w:rPr>
              <w:t xml:space="preserve">Ескерту – </w:t>
            </w:r>
            <w:r w:rsidR="00117667" w:rsidRPr="00BB2991">
              <w:rPr>
                <w:rFonts w:ascii="Times New Roman" w:eastAsiaTheme="minorEastAsia" w:hAnsi="Times New Roman" w:cs="Times New Roman"/>
                <w:sz w:val="24"/>
                <w:szCs w:val="24"/>
                <w:lang w:val="kk-KZ"/>
              </w:rPr>
              <w:t xml:space="preserve">Автормен </w:t>
            </w:r>
            <w:r w:rsidRPr="00BB2991">
              <w:rPr>
                <w:rFonts w:ascii="Times New Roman" w:eastAsiaTheme="minorEastAsia" w:hAnsi="Times New Roman" w:cs="Times New Roman"/>
                <w:sz w:val="24"/>
                <w:szCs w:val="24"/>
                <w:lang w:val="kk-KZ"/>
              </w:rPr>
              <w:t>құрастырылған</w:t>
            </w:r>
          </w:p>
        </w:tc>
      </w:tr>
    </w:tbl>
    <w:p w14:paraId="7609D2E5" w14:textId="77777777" w:rsidR="0045111C" w:rsidRPr="00457CE9" w:rsidRDefault="0045111C" w:rsidP="00457CE9">
      <w:pPr>
        <w:spacing w:after="0" w:line="240" w:lineRule="auto"/>
        <w:jc w:val="both"/>
        <w:rPr>
          <w:rFonts w:ascii="Times New Roman" w:eastAsiaTheme="minorEastAsia" w:hAnsi="Times New Roman" w:cs="Times New Roman"/>
          <w:sz w:val="28"/>
          <w:szCs w:val="28"/>
          <w:lang w:val="kk-KZ"/>
        </w:rPr>
      </w:pPr>
    </w:p>
    <w:p w14:paraId="31DB0F7B" w14:textId="7DC91AFF" w:rsidR="00647B71" w:rsidRPr="00457CE9" w:rsidRDefault="001406AE"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7</w:t>
      </w:r>
      <w:r w:rsidR="00647B71" w:rsidRPr="00457CE9">
        <w:rPr>
          <w:rFonts w:ascii="Times New Roman" w:eastAsiaTheme="minorEastAsia" w:hAnsi="Times New Roman" w:cs="Times New Roman"/>
          <w:sz w:val="28"/>
          <w:szCs w:val="28"/>
          <w:lang w:val="kk-KZ"/>
        </w:rPr>
        <w:t>-кесте мәліметтерінен ҚР АӨК дамыту ұлттық жобасындағы 1-міндет бойынша үшінші және екінші деңгейлер факторлары матрицаларының көбейтіндісінің нәтижесі келтірілген. Шыққан матрица нәтижесі бірінші деңгей факторларының жұптық салытыру матрицасына көбейтуге апарылады.</w:t>
      </w:r>
      <w:r w:rsidR="00010EEC">
        <w:rPr>
          <w:rFonts w:ascii="Times New Roman" w:eastAsiaTheme="minorEastAsia" w:hAnsi="Times New Roman" w:cs="Times New Roman"/>
          <w:sz w:val="28"/>
          <w:szCs w:val="28"/>
          <w:lang w:val="kk-KZ"/>
        </w:rPr>
        <w:t xml:space="preserve"> </w:t>
      </w:r>
      <w:r w:rsidR="00B90011"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8</w:t>
      </w:r>
      <w:r w:rsidR="00647B71" w:rsidRPr="00457CE9">
        <w:rPr>
          <w:rFonts w:ascii="Times New Roman" w:eastAsiaTheme="minorEastAsia" w:hAnsi="Times New Roman" w:cs="Times New Roman"/>
          <w:sz w:val="28"/>
          <w:szCs w:val="28"/>
          <w:lang w:val="kk-KZ"/>
        </w:rPr>
        <w:t>-кестеде 1-міндет бойынша бірінші деңгей факторлары ретінде алынған 4 міндет бойынша 2021-2025 жж. бөлінген бюджет қаражатының үлестері анықталып келтірілген.</w:t>
      </w:r>
    </w:p>
    <w:p w14:paraId="3BEDB53B" w14:textId="7777777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p>
    <w:p w14:paraId="294E6037" w14:textId="544E30B2"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8</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дамытудың бірінші деңгей факторлары ретінде алынған міндеттерге бөлінген бюджет қаражатының үлестері </w:t>
      </w:r>
    </w:p>
    <w:p w14:paraId="39154E5D" w14:textId="77777777" w:rsidR="00117667" w:rsidRPr="00117667" w:rsidRDefault="00117667" w:rsidP="00457CE9">
      <w:pPr>
        <w:spacing w:after="0" w:line="240" w:lineRule="auto"/>
        <w:jc w:val="both"/>
        <w:rPr>
          <w:rFonts w:ascii="Times New Roman" w:eastAsiaTheme="minorEastAsia" w:hAnsi="Times New Roman" w:cs="Times New Roman"/>
          <w:sz w:val="16"/>
          <w:szCs w:val="16"/>
          <w:lang w:val="kk-KZ"/>
        </w:rPr>
      </w:pPr>
    </w:p>
    <w:tbl>
      <w:tblPr>
        <w:tblStyle w:val="a3"/>
        <w:tblW w:w="0" w:type="auto"/>
        <w:jc w:val="center"/>
        <w:tblLayout w:type="fixed"/>
        <w:tblLook w:val="04A0" w:firstRow="1" w:lastRow="0" w:firstColumn="1" w:lastColumn="0" w:noHBand="0" w:noVBand="1"/>
      </w:tblPr>
      <w:tblGrid>
        <w:gridCol w:w="411"/>
        <w:gridCol w:w="873"/>
        <w:gridCol w:w="819"/>
        <w:gridCol w:w="873"/>
        <w:gridCol w:w="819"/>
        <w:gridCol w:w="873"/>
        <w:gridCol w:w="819"/>
        <w:gridCol w:w="873"/>
        <w:gridCol w:w="819"/>
        <w:gridCol w:w="873"/>
        <w:gridCol w:w="748"/>
        <w:gridCol w:w="911"/>
      </w:tblGrid>
      <w:tr w:rsidR="00647B71" w:rsidRPr="00BB2991" w14:paraId="644E42ED" w14:textId="77777777" w:rsidTr="00117667">
        <w:trPr>
          <w:trHeight w:val="509"/>
          <w:jc w:val="center"/>
        </w:trPr>
        <w:tc>
          <w:tcPr>
            <w:tcW w:w="411" w:type="dxa"/>
            <w:vMerge w:val="restart"/>
            <w:tcBorders>
              <w:top w:val="single" w:sz="4" w:space="0" w:color="auto"/>
              <w:left w:val="single" w:sz="4" w:space="0" w:color="auto"/>
              <w:bottom w:val="single" w:sz="4" w:space="0" w:color="auto"/>
              <w:right w:val="single" w:sz="4" w:space="0" w:color="auto"/>
            </w:tcBorders>
            <w:vAlign w:val="center"/>
            <w:hideMark/>
          </w:tcPr>
          <w:p w14:paraId="3ECDF845" w14:textId="7777777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М</w:t>
            </w:r>
          </w:p>
        </w:tc>
        <w:tc>
          <w:tcPr>
            <w:tcW w:w="1692" w:type="dxa"/>
            <w:gridSpan w:val="2"/>
            <w:tcBorders>
              <w:top w:val="single" w:sz="4" w:space="0" w:color="auto"/>
              <w:left w:val="single" w:sz="4" w:space="0" w:color="auto"/>
              <w:bottom w:val="single" w:sz="4" w:space="0" w:color="auto"/>
              <w:right w:val="single" w:sz="4" w:space="0" w:color="auto"/>
            </w:tcBorders>
            <w:vAlign w:val="center"/>
            <w:hideMark/>
          </w:tcPr>
          <w:p w14:paraId="7EBA442E" w14:textId="7777777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2021 жыл</w:t>
            </w:r>
          </w:p>
        </w:tc>
        <w:tc>
          <w:tcPr>
            <w:tcW w:w="1692" w:type="dxa"/>
            <w:gridSpan w:val="2"/>
            <w:tcBorders>
              <w:top w:val="single" w:sz="4" w:space="0" w:color="auto"/>
              <w:left w:val="single" w:sz="4" w:space="0" w:color="auto"/>
              <w:bottom w:val="single" w:sz="4" w:space="0" w:color="auto"/>
              <w:right w:val="single" w:sz="4" w:space="0" w:color="auto"/>
            </w:tcBorders>
            <w:vAlign w:val="center"/>
            <w:hideMark/>
          </w:tcPr>
          <w:p w14:paraId="4AD6A61A" w14:textId="7777777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2022 жыл</w:t>
            </w:r>
          </w:p>
        </w:tc>
        <w:tc>
          <w:tcPr>
            <w:tcW w:w="1692" w:type="dxa"/>
            <w:gridSpan w:val="2"/>
            <w:tcBorders>
              <w:top w:val="single" w:sz="4" w:space="0" w:color="auto"/>
              <w:left w:val="single" w:sz="4" w:space="0" w:color="auto"/>
              <w:bottom w:val="single" w:sz="4" w:space="0" w:color="auto"/>
              <w:right w:val="single" w:sz="4" w:space="0" w:color="auto"/>
            </w:tcBorders>
            <w:vAlign w:val="center"/>
            <w:hideMark/>
          </w:tcPr>
          <w:p w14:paraId="27AF03FF" w14:textId="7777777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2023 жыл</w:t>
            </w:r>
          </w:p>
        </w:tc>
        <w:tc>
          <w:tcPr>
            <w:tcW w:w="1692" w:type="dxa"/>
            <w:gridSpan w:val="2"/>
            <w:tcBorders>
              <w:top w:val="single" w:sz="4" w:space="0" w:color="auto"/>
              <w:left w:val="single" w:sz="4" w:space="0" w:color="auto"/>
              <w:bottom w:val="single" w:sz="4" w:space="0" w:color="auto"/>
              <w:right w:val="single" w:sz="4" w:space="0" w:color="auto"/>
            </w:tcBorders>
            <w:vAlign w:val="center"/>
            <w:hideMark/>
          </w:tcPr>
          <w:p w14:paraId="00390B3B" w14:textId="7777777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2024 жыл</w:t>
            </w:r>
          </w:p>
        </w:tc>
        <w:tc>
          <w:tcPr>
            <w:tcW w:w="1621" w:type="dxa"/>
            <w:gridSpan w:val="2"/>
            <w:tcBorders>
              <w:top w:val="single" w:sz="4" w:space="0" w:color="auto"/>
              <w:left w:val="single" w:sz="4" w:space="0" w:color="auto"/>
              <w:bottom w:val="single" w:sz="4" w:space="0" w:color="auto"/>
              <w:right w:val="single" w:sz="4" w:space="0" w:color="auto"/>
            </w:tcBorders>
            <w:vAlign w:val="center"/>
            <w:hideMark/>
          </w:tcPr>
          <w:p w14:paraId="277095C0" w14:textId="7777777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2025 жыл</w:t>
            </w:r>
          </w:p>
        </w:tc>
        <w:tc>
          <w:tcPr>
            <w:tcW w:w="911" w:type="dxa"/>
            <w:vMerge w:val="restart"/>
            <w:tcBorders>
              <w:top w:val="single" w:sz="4" w:space="0" w:color="auto"/>
              <w:left w:val="single" w:sz="4" w:space="0" w:color="auto"/>
              <w:bottom w:val="single" w:sz="4" w:space="0" w:color="auto"/>
              <w:right w:val="single" w:sz="4" w:space="0" w:color="auto"/>
            </w:tcBorders>
            <w:vAlign w:val="center"/>
            <w:hideMark/>
          </w:tcPr>
          <w:p w14:paraId="252DACE3" w14:textId="79BFE607" w:rsidR="00647B71" w:rsidRPr="00BB2991" w:rsidRDefault="00647B71" w:rsidP="00117667">
            <w:pPr>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Қар</w:t>
            </w:r>
            <w:r w:rsidR="00117667">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rPr>
              <w:t>жы жиы</w:t>
            </w:r>
            <w:r w:rsidR="00117667">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rPr>
              <w:t>ны</w:t>
            </w:r>
          </w:p>
        </w:tc>
      </w:tr>
      <w:tr w:rsidR="00647B71" w:rsidRPr="00BB2991" w14:paraId="7E592D77" w14:textId="77777777" w:rsidTr="00117667">
        <w:trPr>
          <w:jc w:val="center"/>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296A5C5C" w14:textId="77777777" w:rsidR="00647B71" w:rsidRPr="00BB2991" w:rsidRDefault="00647B71" w:rsidP="00457CE9">
            <w:pPr>
              <w:rPr>
                <w:rFonts w:ascii="Times New Roman" w:eastAsiaTheme="minorEastAsia" w:hAnsi="Times New Roman" w:cs="Times New Roman"/>
                <w:sz w:val="24"/>
                <w:szCs w:val="24"/>
                <w:lang w:val="kk-KZ"/>
              </w:rPr>
            </w:pPr>
          </w:p>
        </w:tc>
        <w:tc>
          <w:tcPr>
            <w:tcW w:w="873" w:type="dxa"/>
            <w:tcBorders>
              <w:top w:val="single" w:sz="4" w:space="0" w:color="auto"/>
              <w:left w:val="single" w:sz="4" w:space="0" w:color="auto"/>
              <w:bottom w:val="single" w:sz="4" w:space="0" w:color="auto"/>
              <w:right w:val="single" w:sz="4" w:space="0" w:color="auto"/>
            </w:tcBorders>
            <w:vAlign w:val="center"/>
            <w:hideMark/>
          </w:tcPr>
          <w:p w14:paraId="7065FC3A" w14:textId="51E88B29" w:rsidR="00647B71" w:rsidRPr="00BB2991" w:rsidRDefault="00117667" w:rsidP="00117667">
            <w:pPr>
              <w:ind w:left="-62" w:right="-135"/>
              <w:jc w:val="center"/>
              <w:rPr>
                <w:rFonts w:ascii="Times New Roman" w:hAnsi="Times New Roman" w:cs="Times New Roman"/>
                <w:color w:val="000000"/>
                <w:sz w:val="24"/>
                <w:szCs w:val="24"/>
                <w:lang w:val="kk-KZ"/>
              </w:rPr>
            </w:pPr>
            <w:r w:rsidRPr="00BB2991">
              <w:rPr>
                <w:rFonts w:ascii="Times New Roman" w:hAnsi="Times New Roman" w:cs="Times New Roman"/>
                <w:color w:val="000000"/>
                <w:sz w:val="24"/>
                <w:szCs w:val="24"/>
                <w:lang w:val="kk-KZ"/>
              </w:rPr>
              <w:t>сома, млн.</w:t>
            </w:r>
            <w:r>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lang w:val="kk-KZ"/>
              </w:rPr>
              <w:t>тг</w:t>
            </w:r>
          </w:p>
        </w:tc>
        <w:tc>
          <w:tcPr>
            <w:tcW w:w="819" w:type="dxa"/>
            <w:tcBorders>
              <w:top w:val="single" w:sz="4" w:space="0" w:color="auto"/>
              <w:left w:val="single" w:sz="4" w:space="0" w:color="auto"/>
              <w:bottom w:val="single" w:sz="4" w:space="0" w:color="auto"/>
              <w:right w:val="single" w:sz="4" w:space="0" w:color="auto"/>
            </w:tcBorders>
            <w:vAlign w:val="center"/>
            <w:hideMark/>
          </w:tcPr>
          <w:p w14:paraId="138A2FDD" w14:textId="30CB093E" w:rsidR="00647B71" w:rsidRPr="00117667" w:rsidRDefault="00117667" w:rsidP="00117667">
            <w:pPr>
              <w:ind w:left="-62" w:right="-135"/>
              <w:jc w:val="center"/>
              <w:rPr>
                <w:rFonts w:ascii="Times New Roman" w:hAnsi="Times New Roman" w:cs="Times New Roman"/>
                <w:bCs/>
                <w:i/>
                <w:color w:val="000000"/>
                <w:sz w:val="24"/>
                <w:szCs w:val="24"/>
                <w:lang w:val="kk-KZ"/>
              </w:rPr>
            </w:pPr>
            <w:r w:rsidRPr="00117667">
              <w:rPr>
                <w:rFonts w:ascii="Times New Roman" w:hAnsi="Times New Roman" w:cs="Times New Roman"/>
                <w:bCs/>
                <w:i/>
                <w:color w:val="000000"/>
                <w:sz w:val="24"/>
                <w:szCs w:val="24"/>
                <w:lang w:val="kk-KZ"/>
              </w:rPr>
              <w:t>үлесі</w:t>
            </w:r>
          </w:p>
        </w:tc>
        <w:tc>
          <w:tcPr>
            <w:tcW w:w="873" w:type="dxa"/>
            <w:tcBorders>
              <w:top w:val="single" w:sz="4" w:space="0" w:color="auto"/>
              <w:left w:val="single" w:sz="4" w:space="0" w:color="auto"/>
              <w:bottom w:val="single" w:sz="4" w:space="0" w:color="auto"/>
              <w:right w:val="single" w:sz="4" w:space="0" w:color="auto"/>
            </w:tcBorders>
            <w:vAlign w:val="center"/>
            <w:hideMark/>
          </w:tcPr>
          <w:p w14:paraId="375AEF40" w14:textId="612F7E08" w:rsidR="00647B71" w:rsidRPr="00BB2991" w:rsidRDefault="00117667" w:rsidP="00117667">
            <w:pPr>
              <w:ind w:left="-62" w:right="-135"/>
              <w:jc w:val="center"/>
              <w:rPr>
                <w:rFonts w:ascii="Times New Roman" w:hAnsi="Times New Roman" w:cs="Times New Roman"/>
                <w:color w:val="000000"/>
                <w:sz w:val="24"/>
                <w:szCs w:val="24"/>
              </w:rPr>
            </w:pPr>
            <w:r w:rsidRPr="00BB2991">
              <w:rPr>
                <w:rFonts w:ascii="Times New Roman" w:hAnsi="Times New Roman" w:cs="Times New Roman"/>
                <w:color w:val="000000"/>
                <w:sz w:val="24"/>
                <w:szCs w:val="24"/>
                <w:lang w:val="kk-KZ"/>
              </w:rPr>
              <w:t>сома, млн.</w:t>
            </w:r>
            <w:r>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lang w:val="kk-KZ"/>
              </w:rPr>
              <w:t>тг</w:t>
            </w:r>
          </w:p>
        </w:tc>
        <w:tc>
          <w:tcPr>
            <w:tcW w:w="819" w:type="dxa"/>
            <w:tcBorders>
              <w:top w:val="single" w:sz="4" w:space="0" w:color="auto"/>
              <w:left w:val="single" w:sz="4" w:space="0" w:color="auto"/>
              <w:bottom w:val="single" w:sz="4" w:space="0" w:color="auto"/>
              <w:right w:val="single" w:sz="4" w:space="0" w:color="auto"/>
            </w:tcBorders>
            <w:vAlign w:val="center"/>
            <w:hideMark/>
          </w:tcPr>
          <w:p w14:paraId="36994C68" w14:textId="0411D065" w:rsidR="00647B71" w:rsidRPr="00117667" w:rsidRDefault="00117667" w:rsidP="00117667">
            <w:pPr>
              <w:ind w:left="-62" w:right="-135"/>
              <w:jc w:val="center"/>
              <w:rPr>
                <w:rFonts w:ascii="Times New Roman" w:hAnsi="Times New Roman" w:cs="Times New Roman"/>
                <w:bCs/>
                <w:i/>
                <w:color w:val="000000"/>
                <w:sz w:val="24"/>
                <w:szCs w:val="24"/>
              </w:rPr>
            </w:pPr>
            <w:r w:rsidRPr="00117667">
              <w:rPr>
                <w:rFonts w:ascii="Times New Roman" w:hAnsi="Times New Roman" w:cs="Times New Roman"/>
                <w:bCs/>
                <w:i/>
                <w:color w:val="000000"/>
                <w:sz w:val="24"/>
                <w:szCs w:val="24"/>
                <w:lang w:val="kk-KZ"/>
              </w:rPr>
              <w:t>үлесі</w:t>
            </w:r>
          </w:p>
        </w:tc>
        <w:tc>
          <w:tcPr>
            <w:tcW w:w="873" w:type="dxa"/>
            <w:tcBorders>
              <w:top w:val="single" w:sz="4" w:space="0" w:color="auto"/>
              <w:left w:val="single" w:sz="4" w:space="0" w:color="auto"/>
              <w:bottom w:val="single" w:sz="4" w:space="0" w:color="auto"/>
              <w:right w:val="single" w:sz="4" w:space="0" w:color="auto"/>
            </w:tcBorders>
            <w:vAlign w:val="center"/>
            <w:hideMark/>
          </w:tcPr>
          <w:p w14:paraId="321509AC" w14:textId="7602E673" w:rsidR="00647B71" w:rsidRPr="00BB2991" w:rsidRDefault="00117667" w:rsidP="00117667">
            <w:pPr>
              <w:ind w:left="-62" w:right="-135"/>
              <w:jc w:val="center"/>
              <w:rPr>
                <w:rFonts w:ascii="Times New Roman" w:hAnsi="Times New Roman" w:cs="Times New Roman"/>
                <w:color w:val="000000"/>
                <w:sz w:val="24"/>
                <w:szCs w:val="24"/>
              </w:rPr>
            </w:pPr>
            <w:r w:rsidRPr="00BB2991">
              <w:rPr>
                <w:rFonts w:ascii="Times New Roman" w:hAnsi="Times New Roman" w:cs="Times New Roman"/>
                <w:color w:val="000000"/>
                <w:sz w:val="24"/>
                <w:szCs w:val="24"/>
                <w:lang w:val="kk-KZ"/>
              </w:rPr>
              <w:t>сома, млн.</w:t>
            </w:r>
            <w:r>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lang w:val="kk-KZ"/>
              </w:rPr>
              <w:t>тг</w:t>
            </w:r>
          </w:p>
        </w:tc>
        <w:tc>
          <w:tcPr>
            <w:tcW w:w="819" w:type="dxa"/>
            <w:tcBorders>
              <w:top w:val="single" w:sz="4" w:space="0" w:color="auto"/>
              <w:left w:val="single" w:sz="4" w:space="0" w:color="auto"/>
              <w:bottom w:val="single" w:sz="4" w:space="0" w:color="auto"/>
              <w:right w:val="single" w:sz="4" w:space="0" w:color="auto"/>
            </w:tcBorders>
            <w:vAlign w:val="center"/>
            <w:hideMark/>
          </w:tcPr>
          <w:p w14:paraId="6C20E7CB" w14:textId="46800255" w:rsidR="00647B71" w:rsidRPr="00117667" w:rsidRDefault="00117667" w:rsidP="00117667">
            <w:pPr>
              <w:ind w:left="-62" w:right="-135"/>
              <w:jc w:val="center"/>
              <w:rPr>
                <w:rFonts w:ascii="Times New Roman" w:hAnsi="Times New Roman" w:cs="Times New Roman"/>
                <w:bCs/>
                <w:i/>
                <w:color w:val="000000"/>
                <w:sz w:val="24"/>
                <w:szCs w:val="24"/>
              </w:rPr>
            </w:pPr>
            <w:r w:rsidRPr="00117667">
              <w:rPr>
                <w:rFonts w:ascii="Times New Roman" w:hAnsi="Times New Roman" w:cs="Times New Roman"/>
                <w:bCs/>
                <w:i/>
                <w:color w:val="000000"/>
                <w:sz w:val="24"/>
                <w:szCs w:val="24"/>
                <w:lang w:val="kk-KZ"/>
              </w:rPr>
              <w:t>үлесі</w:t>
            </w:r>
          </w:p>
        </w:tc>
        <w:tc>
          <w:tcPr>
            <w:tcW w:w="873" w:type="dxa"/>
            <w:tcBorders>
              <w:top w:val="single" w:sz="4" w:space="0" w:color="auto"/>
              <w:left w:val="single" w:sz="4" w:space="0" w:color="auto"/>
              <w:bottom w:val="single" w:sz="4" w:space="0" w:color="auto"/>
              <w:right w:val="single" w:sz="4" w:space="0" w:color="auto"/>
            </w:tcBorders>
            <w:vAlign w:val="center"/>
            <w:hideMark/>
          </w:tcPr>
          <w:p w14:paraId="45694E8E" w14:textId="684FB90B" w:rsidR="00647B71" w:rsidRPr="00BB2991" w:rsidRDefault="00117667" w:rsidP="00117667">
            <w:pPr>
              <w:ind w:left="-62" w:right="-135"/>
              <w:jc w:val="center"/>
              <w:rPr>
                <w:rFonts w:ascii="Times New Roman" w:hAnsi="Times New Roman" w:cs="Times New Roman"/>
                <w:color w:val="000000"/>
                <w:sz w:val="24"/>
                <w:szCs w:val="24"/>
              </w:rPr>
            </w:pPr>
            <w:r w:rsidRPr="00BB2991">
              <w:rPr>
                <w:rFonts w:ascii="Times New Roman" w:hAnsi="Times New Roman" w:cs="Times New Roman"/>
                <w:color w:val="000000"/>
                <w:sz w:val="24"/>
                <w:szCs w:val="24"/>
                <w:lang w:val="kk-KZ"/>
              </w:rPr>
              <w:t>сома, млн.</w:t>
            </w:r>
            <w:r>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lang w:val="kk-KZ"/>
              </w:rPr>
              <w:t>тг</w:t>
            </w:r>
          </w:p>
        </w:tc>
        <w:tc>
          <w:tcPr>
            <w:tcW w:w="819" w:type="dxa"/>
            <w:tcBorders>
              <w:top w:val="single" w:sz="4" w:space="0" w:color="auto"/>
              <w:left w:val="single" w:sz="4" w:space="0" w:color="auto"/>
              <w:bottom w:val="single" w:sz="4" w:space="0" w:color="auto"/>
              <w:right w:val="single" w:sz="4" w:space="0" w:color="auto"/>
            </w:tcBorders>
            <w:vAlign w:val="center"/>
            <w:hideMark/>
          </w:tcPr>
          <w:p w14:paraId="73F78881" w14:textId="353D0A54" w:rsidR="00647B71" w:rsidRPr="00117667" w:rsidRDefault="00117667" w:rsidP="00117667">
            <w:pPr>
              <w:ind w:left="-62" w:right="-135"/>
              <w:jc w:val="center"/>
              <w:rPr>
                <w:rFonts w:ascii="Times New Roman" w:hAnsi="Times New Roman" w:cs="Times New Roman"/>
                <w:bCs/>
                <w:i/>
                <w:color w:val="000000"/>
                <w:sz w:val="24"/>
                <w:szCs w:val="24"/>
              </w:rPr>
            </w:pPr>
            <w:r w:rsidRPr="00117667">
              <w:rPr>
                <w:rFonts w:ascii="Times New Roman" w:hAnsi="Times New Roman" w:cs="Times New Roman"/>
                <w:bCs/>
                <w:i/>
                <w:color w:val="000000"/>
                <w:sz w:val="24"/>
                <w:szCs w:val="24"/>
                <w:lang w:val="kk-KZ"/>
              </w:rPr>
              <w:t>үлесі</w:t>
            </w:r>
          </w:p>
        </w:tc>
        <w:tc>
          <w:tcPr>
            <w:tcW w:w="873" w:type="dxa"/>
            <w:tcBorders>
              <w:top w:val="single" w:sz="4" w:space="0" w:color="auto"/>
              <w:left w:val="single" w:sz="4" w:space="0" w:color="auto"/>
              <w:bottom w:val="single" w:sz="4" w:space="0" w:color="auto"/>
              <w:right w:val="single" w:sz="4" w:space="0" w:color="auto"/>
            </w:tcBorders>
            <w:vAlign w:val="center"/>
            <w:hideMark/>
          </w:tcPr>
          <w:p w14:paraId="7A3CC4C8" w14:textId="557AD128" w:rsidR="00647B71" w:rsidRPr="00BB2991" w:rsidRDefault="00117667" w:rsidP="00117667">
            <w:pPr>
              <w:ind w:left="-62" w:right="-135"/>
              <w:jc w:val="center"/>
              <w:rPr>
                <w:rFonts w:ascii="Times New Roman" w:hAnsi="Times New Roman" w:cs="Times New Roman"/>
                <w:color w:val="000000"/>
                <w:sz w:val="24"/>
                <w:szCs w:val="24"/>
              </w:rPr>
            </w:pPr>
            <w:r w:rsidRPr="00BB2991">
              <w:rPr>
                <w:rFonts w:ascii="Times New Roman" w:hAnsi="Times New Roman" w:cs="Times New Roman"/>
                <w:color w:val="000000"/>
                <w:sz w:val="24"/>
                <w:szCs w:val="24"/>
                <w:lang w:val="kk-KZ"/>
              </w:rPr>
              <w:t>сома, млн.</w:t>
            </w:r>
            <w:r>
              <w:rPr>
                <w:rFonts w:ascii="Times New Roman" w:hAnsi="Times New Roman" w:cs="Times New Roman"/>
                <w:color w:val="000000"/>
                <w:sz w:val="24"/>
                <w:szCs w:val="24"/>
                <w:lang w:val="kk-KZ"/>
              </w:rPr>
              <w:t xml:space="preserve"> </w:t>
            </w:r>
            <w:r w:rsidRPr="00BB2991">
              <w:rPr>
                <w:rFonts w:ascii="Times New Roman" w:hAnsi="Times New Roman" w:cs="Times New Roman"/>
                <w:color w:val="000000"/>
                <w:sz w:val="24"/>
                <w:szCs w:val="24"/>
                <w:lang w:val="kk-KZ"/>
              </w:rPr>
              <w:t>тг</w:t>
            </w:r>
          </w:p>
        </w:tc>
        <w:tc>
          <w:tcPr>
            <w:tcW w:w="748" w:type="dxa"/>
            <w:tcBorders>
              <w:top w:val="single" w:sz="4" w:space="0" w:color="auto"/>
              <w:left w:val="single" w:sz="4" w:space="0" w:color="auto"/>
              <w:bottom w:val="single" w:sz="4" w:space="0" w:color="auto"/>
              <w:right w:val="single" w:sz="4" w:space="0" w:color="auto"/>
            </w:tcBorders>
            <w:vAlign w:val="center"/>
            <w:hideMark/>
          </w:tcPr>
          <w:p w14:paraId="085619AE" w14:textId="4D457557" w:rsidR="00647B71" w:rsidRPr="00117667" w:rsidRDefault="00117667" w:rsidP="00117667">
            <w:pPr>
              <w:jc w:val="center"/>
              <w:rPr>
                <w:rFonts w:ascii="Times New Roman" w:hAnsi="Times New Roman" w:cs="Times New Roman"/>
                <w:bCs/>
                <w:i/>
                <w:color w:val="000000"/>
                <w:sz w:val="24"/>
                <w:szCs w:val="24"/>
              </w:rPr>
            </w:pPr>
            <w:r w:rsidRPr="00117667">
              <w:rPr>
                <w:rFonts w:ascii="Times New Roman" w:hAnsi="Times New Roman" w:cs="Times New Roman"/>
                <w:bCs/>
                <w:i/>
                <w:color w:val="000000"/>
                <w:sz w:val="24"/>
                <w:szCs w:val="24"/>
                <w:lang w:val="kk-KZ"/>
              </w:rPr>
              <w:t>үлесі</w:t>
            </w: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6A23E6C6" w14:textId="77777777" w:rsidR="00647B71" w:rsidRPr="00BB2991" w:rsidRDefault="00647B71" w:rsidP="00457CE9">
            <w:pPr>
              <w:rPr>
                <w:rFonts w:ascii="Times New Roman" w:eastAsiaTheme="minorEastAsia" w:hAnsi="Times New Roman" w:cs="Times New Roman"/>
                <w:sz w:val="24"/>
                <w:szCs w:val="24"/>
                <w:lang w:val="kk-KZ"/>
              </w:rPr>
            </w:pPr>
          </w:p>
        </w:tc>
      </w:tr>
      <w:tr w:rsidR="00647B71" w:rsidRPr="00BB2991" w14:paraId="41ABF376" w14:textId="77777777" w:rsidTr="00117667">
        <w:trPr>
          <w:jc w:val="center"/>
        </w:trPr>
        <w:tc>
          <w:tcPr>
            <w:tcW w:w="411" w:type="dxa"/>
            <w:tcBorders>
              <w:top w:val="single" w:sz="4" w:space="0" w:color="auto"/>
              <w:left w:val="single" w:sz="4" w:space="0" w:color="auto"/>
              <w:bottom w:val="single" w:sz="4" w:space="0" w:color="auto"/>
              <w:right w:val="single" w:sz="4" w:space="0" w:color="auto"/>
            </w:tcBorders>
            <w:hideMark/>
          </w:tcPr>
          <w:p w14:paraId="3E3231E1"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1</w:t>
            </w:r>
          </w:p>
        </w:tc>
        <w:tc>
          <w:tcPr>
            <w:tcW w:w="873" w:type="dxa"/>
            <w:tcBorders>
              <w:top w:val="single" w:sz="4" w:space="0" w:color="auto"/>
              <w:left w:val="single" w:sz="4" w:space="0" w:color="auto"/>
              <w:bottom w:val="single" w:sz="4" w:space="0" w:color="auto"/>
              <w:right w:val="single" w:sz="4" w:space="0" w:color="auto"/>
            </w:tcBorders>
            <w:vAlign w:val="center"/>
            <w:hideMark/>
          </w:tcPr>
          <w:p w14:paraId="26B06420"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183541</w:t>
            </w:r>
          </w:p>
        </w:tc>
        <w:tc>
          <w:tcPr>
            <w:tcW w:w="819" w:type="dxa"/>
            <w:tcBorders>
              <w:top w:val="single" w:sz="4" w:space="0" w:color="auto"/>
              <w:left w:val="single" w:sz="4" w:space="0" w:color="auto"/>
              <w:bottom w:val="single" w:sz="4" w:space="0" w:color="auto"/>
              <w:right w:val="single" w:sz="4" w:space="0" w:color="auto"/>
            </w:tcBorders>
            <w:vAlign w:val="center"/>
            <w:hideMark/>
          </w:tcPr>
          <w:p w14:paraId="57FDDBDE"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0,1568</w:t>
            </w:r>
          </w:p>
        </w:tc>
        <w:tc>
          <w:tcPr>
            <w:tcW w:w="873" w:type="dxa"/>
            <w:tcBorders>
              <w:top w:val="single" w:sz="4" w:space="0" w:color="auto"/>
              <w:left w:val="single" w:sz="4" w:space="0" w:color="auto"/>
              <w:bottom w:val="single" w:sz="4" w:space="0" w:color="auto"/>
              <w:right w:val="single" w:sz="4" w:space="0" w:color="auto"/>
            </w:tcBorders>
            <w:vAlign w:val="center"/>
            <w:hideMark/>
          </w:tcPr>
          <w:p w14:paraId="40E8AEFC"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173577</w:t>
            </w:r>
          </w:p>
        </w:tc>
        <w:tc>
          <w:tcPr>
            <w:tcW w:w="819" w:type="dxa"/>
            <w:tcBorders>
              <w:top w:val="single" w:sz="4" w:space="0" w:color="auto"/>
              <w:left w:val="single" w:sz="4" w:space="0" w:color="auto"/>
              <w:bottom w:val="single" w:sz="4" w:space="0" w:color="auto"/>
              <w:right w:val="single" w:sz="4" w:space="0" w:color="auto"/>
            </w:tcBorders>
            <w:vAlign w:val="center"/>
            <w:hideMark/>
          </w:tcPr>
          <w:p w14:paraId="398DE37F"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0,1483</w:t>
            </w:r>
          </w:p>
        </w:tc>
        <w:tc>
          <w:tcPr>
            <w:tcW w:w="873" w:type="dxa"/>
            <w:tcBorders>
              <w:top w:val="single" w:sz="4" w:space="0" w:color="auto"/>
              <w:left w:val="single" w:sz="4" w:space="0" w:color="auto"/>
              <w:bottom w:val="single" w:sz="4" w:space="0" w:color="auto"/>
              <w:right w:val="single" w:sz="4" w:space="0" w:color="auto"/>
            </w:tcBorders>
            <w:vAlign w:val="center"/>
            <w:hideMark/>
          </w:tcPr>
          <w:p w14:paraId="135D52D6"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245076</w:t>
            </w:r>
          </w:p>
        </w:tc>
        <w:tc>
          <w:tcPr>
            <w:tcW w:w="819" w:type="dxa"/>
            <w:tcBorders>
              <w:top w:val="single" w:sz="4" w:space="0" w:color="auto"/>
              <w:left w:val="single" w:sz="4" w:space="0" w:color="auto"/>
              <w:bottom w:val="single" w:sz="4" w:space="0" w:color="auto"/>
              <w:right w:val="single" w:sz="4" w:space="0" w:color="auto"/>
            </w:tcBorders>
            <w:vAlign w:val="center"/>
            <w:hideMark/>
          </w:tcPr>
          <w:p w14:paraId="7E3F8B18"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0,2094</w:t>
            </w:r>
          </w:p>
        </w:tc>
        <w:tc>
          <w:tcPr>
            <w:tcW w:w="873" w:type="dxa"/>
            <w:tcBorders>
              <w:top w:val="single" w:sz="4" w:space="0" w:color="auto"/>
              <w:left w:val="single" w:sz="4" w:space="0" w:color="auto"/>
              <w:bottom w:val="single" w:sz="4" w:space="0" w:color="auto"/>
              <w:right w:val="single" w:sz="4" w:space="0" w:color="auto"/>
            </w:tcBorders>
            <w:vAlign w:val="center"/>
            <w:hideMark/>
          </w:tcPr>
          <w:p w14:paraId="66C81020"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279717</w:t>
            </w:r>
          </w:p>
        </w:tc>
        <w:tc>
          <w:tcPr>
            <w:tcW w:w="819" w:type="dxa"/>
            <w:tcBorders>
              <w:top w:val="single" w:sz="4" w:space="0" w:color="auto"/>
              <w:left w:val="single" w:sz="4" w:space="0" w:color="auto"/>
              <w:bottom w:val="single" w:sz="4" w:space="0" w:color="auto"/>
              <w:right w:val="single" w:sz="4" w:space="0" w:color="auto"/>
            </w:tcBorders>
            <w:vAlign w:val="center"/>
            <w:hideMark/>
          </w:tcPr>
          <w:p w14:paraId="241F97EF"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0,2390</w:t>
            </w:r>
          </w:p>
        </w:tc>
        <w:tc>
          <w:tcPr>
            <w:tcW w:w="873" w:type="dxa"/>
            <w:tcBorders>
              <w:top w:val="single" w:sz="4" w:space="0" w:color="auto"/>
              <w:left w:val="single" w:sz="4" w:space="0" w:color="auto"/>
              <w:bottom w:val="single" w:sz="4" w:space="0" w:color="auto"/>
              <w:right w:val="single" w:sz="4" w:space="0" w:color="auto"/>
            </w:tcBorders>
            <w:vAlign w:val="center"/>
            <w:hideMark/>
          </w:tcPr>
          <w:p w14:paraId="6B146C69"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288656</w:t>
            </w:r>
          </w:p>
        </w:tc>
        <w:tc>
          <w:tcPr>
            <w:tcW w:w="748" w:type="dxa"/>
            <w:tcBorders>
              <w:top w:val="single" w:sz="4" w:space="0" w:color="auto"/>
              <w:left w:val="single" w:sz="4" w:space="0" w:color="auto"/>
              <w:bottom w:val="single" w:sz="4" w:space="0" w:color="auto"/>
              <w:right w:val="single" w:sz="4" w:space="0" w:color="auto"/>
            </w:tcBorders>
            <w:vAlign w:val="center"/>
            <w:hideMark/>
          </w:tcPr>
          <w:p w14:paraId="098FE804"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0,2466</w:t>
            </w:r>
          </w:p>
        </w:tc>
        <w:tc>
          <w:tcPr>
            <w:tcW w:w="911" w:type="dxa"/>
            <w:tcBorders>
              <w:top w:val="single" w:sz="4" w:space="0" w:color="auto"/>
              <w:left w:val="single" w:sz="4" w:space="0" w:color="auto"/>
              <w:bottom w:val="single" w:sz="4" w:space="0" w:color="auto"/>
              <w:right w:val="single" w:sz="4" w:space="0" w:color="auto"/>
            </w:tcBorders>
            <w:vAlign w:val="center"/>
            <w:hideMark/>
          </w:tcPr>
          <w:p w14:paraId="70C49C45"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1170568</w:t>
            </w:r>
          </w:p>
        </w:tc>
      </w:tr>
      <w:tr w:rsidR="00647B71" w:rsidRPr="00BB2991" w14:paraId="32F8B64B" w14:textId="77777777" w:rsidTr="00117667">
        <w:trPr>
          <w:jc w:val="center"/>
        </w:trPr>
        <w:tc>
          <w:tcPr>
            <w:tcW w:w="411" w:type="dxa"/>
            <w:tcBorders>
              <w:top w:val="single" w:sz="4" w:space="0" w:color="auto"/>
              <w:left w:val="single" w:sz="4" w:space="0" w:color="auto"/>
              <w:bottom w:val="single" w:sz="4" w:space="0" w:color="auto"/>
              <w:right w:val="single" w:sz="4" w:space="0" w:color="auto"/>
            </w:tcBorders>
            <w:hideMark/>
          </w:tcPr>
          <w:p w14:paraId="7CA7BB06"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2</w:t>
            </w:r>
          </w:p>
        </w:tc>
        <w:tc>
          <w:tcPr>
            <w:tcW w:w="873" w:type="dxa"/>
            <w:tcBorders>
              <w:top w:val="single" w:sz="4" w:space="0" w:color="auto"/>
              <w:left w:val="single" w:sz="4" w:space="0" w:color="auto"/>
              <w:bottom w:val="single" w:sz="4" w:space="0" w:color="auto"/>
              <w:right w:val="single" w:sz="4" w:space="0" w:color="auto"/>
            </w:tcBorders>
            <w:vAlign w:val="center"/>
            <w:hideMark/>
          </w:tcPr>
          <w:p w14:paraId="49BEC81F"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233057</w:t>
            </w:r>
          </w:p>
        </w:tc>
        <w:tc>
          <w:tcPr>
            <w:tcW w:w="819" w:type="dxa"/>
            <w:tcBorders>
              <w:top w:val="single" w:sz="4" w:space="0" w:color="auto"/>
              <w:left w:val="single" w:sz="4" w:space="0" w:color="auto"/>
              <w:bottom w:val="single" w:sz="4" w:space="0" w:color="auto"/>
              <w:right w:val="single" w:sz="4" w:space="0" w:color="auto"/>
            </w:tcBorders>
            <w:vAlign w:val="center"/>
            <w:hideMark/>
          </w:tcPr>
          <w:p w14:paraId="37101951"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0,2182</w:t>
            </w:r>
          </w:p>
        </w:tc>
        <w:tc>
          <w:tcPr>
            <w:tcW w:w="873" w:type="dxa"/>
            <w:tcBorders>
              <w:top w:val="single" w:sz="4" w:space="0" w:color="auto"/>
              <w:left w:val="single" w:sz="4" w:space="0" w:color="auto"/>
              <w:bottom w:val="single" w:sz="4" w:space="0" w:color="auto"/>
              <w:right w:val="single" w:sz="4" w:space="0" w:color="auto"/>
            </w:tcBorders>
            <w:vAlign w:val="center"/>
            <w:hideMark/>
          </w:tcPr>
          <w:p w14:paraId="7FA7F9E9"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252682</w:t>
            </w:r>
          </w:p>
        </w:tc>
        <w:tc>
          <w:tcPr>
            <w:tcW w:w="819" w:type="dxa"/>
            <w:tcBorders>
              <w:top w:val="single" w:sz="4" w:space="0" w:color="auto"/>
              <w:left w:val="single" w:sz="4" w:space="0" w:color="auto"/>
              <w:bottom w:val="single" w:sz="4" w:space="0" w:color="auto"/>
              <w:right w:val="single" w:sz="4" w:space="0" w:color="auto"/>
            </w:tcBorders>
            <w:vAlign w:val="center"/>
            <w:hideMark/>
          </w:tcPr>
          <w:p w14:paraId="6A2B5667"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0,2366</w:t>
            </w:r>
          </w:p>
        </w:tc>
        <w:tc>
          <w:tcPr>
            <w:tcW w:w="873" w:type="dxa"/>
            <w:tcBorders>
              <w:top w:val="single" w:sz="4" w:space="0" w:color="auto"/>
              <w:left w:val="single" w:sz="4" w:space="0" w:color="auto"/>
              <w:bottom w:val="single" w:sz="4" w:space="0" w:color="auto"/>
              <w:right w:val="single" w:sz="4" w:space="0" w:color="auto"/>
            </w:tcBorders>
            <w:vAlign w:val="center"/>
            <w:hideMark/>
          </w:tcPr>
          <w:p w14:paraId="1B9EA9E0"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205396</w:t>
            </w:r>
          </w:p>
        </w:tc>
        <w:tc>
          <w:tcPr>
            <w:tcW w:w="819" w:type="dxa"/>
            <w:tcBorders>
              <w:top w:val="single" w:sz="4" w:space="0" w:color="auto"/>
              <w:left w:val="single" w:sz="4" w:space="0" w:color="auto"/>
              <w:bottom w:val="single" w:sz="4" w:space="0" w:color="auto"/>
              <w:right w:val="single" w:sz="4" w:space="0" w:color="auto"/>
            </w:tcBorders>
            <w:vAlign w:val="center"/>
            <w:hideMark/>
          </w:tcPr>
          <w:p w14:paraId="30E7C4E7"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0,1923</w:t>
            </w:r>
          </w:p>
        </w:tc>
        <w:tc>
          <w:tcPr>
            <w:tcW w:w="873" w:type="dxa"/>
            <w:tcBorders>
              <w:top w:val="single" w:sz="4" w:space="0" w:color="auto"/>
              <w:left w:val="single" w:sz="4" w:space="0" w:color="auto"/>
              <w:bottom w:val="single" w:sz="4" w:space="0" w:color="auto"/>
              <w:right w:val="single" w:sz="4" w:space="0" w:color="auto"/>
            </w:tcBorders>
            <w:vAlign w:val="center"/>
            <w:hideMark/>
          </w:tcPr>
          <w:p w14:paraId="4679932E"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181920</w:t>
            </w:r>
          </w:p>
        </w:tc>
        <w:tc>
          <w:tcPr>
            <w:tcW w:w="819" w:type="dxa"/>
            <w:tcBorders>
              <w:top w:val="single" w:sz="4" w:space="0" w:color="auto"/>
              <w:left w:val="single" w:sz="4" w:space="0" w:color="auto"/>
              <w:bottom w:val="single" w:sz="4" w:space="0" w:color="auto"/>
              <w:right w:val="single" w:sz="4" w:space="0" w:color="auto"/>
            </w:tcBorders>
            <w:vAlign w:val="center"/>
            <w:hideMark/>
          </w:tcPr>
          <w:p w14:paraId="41102D91"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0,1703</w:t>
            </w:r>
          </w:p>
        </w:tc>
        <w:tc>
          <w:tcPr>
            <w:tcW w:w="873" w:type="dxa"/>
            <w:tcBorders>
              <w:top w:val="single" w:sz="4" w:space="0" w:color="auto"/>
              <w:left w:val="single" w:sz="4" w:space="0" w:color="auto"/>
              <w:bottom w:val="single" w:sz="4" w:space="0" w:color="auto"/>
              <w:right w:val="single" w:sz="4" w:space="0" w:color="auto"/>
            </w:tcBorders>
            <w:vAlign w:val="center"/>
            <w:hideMark/>
          </w:tcPr>
          <w:p w14:paraId="24B0F60F"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194882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3DC63E2"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0,1825</w:t>
            </w:r>
          </w:p>
        </w:tc>
        <w:tc>
          <w:tcPr>
            <w:tcW w:w="911" w:type="dxa"/>
            <w:tcBorders>
              <w:top w:val="single" w:sz="4" w:space="0" w:color="auto"/>
              <w:left w:val="single" w:sz="4" w:space="0" w:color="auto"/>
              <w:bottom w:val="single" w:sz="4" w:space="0" w:color="auto"/>
              <w:right w:val="single" w:sz="4" w:space="0" w:color="auto"/>
            </w:tcBorders>
            <w:vAlign w:val="center"/>
            <w:hideMark/>
          </w:tcPr>
          <w:p w14:paraId="28F0A50D"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1067938</w:t>
            </w:r>
          </w:p>
        </w:tc>
      </w:tr>
      <w:tr w:rsidR="00647B71" w:rsidRPr="00BB2991" w14:paraId="208958F3" w14:textId="77777777" w:rsidTr="00117667">
        <w:trPr>
          <w:jc w:val="center"/>
        </w:trPr>
        <w:tc>
          <w:tcPr>
            <w:tcW w:w="411" w:type="dxa"/>
            <w:tcBorders>
              <w:top w:val="single" w:sz="4" w:space="0" w:color="auto"/>
              <w:left w:val="single" w:sz="4" w:space="0" w:color="auto"/>
              <w:bottom w:val="single" w:sz="4" w:space="0" w:color="auto"/>
              <w:right w:val="single" w:sz="4" w:space="0" w:color="auto"/>
            </w:tcBorders>
            <w:hideMark/>
          </w:tcPr>
          <w:p w14:paraId="0A763B88"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3</w:t>
            </w:r>
          </w:p>
        </w:tc>
        <w:tc>
          <w:tcPr>
            <w:tcW w:w="873" w:type="dxa"/>
            <w:tcBorders>
              <w:top w:val="single" w:sz="4" w:space="0" w:color="auto"/>
              <w:left w:val="single" w:sz="4" w:space="0" w:color="auto"/>
              <w:bottom w:val="single" w:sz="4" w:space="0" w:color="auto"/>
              <w:right w:val="single" w:sz="4" w:space="0" w:color="auto"/>
            </w:tcBorders>
            <w:vAlign w:val="center"/>
            <w:hideMark/>
          </w:tcPr>
          <w:p w14:paraId="74D6938A"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277041</w:t>
            </w:r>
          </w:p>
        </w:tc>
        <w:tc>
          <w:tcPr>
            <w:tcW w:w="819" w:type="dxa"/>
            <w:tcBorders>
              <w:top w:val="single" w:sz="4" w:space="0" w:color="auto"/>
              <w:left w:val="single" w:sz="4" w:space="0" w:color="auto"/>
              <w:bottom w:val="single" w:sz="4" w:space="0" w:color="auto"/>
              <w:right w:val="single" w:sz="4" w:space="0" w:color="auto"/>
            </w:tcBorders>
            <w:vAlign w:val="center"/>
            <w:hideMark/>
          </w:tcPr>
          <w:p w14:paraId="66E70BBE"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0,3000</w:t>
            </w:r>
          </w:p>
        </w:tc>
        <w:tc>
          <w:tcPr>
            <w:tcW w:w="873" w:type="dxa"/>
            <w:tcBorders>
              <w:top w:val="single" w:sz="4" w:space="0" w:color="auto"/>
              <w:left w:val="single" w:sz="4" w:space="0" w:color="auto"/>
              <w:bottom w:val="single" w:sz="4" w:space="0" w:color="auto"/>
              <w:right w:val="single" w:sz="4" w:space="0" w:color="auto"/>
            </w:tcBorders>
            <w:vAlign w:val="center"/>
            <w:hideMark/>
          </w:tcPr>
          <w:p w14:paraId="48BA668B"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318724</w:t>
            </w:r>
          </w:p>
        </w:tc>
        <w:tc>
          <w:tcPr>
            <w:tcW w:w="819" w:type="dxa"/>
            <w:tcBorders>
              <w:top w:val="single" w:sz="4" w:space="0" w:color="auto"/>
              <w:left w:val="single" w:sz="4" w:space="0" w:color="auto"/>
              <w:bottom w:val="single" w:sz="4" w:space="0" w:color="auto"/>
              <w:right w:val="single" w:sz="4" w:space="0" w:color="auto"/>
            </w:tcBorders>
            <w:vAlign w:val="center"/>
            <w:hideMark/>
          </w:tcPr>
          <w:p w14:paraId="31FCB944"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0,3451</w:t>
            </w:r>
          </w:p>
        </w:tc>
        <w:tc>
          <w:tcPr>
            <w:tcW w:w="873" w:type="dxa"/>
            <w:tcBorders>
              <w:top w:val="single" w:sz="4" w:space="0" w:color="auto"/>
              <w:left w:val="single" w:sz="4" w:space="0" w:color="auto"/>
              <w:bottom w:val="single" w:sz="4" w:space="0" w:color="auto"/>
              <w:right w:val="single" w:sz="4" w:space="0" w:color="auto"/>
            </w:tcBorders>
            <w:vAlign w:val="center"/>
            <w:hideMark/>
          </w:tcPr>
          <w:p w14:paraId="475C2637"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174789</w:t>
            </w:r>
          </w:p>
        </w:tc>
        <w:tc>
          <w:tcPr>
            <w:tcW w:w="819" w:type="dxa"/>
            <w:tcBorders>
              <w:top w:val="single" w:sz="4" w:space="0" w:color="auto"/>
              <w:left w:val="single" w:sz="4" w:space="0" w:color="auto"/>
              <w:bottom w:val="single" w:sz="4" w:space="0" w:color="auto"/>
              <w:right w:val="single" w:sz="4" w:space="0" w:color="auto"/>
            </w:tcBorders>
            <w:vAlign w:val="center"/>
            <w:hideMark/>
          </w:tcPr>
          <w:p w14:paraId="3532F4E2"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0,1893</w:t>
            </w:r>
          </w:p>
        </w:tc>
        <w:tc>
          <w:tcPr>
            <w:tcW w:w="873" w:type="dxa"/>
            <w:tcBorders>
              <w:top w:val="single" w:sz="4" w:space="0" w:color="auto"/>
              <w:left w:val="single" w:sz="4" w:space="0" w:color="auto"/>
              <w:bottom w:val="single" w:sz="4" w:space="0" w:color="auto"/>
              <w:right w:val="single" w:sz="4" w:space="0" w:color="auto"/>
            </w:tcBorders>
            <w:vAlign w:val="center"/>
            <w:hideMark/>
          </w:tcPr>
          <w:p w14:paraId="7EE940F6"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67699</w:t>
            </w:r>
          </w:p>
        </w:tc>
        <w:tc>
          <w:tcPr>
            <w:tcW w:w="819" w:type="dxa"/>
            <w:tcBorders>
              <w:top w:val="single" w:sz="4" w:space="0" w:color="auto"/>
              <w:left w:val="single" w:sz="4" w:space="0" w:color="auto"/>
              <w:bottom w:val="single" w:sz="4" w:space="0" w:color="auto"/>
              <w:right w:val="single" w:sz="4" w:space="0" w:color="auto"/>
            </w:tcBorders>
            <w:vAlign w:val="center"/>
            <w:hideMark/>
          </w:tcPr>
          <w:p w14:paraId="556E2CC7"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0,0733</w:t>
            </w:r>
          </w:p>
        </w:tc>
        <w:tc>
          <w:tcPr>
            <w:tcW w:w="873" w:type="dxa"/>
            <w:tcBorders>
              <w:top w:val="single" w:sz="4" w:space="0" w:color="auto"/>
              <w:left w:val="single" w:sz="4" w:space="0" w:color="auto"/>
              <w:bottom w:val="single" w:sz="4" w:space="0" w:color="auto"/>
              <w:right w:val="single" w:sz="4" w:space="0" w:color="auto"/>
            </w:tcBorders>
            <w:vAlign w:val="center"/>
            <w:hideMark/>
          </w:tcPr>
          <w:p w14:paraId="7EB8C19B"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85240</w:t>
            </w:r>
          </w:p>
        </w:tc>
        <w:tc>
          <w:tcPr>
            <w:tcW w:w="748" w:type="dxa"/>
            <w:tcBorders>
              <w:top w:val="single" w:sz="4" w:space="0" w:color="auto"/>
              <w:left w:val="single" w:sz="4" w:space="0" w:color="auto"/>
              <w:bottom w:val="single" w:sz="4" w:space="0" w:color="auto"/>
              <w:right w:val="single" w:sz="4" w:space="0" w:color="auto"/>
            </w:tcBorders>
            <w:vAlign w:val="center"/>
            <w:hideMark/>
          </w:tcPr>
          <w:p w14:paraId="10E8460E"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0,0923</w:t>
            </w:r>
          </w:p>
        </w:tc>
        <w:tc>
          <w:tcPr>
            <w:tcW w:w="911" w:type="dxa"/>
            <w:tcBorders>
              <w:top w:val="single" w:sz="4" w:space="0" w:color="auto"/>
              <w:left w:val="single" w:sz="4" w:space="0" w:color="auto"/>
              <w:bottom w:val="single" w:sz="4" w:space="0" w:color="auto"/>
              <w:right w:val="single" w:sz="4" w:space="0" w:color="auto"/>
            </w:tcBorders>
            <w:vAlign w:val="center"/>
            <w:hideMark/>
          </w:tcPr>
          <w:p w14:paraId="39D44C8C"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923493</w:t>
            </w:r>
          </w:p>
        </w:tc>
      </w:tr>
      <w:tr w:rsidR="00647B71" w:rsidRPr="00BB2991" w14:paraId="0E8179FE" w14:textId="77777777" w:rsidTr="00117667">
        <w:trPr>
          <w:jc w:val="center"/>
        </w:trPr>
        <w:tc>
          <w:tcPr>
            <w:tcW w:w="411" w:type="dxa"/>
            <w:tcBorders>
              <w:top w:val="single" w:sz="4" w:space="0" w:color="auto"/>
              <w:left w:val="single" w:sz="4" w:space="0" w:color="auto"/>
              <w:bottom w:val="single" w:sz="4" w:space="0" w:color="auto"/>
              <w:right w:val="single" w:sz="4" w:space="0" w:color="auto"/>
            </w:tcBorders>
            <w:hideMark/>
          </w:tcPr>
          <w:p w14:paraId="50261DB2" w14:textId="77777777" w:rsidR="00647B71" w:rsidRPr="00BB2991" w:rsidRDefault="00647B71" w:rsidP="00457CE9">
            <w:pPr>
              <w:rPr>
                <w:rFonts w:ascii="Times New Roman" w:eastAsiaTheme="minorEastAsia" w:hAnsi="Times New Roman" w:cs="Times New Roman"/>
                <w:sz w:val="24"/>
                <w:szCs w:val="24"/>
                <w:lang w:val="kk-KZ"/>
              </w:rPr>
            </w:pPr>
            <w:r w:rsidRPr="00BB2991">
              <w:rPr>
                <w:rFonts w:ascii="Times New Roman" w:eastAsiaTheme="minorEastAsia" w:hAnsi="Times New Roman" w:cs="Times New Roman"/>
                <w:sz w:val="24"/>
                <w:szCs w:val="24"/>
                <w:lang w:val="kk-KZ"/>
              </w:rPr>
              <w:t>4</w:t>
            </w:r>
          </w:p>
        </w:tc>
        <w:tc>
          <w:tcPr>
            <w:tcW w:w="873" w:type="dxa"/>
            <w:tcBorders>
              <w:top w:val="single" w:sz="4" w:space="0" w:color="auto"/>
              <w:left w:val="single" w:sz="4" w:space="0" w:color="auto"/>
              <w:bottom w:val="single" w:sz="4" w:space="0" w:color="auto"/>
              <w:right w:val="single" w:sz="4" w:space="0" w:color="auto"/>
            </w:tcBorders>
            <w:vAlign w:val="center"/>
            <w:hideMark/>
          </w:tcPr>
          <w:p w14:paraId="614E1113"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585893</w:t>
            </w:r>
          </w:p>
        </w:tc>
        <w:tc>
          <w:tcPr>
            <w:tcW w:w="819" w:type="dxa"/>
            <w:tcBorders>
              <w:top w:val="single" w:sz="4" w:space="0" w:color="auto"/>
              <w:left w:val="single" w:sz="4" w:space="0" w:color="auto"/>
              <w:bottom w:val="single" w:sz="4" w:space="0" w:color="auto"/>
              <w:right w:val="single" w:sz="4" w:space="0" w:color="auto"/>
            </w:tcBorders>
            <w:vAlign w:val="center"/>
            <w:hideMark/>
          </w:tcPr>
          <w:p w14:paraId="0AF1F6D3"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0,1609</w:t>
            </w:r>
          </w:p>
        </w:tc>
        <w:tc>
          <w:tcPr>
            <w:tcW w:w="873" w:type="dxa"/>
            <w:tcBorders>
              <w:top w:val="single" w:sz="4" w:space="0" w:color="auto"/>
              <w:left w:val="single" w:sz="4" w:space="0" w:color="auto"/>
              <w:bottom w:val="single" w:sz="4" w:space="0" w:color="auto"/>
              <w:right w:val="single" w:sz="4" w:space="0" w:color="auto"/>
            </w:tcBorders>
            <w:vAlign w:val="center"/>
            <w:hideMark/>
          </w:tcPr>
          <w:p w14:paraId="7F96A5DC"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721643</w:t>
            </w:r>
          </w:p>
        </w:tc>
        <w:tc>
          <w:tcPr>
            <w:tcW w:w="819" w:type="dxa"/>
            <w:tcBorders>
              <w:top w:val="single" w:sz="4" w:space="0" w:color="auto"/>
              <w:left w:val="single" w:sz="4" w:space="0" w:color="auto"/>
              <w:bottom w:val="single" w:sz="4" w:space="0" w:color="auto"/>
              <w:right w:val="single" w:sz="4" w:space="0" w:color="auto"/>
            </w:tcBorders>
            <w:vAlign w:val="center"/>
            <w:hideMark/>
          </w:tcPr>
          <w:p w14:paraId="5165E561"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0,1982</w:t>
            </w:r>
          </w:p>
        </w:tc>
        <w:tc>
          <w:tcPr>
            <w:tcW w:w="873" w:type="dxa"/>
            <w:tcBorders>
              <w:top w:val="single" w:sz="4" w:space="0" w:color="auto"/>
              <w:left w:val="single" w:sz="4" w:space="0" w:color="auto"/>
              <w:bottom w:val="single" w:sz="4" w:space="0" w:color="auto"/>
              <w:right w:val="single" w:sz="4" w:space="0" w:color="auto"/>
            </w:tcBorders>
            <w:vAlign w:val="center"/>
            <w:hideMark/>
          </w:tcPr>
          <w:p w14:paraId="4D1D88D6"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888609</w:t>
            </w:r>
          </w:p>
        </w:tc>
        <w:tc>
          <w:tcPr>
            <w:tcW w:w="819" w:type="dxa"/>
            <w:tcBorders>
              <w:top w:val="single" w:sz="4" w:space="0" w:color="auto"/>
              <w:left w:val="single" w:sz="4" w:space="0" w:color="auto"/>
              <w:bottom w:val="single" w:sz="4" w:space="0" w:color="auto"/>
              <w:right w:val="single" w:sz="4" w:space="0" w:color="auto"/>
            </w:tcBorders>
            <w:vAlign w:val="center"/>
            <w:hideMark/>
          </w:tcPr>
          <w:p w14:paraId="01176857"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0,2440</w:t>
            </w:r>
          </w:p>
        </w:tc>
        <w:tc>
          <w:tcPr>
            <w:tcW w:w="873" w:type="dxa"/>
            <w:tcBorders>
              <w:top w:val="single" w:sz="4" w:space="0" w:color="auto"/>
              <w:left w:val="single" w:sz="4" w:space="0" w:color="auto"/>
              <w:bottom w:val="single" w:sz="4" w:space="0" w:color="auto"/>
              <w:right w:val="single" w:sz="4" w:space="0" w:color="auto"/>
            </w:tcBorders>
            <w:vAlign w:val="center"/>
            <w:hideMark/>
          </w:tcPr>
          <w:p w14:paraId="7A0A88F9"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617701</w:t>
            </w:r>
          </w:p>
        </w:tc>
        <w:tc>
          <w:tcPr>
            <w:tcW w:w="819" w:type="dxa"/>
            <w:tcBorders>
              <w:top w:val="single" w:sz="4" w:space="0" w:color="auto"/>
              <w:left w:val="single" w:sz="4" w:space="0" w:color="auto"/>
              <w:bottom w:val="single" w:sz="4" w:space="0" w:color="auto"/>
              <w:right w:val="single" w:sz="4" w:space="0" w:color="auto"/>
            </w:tcBorders>
            <w:vAlign w:val="center"/>
            <w:hideMark/>
          </w:tcPr>
          <w:p w14:paraId="0135C195"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0,1696</w:t>
            </w:r>
          </w:p>
        </w:tc>
        <w:tc>
          <w:tcPr>
            <w:tcW w:w="873" w:type="dxa"/>
            <w:tcBorders>
              <w:top w:val="single" w:sz="4" w:space="0" w:color="auto"/>
              <w:left w:val="single" w:sz="4" w:space="0" w:color="auto"/>
              <w:bottom w:val="single" w:sz="4" w:space="0" w:color="auto"/>
              <w:right w:val="single" w:sz="4" w:space="0" w:color="auto"/>
            </w:tcBorders>
            <w:vAlign w:val="center"/>
            <w:hideMark/>
          </w:tcPr>
          <w:p w14:paraId="06501938"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827522</w:t>
            </w:r>
          </w:p>
        </w:tc>
        <w:tc>
          <w:tcPr>
            <w:tcW w:w="748" w:type="dxa"/>
            <w:tcBorders>
              <w:top w:val="single" w:sz="4" w:space="0" w:color="auto"/>
              <w:left w:val="single" w:sz="4" w:space="0" w:color="auto"/>
              <w:bottom w:val="single" w:sz="4" w:space="0" w:color="auto"/>
              <w:right w:val="single" w:sz="4" w:space="0" w:color="auto"/>
            </w:tcBorders>
            <w:vAlign w:val="center"/>
            <w:hideMark/>
          </w:tcPr>
          <w:p w14:paraId="49E433A4" w14:textId="77777777" w:rsidR="00647B71" w:rsidRPr="00117667" w:rsidRDefault="00647B71" w:rsidP="00117667">
            <w:pPr>
              <w:ind w:left="-90" w:right="-107"/>
              <w:jc w:val="center"/>
              <w:rPr>
                <w:rFonts w:ascii="Times New Roman" w:eastAsiaTheme="minorEastAsia" w:hAnsi="Times New Roman" w:cs="Times New Roman"/>
                <w:i/>
                <w:sz w:val="24"/>
                <w:szCs w:val="24"/>
                <w:lang w:val="kk-KZ"/>
              </w:rPr>
            </w:pPr>
            <w:r w:rsidRPr="00117667">
              <w:rPr>
                <w:rFonts w:ascii="Times New Roman" w:hAnsi="Times New Roman" w:cs="Times New Roman"/>
                <w:bCs/>
                <w:i/>
                <w:color w:val="000000"/>
                <w:sz w:val="24"/>
                <w:szCs w:val="24"/>
              </w:rPr>
              <w:t>0,2273</w:t>
            </w:r>
          </w:p>
        </w:tc>
        <w:tc>
          <w:tcPr>
            <w:tcW w:w="911" w:type="dxa"/>
            <w:tcBorders>
              <w:top w:val="single" w:sz="4" w:space="0" w:color="auto"/>
              <w:left w:val="single" w:sz="4" w:space="0" w:color="auto"/>
              <w:bottom w:val="single" w:sz="4" w:space="0" w:color="auto"/>
              <w:right w:val="single" w:sz="4" w:space="0" w:color="auto"/>
            </w:tcBorders>
            <w:vAlign w:val="center"/>
            <w:hideMark/>
          </w:tcPr>
          <w:p w14:paraId="529DE5B0" w14:textId="77777777" w:rsidR="00647B71" w:rsidRPr="00BB2991" w:rsidRDefault="00647B71" w:rsidP="00117667">
            <w:pPr>
              <w:ind w:left="-90" w:right="-107"/>
              <w:jc w:val="center"/>
              <w:rPr>
                <w:rFonts w:ascii="Times New Roman" w:eastAsiaTheme="minorEastAsia" w:hAnsi="Times New Roman" w:cs="Times New Roman"/>
                <w:sz w:val="24"/>
                <w:szCs w:val="24"/>
                <w:lang w:val="kk-KZ"/>
              </w:rPr>
            </w:pPr>
            <w:r w:rsidRPr="00BB2991">
              <w:rPr>
                <w:rFonts w:ascii="Times New Roman" w:hAnsi="Times New Roman" w:cs="Times New Roman"/>
                <w:color w:val="000000"/>
                <w:sz w:val="24"/>
                <w:szCs w:val="24"/>
              </w:rPr>
              <w:t>3641368</w:t>
            </w:r>
          </w:p>
        </w:tc>
      </w:tr>
      <w:tr w:rsidR="00647B71" w:rsidRPr="00BB2991" w14:paraId="449545ED" w14:textId="77777777" w:rsidTr="00117667">
        <w:trPr>
          <w:jc w:val="center"/>
        </w:trPr>
        <w:tc>
          <w:tcPr>
            <w:tcW w:w="9711" w:type="dxa"/>
            <w:gridSpan w:val="12"/>
            <w:tcBorders>
              <w:top w:val="single" w:sz="4" w:space="0" w:color="auto"/>
              <w:left w:val="single" w:sz="4" w:space="0" w:color="auto"/>
              <w:bottom w:val="single" w:sz="4" w:space="0" w:color="auto"/>
              <w:right w:val="single" w:sz="4" w:space="0" w:color="auto"/>
            </w:tcBorders>
            <w:hideMark/>
          </w:tcPr>
          <w:p w14:paraId="1831ABB7" w14:textId="247709B0" w:rsidR="00647B71" w:rsidRPr="00BB2991" w:rsidRDefault="00647B71" w:rsidP="00457CE9">
            <w:pPr>
              <w:ind w:firstLine="601"/>
              <w:rPr>
                <w:rFonts w:ascii="Times New Roman" w:hAnsi="Times New Roman" w:cs="Times New Roman"/>
                <w:color w:val="000000"/>
                <w:sz w:val="24"/>
                <w:szCs w:val="24"/>
              </w:rPr>
            </w:pPr>
            <w:r w:rsidRPr="00BB2991">
              <w:rPr>
                <w:rFonts w:ascii="Times New Roman" w:eastAsiaTheme="minorEastAsia" w:hAnsi="Times New Roman" w:cs="Times New Roman"/>
                <w:sz w:val="24"/>
                <w:szCs w:val="24"/>
                <w:lang w:val="kk-KZ"/>
              </w:rPr>
              <w:t xml:space="preserve">Ескерту – </w:t>
            </w:r>
            <w:r w:rsidR="00117667" w:rsidRPr="00BB2991">
              <w:rPr>
                <w:rFonts w:ascii="Times New Roman" w:eastAsiaTheme="minorEastAsia" w:hAnsi="Times New Roman" w:cs="Times New Roman"/>
                <w:sz w:val="24"/>
                <w:szCs w:val="24"/>
                <w:lang w:val="kk-KZ"/>
              </w:rPr>
              <w:t xml:space="preserve">Автормен </w:t>
            </w:r>
            <w:r w:rsidRPr="00BB2991">
              <w:rPr>
                <w:rFonts w:ascii="Times New Roman" w:eastAsiaTheme="minorEastAsia" w:hAnsi="Times New Roman" w:cs="Times New Roman"/>
                <w:sz w:val="24"/>
                <w:szCs w:val="24"/>
                <w:lang w:val="kk-KZ"/>
              </w:rPr>
              <w:t>құрастырылған</w:t>
            </w:r>
          </w:p>
        </w:tc>
      </w:tr>
    </w:tbl>
    <w:p w14:paraId="2DA862A6" w14:textId="7777777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p>
    <w:p w14:paraId="2FDD5412" w14:textId="14F39958" w:rsidR="00647B71" w:rsidRPr="00457CE9" w:rsidRDefault="00B9001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8</w:t>
      </w:r>
      <w:r w:rsidR="00647B71" w:rsidRPr="00457CE9">
        <w:rPr>
          <w:rFonts w:ascii="Times New Roman" w:eastAsiaTheme="minorEastAsia" w:hAnsi="Times New Roman" w:cs="Times New Roman"/>
          <w:sz w:val="28"/>
          <w:szCs w:val="28"/>
          <w:lang w:val="kk-KZ"/>
        </w:rPr>
        <w:t xml:space="preserve">-кесте мәліметтерінен 2021-2025 жж. аралығында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дамытудың ұлттық жобасында жоспарланған 4 міндетке бағытталған бюджет қаражатының көлемі мен олардың үлестері туралы келтірілген. Осы үлестер негізінде жұптық салыстыру матрицасы </w:t>
      </w:r>
      <w:r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9</w:t>
      </w:r>
      <w:r w:rsidR="00647B71" w:rsidRPr="00457CE9">
        <w:rPr>
          <w:rFonts w:ascii="Times New Roman" w:eastAsiaTheme="minorEastAsia" w:hAnsi="Times New Roman" w:cs="Times New Roman"/>
          <w:sz w:val="28"/>
          <w:szCs w:val="28"/>
          <w:lang w:val="kk-KZ"/>
        </w:rPr>
        <w:t>-кестеде анықталған.</w:t>
      </w:r>
    </w:p>
    <w:p w14:paraId="06E58059" w14:textId="3E1077D8" w:rsidR="00117667" w:rsidRPr="00457CE9" w:rsidRDefault="00117667" w:rsidP="00117667">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9</w:t>
      </w:r>
      <w:r w:rsidRPr="00457CE9">
        <w:rPr>
          <w:rFonts w:ascii="Times New Roman" w:eastAsiaTheme="minorEastAsia" w:hAnsi="Times New Roman" w:cs="Times New Roman"/>
          <w:sz w:val="28"/>
          <w:szCs w:val="28"/>
          <w:lang w:val="kk-KZ"/>
        </w:rPr>
        <w:t xml:space="preserve">-кесте мәліметтерінен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иерархиядағы бірінші деңгей ретінде анықталған факторлары, яғни, 2021 жылға 4 міндет бойынша бюджет қаражаты үлестерінің жұптық салыстыру матрицасы нәтижесін көруге болады. Меншікті вектор бұл орташа геометрия жиынындағы әр міндет алатын үлесінің мөлшерін білдіреді. </w:t>
      </w:r>
    </w:p>
    <w:p w14:paraId="640F8508" w14:textId="5C76312E"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B90011" w:rsidRPr="00457CE9">
        <w:rPr>
          <w:rFonts w:ascii="Times New Roman" w:eastAsiaTheme="minorEastAsia" w:hAnsi="Times New Roman" w:cs="Times New Roman"/>
          <w:sz w:val="28"/>
          <w:szCs w:val="28"/>
          <w:lang w:val="kk-KZ"/>
        </w:rPr>
        <w:t>7</w:t>
      </w:r>
      <w:r w:rsidR="00EB7D69">
        <w:rPr>
          <w:rFonts w:ascii="Times New Roman" w:eastAsiaTheme="minorEastAsia" w:hAnsi="Times New Roman" w:cs="Times New Roman"/>
          <w:sz w:val="28"/>
          <w:szCs w:val="28"/>
          <w:lang w:val="kk-KZ"/>
        </w:rPr>
        <w:t>9</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 жылға бюджет қаражаты үлестерінің матрицасы </w:t>
      </w:r>
    </w:p>
    <w:p w14:paraId="470306F3" w14:textId="77777777" w:rsidR="00BB2991" w:rsidRPr="00BB2991" w:rsidRDefault="00BB2991" w:rsidP="00457CE9">
      <w:pPr>
        <w:spacing w:after="0" w:line="240" w:lineRule="auto"/>
        <w:jc w:val="both"/>
        <w:rPr>
          <w:rFonts w:ascii="Times New Roman" w:eastAsiaTheme="minorEastAsia" w:hAnsi="Times New Roman" w:cs="Times New Roman"/>
          <w:sz w:val="16"/>
          <w:szCs w:val="16"/>
          <w:lang w:val="kk-KZ"/>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162"/>
        <w:gridCol w:w="1134"/>
        <w:gridCol w:w="1134"/>
        <w:gridCol w:w="1275"/>
        <w:gridCol w:w="1276"/>
        <w:gridCol w:w="1134"/>
        <w:gridCol w:w="1276"/>
      </w:tblGrid>
      <w:tr w:rsidR="00BB2991" w:rsidRPr="00457CE9" w14:paraId="6550DA61" w14:textId="77777777" w:rsidTr="00117667">
        <w:trPr>
          <w:trHeight w:val="58"/>
          <w:jc w:val="center"/>
        </w:trPr>
        <w:tc>
          <w:tcPr>
            <w:tcW w:w="1259" w:type="dxa"/>
            <w:vMerge w:val="restart"/>
            <w:tcBorders>
              <w:top w:val="single" w:sz="4" w:space="0" w:color="auto"/>
              <w:left w:val="single" w:sz="4" w:space="0" w:color="auto"/>
              <w:right w:val="single" w:sz="4" w:space="0" w:color="auto"/>
            </w:tcBorders>
            <w:noWrap/>
            <w:vAlign w:val="center"/>
            <w:hideMark/>
          </w:tcPr>
          <w:p w14:paraId="426F781F" w14:textId="77777777" w:rsidR="00BB2991" w:rsidRPr="00457CE9" w:rsidRDefault="00BB2991" w:rsidP="00457CE9">
            <w:pPr>
              <w:spacing w:after="0" w:line="240" w:lineRule="auto"/>
              <w:jc w:val="center"/>
              <w:rPr>
                <w:rFonts w:ascii="Times New Roman" w:eastAsia="Times New Roman" w:hAnsi="Times New Roman" w:cs="Times New Roman"/>
                <w:sz w:val="24"/>
                <w:szCs w:val="24"/>
                <w:lang w:val="kk-KZ" w:eastAsia="ru-RU"/>
              </w:rPr>
            </w:pPr>
            <w:r w:rsidRPr="00457CE9">
              <w:rPr>
                <w:rFonts w:ascii="Times New Roman" w:eastAsia="Times New Roman" w:hAnsi="Times New Roman" w:cs="Times New Roman"/>
                <w:sz w:val="24"/>
                <w:szCs w:val="24"/>
                <w:lang w:val="kk-KZ" w:eastAsia="ru-RU"/>
              </w:rPr>
              <w:t>М</w:t>
            </w:r>
          </w:p>
        </w:tc>
        <w:tc>
          <w:tcPr>
            <w:tcW w:w="1162" w:type="dxa"/>
            <w:vMerge w:val="restart"/>
            <w:tcBorders>
              <w:top w:val="single" w:sz="4" w:space="0" w:color="auto"/>
              <w:left w:val="single" w:sz="4" w:space="0" w:color="auto"/>
              <w:right w:val="single" w:sz="4" w:space="0" w:color="auto"/>
            </w:tcBorders>
            <w:noWrap/>
            <w:vAlign w:val="center"/>
            <w:hideMark/>
          </w:tcPr>
          <w:p w14:paraId="49600C89" w14:textId="180A7180" w:rsidR="00BB2991" w:rsidRPr="00457CE9" w:rsidRDefault="00BB2991" w:rsidP="00457CE9">
            <w:pPr>
              <w:spacing w:after="0" w:line="240" w:lineRule="auto"/>
              <w:jc w:val="center"/>
              <w:rPr>
                <w:rFonts w:ascii="Times New Roman" w:eastAsia="Times New Roman" w:hAnsi="Times New Roman" w:cs="Times New Roman"/>
                <w:sz w:val="24"/>
                <w:szCs w:val="24"/>
                <w:lang w:val="kk-KZ" w:eastAsia="ru-RU"/>
              </w:rPr>
            </w:pPr>
            <w:r w:rsidRPr="00457CE9">
              <w:rPr>
                <w:rFonts w:ascii="Times New Roman" w:eastAsia="Times New Roman" w:hAnsi="Times New Roman" w:cs="Times New Roman"/>
                <w:sz w:val="24"/>
                <w:szCs w:val="24"/>
                <w:lang w:val="kk-KZ" w:eastAsia="ru-RU"/>
              </w:rPr>
              <w:t xml:space="preserve">Үлесі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4CDC45B"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F28FB4"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7FD285"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ABC01E5"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4</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9A19644" w14:textId="77777777" w:rsidR="00BB2991" w:rsidRPr="00457CE9" w:rsidRDefault="00BB2991" w:rsidP="00117667">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СГЕОМ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E9401" w14:textId="77777777" w:rsidR="00BB2991" w:rsidRPr="00457CE9" w:rsidRDefault="00BB2991" w:rsidP="00117667">
            <w:pPr>
              <w:spacing w:after="0" w:line="240" w:lineRule="auto"/>
              <w:jc w:val="center"/>
              <w:rPr>
                <w:rFonts w:ascii="Times New Roman" w:eastAsia="Times New Roman" w:hAnsi="Times New Roman" w:cs="Times New Roman"/>
                <w:sz w:val="24"/>
                <w:szCs w:val="24"/>
                <w:lang w:eastAsia="ru-RU"/>
              </w:rPr>
            </w:pPr>
            <w:r w:rsidRPr="00457CE9">
              <w:rPr>
                <w:rFonts w:ascii="Times New Roman" w:eastAsia="Times New Roman" w:hAnsi="Times New Roman" w:cs="Times New Roman"/>
                <w:color w:val="000000"/>
                <w:sz w:val="24"/>
                <w:szCs w:val="24"/>
                <w:lang w:eastAsia="ru-RU"/>
              </w:rPr>
              <w:t>М</w:t>
            </w:r>
            <w:r w:rsidRPr="00457CE9">
              <w:rPr>
                <w:rFonts w:ascii="Times New Roman" w:eastAsia="Times New Roman" w:hAnsi="Times New Roman" w:cs="Times New Roman"/>
                <w:color w:val="000000"/>
                <w:sz w:val="24"/>
                <w:szCs w:val="24"/>
                <w:lang w:val="kk-KZ" w:eastAsia="ru-RU"/>
              </w:rPr>
              <w:t>еншікті вектор</w:t>
            </w:r>
          </w:p>
        </w:tc>
      </w:tr>
      <w:tr w:rsidR="00BB2991" w:rsidRPr="00457CE9" w14:paraId="2282B810" w14:textId="77777777" w:rsidTr="00BB2991">
        <w:trPr>
          <w:trHeight w:val="58"/>
          <w:jc w:val="center"/>
        </w:trPr>
        <w:tc>
          <w:tcPr>
            <w:tcW w:w="1259" w:type="dxa"/>
            <w:vMerge/>
            <w:tcBorders>
              <w:left w:val="single" w:sz="4" w:space="0" w:color="auto"/>
              <w:bottom w:val="single" w:sz="4" w:space="0" w:color="auto"/>
              <w:right w:val="single" w:sz="4" w:space="0" w:color="auto"/>
            </w:tcBorders>
            <w:noWrap/>
            <w:vAlign w:val="center"/>
            <w:hideMark/>
          </w:tcPr>
          <w:p w14:paraId="69D6AA48" w14:textId="77777777" w:rsidR="00BB2991" w:rsidRPr="00457CE9" w:rsidRDefault="00BB2991" w:rsidP="00457CE9">
            <w:pPr>
              <w:spacing w:after="0" w:line="240" w:lineRule="auto"/>
              <w:rPr>
                <w:rFonts w:ascii="Times New Roman" w:eastAsia="Times New Roman" w:hAnsi="Times New Roman" w:cs="Times New Roman"/>
                <w:sz w:val="24"/>
                <w:szCs w:val="24"/>
                <w:lang w:eastAsia="ru-RU"/>
              </w:rPr>
            </w:pPr>
          </w:p>
        </w:tc>
        <w:tc>
          <w:tcPr>
            <w:tcW w:w="1162" w:type="dxa"/>
            <w:vMerge/>
            <w:tcBorders>
              <w:left w:val="single" w:sz="4" w:space="0" w:color="auto"/>
              <w:bottom w:val="single" w:sz="4" w:space="0" w:color="auto"/>
              <w:right w:val="single" w:sz="4" w:space="0" w:color="auto"/>
            </w:tcBorders>
            <w:noWrap/>
            <w:vAlign w:val="center"/>
            <w:hideMark/>
          </w:tcPr>
          <w:p w14:paraId="6B4F6D56" w14:textId="4621C189" w:rsidR="00BB2991" w:rsidRPr="00457CE9" w:rsidRDefault="00BB2991" w:rsidP="00457CE9">
            <w:pPr>
              <w:spacing w:after="0" w:line="240" w:lineRule="auto"/>
              <w:jc w:val="center"/>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226CA2"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0,156797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AE6E61"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0,218231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CD2574"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0,299993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F229F0B"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0,160899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C4E60" w14:textId="77777777" w:rsidR="00BB2991" w:rsidRPr="00457CE9" w:rsidRDefault="00BB2991" w:rsidP="00457CE9">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7897F" w14:textId="77777777" w:rsidR="00BB2991" w:rsidRPr="00457CE9" w:rsidRDefault="00BB2991" w:rsidP="00457CE9">
            <w:pPr>
              <w:spacing w:after="0" w:line="240" w:lineRule="auto"/>
              <w:rPr>
                <w:rFonts w:ascii="Times New Roman" w:eastAsia="Times New Roman" w:hAnsi="Times New Roman" w:cs="Times New Roman"/>
                <w:sz w:val="24"/>
                <w:szCs w:val="24"/>
                <w:lang w:eastAsia="ru-RU"/>
              </w:rPr>
            </w:pPr>
          </w:p>
        </w:tc>
      </w:tr>
      <w:tr w:rsidR="00647B71" w:rsidRPr="00457CE9" w14:paraId="356B4EF0" w14:textId="77777777" w:rsidTr="00BB2991">
        <w:trPr>
          <w:trHeight w:val="58"/>
          <w:jc w:val="center"/>
        </w:trPr>
        <w:tc>
          <w:tcPr>
            <w:tcW w:w="1259" w:type="dxa"/>
            <w:tcBorders>
              <w:top w:val="single" w:sz="4" w:space="0" w:color="auto"/>
              <w:left w:val="single" w:sz="4" w:space="0" w:color="auto"/>
              <w:bottom w:val="single" w:sz="4" w:space="0" w:color="auto"/>
              <w:right w:val="single" w:sz="4" w:space="0" w:color="auto"/>
            </w:tcBorders>
            <w:noWrap/>
            <w:vAlign w:val="center"/>
            <w:hideMark/>
          </w:tcPr>
          <w:p w14:paraId="0BDBF916"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10EF681C"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0,156797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79A69B"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F95723"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0,718489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90907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0,522668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103DCC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0,974502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39C88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0,777781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F0E7B" w14:textId="77777777" w:rsidR="00647B71" w:rsidRPr="00BB2991"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BB2991">
              <w:rPr>
                <w:rFonts w:ascii="Times New Roman" w:eastAsia="Times New Roman" w:hAnsi="Times New Roman" w:cs="Times New Roman"/>
                <w:bCs/>
                <w:i/>
                <w:color w:val="000000"/>
                <w:sz w:val="24"/>
                <w:szCs w:val="24"/>
                <w:lang w:eastAsia="ru-RU"/>
              </w:rPr>
              <w:t>0,187574</w:t>
            </w:r>
          </w:p>
        </w:tc>
      </w:tr>
      <w:tr w:rsidR="00647B71" w:rsidRPr="00457CE9" w14:paraId="266BA960" w14:textId="77777777" w:rsidTr="00BB2991">
        <w:trPr>
          <w:trHeight w:val="58"/>
          <w:jc w:val="center"/>
        </w:trPr>
        <w:tc>
          <w:tcPr>
            <w:tcW w:w="1259" w:type="dxa"/>
            <w:tcBorders>
              <w:top w:val="single" w:sz="4" w:space="0" w:color="auto"/>
              <w:left w:val="single" w:sz="4" w:space="0" w:color="auto"/>
              <w:bottom w:val="single" w:sz="4" w:space="0" w:color="auto"/>
              <w:right w:val="single" w:sz="4" w:space="0" w:color="auto"/>
            </w:tcBorders>
            <w:noWrap/>
            <w:vAlign w:val="center"/>
            <w:hideMark/>
          </w:tcPr>
          <w:p w14:paraId="70C02740"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2</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16AEA8D4"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0,218231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8F9A1E"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1,391809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184738"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70EC6A"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0,727454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62A5369"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1,356321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0CE9FC4"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1,082522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D3A8" w14:textId="77777777" w:rsidR="00647B71" w:rsidRPr="00BB2991"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BB2991">
              <w:rPr>
                <w:rFonts w:ascii="Times New Roman" w:eastAsia="Times New Roman" w:hAnsi="Times New Roman" w:cs="Times New Roman"/>
                <w:bCs/>
                <w:i/>
                <w:color w:val="000000"/>
                <w:sz w:val="24"/>
                <w:szCs w:val="24"/>
                <w:lang w:eastAsia="ru-RU"/>
              </w:rPr>
              <w:t>0,261067</w:t>
            </w:r>
          </w:p>
        </w:tc>
      </w:tr>
      <w:tr w:rsidR="00647B71" w:rsidRPr="00457CE9" w14:paraId="7F3FB609" w14:textId="77777777" w:rsidTr="00BB2991">
        <w:trPr>
          <w:trHeight w:val="58"/>
          <w:jc w:val="center"/>
        </w:trPr>
        <w:tc>
          <w:tcPr>
            <w:tcW w:w="1259" w:type="dxa"/>
            <w:tcBorders>
              <w:top w:val="single" w:sz="4" w:space="0" w:color="auto"/>
              <w:left w:val="single" w:sz="4" w:space="0" w:color="auto"/>
              <w:bottom w:val="single" w:sz="4" w:space="0" w:color="auto"/>
              <w:right w:val="single" w:sz="4" w:space="0" w:color="auto"/>
            </w:tcBorders>
            <w:noWrap/>
            <w:vAlign w:val="center"/>
            <w:hideMark/>
          </w:tcPr>
          <w:p w14:paraId="0B4D9D72"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3</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3B9DE286"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0,299993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3080CCA"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1,91326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6DF809E"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1,374657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560211"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99A29C2"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1,864476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40BA50"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1,488097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869CD" w14:textId="77777777" w:rsidR="00647B71" w:rsidRPr="00BB2991"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BB2991">
              <w:rPr>
                <w:rFonts w:ascii="Times New Roman" w:eastAsia="Times New Roman" w:hAnsi="Times New Roman" w:cs="Times New Roman"/>
                <w:bCs/>
                <w:i/>
                <w:color w:val="000000"/>
                <w:sz w:val="24"/>
                <w:szCs w:val="24"/>
                <w:lang w:eastAsia="ru-RU"/>
              </w:rPr>
              <w:t>0,358877</w:t>
            </w:r>
          </w:p>
        </w:tc>
      </w:tr>
      <w:tr w:rsidR="00647B71" w:rsidRPr="00457CE9" w14:paraId="3AF96F95" w14:textId="77777777" w:rsidTr="00BB2991">
        <w:trPr>
          <w:trHeight w:val="58"/>
          <w:jc w:val="center"/>
        </w:trPr>
        <w:tc>
          <w:tcPr>
            <w:tcW w:w="1259" w:type="dxa"/>
            <w:tcBorders>
              <w:top w:val="single" w:sz="4" w:space="0" w:color="auto"/>
              <w:left w:val="single" w:sz="4" w:space="0" w:color="auto"/>
              <w:bottom w:val="single" w:sz="4" w:space="0" w:color="auto"/>
              <w:right w:val="single" w:sz="4" w:space="0" w:color="auto"/>
            </w:tcBorders>
            <w:noWrap/>
            <w:vAlign w:val="center"/>
            <w:hideMark/>
          </w:tcPr>
          <w:p w14:paraId="4A376BEF"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4</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4B34829F"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0,160899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83DC96"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1,026165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5B243A1"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0,737289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D948D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0,536344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4CD03CD"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17AE2F" w14:textId="77777777" w:rsidR="00647B71" w:rsidRPr="00457CE9" w:rsidRDefault="00647B7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0,798132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20B53" w14:textId="77777777" w:rsidR="00647B71" w:rsidRPr="00BB2991" w:rsidRDefault="00647B71" w:rsidP="00457CE9">
            <w:pPr>
              <w:spacing w:after="0" w:line="240" w:lineRule="auto"/>
              <w:jc w:val="center"/>
              <w:rPr>
                <w:rFonts w:ascii="Times New Roman" w:eastAsia="Times New Roman" w:hAnsi="Times New Roman" w:cs="Times New Roman"/>
                <w:bCs/>
                <w:i/>
                <w:color w:val="000000"/>
                <w:sz w:val="24"/>
                <w:szCs w:val="24"/>
                <w:lang w:eastAsia="ru-RU"/>
              </w:rPr>
            </w:pPr>
            <w:r w:rsidRPr="00BB2991">
              <w:rPr>
                <w:rFonts w:ascii="Times New Roman" w:eastAsia="Times New Roman" w:hAnsi="Times New Roman" w:cs="Times New Roman"/>
                <w:bCs/>
                <w:i/>
                <w:color w:val="000000"/>
                <w:sz w:val="24"/>
                <w:szCs w:val="24"/>
                <w:lang w:eastAsia="ru-RU"/>
              </w:rPr>
              <w:t>0,192482</w:t>
            </w:r>
          </w:p>
        </w:tc>
      </w:tr>
      <w:tr w:rsidR="00BB2991" w:rsidRPr="00457CE9" w14:paraId="08E4300B" w14:textId="77777777" w:rsidTr="00BB2991">
        <w:trPr>
          <w:trHeight w:val="58"/>
          <w:jc w:val="center"/>
        </w:trPr>
        <w:tc>
          <w:tcPr>
            <w:tcW w:w="7240" w:type="dxa"/>
            <w:gridSpan w:val="6"/>
            <w:tcBorders>
              <w:top w:val="single" w:sz="4" w:space="0" w:color="auto"/>
              <w:left w:val="single" w:sz="4" w:space="0" w:color="auto"/>
              <w:bottom w:val="single" w:sz="4" w:space="0" w:color="auto"/>
              <w:right w:val="single" w:sz="4" w:space="0" w:color="auto"/>
            </w:tcBorders>
            <w:noWrap/>
            <w:vAlign w:val="center"/>
            <w:hideMark/>
          </w:tcPr>
          <w:p w14:paraId="6741084C" w14:textId="77777777" w:rsidR="00BB2991" w:rsidRPr="00457CE9" w:rsidRDefault="00BB2991" w:rsidP="00BB2991">
            <w:pPr>
              <w:spacing w:after="0" w:line="240" w:lineRule="auto"/>
              <w:jc w:val="right"/>
              <w:rPr>
                <w:rFonts w:ascii="Times New Roman" w:hAnsi="Times New Roman" w:cs="Times New Roman"/>
                <w:sz w:val="24"/>
                <w:szCs w:val="24"/>
                <w:lang w:val="kk-KZ" w:eastAsia="ru-RU"/>
              </w:rPr>
            </w:pPr>
            <w:r w:rsidRPr="00457CE9">
              <w:rPr>
                <w:rFonts w:ascii="Times New Roman" w:hAnsi="Times New Roman" w:cs="Times New Roman"/>
                <w:sz w:val="24"/>
                <w:szCs w:val="24"/>
                <w:lang w:val="kk-KZ" w:eastAsia="ru-RU"/>
              </w:rPr>
              <w:t xml:space="preserve">Жиыны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E83C27" w14:textId="77777777" w:rsidR="00BB2991" w:rsidRPr="00457CE9" w:rsidRDefault="00BB2991"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4,146532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587744" w14:textId="7F94CA72" w:rsidR="00BB2991" w:rsidRPr="00BB2991" w:rsidRDefault="00BB2991" w:rsidP="00457CE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p>
        </w:tc>
      </w:tr>
      <w:tr w:rsidR="00647B71" w:rsidRPr="00457CE9" w14:paraId="512B0F64" w14:textId="77777777" w:rsidTr="00BB2991">
        <w:trPr>
          <w:trHeight w:val="58"/>
          <w:jc w:val="center"/>
        </w:trPr>
        <w:tc>
          <w:tcPr>
            <w:tcW w:w="9650" w:type="dxa"/>
            <w:gridSpan w:val="8"/>
            <w:tcBorders>
              <w:top w:val="single" w:sz="4" w:space="0" w:color="auto"/>
              <w:left w:val="single" w:sz="4" w:space="0" w:color="auto"/>
              <w:bottom w:val="single" w:sz="4" w:space="0" w:color="auto"/>
              <w:right w:val="single" w:sz="4" w:space="0" w:color="auto"/>
            </w:tcBorders>
            <w:noWrap/>
            <w:vAlign w:val="center"/>
            <w:hideMark/>
          </w:tcPr>
          <w:p w14:paraId="3513BC49" w14:textId="2832FC3A" w:rsidR="00647B71" w:rsidRPr="00457CE9" w:rsidRDefault="00647B71" w:rsidP="00BB2991">
            <w:pPr>
              <w:spacing w:after="0" w:line="240" w:lineRule="auto"/>
              <w:ind w:firstLine="584"/>
              <w:jc w:val="both"/>
              <w:rPr>
                <w:rFonts w:ascii="Times New Roman" w:eastAsia="Times New Roman" w:hAnsi="Times New Roman" w:cs="Times New Roman"/>
                <w:color w:val="000000"/>
                <w:sz w:val="24"/>
                <w:szCs w:val="24"/>
                <w:lang w:eastAsia="ru-RU"/>
              </w:rPr>
            </w:pPr>
            <w:r w:rsidRPr="00457CE9">
              <w:rPr>
                <w:rFonts w:ascii="Times New Roman" w:eastAsiaTheme="minorEastAsia" w:hAnsi="Times New Roman" w:cs="Times New Roman"/>
                <w:sz w:val="24"/>
                <w:szCs w:val="24"/>
                <w:lang w:val="kk-KZ"/>
              </w:rPr>
              <w:t xml:space="preserve">Ескерту – </w:t>
            </w:r>
            <w:r w:rsidR="00BB2991" w:rsidRPr="00457CE9">
              <w:rPr>
                <w:rFonts w:ascii="Times New Roman" w:eastAsiaTheme="minorEastAsia" w:hAnsi="Times New Roman" w:cs="Times New Roman"/>
                <w:sz w:val="24"/>
                <w:szCs w:val="24"/>
                <w:lang w:val="kk-KZ"/>
              </w:rPr>
              <w:t xml:space="preserve">Автормен </w:t>
            </w:r>
            <w:r w:rsidRPr="00457CE9">
              <w:rPr>
                <w:rFonts w:ascii="Times New Roman" w:eastAsiaTheme="minorEastAsia" w:hAnsi="Times New Roman" w:cs="Times New Roman"/>
                <w:sz w:val="24"/>
                <w:szCs w:val="24"/>
                <w:lang w:val="kk-KZ"/>
              </w:rPr>
              <w:t>құрастырылған</w:t>
            </w:r>
          </w:p>
        </w:tc>
      </w:tr>
    </w:tbl>
    <w:p w14:paraId="4B3A8F47" w14:textId="77777777" w:rsidR="00647B71" w:rsidRPr="00010EEC" w:rsidRDefault="00647B71" w:rsidP="00457CE9">
      <w:pPr>
        <w:spacing w:after="0" w:line="240" w:lineRule="auto"/>
        <w:jc w:val="both"/>
        <w:rPr>
          <w:rFonts w:ascii="Times New Roman" w:eastAsiaTheme="minorEastAsia" w:hAnsi="Times New Roman" w:cs="Times New Roman"/>
          <w:sz w:val="18"/>
          <w:szCs w:val="18"/>
          <w:lang w:val="kk-KZ"/>
        </w:rPr>
      </w:pPr>
    </w:p>
    <w:p w14:paraId="0C3C1126" w14:textId="33B1CBC2" w:rsidR="00010EEC" w:rsidRDefault="00010EEC" w:rsidP="00010EEC">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Алынған нәтижелерді </w:t>
      </w:r>
      <w:r w:rsidR="00EB7D69">
        <w:rPr>
          <w:rFonts w:ascii="Times New Roman" w:eastAsiaTheme="minorEastAsia" w:hAnsi="Times New Roman" w:cs="Times New Roman"/>
          <w:sz w:val="28"/>
          <w:szCs w:val="28"/>
          <w:lang w:val="kk-KZ"/>
        </w:rPr>
        <w:t>80</w:t>
      </w:r>
      <w:r>
        <w:rPr>
          <w:rFonts w:ascii="Times New Roman" w:eastAsiaTheme="minorEastAsia" w:hAnsi="Times New Roman" w:cs="Times New Roman"/>
          <w:sz w:val="28"/>
          <w:szCs w:val="28"/>
          <w:lang w:val="kk-KZ"/>
        </w:rPr>
        <w:t>-кестеде үшінші, екінші және бірінші деңгей факторларының жұптық салыстыру матрицасы анықталды.</w:t>
      </w:r>
    </w:p>
    <w:p w14:paraId="01753A93" w14:textId="77777777" w:rsidR="00010EEC" w:rsidRPr="00010EEC" w:rsidRDefault="00010EEC" w:rsidP="00457CE9">
      <w:pPr>
        <w:spacing w:after="0" w:line="240" w:lineRule="auto"/>
        <w:jc w:val="both"/>
        <w:rPr>
          <w:rFonts w:ascii="Times New Roman" w:eastAsiaTheme="minorEastAsia" w:hAnsi="Times New Roman" w:cs="Times New Roman"/>
          <w:sz w:val="20"/>
          <w:szCs w:val="20"/>
          <w:lang w:val="kk-KZ"/>
        </w:rPr>
      </w:pPr>
    </w:p>
    <w:p w14:paraId="641867BA" w14:textId="4C4FD14E" w:rsidR="0045111C"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80</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дамытудың 2021 жылға үшінші, екінші және бірінші деңгей факторлары және альтернативалары мәліметтерінің жұптық салыстыру матрицасының нәтижелері</w:t>
      </w:r>
    </w:p>
    <w:p w14:paraId="74E72407" w14:textId="77777777" w:rsidR="00BB2991" w:rsidRPr="00BB2991" w:rsidRDefault="00BB2991" w:rsidP="00457CE9">
      <w:pPr>
        <w:spacing w:after="0" w:line="240" w:lineRule="auto"/>
        <w:jc w:val="both"/>
        <w:rPr>
          <w:rFonts w:ascii="Times New Roman" w:eastAsiaTheme="minorEastAsia" w:hAnsi="Times New Roman" w:cs="Times New Roman"/>
          <w:sz w:val="16"/>
          <w:szCs w:val="16"/>
          <w:lang w:val="kk-KZ"/>
        </w:rPr>
      </w:pP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116"/>
        <w:gridCol w:w="1116"/>
        <w:gridCol w:w="1116"/>
        <w:gridCol w:w="1116"/>
        <w:gridCol w:w="878"/>
        <w:gridCol w:w="1275"/>
        <w:gridCol w:w="1418"/>
      </w:tblGrid>
      <w:tr w:rsidR="00BB2991" w:rsidRPr="00BB2991" w14:paraId="3A38859C" w14:textId="77777777" w:rsidTr="00BB2991">
        <w:trPr>
          <w:trHeight w:val="288"/>
          <w:jc w:val="center"/>
        </w:trPr>
        <w:tc>
          <w:tcPr>
            <w:tcW w:w="1510" w:type="dxa"/>
            <w:shd w:val="clear" w:color="auto" w:fill="auto"/>
            <w:noWrap/>
            <w:vAlign w:val="center"/>
            <w:hideMark/>
          </w:tcPr>
          <w:p w14:paraId="226DEC4B" w14:textId="76915B62"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Саны</w:t>
            </w:r>
          </w:p>
        </w:tc>
        <w:tc>
          <w:tcPr>
            <w:tcW w:w="1116" w:type="dxa"/>
            <w:shd w:val="clear" w:color="auto" w:fill="auto"/>
            <w:vAlign w:val="center"/>
          </w:tcPr>
          <w:p w14:paraId="2A74305E" w14:textId="4548148C"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1</w:t>
            </w:r>
          </w:p>
        </w:tc>
        <w:tc>
          <w:tcPr>
            <w:tcW w:w="1116" w:type="dxa"/>
            <w:shd w:val="clear" w:color="auto" w:fill="auto"/>
            <w:vAlign w:val="center"/>
          </w:tcPr>
          <w:p w14:paraId="1C35424B" w14:textId="1CC0C5E2"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2</w:t>
            </w:r>
          </w:p>
        </w:tc>
        <w:tc>
          <w:tcPr>
            <w:tcW w:w="1116" w:type="dxa"/>
            <w:shd w:val="clear" w:color="auto" w:fill="auto"/>
            <w:vAlign w:val="center"/>
          </w:tcPr>
          <w:p w14:paraId="6008EA6A" w14:textId="52BC487A"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3</w:t>
            </w:r>
          </w:p>
        </w:tc>
        <w:tc>
          <w:tcPr>
            <w:tcW w:w="1116" w:type="dxa"/>
            <w:shd w:val="clear" w:color="auto" w:fill="auto"/>
            <w:vAlign w:val="center"/>
          </w:tcPr>
          <w:p w14:paraId="21231B2B" w14:textId="42AF742E"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4</w:t>
            </w:r>
          </w:p>
        </w:tc>
        <w:tc>
          <w:tcPr>
            <w:tcW w:w="878" w:type="dxa"/>
            <w:shd w:val="clear" w:color="auto" w:fill="auto"/>
            <w:noWrap/>
            <w:vAlign w:val="center"/>
            <w:hideMark/>
          </w:tcPr>
          <w:p w14:paraId="6E0ECB37" w14:textId="48C0A267"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М</w:t>
            </w:r>
          </w:p>
        </w:tc>
        <w:tc>
          <w:tcPr>
            <w:tcW w:w="1275" w:type="dxa"/>
            <w:shd w:val="clear" w:color="auto" w:fill="auto"/>
            <w:noWrap/>
            <w:vAlign w:val="center"/>
            <w:hideMark/>
          </w:tcPr>
          <w:p w14:paraId="4896F23E" w14:textId="7FDDE44B"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val="kk-KZ" w:eastAsia="ru-RU"/>
              </w:rPr>
              <w:t>Меншікті вектор</w:t>
            </w:r>
          </w:p>
        </w:tc>
        <w:tc>
          <w:tcPr>
            <w:tcW w:w="1418" w:type="dxa"/>
            <w:shd w:val="clear" w:color="auto" w:fill="auto"/>
            <w:noWrap/>
            <w:vAlign w:val="center"/>
            <w:hideMark/>
          </w:tcPr>
          <w:p w14:paraId="61D818B3" w14:textId="7E8C0AED"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val="kk-KZ" w:eastAsia="ru-RU"/>
              </w:rPr>
              <w:t>Матрица нәтижесі</w:t>
            </w:r>
          </w:p>
        </w:tc>
      </w:tr>
      <w:tr w:rsidR="00BB2991" w:rsidRPr="00BB2991" w14:paraId="37C970D4" w14:textId="77777777" w:rsidTr="00BB2991">
        <w:trPr>
          <w:trHeight w:val="288"/>
          <w:jc w:val="center"/>
        </w:trPr>
        <w:tc>
          <w:tcPr>
            <w:tcW w:w="1510" w:type="dxa"/>
            <w:shd w:val="clear" w:color="auto" w:fill="auto"/>
            <w:noWrap/>
            <w:vAlign w:val="center"/>
            <w:hideMark/>
          </w:tcPr>
          <w:p w14:paraId="311894A5" w14:textId="416BC852"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1</w:t>
            </w:r>
          </w:p>
        </w:tc>
        <w:tc>
          <w:tcPr>
            <w:tcW w:w="1116" w:type="dxa"/>
            <w:shd w:val="clear" w:color="auto" w:fill="auto"/>
            <w:vAlign w:val="center"/>
          </w:tcPr>
          <w:p w14:paraId="5B9312F5" w14:textId="79492A9A"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0,163528</w:t>
            </w:r>
          </w:p>
        </w:tc>
        <w:tc>
          <w:tcPr>
            <w:tcW w:w="1116" w:type="dxa"/>
            <w:shd w:val="clear" w:color="auto" w:fill="auto"/>
            <w:vAlign w:val="center"/>
          </w:tcPr>
          <w:p w14:paraId="3A219D8C" w14:textId="467041A4"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0,194681</w:t>
            </w:r>
          </w:p>
        </w:tc>
        <w:tc>
          <w:tcPr>
            <w:tcW w:w="1116" w:type="dxa"/>
            <w:shd w:val="clear" w:color="auto" w:fill="auto"/>
            <w:vAlign w:val="center"/>
          </w:tcPr>
          <w:p w14:paraId="4F24F51A" w14:textId="423D0625"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0,110394</w:t>
            </w:r>
          </w:p>
        </w:tc>
        <w:tc>
          <w:tcPr>
            <w:tcW w:w="1116" w:type="dxa"/>
            <w:shd w:val="clear" w:color="auto" w:fill="auto"/>
            <w:vAlign w:val="center"/>
          </w:tcPr>
          <w:p w14:paraId="5DFC4980" w14:textId="5115DF51"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0,171002</w:t>
            </w:r>
          </w:p>
        </w:tc>
        <w:tc>
          <w:tcPr>
            <w:tcW w:w="878" w:type="dxa"/>
            <w:shd w:val="clear" w:color="auto" w:fill="auto"/>
            <w:noWrap/>
            <w:vAlign w:val="center"/>
          </w:tcPr>
          <w:p w14:paraId="170B456D" w14:textId="5AD5FA9D"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1</w:t>
            </w:r>
          </w:p>
        </w:tc>
        <w:tc>
          <w:tcPr>
            <w:tcW w:w="1275" w:type="dxa"/>
            <w:shd w:val="clear" w:color="auto" w:fill="auto"/>
            <w:noWrap/>
            <w:vAlign w:val="center"/>
            <w:hideMark/>
          </w:tcPr>
          <w:p w14:paraId="26732504" w14:textId="39B8244B" w:rsidR="0045111C" w:rsidRPr="00BB2991" w:rsidRDefault="0045111C" w:rsidP="00457CE9">
            <w:pPr>
              <w:spacing w:after="0" w:line="240" w:lineRule="auto"/>
              <w:jc w:val="center"/>
              <w:rPr>
                <w:rFonts w:ascii="Times New Roman" w:eastAsia="Times New Roman" w:hAnsi="Times New Roman" w:cs="Times New Roman"/>
                <w:i/>
                <w:sz w:val="24"/>
                <w:szCs w:val="24"/>
                <w:lang w:eastAsia="ru-RU"/>
              </w:rPr>
            </w:pPr>
            <w:r w:rsidRPr="00BB2991">
              <w:rPr>
                <w:rFonts w:ascii="Times New Roman" w:eastAsia="Times New Roman" w:hAnsi="Times New Roman" w:cs="Times New Roman"/>
                <w:i/>
                <w:sz w:val="24"/>
                <w:szCs w:val="24"/>
                <w:lang w:eastAsia="ru-RU"/>
              </w:rPr>
              <w:t>0,187574</w:t>
            </w:r>
          </w:p>
        </w:tc>
        <w:tc>
          <w:tcPr>
            <w:tcW w:w="1418" w:type="dxa"/>
            <w:shd w:val="clear" w:color="auto" w:fill="auto"/>
            <w:noWrap/>
            <w:vAlign w:val="center"/>
            <w:hideMark/>
          </w:tcPr>
          <w:p w14:paraId="2A5FC9B2" w14:textId="77777777" w:rsidR="0045111C" w:rsidRPr="00BB2991" w:rsidRDefault="0045111C" w:rsidP="00457CE9">
            <w:pPr>
              <w:spacing w:after="0" w:line="240" w:lineRule="auto"/>
              <w:jc w:val="center"/>
              <w:rPr>
                <w:rFonts w:ascii="Times New Roman" w:eastAsia="Times New Roman" w:hAnsi="Times New Roman" w:cs="Times New Roman"/>
                <w:bCs/>
                <w:i/>
                <w:sz w:val="24"/>
                <w:szCs w:val="24"/>
                <w:lang w:eastAsia="ru-RU"/>
              </w:rPr>
            </w:pPr>
            <w:r w:rsidRPr="00BB2991">
              <w:rPr>
                <w:rFonts w:ascii="Times New Roman" w:eastAsia="Times New Roman" w:hAnsi="Times New Roman" w:cs="Times New Roman"/>
                <w:bCs/>
                <w:i/>
                <w:sz w:val="24"/>
                <w:szCs w:val="24"/>
                <w:lang w:eastAsia="ru-RU"/>
              </w:rPr>
              <w:t>0,154031</w:t>
            </w:r>
          </w:p>
        </w:tc>
      </w:tr>
      <w:tr w:rsidR="00BB2991" w:rsidRPr="00BB2991" w14:paraId="10FEB16C" w14:textId="77777777" w:rsidTr="00BB2991">
        <w:trPr>
          <w:trHeight w:val="288"/>
          <w:jc w:val="center"/>
        </w:trPr>
        <w:tc>
          <w:tcPr>
            <w:tcW w:w="1510" w:type="dxa"/>
            <w:shd w:val="clear" w:color="auto" w:fill="auto"/>
            <w:noWrap/>
            <w:vAlign w:val="center"/>
            <w:hideMark/>
          </w:tcPr>
          <w:p w14:paraId="69DDCCBC" w14:textId="5EF0C63B"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2</w:t>
            </w:r>
          </w:p>
        </w:tc>
        <w:tc>
          <w:tcPr>
            <w:tcW w:w="1116" w:type="dxa"/>
            <w:shd w:val="clear" w:color="auto" w:fill="auto"/>
            <w:vAlign w:val="center"/>
          </w:tcPr>
          <w:p w14:paraId="4328E16C" w14:textId="06F45DCB"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0,158608</w:t>
            </w:r>
          </w:p>
        </w:tc>
        <w:tc>
          <w:tcPr>
            <w:tcW w:w="1116" w:type="dxa"/>
            <w:shd w:val="clear" w:color="auto" w:fill="auto"/>
            <w:vAlign w:val="center"/>
          </w:tcPr>
          <w:p w14:paraId="1254036E" w14:textId="344B2DCD"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0,203855</w:t>
            </w:r>
          </w:p>
        </w:tc>
        <w:tc>
          <w:tcPr>
            <w:tcW w:w="1116" w:type="dxa"/>
            <w:shd w:val="clear" w:color="auto" w:fill="auto"/>
            <w:vAlign w:val="center"/>
          </w:tcPr>
          <w:p w14:paraId="22D4548F" w14:textId="36A5D11D"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0,112172</w:t>
            </w:r>
          </w:p>
        </w:tc>
        <w:tc>
          <w:tcPr>
            <w:tcW w:w="1116" w:type="dxa"/>
            <w:shd w:val="clear" w:color="auto" w:fill="auto"/>
            <w:vAlign w:val="center"/>
          </w:tcPr>
          <w:p w14:paraId="3E98C9BB" w14:textId="57DBB5A5"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0,176821</w:t>
            </w:r>
          </w:p>
        </w:tc>
        <w:tc>
          <w:tcPr>
            <w:tcW w:w="878" w:type="dxa"/>
            <w:shd w:val="clear" w:color="auto" w:fill="auto"/>
            <w:noWrap/>
            <w:vAlign w:val="center"/>
          </w:tcPr>
          <w:p w14:paraId="7D0440DA" w14:textId="329CA5FE"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2</w:t>
            </w:r>
          </w:p>
        </w:tc>
        <w:tc>
          <w:tcPr>
            <w:tcW w:w="1275" w:type="dxa"/>
            <w:shd w:val="clear" w:color="auto" w:fill="auto"/>
            <w:noWrap/>
            <w:vAlign w:val="center"/>
            <w:hideMark/>
          </w:tcPr>
          <w:p w14:paraId="2738F55D" w14:textId="685513C8" w:rsidR="0045111C" w:rsidRPr="00BB2991" w:rsidRDefault="0045111C" w:rsidP="00457CE9">
            <w:pPr>
              <w:spacing w:after="0" w:line="240" w:lineRule="auto"/>
              <w:jc w:val="center"/>
              <w:rPr>
                <w:rFonts w:ascii="Times New Roman" w:eastAsia="Times New Roman" w:hAnsi="Times New Roman" w:cs="Times New Roman"/>
                <w:i/>
                <w:sz w:val="24"/>
                <w:szCs w:val="24"/>
                <w:lang w:eastAsia="ru-RU"/>
              </w:rPr>
            </w:pPr>
            <w:r w:rsidRPr="00BB2991">
              <w:rPr>
                <w:rFonts w:ascii="Times New Roman" w:eastAsia="Times New Roman" w:hAnsi="Times New Roman" w:cs="Times New Roman"/>
                <w:i/>
                <w:sz w:val="24"/>
                <w:szCs w:val="24"/>
                <w:lang w:eastAsia="ru-RU"/>
              </w:rPr>
              <w:t>0,261067</w:t>
            </w:r>
          </w:p>
        </w:tc>
        <w:tc>
          <w:tcPr>
            <w:tcW w:w="1418" w:type="dxa"/>
            <w:shd w:val="clear" w:color="auto" w:fill="auto"/>
            <w:noWrap/>
            <w:vAlign w:val="center"/>
            <w:hideMark/>
          </w:tcPr>
          <w:p w14:paraId="4F29C887" w14:textId="77777777" w:rsidR="0045111C" w:rsidRPr="00BB2991" w:rsidRDefault="0045111C" w:rsidP="00457CE9">
            <w:pPr>
              <w:spacing w:after="0" w:line="240" w:lineRule="auto"/>
              <w:jc w:val="center"/>
              <w:rPr>
                <w:rFonts w:ascii="Times New Roman" w:eastAsia="Times New Roman" w:hAnsi="Times New Roman" w:cs="Times New Roman"/>
                <w:bCs/>
                <w:i/>
                <w:sz w:val="24"/>
                <w:szCs w:val="24"/>
                <w:lang w:eastAsia="ru-RU"/>
              </w:rPr>
            </w:pPr>
            <w:r w:rsidRPr="00BB2991">
              <w:rPr>
                <w:rFonts w:ascii="Times New Roman" w:eastAsia="Times New Roman" w:hAnsi="Times New Roman" w:cs="Times New Roman"/>
                <w:bCs/>
                <w:i/>
                <w:sz w:val="24"/>
                <w:szCs w:val="24"/>
                <w:lang w:eastAsia="ru-RU"/>
              </w:rPr>
              <w:t>0,157261</w:t>
            </w:r>
          </w:p>
        </w:tc>
      </w:tr>
      <w:tr w:rsidR="00BB2991" w:rsidRPr="00BB2991" w14:paraId="72C418F8" w14:textId="77777777" w:rsidTr="00BB2991">
        <w:trPr>
          <w:trHeight w:val="288"/>
          <w:jc w:val="center"/>
        </w:trPr>
        <w:tc>
          <w:tcPr>
            <w:tcW w:w="1510" w:type="dxa"/>
            <w:shd w:val="clear" w:color="auto" w:fill="auto"/>
            <w:noWrap/>
            <w:vAlign w:val="center"/>
            <w:hideMark/>
          </w:tcPr>
          <w:p w14:paraId="2A64CDB2" w14:textId="55F1BA78"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3</w:t>
            </w:r>
          </w:p>
        </w:tc>
        <w:tc>
          <w:tcPr>
            <w:tcW w:w="1116" w:type="dxa"/>
            <w:shd w:val="clear" w:color="auto" w:fill="auto"/>
            <w:vAlign w:val="center"/>
          </w:tcPr>
          <w:p w14:paraId="0B10C51F" w14:textId="67BEF45C"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0,136224</w:t>
            </w:r>
          </w:p>
        </w:tc>
        <w:tc>
          <w:tcPr>
            <w:tcW w:w="1116" w:type="dxa"/>
            <w:shd w:val="clear" w:color="auto" w:fill="auto"/>
            <w:vAlign w:val="center"/>
          </w:tcPr>
          <w:p w14:paraId="7112C607" w14:textId="125CBECF"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0,203272</w:t>
            </w:r>
          </w:p>
        </w:tc>
        <w:tc>
          <w:tcPr>
            <w:tcW w:w="1116" w:type="dxa"/>
            <w:shd w:val="clear" w:color="auto" w:fill="auto"/>
            <w:vAlign w:val="center"/>
          </w:tcPr>
          <w:p w14:paraId="4F87883C" w14:textId="3C1447C9"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0,096999</w:t>
            </w:r>
          </w:p>
        </w:tc>
        <w:tc>
          <w:tcPr>
            <w:tcW w:w="1116" w:type="dxa"/>
            <w:shd w:val="clear" w:color="auto" w:fill="auto"/>
            <w:vAlign w:val="center"/>
          </w:tcPr>
          <w:p w14:paraId="71700902" w14:textId="46BCAEB7"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0,170224</w:t>
            </w:r>
          </w:p>
        </w:tc>
        <w:tc>
          <w:tcPr>
            <w:tcW w:w="878" w:type="dxa"/>
            <w:shd w:val="clear" w:color="auto" w:fill="auto"/>
            <w:noWrap/>
            <w:vAlign w:val="center"/>
          </w:tcPr>
          <w:p w14:paraId="7834026C" w14:textId="067FD737"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3</w:t>
            </w:r>
          </w:p>
        </w:tc>
        <w:tc>
          <w:tcPr>
            <w:tcW w:w="1275" w:type="dxa"/>
            <w:shd w:val="clear" w:color="auto" w:fill="auto"/>
            <w:noWrap/>
            <w:vAlign w:val="center"/>
            <w:hideMark/>
          </w:tcPr>
          <w:p w14:paraId="7E4DE47D" w14:textId="22E4C4E3" w:rsidR="0045111C" w:rsidRPr="00BB2991" w:rsidRDefault="0045111C" w:rsidP="00457CE9">
            <w:pPr>
              <w:spacing w:after="0" w:line="240" w:lineRule="auto"/>
              <w:jc w:val="center"/>
              <w:rPr>
                <w:rFonts w:ascii="Times New Roman" w:eastAsia="Times New Roman" w:hAnsi="Times New Roman" w:cs="Times New Roman"/>
                <w:i/>
                <w:sz w:val="24"/>
                <w:szCs w:val="24"/>
                <w:lang w:eastAsia="ru-RU"/>
              </w:rPr>
            </w:pPr>
            <w:r w:rsidRPr="00BB2991">
              <w:rPr>
                <w:rFonts w:ascii="Times New Roman" w:eastAsia="Times New Roman" w:hAnsi="Times New Roman" w:cs="Times New Roman"/>
                <w:i/>
                <w:sz w:val="24"/>
                <w:szCs w:val="24"/>
                <w:lang w:eastAsia="ru-RU"/>
              </w:rPr>
              <w:t>0,358877</w:t>
            </w:r>
          </w:p>
        </w:tc>
        <w:tc>
          <w:tcPr>
            <w:tcW w:w="1418" w:type="dxa"/>
            <w:shd w:val="clear" w:color="auto" w:fill="auto"/>
            <w:noWrap/>
            <w:vAlign w:val="center"/>
            <w:hideMark/>
          </w:tcPr>
          <w:p w14:paraId="0D4387F9" w14:textId="77777777" w:rsidR="0045111C" w:rsidRPr="00BB2991" w:rsidRDefault="0045111C" w:rsidP="00457CE9">
            <w:pPr>
              <w:spacing w:after="0" w:line="240" w:lineRule="auto"/>
              <w:jc w:val="center"/>
              <w:rPr>
                <w:rFonts w:ascii="Times New Roman" w:eastAsia="Times New Roman" w:hAnsi="Times New Roman" w:cs="Times New Roman"/>
                <w:bCs/>
                <w:i/>
                <w:sz w:val="24"/>
                <w:szCs w:val="24"/>
                <w:lang w:eastAsia="ru-RU"/>
              </w:rPr>
            </w:pPr>
            <w:r w:rsidRPr="00BB2991">
              <w:rPr>
                <w:rFonts w:ascii="Times New Roman" w:eastAsia="Times New Roman" w:hAnsi="Times New Roman" w:cs="Times New Roman"/>
                <w:bCs/>
                <w:i/>
                <w:sz w:val="24"/>
                <w:szCs w:val="24"/>
                <w:lang w:eastAsia="ru-RU"/>
              </w:rPr>
              <w:t>0,146195</w:t>
            </w:r>
          </w:p>
        </w:tc>
      </w:tr>
      <w:tr w:rsidR="00BB2991" w:rsidRPr="00BB2991" w14:paraId="7AEA6672" w14:textId="77777777" w:rsidTr="00BB2991">
        <w:trPr>
          <w:trHeight w:val="288"/>
          <w:jc w:val="center"/>
        </w:trPr>
        <w:tc>
          <w:tcPr>
            <w:tcW w:w="1510" w:type="dxa"/>
            <w:shd w:val="clear" w:color="auto" w:fill="auto"/>
            <w:noWrap/>
            <w:vAlign w:val="center"/>
            <w:hideMark/>
          </w:tcPr>
          <w:p w14:paraId="52CE51CE" w14:textId="358B8328"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4</w:t>
            </w:r>
          </w:p>
        </w:tc>
        <w:tc>
          <w:tcPr>
            <w:tcW w:w="1116" w:type="dxa"/>
            <w:shd w:val="clear" w:color="auto" w:fill="auto"/>
            <w:vAlign w:val="center"/>
          </w:tcPr>
          <w:p w14:paraId="127A8E4E" w14:textId="23B14F6E"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0,156277</w:t>
            </w:r>
          </w:p>
        </w:tc>
        <w:tc>
          <w:tcPr>
            <w:tcW w:w="1116" w:type="dxa"/>
            <w:shd w:val="clear" w:color="auto" w:fill="auto"/>
            <w:vAlign w:val="center"/>
          </w:tcPr>
          <w:p w14:paraId="6347BF83" w14:textId="1D66F966"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0,194681</w:t>
            </w:r>
          </w:p>
        </w:tc>
        <w:tc>
          <w:tcPr>
            <w:tcW w:w="1116" w:type="dxa"/>
            <w:shd w:val="clear" w:color="auto" w:fill="auto"/>
            <w:vAlign w:val="center"/>
          </w:tcPr>
          <w:p w14:paraId="26E777E0" w14:textId="7843FCD7"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0,112273</w:t>
            </w:r>
          </w:p>
        </w:tc>
        <w:tc>
          <w:tcPr>
            <w:tcW w:w="1116" w:type="dxa"/>
            <w:shd w:val="clear" w:color="auto" w:fill="auto"/>
            <w:vAlign w:val="center"/>
          </w:tcPr>
          <w:p w14:paraId="63A4AEC4" w14:textId="1D8232E7"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eastAsia="ru-RU"/>
              </w:rPr>
              <w:t>0,179784</w:t>
            </w:r>
          </w:p>
        </w:tc>
        <w:tc>
          <w:tcPr>
            <w:tcW w:w="878" w:type="dxa"/>
            <w:shd w:val="clear" w:color="auto" w:fill="auto"/>
            <w:noWrap/>
            <w:vAlign w:val="center"/>
          </w:tcPr>
          <w:p w14:paraId="50252227" w14:textId="72167C1F"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4</w:t>
            </w:r>
          </w:p>
        </w:tc>
        <w:tc>
          <w:tcPr>
            <w:tcW w:w="1275" w:type="dxa"/>
            <w:shd w:val="clear" w:color="auto" w:fill="auto"/>
            <w:noWrap/>
            <w:vAlign w:val="center"/>
            <w:hideMark/>
          </w:tcPr>
          <w:p w14:paraId="3B9C1599" w14:textId="3D61FB27" w:rsidR="0045111C" w:rsidRPr="00BB2991" w:rsidRDefault="0045111C" w:rsidP="00457CE9">
            <w:pPr>
              <w:spacing w:after="0" w:line="240" w:lineRule="auto"/>
              <w:jc w:val="center"/>
              <w:rPr>
                <w:rFonts w:ascii="Times New Roman" w:eastAsia="Times New Roman" w:hAnsi="Times New Roman" w:cs="Times New Roman"/>
                <w:i/>
                <w:sz w:val="24"/>
                <w:szCs w:val="24"/>
                <w:lang w:eastAsia="ru-RU"/>
              </w:rPr>
            </w:pPr>
            <w:r w:rsidRPr="00BB2991">
              <w:rPr>
                <w:rFonts w:ascii="Times New Roman" w:eastAsia="Times New Roman" w:hAnsi="Times New Roman" w:cs="Times New Roman"/>
                <w:i/>
                <w:sz w:val="24"/>
                <w:szCs w:val="24"/>
                <w:lang w:eastAsia="ru-RU"/>
              </w:rPr>
              <w:t>0,192482</w:t>
            </w:r>
          </w:p>
        </w:tc>
        <w:tc>
          <w:tcPr>
            <w:tcW w:w="1418" w:type="dxa"/>
            <w:shd w:val="clear" w:color="auto" w:fill="auto"/>
            <w:noWrap/>
            <w:vAlign w:val="center"/>
            <w:hideMark/>
          </w:tcPr>
          <w:p w14:paraId="6DF569D8" w14:textId="77777777" w:rsidR="0045111C" w:rsidRPr="00BB2991" w:rsidRDefault="0045111C" w:rsidP="00457CE9">
            <w:pPr>
              <w:spacing w:after="0" w:line="240" w:lineRule="auto"/>
              <w:jc w:val="center"/>
              <w:rPr>
                <w:rFonts w:ascii="Times New Roman" w:eastAsia="Times New Roman" w:hAnsi="Times New Roman" w:cs="Times New Roman"/>
                <w:bCs/>
                <w:i/>
                <w:sz w:val="24"/>
                <w:szCs w:val="24"/>
                <w:lang w:eastAsia="ru-RU"/>
              </w:rPr>
            </w:pPr>
            <w:r w:rsidRPr="00BB2991">
              <w:rPr>
                <w:rFonts w:ascii="Times New Roman" w:eastAsia="Times New Roman" w:hAnsi="Times New Roman" w:cs="Times New Roman"/>
                <w:bCs/>
                <w:i/>
                <w:sz w:val="24"/>
                <w:szCs w:val="24"/>
                <w:lang w:eastAsia="ru-RU"/>
              </w:rPr>
              <w:t>0,155036</w:t>
            </w:r>
          </w:p>
        </w:tc>
      </w:tr>
      <w:tr w:rsidR="00BB2991" w:rsidRPr="00BB2991" w14:paraId="6F698835" w14:textId="77777777" w:rsidTr="00BB2991">
        <w:trPr>
          <w:trHeight w:val="288"/>
          <w:jc w:val="center"/>
        </w:trPr>
        <w:tc>
          <w:tcPr>
            <w:tcW w:w="1510" w:type="dxa"/>
            <w:shd w:val="clear" w:color="auto" w:fill="auto"/>
            <w:noWrap/>
            <w:vAlign w:val="center"/>
            <w:hideMark/>
          </w:tcPr>
          <w:p w14:paraId="4A356560" w14:textId="44336F25" w:rsidR="0045111C" w:rsidRPr="00BB2991" w:rsidRDefault="0045111C" w:rsidP="00457CE9">
            <w:pPr>
              <w:spacing w:after="0" w:line="240" w:lineRule="auto"/>
              <w:jc w:val="center"/>
              <w:rPr>
                <w:rFonts w:ascii="Times New Roman" w:eastAsia="Times New Roman" w:hAnsi="Times New Roman" w:cs="Times New Roman"/>
                <w:sz w:val="24"/>
                <w:szCs w:val="24"/>
                <w:lang w:val="kk-KZ" w:eastAsia="ru-RU"/>
              </w:rPr>
            </w:pPr>
            <w:r w:rsidRPr="00BB2991">
              <w:rPr>
                <w:rFonts w:ascii="Times New Roman" w:eastAsia="Times New Roman" w:hAnsi="Times New Roman" w:cs="Times New Roman"/>
                <w:sz w:val="24"/>
                <w:szCs w:val="24"/>
                <w:lang w:val="kk-KZ" w:eastAsia="ru-RU"/>
              </w:rPr>
              <w:t>5</w:t>
            </w:r>
          </w:p>
        </w:tc>
        <w:tc>
          <w:tcPr>
            <w:tcW w:w="1116" w:type="dxa"/>
            <w:shd w:val="clear" w:color="auto" w:fill="auto"/>
            <w:vAlign w:val="center"/>
          </w:tcPr>
          <w:p w14:paraId="03DFEEAC" w14:textId="6440F8EA"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0,157865</w:t>
            </w:r>
          </w:p>
        </w:tc>
        <w:tc>
          <w:tcPr>
            <w:tcW w:w="1116" w:type="dxa"/>
            <w:shd w:val="clear" w:color="auto" w:fill="auto"/>
            <w:vAlign w:val="center"/>
          </w:tcPr>
          <w:p w14:paraId="357568C5" w14:textId="02B20E6C"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0,203511</w:t>
            </w:r>
          </w:p>
        </w:tc>
        <w:tc>
          <w:tcPr>
            <w:tcW w:w="1116" w:type="dxa"/>
            <w:shd w:val="clear" w:color="auto" w:fill="auto"/>
            <w:vAlign w:val="center"/>
          </w:tcPr>
          <w:p w14:paraId="121B8F51" w14:textId="528AE4B9"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0,112638</w:t>
            </w:r>
          </w:p>
        </w:tc>
        <w:tc>
          <w:tcPr>
            <w:tcW w:w="1116" w:type="dxa"/>
            <w:shd w:val="clear" w:color="auto" w:fill="auto"/>
            <w:vAlign w:val="center"/>
          </w:tcPr>
          <w:p w14:paraId="620DBA1D" w14:textId="18EE8972"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r w:rsidRPr="00BB2991">
              <w:rPr>
                <w:rFonts w:ascii="Times New Roman" w:eastAsia="Times New Roman" w:hAnsi="Times New Roman" w:cs="Times New Roman"/>
                <w:sz w:val="24"/>
                <w:szCs w:val="24"/>
                <w:lang w:eastAsia="ru-RU"/>
              </w:rPr>
              <w:t>0,170332</w:t>
            </w:r>
          </w:p>
        </w:tc>
        <w:tc>
          <w:tcPr>
            <w:tcW w:w="878" w:type="dxa"/>
            <w:shd w:val="clear" w:color="auto" w:fill="auto"/>
            <w:noWrap/>
            <w:vAlign w:val="center"/>
            <w:hideMark/>
          </w:tcPr>
          <w:p w14:paraId="7D7EE1F2" w14:textId="3FD178A2"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noWrap/>
            <w:vAlign w:val="center"/>
            <w:hideMark/>
          </w:tcPr>
          <w:p w14:paraId="07AF0B76" w14:textId="77777777" w:rsidR="0045111C" w:rsidRPr="00BB2991" w:rsidRDefault="0045111C" w:rsidP="00457CE9">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noWrap/>
            <w:vAlign w:val="center"/>
            <w:hideMark/>
          </w:tcPr>
          <w:p w14:paraId="61575BCC" w14:textId="77777777" w:rsidR="0045111C" w:rsidRPr="00BB2991" w:rsidRDefault="0045111C" w:rsidP="00457CE9">
            <w:pPr>
              <w:spacing w:after="0" w:line="240" w:lineRule="auto"/>
              <w:jc w:val="center"/>
              <w:rPr>
                <w:rFonts w:ascii="Times New Roman" w:eastAsia="Times New Roman" w:hAnsi="Times New Roman" w:cs="Times New Roman"/>
                <w:bCs/>
                <w:i/>
                <w:sz w:val="24"/>
                <w:szCs w:val="24"/>
                <w:lang w:eastAsia="ru-RU"/>
              </w:rPr>
            </w:pPr>
            <w:r w:rsidRPr="00BB2991">
              <w:rPr>
                <w:rFonts w:ascii="Times New Roman" w:eastAsia="Times New Roman" w:hAnsi="Times New Roman" w:cs="Times New Roman"/>
                <w:bCs/>
                <w:i/>
                <w:sz w:val="24"/>
                <w:szCs w:val="24"/>
                <w:lang w:eastAsia="ru-RU"/>
              </w:rPr>
              <w:t>0,155951</w:t>
            </w:r>
          </w:p>
        </w:tc>
      </w:tr>
      <w:tr w:rsidR="00BB2991" w:rsidRPr="00BB2991" w14:paraId="44098F53" w14:textId="77777777" w:rsidTr="00BB2991">
        <w:trPr>
          <w:trHeight w:val="288"/>
          <w:jc w:val="center"/>
        </w:trPr>
        <w:tc>
          <w:tcPr>
            <w:tcW w:w="9545" w:type="dxa"/>
            <w:gridSpan w:val="8"/>
            <w:shd w:val="clear" w:color="auto" w:fill="auto"/>
            <w:noWrap/>
            <w:vAlign w:val="center"/>
          </w:tcPr>
          <w:p w14:paraId="3E7906E0" w14:textId="1C693634" w:rsidR="001E396A" w:rsidRPr="00BB2991" w:rsidRDefault="001E396A" w:rsidP="00457CE9">
            <w:pPr>
              <w:spacing w:after="0" w:line="240" w:lineRule="auto"/>
              <w:ind w:firstLine="601"/>
              <w:jc w:val="both"/>
              <w:rPr>
                <w:rFonts w:ascii="Times New Roman" w:eastAsia="Times New Roman" w:hAnsi="Times New Roman" w:cs="Times New Roman"/>
                <w:b/>
                <w:bCs/>
                <w:sz w:val="24"/>
                <w:szCs w:val="24"/>
                <w:lang w:eastAsia="ru-RU"/>
              </w:rPr>
            </w:pPr>
            <w:r w:rsidRPr="00BB2991">
              <w:rPr>
                <w:rFonts w:ascii="Times New Roman" w:eastAsiaTheme="minorEastAsia" w:hAnsi="Times New Roman" w:cs="Times New Roman"/>
                <w:lang w:val="kk-KZ"/>
              </w:rPr>
              <w:t xml:space="preserve">Ескерту – </w:t>
            </w:r>
            <w:r w:rsidR="00117667" w:rsidRPr="00BB2991">
              <w:rPr>
                <w:rFonts w:ascii="Times New Roman" w:eastAsiaTheme="minorEastAsia" w:hAnsi="Times New Roman" w:cs="Times New Roman"/>
                <w:lang w:val="kk-KZ"/>
              </w:rPr>
              <w:t xml:space="preserve">Автормен </w:t>
            </w:r>
            <w:r w:rsidRPr="00BB2991">
              <w:rPr>
                <w:rFonts w:ascii="Times New Roman" w:eastAsiaTheme="minorEastAsia" w:hAnsi="Times New Roman" w:cs="Times New Roman"/>
                <w:lang w:val="kk-KZ"/>
              </w:rPr>
              <w:t>құрастырылған</w:t>
            </w:r>
          </w:p>
        </w:tc>
      </w:tr>
    </w:tbl>
    <w:p w14:paraId="78862255" w14:textId="77777777" w:rsidR="0045111C" w:rsidRPr="00457CE9" w:rsidRDefault="0045111C" w:rsidP="00457CE9">
      <w:pPr>
        <w:spacing w:after="0" w:line="240" w:lineRule="auto"/>
        <w:jc w:val="both"/>
        <w:rPr>
          <w:rFonts w:ascii="Times New Roman" w:eastAsiaTheme="minorEastAsia" w:hAnsi="Times New Roman" w:cs="Times New Roman"/>
          <w:sz w:val="28"/>
          <w:szCs w:val="28"/>
          <w:lang w:val="kk-KZ"/>
        </w:rPr>
      </w:pPr>
    </w:p>
    <w:p w14:paraId="33C248D1" w14:textId="5DF91073" w:rsidR="00647B71" w:rsidRPr="00457CE9" w:rsidRDefault="00EB7D69"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80</w:t>
      </w:r>
      <w:r w:rsidR="00647B71" w:rsidRPr="00457CE9">
        <w:rPr>
          <w:rFonts w:ascii="Times New Roman" w:eastAsiaTheme="minorEastAsia" w:hAnsi="Times New Roman" w:cs="Times New Roman"/>
          <w:sz w:val="28"/>
          <w:szCs w:val="28"/>
          <w:lang w:val="kk-KZ"/>
        </w:rPr>
        <w:t xml:space="preserve">-кесте мәліметтерінен ҚР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дамытудың 2021 жылға иерархиядағы үшінші, екінші және бірінші деңгейлер факторлары мен олардың альтернативаларының матрицаларының көбейтіндісі нәтижелері есептеліп көрсетілген. Жоғарыда 2021 жылғы мәліметтері бойынша анықталған иерархиялық талдау моделі бойынша қалған 2022-2025 жылғы мәліметтері бойынша нәтижелері анықталды. Ол қорытынды нәтижелер </w:t>
      </w:r>
      <w:r>
        <w:rPr>
          <w:rFonts w:ascii="Times New Roman" w:eastAsiaTheme="minorEastAsia" w:hAnsi="Times New Roman" w:cs="Times New Roman"/>
          <w:sz w:val="28"/>
          <w:szCs w:val="28"/>
          <w:lang w:val="kk-KZ"/>
        </w:rPr>
        <w:t>81</w:t>
      </w:r>
      <w:r w:rsidR="00647B71" w:rsidRPr="00457CE9">
        <w:rPr>
          <w:rFonts w:ascii="Times New Roman" w:eastAsiaTheme="minorEastAsia" w:hAnsi="Times New Roman" w:cs="Times New Roman"/>
          <w:sz w:val="28"/>
          <w:szCs w:val="28"/>
          <w:lang w:val="kk-KZ"/>
        </w:rPr>
        <w:t>-кестеде келтірілген.</w:t>
      </w:r>
    </w:p>
    <w:p w14:paraId="3F70526B" w14:textId="77777777" w:rsidR="00647B71" w:rsidRPr="00457CE9" w:rsidRDefault="00647B71" w:rsidP="00457CE9">
      <w:pPr>
        <w:spacing w:after="0" w:line="240" w:lineRule="auto"/>
        <w:ind w:firstLine="851"/>
        <w:jc w:val="both"/>
        <w:rPr>
          <w:rFonts w:ascii="Times New Roman" w:eastAsiaTheme="minorEastAsia" w:hAnsi="Times New Roman" w:cs="Times New Roman"/>
          <w:sz w:val="28"/>
          <w:szCs w:val="28"/>
          <w:lang w:val="kk-KZ"/>
        </w:rPr>
      </w:pPr>
    </w:p>
    <w:p w14:paraId="53169A34" w14:textId="086D8EF7"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EB7D69">
        <w:rPr>
          <w:rFonts w:ascii="Times New Roman" w:eastAsiaTheme="minorEastAsia" w:hAnsi="Times New Roman" w:cs="Times New Roman"/>
          <w:sz w:val="28"/>
          <w:szCs w:val="28"/>
          <w:lang w:val="kk-KZ"/>
        </w:rPr>
        <w:t>81</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иерархиялық талдау моделі бойынша анықталған қорытынды нәтижелері</w:t>
      </w:r>
    </w:p>
    <w:p w14:paraId="6160CED9" w14:textId="77777777" w:rsidR="00BB2991" w:rsidRPr="00BB2991" w:rsidRDefault="00BB2991" w:rsidP="00457CE9">
      <w:pPr>
        <w:spacing w:after="0" w:line="240" w:lineRule="auto"/>
        <w:jc w:val="both"/>
        <w:rPr>
          <w:rFonts w:ascii="Times New Roman" w:eastAsiaTheme="minorEastAsia" w:hAnsi="Times New Roman" w:cs="Times New Roman"/>
          <w:sz w:val="16"/>
          <w:szCs w:val="16"/>
          <w:lang w:val="kk-KZ"/>
        </w:rPr>
      </w:pPr>
    </w:p>
    <w:tbl>
      <w:tblPr>
        <w:tblW w:w="9589" w:type="dxa"/>
        <w:jc w:val="center"/>
        <w:tblLook w:val="04A0" w:firstRow="1" w:lastRow="0" w:firstColumn="1" w:lastColumn="0" w:noHBand="0" w:noVBand="1"/>
      </w:tblPr>
      <w:tblGrid>
        <w:gridCol w:w="2412"/>
        <w:gridCol w:w="1540"/>
        <w:gridCol w:w="1358"/>
        <w:gridCol w:w="1413"/>
        <w:gridCol w:w="1205"/>
        <w:gridCol w:w="1661"/>
      </w:tblGrid>
      <w:tr w:rsidR="001E396A" w:rsidRPr="00457CE9" w14:paraId="10891FC2" w14:textId="77777777" w:rsidTr="00117667">
        <w:trPr>
          <w:trHeight w:val="433"/>
          <w:jc w:val="center"/>
        </w:trPr>
        <w:tc>
          <w:tcPr>
            <w:tcW w:w="2412" w:type="dxa"/>
            <w:tcBorders>
              <w:top w:val="single" w:sz="4" w:space="0" w:color="auto"/>
              <w:left w:val="single" w:sz="4" w:space="0" w:color="auto"/>
              <w:bottom w:val="single" w:sz="4" w:space="0" w:color="auto"/>
              <w:right w:val="single" w:sz="4" w:space="0" w:color="auto"/>
            </w:tcBorders>
            <w:vAlign w:val="center"/>
            <w:hideMark/>
          </w:tcPr>
          <w:p w14:paraId="37FF7FDE" w14:textId="77777777" w:rsidR="001E396A" w:rsidRPr="00457CE9" w:rsidRDefault="001E396A" w:rsidP="00BB2991">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Альтернатива саны</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5FD92709" w14:textId="77777777" w:rsidR="001E396A" w:rsidRPr="00457CE9" w:rsidRDefault="001E396A" w:rsidP="00BB2991">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2021</w:t>
            </w:r>
            <w:r w:rsidRPr="00457CE9">
              <w:rPr>
                <w:rFonts w:ascii="Times New Roman" w:eastAsia="Times New Roman" w:hAnsi="Times New Roman" w:cs="Times New Roman"/>
                <w:color w:val="000000"/>
                <w:sz w:val="24"/>
                <w:szCs w:val="24"/>
                <w:lang w:val="kk-KZ" w:eastAsia="ru-RU"/>
              </w:rPr>
              <w:t xml:space="preserve"> жыл</w:t>
            </w:r>
          </w:p>
        </w:tc>
        <w:tc>
          <w:tcPr>
            <w:tcW w:w="1358" w:type="dxa"/>
            <w:tcBorders>
              <w:top w:val="single" w:sz="4" w:space="0" w:color="auto"/>
              <w:left w:val="nil"/>
              <w:bottom w:val="single" w:sz="4" w:space="0" w:color="auto"/>
              <w:right w:val="single" w:sz="4" w:space="0" w:color="auto"/>
            </w:tcBorders>
            <w:noWrap/>
            <w:vAlign w:val="center"/>
            <w:hideMark/>
          </w:tcPr>
          <w:p w14:paraId="28BB77BC" w14:textId="77777777" w:rsidR="001E396A" w:rsidRPr="00457CE9" w:rsidRDefault="001E396A" w:rsidP="00BB2991">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2022</w:t>
            </w:r>
            <w:r w:rsidRPr="00457CE9">
              <w:rPr>
                <w:rFonts w:ascii="Times New Roman" w:eastAsia="Times New Roman" w:hAnsi="Times New Roman" w:cs="Times New Roman"/>
                <w:color w:val="000000"/>
                <w:sz w:val="24"/>
                <w:szCs w:val="24"/>
                <w:lang w:val="kk-KZ" w:eastAsia="ru-RU"/>
              </w:rPr>
              <w:t xml:space="preserve"> жыл</w:t>
            </w:r>
          </w:p>
        </w:tc>
        <w:tc>
          <w:tcPr>
            <w:tcW w:w="1413" w:type="dxa"/>
            <w:tcBorders>
              <w:top w:val="single" w:sz="4" w:space="0" w:color="auto"/>
              <w:left w:val="nil"/>
              <w:bottom w:val="single" w:sz="4" w:space="0" w:color="auto"/>
              <w:right w:val="single" w:sz="4" w:space="0" w:color="auto"/>
            </w:tcBorders>
            <w:noWrap/>
            <w:vAlign w:val="center"/>
            <w:hideMark/>
          </w:tcPr>
          <w:p w14:paraId="3AED3D9D" w14:textId="77777777" w:rsidR="001E396A" w:rsidRPr="00457CE9" w:rsidRDefault="001E396A" w:rsidP="00BB2991">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2023</w:t>
            </w:r>
            <w:r w:rsidRPr="00457CE9">
              <w:rPr>
                <w:rFonts w:ascii="Times New Roman" w:eastAsia="Times New Roman" w:hAnsi="Times New Roman" w:cs="Times New Roman"/>
                <w:color w:val="000000"/>
                <w:sz w:val="24"/>
                <w:szCs w:val="24"/>
                <w:lang w:val="kk-KZ" w:eastAsia="ru-RU"/>
              </w:rPr>
              <w:t xml:space="preserve"> жыл</w:t>
            </w:r>
          </w:p>
        </w:tc>
        <w:tc>
          <w:tcPr>
            <w:tcW w:w="1205" w:type="dxa"/>
            <w:tcBorders>
              <w:top w:val="single" w:sz="4" w:space="0" w:color="auto"/>
              <w:left w:val="nil"/>
              <w:bottom w:val="single" w:sz="4" w:space="0" w:color="auto"/>
              <w:right w:val="single" w:sz="4" w:space="0" w:color="auto"/>
            </w:tcBorders>
            <w:noWrap/>
            <w:vAlign w:val="center"/>
            <w:hideMark/>
          </w:tcPr>
          <w:p w14:paraId="3A619377" w14:textId="77777777" w:rsidR="001E396A" w:rsidRPr="00457CE9" w:rsidRDefault="001E396A" w:rsidP="00BB2991">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2024</w:t>
            </w:r>
            <w:r w:rsidRPr="00457CE9">
              <w:rPr>
                <w:rFonts w:ascii="Times New Roman" w:eastAsia="Times New Roman" w:hAnsi="Times New Roman" w:cs="Times New Roman"/>
                <w:color w:val="000000"/>
                <w:sz w:val="24"/>
                <w:szCs w:val="24"/>
                <w:lang w:val="kk-KZ" w:eastAsia="ru-RU"/>
              </w:rPr>
              <w:t xml:space="preserve"> жыл</w:t>
            </w:r>
          </w:p>
        </w:tc>
        <w:tc>
          <w:tcPr>
            <w:tcW w:w="1661" w:type="dxa"/>
            <w:tcBorders>
              <w:top w:val="single" w:sz="4" w:space="0" w:color="auto"/>
              <w:left w:val="nil"/>
              <w:bottom w:val="single" w:sz="4" w:space="0" w:color="auto"/>
              <w:right w:val="single" w:sz="4" w:space="0" w:color="auto"/>
            </w:tcBorders>
            <w:noWrap/>
            <w:vAlign w:val="center"/>
            <w:hideMark/>
          </w:tcPr>
          <w:p w14:paraId="4C63177E" w14:textId="77777777" w:rsidR="001E396A" w:rsidRPr="00457CE9" w:rsidRDefault="001E396A" w:rsidP="00BB2991">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2025</w:t>
            </w:r>
            <w:r w:rsidRPr="00457CE9">
              <w:rPr>
                <w:rFonts w:ascii="Times New Roman" w:eastAsia="Times New Roman" w:hAnsi="Times New Roman" w:cs="Times New Roman"/>
                <w:color w:val="000000"/>
                <w:sz w:val="24"/>
                <w:szCs w:val="24"/>
                <w:lang w:val="kk-KZ" w:eastAsia="ru-RU"/>
              </w:rPr>
              <w:t xml:space="preserve"> жыл</w:t>
            </w:r>
          </w:p>
        </w:tc>
      </w:tr>
      <w:tr w:rsidR="001E396A" w:rsidRPr="00457CE9" w14:paraId="42C2BB46" w14:textId="77777777" w:rsidTr="00117667">
        <w:trPr>
          <w:trHeight w:val="58"/>
          <w:jc w:val="center"/>
        </w:trPr>
        <w:tc>
          <w:tcPr>
            <w:tcW w:w="2412" w:type="dxa"/>
            <w:tcBorders>
              <w:top w:val="nil"/>
              <w:left w:val="single" w:sz="4" w:space="0" w:color="auto"/>
              <w:bottom w:val="single" w:sz="4" w:space="0" w:color="auto"/>
              <w:right w:val="single" w:sz="4" w:space="0" w:color="auto"/>
            </w:tcBorders>
            <w:hideMark/>
          </w:tcPr>
          <w:p w14:paraId="779406ED" w14:textId="77777777"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val="kk-KZ" w:eastAsia="ru-RU"/>
              </w:rPr>
              <w:t>1</w:t>
            </w:r>
          </w:p>
        </w:tc>
        <w:tc>
          <w:tcPr>
            <w:tcW w:w="1540" w:type="dxa"/>
            <w:tcBorders>
              <w:top w:val="nil"/>
              <w:left w:val="single" w:sz="4" w:space="0" w:color="auto"/>
              <w:bottom w:val="single" w:sz="4" w:space="0" w:color="auto"/>
              <w:right w:val="single" w:sz="4" w:space="0" w:color="auto"/>
            </w:tcBorders>
            <w:noWrap/>
            <w:vAlign w:val="center"/>
            <w:hideMark/>
          </w:tcPr>
          <w:p w14:paraId="04DAADCF" w14:textId="0435195C"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0,154031</w:t>
            </w:r>
          </w:p>
        </w:tc>
        <w:tc>
          <w:tcPr>
            <w:tcW w:w="1358" w:type="dxa"/>
            <w:tcBorders>
              <w:top w:val="nil"/>
              <w:left w:val="nil"/>
              <w:bottom w:val="single" w:sz="4" w:space="0" w:color="auto"/>
              <w:right w:val="single" w:sz="4" w:space="0" w:color="auto"/>
            </w:tcBorders>
            <w:noWrap/>
            <w:vAlign w:val="center"/>
            <w:hideMark/>
          </w:tcPr>
          <w:p w14:paraId="544A8D7A" w14:textId="09538221"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0,1533085</w:t>
            </w:r>
          </w:p>
        </w:tc>
        <w:tc>
          <w:tcPr>
            <w:tcW w:w="1413" w:type="dxa"/>
            <w:tcBorders>
              <w:top w:val="nil"/>
              <w:left w:val="nil"/>
              <w:bottom w:val="single" w:sz="4" w:space="0" w:color="auto"/>
              <w:right w:val="single" w:sz="4" w:space="0" w:color="auto"/>
            </w:tcBorders>
            <w:noWrap/>
            <w:vAlign w:val="center"/>
            <w:hideMark/>
          </w:tcPr>
          <w:p w14:paraId="4B2272C3" w14:textId="05D2F271"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0,160844</w:t>
            </w:r>
          </w:p>
        </w:tc>
        <w:tc>
          <w:tcPr>
            <w:tcW w:w="1205" w:type="dxa"/>
            <w:tcBorders>
              <w:top w:val="nil"/>
              <w:left w:val="nil"/>
              <w:bottom w:val="single" w:sz="4" w:space="0" w:color="auto"/>
              <w:right w:val="single" w:sz="4" w:space="0" w:color="auto"/>
            </w:tcBorders>
            <w:noWrap/>
            <w:vAlign w:val="center"/>
            <w:hideMark/>
          </w:tcPr>
          <w:p w14:paraId="03997CD5" w14:textId="38ADE38B"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0,167636</w:t>
            </w:r>
          </w:p>
        </w:tc>
        <w:tc>
          <w:tcPr>
            <w:tcW w:w="1661" w:type="dxa"/>
            <w:tcBorders>
              <w:top w:val="nil"/>
              <w:left w:val="nil"/>
              <w:bottom w:val="single" w:sz="4" w:space="0" w:color="auto"/>
              <w:right w:val="single" w:sz="4" w:space="0" w:color="auto"/>
            </w:tcBorders>
            <w:noWrap/>
            <w:vAlign w:val="center"/>
            <w:hideMark/>
          </w:tcPr>
          <w:p w14:paraId="3256B0A0" w14:textId="3281FA59"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0,1668395</w:t>
            </w:r>
          </w:p>
        </w:tc>
      </w:tr>
      <w:tr w:rsidR="001E396A" w:rsidRPr="00457CE9" w14:paraId="75C91E96" w14:textId="77777777" w:rsidTr="00117667">
        <w:trPr>
          <w:trHeight w:val="58"/>
          <w:jc w:val="center"/>
        </w:trPr>
        <w:tc>
          <w:tcPr>
            <w:tcW w:w="2412" w:type="dxa"/>
            <w:tcBorders>
              <w:top w:val="nil"/>
              <w:left w:val="single" w:sz="4" w:space="0" w:color="auto"/>
              <w:bottom w:val="single" w:sz="4" w:space="0" w:color="auto"/>
              <w:right w:val="single" w:sz="4" w:space="0" w:color="auto"/>
            </w:tcBorders>
            <w:hideMark/>
          </w:tcPr>
          <w:p w14:paraId="43973B67" w14:textId="77777777"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2</w:t>
            </w:r>
          </w:p>
        </w:tc>
        <w:tc>
          <w:tcPr>
            <w:tcW w:w="1540" w:type="dxa"/>
            <w:tcBorders>
              <w:top w:val="nil"/>
              <w:left w:val="single" w:sz="4" w:space="0" w:color="auto"/>
              <w:bottom w:val="single" w:sz="4" w:space="0" w:color="auto"/>
              <w:right w:val="single" w:sz="4" w:space="0" w:color="auto"/>
            </w:tcBorders>
            <w:noWrap/>
            <w:vAlign w:val="center"/>
            <w:hideMark/>
          </w:tcPr>
          <w:p w14:paraId="1BCEC97E" w14:textId="7A1CBD3E"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0,157261</w:t>
            </w:r>
          </w:p>
        </w:tc>
        <w:tc>
          <w:tcPr>
            <w:tcW w:w="1358" w:type="dxa"/>
            <w:tcBorders>
              <w:top w:val="nil"/>
              <w:left w:val="nil"/>
              <w:bottom w:val="single" w:sz="4" w:space="0" w:color="auto"/>
              <w:right w:val="single" w:sz="4" w:space="0" w:color="auto"/>
            </w:tcBorders>
            <w:noWrap/>
            <w:vAlign w:val="center"/>
            <w:hideMark/>
          </w:tcPr>
          <w:p w14:paraId="6714AFE7" w14:textId="5BC45ED6"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0,1567645</w:t>
            </w:r>
          </w:p>
        </w:tc>
        <w:tc>
          <w:tcPr>
            <w:tcW w:w="1413" w:type="dxa"/>
            <w:tcBorders>
              <w:top w:val="nil"/>
              <w:left w:val="nil"/>
              <w:bottom w:val="single" w:sz="4" w:space="0" w:color="auto"/>
              <w:right w:val="single" w:sz="4" w:space="0" w:color="auto"/>
            </w:tcBorders>
            <w:noWrap/>
            <w:vAlign w:val="center"/>
            <w:hideMark/>
          </w:tcPr>
          <w:p w14:paraId="1FAD158D" w14:textId="509953E4"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0,163827</w:t>
            </w:r>
          </w:p>
        </w:tc>
        <w:tc>
          <w:tcPr>
            <w:tcW w:w="1205" w:type="dxa"/>
            <w:tcBorders>
              <w:top w:val="nil"/>
              <w:left w:val="nil"/>
              <w:bottom w:val="single" w:sz="4" w:space="0" w:color="auto"/>
              <w:right w:val="single" w:sz="4" w:space="0" w:color="auto"/>
            </w:tcBorders>
            <w:noWrap/>
            <w:vAlign w:val="center"/>
            <w:hideMark/>
          </w:tcPr>
          <w:p w14:paraId="4E207386" w14:textId="5F4ADBF8"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0,169943</w:t>
            </w:r>
          </w:p>
        </w:tc>
        <w:tc>
          <w:tcPr>
            <w:tcW w:w="1661" w:type="dxa"/>
            <w:tcBorders>
              <w:top w:val="nil"/>
              <w:left w:val="nil"/>
              <w:bottom w:val="single" w:sz="4" w:space="0" w:color="auto"/>
              <w:right w:val="single" w:sz="4" w:space="0" w:color="auto"/>
            </w:tcBorders>
            <w:noWrap/>
            <w:vAlign w:val="center"/>
            <w:hideMark/>
          </w:tcPr>
          <w:p w14:paraId="4DFCC973" w14:textId="673F1E95"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0,1694407</w:t>
            </w:r>
          </w:p>
        </w:tc>
      </w:tr>
      <w:tr w:rsidR="001E396A" w:rsidRPr="00457CE9" w14:paraId="024B2E34" w14:textId="77777777" w:rsidTr="00117667">
        <w:trPr>
          <w:trHeight w:val="58"/>
          <w:jc w:val="center"/>
        </w:trPr>
        <w:tc>
          <w:tcPr>
            <w:tcW w:w="2412" w:type="dxa"/>
            <w:tcBorders>
              <w:top w:val="nil"/>
              <w:left w:val="single" w:sz="4" w:space="0" w:color="auto"/>
              <w:bottom w:val="single" w:sz="4" w:space="0" w:color="auto"/>
              <w:right w:val="single" w:sz="4" w:space="0" w:color="auto"/>
            </w:tcBorders>
            <w:hideMark/>
          </w:tcPr>
          <w:p w14:paraId="3FA74A37" w14:textId="77777777"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3</w:t>
            </w:r>
          </w:p>
        </w:tc>
        <w:tc>
          <w:tcPr>
            <w:tcW w:w="1540" w:type="dxa"/>
            <w:tcBorders>
              <w:top w:val="nil"/>
              <w:left w:val="single" w:sz="4" w:space="0" w:color="auto"/>
              <w:bottom w:val="single" w:sz="4" w:space="0" w:color="auto"/>
              <w:right w:val="single" w:sz="4" w:space="0" w:color="auto"/>
            </w:tcBorders>
            <w:noWrap/>
            <w:vAlign w:val="center"/>
            <w:hideMark/>
          </w:tcPr>
          <w:p w14:paraId="0FD70536" w14:textId="40440A40"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0,146195</w:t>
            </w:r>
          </w:p>
        </w:tc>
        <w:tc>
          <w:tcPr>
            <w:tcW w:w="1358" w:type="dxa"/>
            <w:tcBorders>
              <w:top w:val="nil"/>
              <w:left w:val="nil"/>
              <w:bottom w:val="single" w:sz="4" w:space="0" w:color="auto"/>
              <w:right w:val="single" w:sz="4" w:space="0" w:color="auto"/>
            </w:tcBorders>
            <w:noWrap/>
            <w:vAlign w:val="center"/>
            <w:hideMark/>
          </w:tcPr>
          <w:p w14:paraId="46EFAB4E" w14:textId="6E1027EC"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0,1459897</w:t>
            </w:r>
          </w:p>
        </w:tc>
        <w:tc>
          <w:tcPr>
            <w:tcW w:w="1413" w:type="dxa"/>
            <w:tcBorders>
              <w:top w:val="nil"/>
              <w:left w:val="nil"/>
              <w:bottom w:val="single" w:sz="4" w:space="0" w:color="auto"/>
              <w:right w:val="single" w:sz="4" w:space="0" w:color="auto"/>
            </w:tcBorders>
            <w:noWrap/>
            <w:vAlign w:val="center"/>
            <w:hideMark/>
          </w:tcPr>
          <w:p w14:paraId="738B9C22" w14:textId="16A617FE"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0,152713</w:t>
            </w:r>
          </w:p>
        </w:tc>
        <w:tc>
          <w:tcPr>
            <w:tcW w:w="1205" w:type="dxa"/>
            <w:tcBorders>
              <w:top w:val="nil"/>
              <w:left w:val="nil"/>
              <w:bottom w:val="single" w:sz="4" w:space="0" w:color="auto"/>
              <w:right w:val="single" w:sz="4" w:space="0" w:color="auto"/>
            </w:tcBorders>
            <w:noWrap/>
            <w:vAlign w:val="center"/>
            <w:hideMark/>
          </w:tcPr>
          <w:p w14:paraId="4DF1CB86" w14:textId="197614D1"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0,158169</w:t>
            </w:r>
          </w:p>
        </w:tc>
        <w:tc>
          <w:tcPr>
            <w:tcW w:w="1661" w:type="dxa"/>
            <w:tcBorders>
              <w:top w:val="nil"/>
              <w:left w:val="nil"/>
              <w:bottom w:val="single" w:sz="4" w:space="0" w:color="auto"/>
              <w:right w:val="single" w:sz="4" w:space="0" w:color="auto"/>
            </w:tcBorders>
            <w:noWrap/>
            <w:vAlign w:val="center"/>
            <w:hideMark/>
          </w:tcPr>
          <w:p w14:paraId="5019A13B" w14:textId="1ACD3505"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0,1580523</w:t>
            </w:r>
          </w:p>
        </w:tc>
      </w:tr>
      <w:tr w:rsidR="001E396A" w:rsidRPr="00457CE9" w14:paraId="3E352C82" w14:textId="77777777" w:rsidTr="00117667">
        <w:trPr>
          <w:trHeight w:val="58"/>
          <w:jc w:val="center"/>
        </w:trPr>
        <w:tc>
          <w:tcPr>
            <w:tcW w:w="2412" w:type="dxa"/>
            <w:tcBorders>
              <w:top w:val="nil"/>
              <w:left w:val="single" w:sz="4" w:space="0" w:color="auto"/>
              <w:bottom w:val="single" w:sz="4" w:space="0" w:color="auto"/>
              <w:right w:val="single" w:sz="4" w:space="0" w:color="auto"/>
            </w:tcBorders>
            <w:hideMark/>
          </w:tcPr>
          <w:p w14:paraId="1938253C" w14:textId="77777777"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4</w:t>
            </w:r>
          </w:p>
        </w:tc>
        <w:tc>
          <w:tcPr>
            <w:tcW w:w="1540" w:type="dxa"/>
            <w:tcBorders>
              <w:top w:val="nil"/>
              <w:left w:val="single" w:sz="4" w:space="0" w:color="auto"/>
              <w:bottom w:val="single" w:sz="4" w:space="0" w:color="auto"/>
              <w:right w:val="single" w:sz="4" w:space="0" w:color="auto"/>
            </w:tcBorders>
            <w:noWrap/>
            <w:vAlign w:val="center"/>
            <w:hideMark/>
          </w:tcPr>
          <w:p w14:paraId="19F925F3" w14:textId="08F27D61"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0,155036</w:t>
            </w:r>
          </w:p>
        </w:tc>
        <w:tc>
          <w:tcPr>
            <w:tcW w:w="1358" w:type="dxa"/>
            <w:tcBorders>
              <w:top w:val="nil"/>
              <w:left w:val="nil"/>
              <w:bottom w:val="single" w:sz="4" w:space="0" w:color="auto"/>
              <w:right w:val="single" w:sz="4" w:space="0" w:color="auto"/>
            </w:tcBorders>
            <w:noWrap/>
            <w:vAlign w:val="center"/>
            <w:hideMark/>
          </w:tcPr>
          <w:p w14:paraId="063199C5" w14:textId="51990D02"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0,1547237</w:t>
            </w:r>
          </w:p>
        </w:tc>
        <w:tc>
          <w:tcPr>
            <w:tcW w:w="1413" w:type="dxa"/>
            <w:tcBorders>
              <w:top w:val="nil"/>
              <w:left w:val="nil"/>
              <w:bottom w:val="single" w:sz="4" w:space="0" w:color="auto"/>
              <w:right w:val="single" w:sz="4" w:space="0" w:color="auto"/>
            </w:tcBorders>
            <w:noWrap/>
            <w:vAlign w:val="center"/>
            <w:hideMark/>
          </w:tcPr>
          <w:p w14:paraId="37E4E0C6" w14:textId="28EF25B5"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0,162019</w:t>
            </w:r>
          </w:p>
        </w:tc>
        <w:tc>
          <w:tcPr>
            <w:tcW w:w="1205" w:type="dxa"/>
            <w:tcBorders>
              <w:top w:val="nil"/>
              <w:left w:val="nil"/>
              <w:bottom w:val="single" w:sz="4" w:space="0" w:color="auto"/>
              <w:right w:val="single" w:sz="4" w:space="0" w:color="auto"/>
            </w:tcBorders>
            <w:noWrap/>
            <w:vAlign w:val="center"/>
            <w:hideMark/>
          </w:tcPr>
          <w:p w14:paraId="628FED56" w14:textId="313EC2B9"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0,167475</w:t>
            </w:r>
          </w:p>
        </w:tc>
        <w:tc>
          <w:tcPr>
            <w:tcW w:w="1661" w:type="dxa"/>
            <w:tcBorders>
              <w:top w:val="nil"/>
              <w:left w:val="nil"/>
              <w:bottom w:val="single" w:sz="4" w:space="0" w:color="auto"/>
              <w:right w:val="single" w:sz="4" w:space="0" w:color="auto"/>
            </w:tcBorders>
            <w:noWrap/>
            <w:vAlign w:val="center"/>
            <w:hideMark/>
          </w:tcPr>
          <w:p w14:paraId="4690DB2D" w14:textId="3C9151DC"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0,1673487</w:t>
            </w:r>
          </w:p>
        </w:tc>
      </w:tr>
      <w:tr w:rsidR="001E396A" w:rsidRPr="00457CE9" w14:paraId="74BD29E1" w14:textId="77777777" w:rsidTr="00117667">
        <w:trPr>
          <w:trHeight w:val="58"/>
          <w:jc w:val="center"/>
        </w:trPr>
        <w:tc>
          <w:tcPr>
            <w:tcW w:w="2412" w:type="dxa"/>
            <w:tcBorders>
              <w:top w:val="nil"/>
              <w:left w:val="single" w:sz="4" w:space="0" w:color="auto"/>
              <w:bottom w:val="single" w:sz="4" w:space="0" w:color="auto"/>
              <w:right w:val="single" w:sz="4" w:space="0" w:color="auto"/>
            </w:tcBorders>
            <w:hideMark/>
          </w:tcPr>
          <w:p w14:paraId="18F944EE" w14:textId="77777777"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5</w:t>
            </w:r>
          </w:p>
        </w:tc>
        <w:tc>
          <w:tcPr>
            <w:tcW w:w="1540" w:type="dxa"/>
            <w:tcBorders>
              <w:top w:val="nil"/>
              <w:left w:val="single" w:sz="4" w:space="0" w:color="auto"/>
              <w:bottom w:val="single" w:sz="4" w:space="0" w:color="auto"/>
              <w:right w:val="single" w:sz="4" w:space="0" w:color="auto"/>
            </w:tcBorders>
            <w:noWrap/>
            <w:vAlign w:val="center"/>
            <w:hideMark/>
          </w:tcPr>
          <w:p w14:paraId="2DD61FCD" w14:textId="0BF464F3"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0,155951</w:t>
            </w:r>
          </w:p>
        </w:tc>
        <w:tc>
          <w:tcPr>
            <w:tcW w:w="1358" w:type="dxa"/>
            <w:tcBorders>
              <w:top w:val="nil"/>
              <w:left w:val="nil"/>
              <w:bottom w:val="single" w:sz="4" w:space="0" w:color="auto"/>
              <w:right w:val="single" w:sz="4" w:space="0" w:color="auto"/>
            </w:tcBorders>
            <w:noWrap/>
            <w:vAlign w:val="center"/>
            <w:hideMark/>
          </w:tcPr>
          <w:p w14:paraId="0A8EBDF0" w14:textId="32CC4D5F"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0,155346</w:t>
            </w:r>
          </w:p>
        </w:tc>
        <w:tc>
          <w:tcPr>
            <w:tcW w:w="1413" w:type="dxa"/>
            <w:tcBorders>
              <w:top w:val="nil"/>
              <w:left w:val="nil"/>
              <w:bottom w:val="single" w:sz="4" w:space="0" w:color="auto"/>
              <w:right w:val="single" w:sz="4" w:space="0" w:color="auto"/>
            </w:tcBorders>
            <w:noWrap/>
            <w:vAlign w:val="center"/>
            <w:hideMark/>
          </w:tcPr>
          <w:p w14:paraId="21195816" w14:textId="243FF851"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0,161771</w:t>
            </w:r>
          </w:p>
        </w:tc>
        <w:tc>
          <w:tcPr>
            <w:tcW w:w="1205" w:type="dxa"/>
            <w:tcBorders>
              <w:top w:val="nil"/>
              <w:left w:val="nil"/>
              <w:bottom w:val="single" w:sz="4" w:space="0" w:color="auto"/>
              <w:right w:val="single" w:sz="4" w:space="0" w:color="auto"/>
            </w:tcBorders>
            <w:noWrap/>
            <w:vAlign w:val="center"/>
            <w:hideMark/>
          </w:tcPr>
          <w:p w14:paraId="64550ACC" w14:textId="5DFCC68D"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0,167946</w:t>
            </w:r>
          </w:p>
        </w:tc>
        <w:tc>
          <w:tcPr>
            <w:tcW w:w="1661" w:type="dxa"/>
            <w:tcBorders>
              <w:top w:val="nil"/>
              <w:left w:val="nil"/>
              <w:bottom w:val="single" w:sz="4" w:space="0" w:color="auto"/>
              <w:right w:val="single" w:sz="4" w:space="0" w:color="auto"/>
            </w:tcBorders>
            <w:noWrap/>
            <w:vAlign w:val="center"/>
            <w:hideMark/>
          </w:tcPr>
          <w:p w14:paraId="2D8C26E7" w14:textId="267F8EC7" w:rsidR="001E396A" w:rsidRPr="00457CE9" w:rsidRDefault="001E396A"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0,1671999</w:t>
            </w:r>
          </w:p>
        </w:tc>
      </w:tr>
      <w:tr w:rsidR="001E396A" w:rsidRPr="00457CE9" w14:paraId="525CAD04" w14:textId="77777777" w:rsidTr="00117667">
        <w:trPr>
          <w:trHeight w:val="390"/>
          <w:jc w:val="center"/>
        </w:trPr>
        <w:tc>
          <w:tcPr>
            <w:tcW w:w="9589" w:type="dxa"/>
            <w:gridSpan w:val="6"/>
            <w:tcBorders>
              <w:top w:val="nil"/>
              <w:left w:val="single" w:sz="4" w:space="0" w:color="auto"/>
              <w:bottom w:val="single" w:sz="4" w:space="0" w:color="auto"/>
              <w:right w:val="single" w:sz="4" w:space="0" w:color="auto"/>
            </w:tcBorders>
            <w:vAlign w:val="center"/>
            <w:hideMark/>
          </w:tcPr>
          <w:p w14:paraId="17FCA543" w14:textId="3AD412EF" w:rsidR="001E396A" w:rsidRPr="00457CE9" w:rsidRDefault="001E396A" w:rsidP="00010EEC">
            <w:pPr>
              <w:widowControl w:val="0"/>
              <w:spacing w:after="0" w:line="240" w:lineRule="auto"/>
              <w:ind w:firstLine="427"/>
              <w:rPr>
                <w:rFonts w:ascii="Times New Roman" w:eastAsia="Times New Roman" w:hAnsi="Times New Roman" w:cs="Times New Roman"/>
                <w:color w:val="000000"/>
                <w:sz w:val="24"/>
                <w:szCs w:val="24"/>
                <w:lang w:eastAsia="ru-RU"/>
              </w:rPr>
            </w:pPr>
            <w:r w:rsidRPr="00457CE9">
              <w:rPr>
                <w:rFonts w:ascii="Times New Roman" w:eastAsiaTheme="minorEastAsia" w:hAnsi="Times New Roman" w:cs="Times New Roman"/>
                <w:sz w:val="24"/>
                <w:szCs w:val="24"/>
                <w:lang w:val="kk-KZ"/>
              </w:rPr>
              <w:t xml:space="preserve">Ескерту – </w:t>
            </w:r>
            <w:r w:rsidR="00BB2991" w:rsidRPr="00457CE9">
              <w:rPr>
                <w:rFonts w:ascii="Times New Roman" w:eastAsiaTheme="minorEastAsia" w:hAnsi="Times New Roman" w:cs="Times New Roman"/>
                <w:sz w:val="24"/>
                <w:szCs w:val="24"/>
                <w:lang w:val="kk-KZ"/>
              </w:rPr>
              <w:t xml:space="preserve">Автормен </w:t>
            </w:r>
            <w:r w:rsidRPr="00457CE9">
              <w:rPr>
                <w:rFonts w:ascii="Times New Roman" w:eastAsiaTheme="minorEastAsia" w:hAnsi="Times New Roman" w:cs="Times New Roman"/>
                <w:sz w:val="24"/>
                <w:szCs w:val="24"/>
                <w:lang w:val="kk-KZ"/>
              </w:rPr>
              <w:t>құрастырылған</w:t>
            </w:r>
          </w:p>
        </w:tc>
      </w:tr>
    </w:tbl>
    <w:p w14:paraId="4F12DC9E" w14:textId="77777777" w:rsidR="00010EEC" w:rsidRDefault="00010EEC" w:rsidP="00010EEC">
      <w:pPr>
        <w:widowControl w:val="0"/>
        <w:spacing w:after="0" w:line="240" w:lineRule="auto"/>
        <w:ind w:firstLine="709"/>
        <w:jc w:val="both"/>
        <w:rPr>
          <w:rFonts w:ascii="Times New Roman" w:eastAsiaTheme="minorEastAsia" w:hAnsi="Times New Roman" w:cs="Times New Roman"/>
          <w:sz w:val="28"/>
          <w:szCs w:val="28"/>
          <w:lang w:val="kk-KZ"/>
        </w:rPr>
      </w:pPr>
    </w:p>
    <w:p w14:paraId="4ECE9E31" w14:textId="58C9606D" w:rsidR="00647B71" w:rsidRPr="00457CE9" w:rsidRDefault="00EB7D69" w:rsidP="00010EEC">
      <w:pPr>
        <w:widowControl w:val="0"/>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81</w:t>
      </w:r>
      <w:r w:rsidR="00647B71" w:rsidRPr="00457CE9">
        <w:rPr>
          <w:rFonts w:ascii="Times New Roman" w:eastAsiaTheme="minorEastAsia" w:hAnsi="Times New Roman" w:cs="Times New Roman"/>
          <w:sz w:val="28"/>
          <w:szCs w:val="28"/>
          <w:lang w:val="kk-KZ"/>
        </w:rPr>
        <w:t xml:space="preserve">-кестедегі қорытынды нәтижелер негізінде орташа геометриялық мәні және оның жиынындағы әр альтернативаның үлесі – меншікті векторы анықталды, есептеуі </w:t>
      </w:r>
      <w:r w:rsidR="002500C8">
        <w:rPr>
          <w:rFonts w:ascii="Times New Roman" w:eastAsiaTheme="minorEastAsia" w:hAnsi="Times New Roman" w:cs="Times New Roman"/>
          <w:sz w:val="28"/>
          <w:szCs w:val="28"/>
          <w:lang w:val="kk-KZ"/>
        </w:rPr>
        <w:t>82</w:t>
      </w:r>
      <w:r w:rsidR="00647B71" w:rsidRPr="00457CE9">
        <w:rPr>
          <w:rFonts w:ascii="Times New Roman" w:eastAsiaTheme="minorEastAsia" w:hAnsi="Times New Roman" w:cs="Times New Roman"/>
          <w:sz w:val="28"/>
          <w:szCs w:val="28"/>
          <w:lang w:val="kk-KZ"/>
        </w:rPr>
        <w:t>-кестеде келтірілген.</w:t>
      </w:r>
    </w:p>
    <w:p w14:paraId="4150D399" w14:textId="200F7854" w:rsidR="00294763"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дамытуға бағытталған бюджет қаражатын пайдалану тиімділігін бағалау негізі ретінде бес негізгі макроэкономикалық көрсеткіштері критерий ретінде ұсынылып анықталды. </w:t>
      </w:r>
      <w:r w:rsidR="00B90011" w:rsidRPr="00457CE9">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7</w:t>
      </w:r>
      <w:r w:rsidR="00392F62" w:rsidRPr="00457CE9">
        <w:rPr>
          <w:rFonts w:ascii="Times New Roman" w:eastAsiaTheme="minorEastAsia" w:hAnsi="Times New Roman" w:cs="Times New Roman"/>
          <w:sz w:val="28"/>
          <w:szCs w:val="28"/>
          <w:lang w:val="kk-KZ"/>
        </w:rPr>
        <w:t xml:space="preserve">-суретте ҚР </w:t>
      </w:r>
      <w:r w:rsidR="00575788">
        <w:rPr>
          <w:rFonts w:ascii="Times New Roman" w:eastAsiaTheme="minorEastAsia" w:hAnsi="Times New Roman" w:cs="Times New Roman"/>
          <w:sz w:val="28"/>
          <w:szCs w:val="28"/>
          <w:lang w:val="kk-KZ"/>
        </w:rPr>
        <w:t>АӨК-н</w:t>
      </w:r>
      <w:r w:rsidR="00392F62" w:rsidRPr="00457CE9">
        <w:rPr>
          <w:rFonts w:ascii="Times New Roman" w:eastAsiaTheme="minorEastAsia" w:hAnsi="Times New Roman" w:cs="Times New Roman"/>
          <w:sz w:val="28"/>
          <w:szCs w:val="28"/>
          <w:lang w:val="kk-KZ"/>
        </w:rPr>
        <w:t xml:space="preserve"> 2021-2025 жж. дамытуға бағытталған бюджет қаражатының тиімділігін бағалаудың критерийлері бойынша эталон мәнінен ауытқу динамикасы келтірілген.</w:t>
      </w:r>
    </w:p>
    <w:p w14:paraId="6650EAAA" w14:textId="77777777" w:rsidR="00117667" w:rsidRPr="00457CE9" w:rsidRDefault="00117667" w:rsidP="00457CE9">
      <w:pPr>
        <w:spacing w:after="0" w:line="240" w:lineRule="auto"/>
        <w:ind w:firstLine="709"/>
        <w:jc w:val="both"/>
        <w:rPr>
          <w:rFonts w:ascii="Times New Roman" w:eastAsiaTheme="minorEastAsia" w:hAnsi="Times New Roman" w:cs="Times New Roman"/>
          <w:sz w:val="28"/>
          <w:szCs w:val="28"/>
          <w:lang w:val="kk-KZ"/>
        </w:rPr>
      </w:pPr>
    </w:p>
    <w:p w14:paraId="276FFC15" w14:textId="2FB2E7F0" w:rsidR="00294763" w:rsidRPr="00457CE9" w:rsidRDefault="00E56DF5" w:rsidP="00BB2991">
      <w:pPr>
        <w:spacing w:after="0" w:line="240" w:lineRule="auto"/>
        <w:jc w:val="center"/>
        <w:rPr>
          <w:rFonts w:ascii="Times New Roman" w:eastAsiaTheme="minorEastAsia" w:hAnsi="Times New Roman" w:cs="Times New Roman"/>
          <w:sz w:val="28"/>
          <w:szCs w:val="28"/>
          <w:lang w:val="kk-KZ"/>
        </w:rPr>
      </w:pPr>
      <w:r w:rsidRPr="00457CE9">
        <w:rPr>
          <w:noProof/>
          <w:lang w:eastAsia="ru-RU"/>
        </w:rPr>
        <w:drawing>
          <wp:inline distT="0" distB="0" distL="0" distR="0" wp14:anchorId="7D789C1B" wp14:editId="0C615DDD">
            <wp:extent cx="5471160" cy="2529840"/>
            <wp:effectExtent l="0" t="0" r="0" b="3810"/>
            <wp:docPr id="5797296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AFFF13-F909-6B27-74A5-F3C6DFCD9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4A9107" w14:textId="77777777" w:rsidR="00BB2991" w:rsidRPr="00BB2991" w:rsidRDefault="00BB2991" w:rsidP="00BB2991">
      <w:pPr>
        <w:spacing w:after="0" w:line="240" w:lineRule="auto"/>
        <w:jc w:val="both"/>
        <w:rPr>
          <w:rFonts w:ascii="Times New Roman" w:eastAsiaTheme="minorEastAsia" w:hAnsi="Times New Roman" w:cs="Times New Roman"/>
          <w:sz w:val="16"/>
          <w:szCs w:val="16"/>
          <w:lang w:val="kk-KZ"/>
        </w:rPr>
      </w:pPr>
    </w:p>
    <w:p w14:paraId="68E06CDB" w14:textId="57E3B1AE" w:rsidR="002E1D76" w:rsidRPr="00457CE9" w:rsidRDefault="00392F62" w:rsidP="00BB2991">
      <w:pPr>
        <w:spacing w:after="0" w:line="240" w:lineRule="auto"/>
        <w:jc w:val="center"/>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Сурет </w:t>
      </w:r>
      <w:r w:rsidR="00B90011" w:rsidRPr="00457CE9">
        <w:rPr>
          <w:rFonts w:ascii="Times New Roman" w:eastAsiaTheme="minorEastAsia" w:hAnsi="Times New Roman" w:cs="Times New Roman"/>
          <w:sz w:val="28"/>
          <w:szCs w:val="28"/>
          <w:lang w:val="kk-KZ"/>
        </w:rPr>
        <w:t>2</w:t>
      </w:r>
      <w:r w:rsidR="00A23F7A">
        <w:rPr>
          <w:rFonts w:ascii="Times New Roman" w:eastAsiaTheme="minorEastAsia" w:hAnsi="Times New Roman" w:cs="Times New Roman"/>
          <w:sz w:val="28"/>
          <w:szCs w:val="28"/>
          <w:lang w:val="kk-KZ"/>
        </w:rPr>
        <w:t>7</w:t>
      </w:r>
      <w:r w:rsidRPr="00457CE9">
        <w:rPr>
          <w:rFonts w:ascii="Times New Roman" w:eastAsiaTheme="minorEastAsia" w:hAnsi="Times New Roman" w:cs="Times New Roman"/>
          <w:sz w:val="28"/>
          <w:szCs w:val="28"/>
          <w:lang w:val="kk-KZ"/>
        </w:rPr>
        <w:t xml:space="preserve"> </w:t>
      </w:r>
      <w:r w:rsidR="00BB2991">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дамытуға бағытталған бюджет қаражатының тиімділігін бағалаудың критерийлері</w:t>
      </w:r>
      <w:r w:rsidR="00E56DF5" w:rsidRPr="00457CE9">
        <w:rPr>
          <w:rFonts w:ascii="Times New Roman" w:eastAsiaTheme="minorEastAsia" w:hAnsi="Times New Roman" w:cs="Times New Roman"/>
          <w:sz w:val="28"/>
          <w:szCs w:val="28"/>
          <w:lang w:val="kk-KZ"/>
        </w:rPr>
        <w:t xml:space="preserve">нің </w:t>
      </w:r>
      <w:r w:rsidRPr="00457CE9">
        <w:rPr>
          <w:rFonts w:ascii="Times New Roman" w:eastAsiaTheme="minorEastAsia" w:hAnsi="Times New Roman" w:cs="Times New Roman"/>
          <w:sz w:val="28"/>
          <w:szCs w:val="28"/>
          <w:lang w:val="kk-KZ"/>
        </w:rPr>
        <w:t>динамикасы</w:t>
      </w:r>
    </w:p>
    <w:p w14:paraId="29BCBCDC" w14:textId="77777777" w:rsidR="00BB2991" w:rsidRPr="00BB2991" w:rsidRDefault="00BB2991" w:rsidP="00457CE9">
      <w:pPr>
        <w:spacing w:after="0" w:line="240" w:lineRule="auto"/>
        <w:ind w:firstLine="709"/>
        <w:jc w:val="both"/>
        <w:rPr>
          <w:rFonts w:ascii="Times New Roman" w:eastAsiaTheme="minorEastAsia" w:hAnsi="Times New Roman" w:cs="Times New Roman"/>
          <w:sz w:val="16"/>
          <w:szCs w:val="16"/>
          <w:lang w:val="kk-KZ"/>
        </w:rPr>
      </w:pPr>
    </w:p>
    <w:p w14:paraId="7164017F" w14:textId="3DD519C6" w:rsidR="00392F62" w:rsidRPr="00457CE9" w:rsidRDefault="00392F62" w:rsidP="00457CE9">
      <w:pPr>
        <w:spacing w:after="0" w:line="240" w:lineRule="auto"/>
        <w:ind w:firstLine="709"/>
        <w:jc w:val="both"/>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BB2991" w:rsidRPr="00457CE9">
        <w:rPr>
          <w:rFonts w:ascii="Times New Roman" w:eastAsiaTheme="minorEastAsia" w:hAnsi="Times New Roman" w:cs="Times New Roman"/>
          <w:sz w:val="24"/>
          <w:szCs w:val="24"/>
          <w:lang w:val="kk-KZ"/>
        </w:rPr>
        <w:t>А</w:t>
      </w:r>
      <w:r w:rsidRPr="00457CE9">
        <w:rPr>
          <w:rFonts w:ascii="Times New Roman" w:eastAsiaTheme="minorEastAsia" w:hAnsi="Times New Roman" w:cs="Times New Roman"/>
          <w:sz w:val="24"/>
          <w:szCs w:val="24"/>
          <w:lang w:val="kk-KZ"/>
        </w:rPr>
        <w:t>втормен құрастырылған</w:t>
      </w:r>
    </w:p>
    <w:p w14:paraId="77E64C31" w14:textId="77777777" w:rsidR="00865D76" w:rsidRDefault="00865D76" w:rsidP="00457CE9">
      <w:pPr>
        <w:spacing w:after="0" w:line="240" w:lineRule="auto"/>
        <w:ind w:firstLine="709"/>
        <w:jc w:val="both"/>
        <w:rPr>
          <w:rFonts w:ascii="Times New Roman" w:eastAsiaTheme="minorEastAsia" w:hAnsi="Times New Roman" w:cs="Times New Roman"/>
          <w:sz w:val="28"/>
          <w:szCs w:val="28"/>
          <w:lang w:val="kk-KZ"/>
        </w:rPr>
      </w:pPr>
    </w:p>
    <w:p w14:paraId="6797A6A0" w14:textId="1C39FE87" w:rsidR="00647B71" w:rsidRPr="00457CE9"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Ұсынылған критерийлердің нәтижелері жұптық салыстыру матрицалары көмегімен иерархиялық талдау моделі негізінде анықталды. </w:t>
      </w:r>
    </w:p>
    <w:p w14:paraId="3FE03D63" w14:textId="77777777" w:rsidR="00647B71" w:rsidRPr="00457CE9" w:rsidRDefault="00647B71" w:rsidP="00457CE9">
      <w:pPr>
        <w:spacing w:after="0" w:line="240" w:lineRule="auto"/>
        <w:jc w:val="both"/>
        <w:rPr>
          <w:rFonts w:ascii="Times New Roman" w:eastAsiaTheme="minorEastAsia" w:hAnsi="Times New Roman" w:cs="Times New Roman"/>
          <w:sz w:val="28"/>
          <w:szCs w:val="28"/>
          <w:lang w:val="kk-KZ"/>
        </w:rPr>
      </w:pPr>
    </w:p>
    <w:p w14:paraId="189FE312" w14:textId="6C12BC87"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2500C8">
        <w:rPr>
          <w:rFonts w:ascii="Times New Roman" w:eastAsiaTheme="minorEastAsia" w:hAnsi="Times New Roman" w:cs="Times New Roman"/>
          <w:sz w:val="28"/>
          <w:szCs w:val="28"/>
          <w:lang w:val="kk-KZ"/>
        </w:rPr>
        <w:t>82</w:t>
      </w:r>
      <w:r w:rsidRPr="00457CE9">
        <w:rPr>
          <w:rFonts w:ascii="Times New Roman" w:eastAsiaTheme="minorEastAsia" w:hAnsi="Times New Roman" w:cs="Times New Roman"/>
          <w:sz w:val="28"/>
          <w:szCs w:val="28"/>
          <w:lang w:val="kk-KZ"/>
        </w:rPr>
        <w:t xml:space="preserve"> – 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дамытуға бағытталған бюджет қаражатын пайдалану тиімділігін оның альтернативалары негізінде бағалаудың көрсеткіштері </w:t>
      </w:r>
    </w:p>
    <w:p w14:paraId="220E4A85" w14:textId="77777777" w:rsidR="00B54645" w:rsidRPr="00B54645" w:rsidRDefault="00B54645" w:rsidP="00457CE9">
      <w:pPr>
        <w:spacing w:after="0" w:line="240" w:lineRule="auto"/>
        <w:jc w:val="both"/>
        <w:rPr>
          <w:rFonts w:ascii="Times New Roman" w:eastAsiaTheme="minorEastAsia" w:hAnsi="Times New Roman" w:cs="Times New Roman"/>
          <w:sz w:val="16"/>
          <w:szCs w:val="16"/>
          <w:lang w:val="kk-KZ"/>
        </w:rPr>
      </w:pPr>
    </w:p>
    <w:tbl>
      <w:tblPr>
        <w:tblStyle w:val="a3"/>
        <w:tblW w:w="0" w:type="auto"/>
        <w:jc w:val="center"/>
        <w:tblLook w:val="04A0" w:firstRow="1" w:lastRow="0" w:firstColumn="1" w:lastColumn="0" w:noHBand="0" w:noVBand="1"/>
      </w:tblPr>
      <w:tblGrid>
        <w:gridCol w:w="1682"/>
        <w:gridCol w:w="4253"/>
        <w:gridCol w:w="2126"/>
        <w:gridCol w:w="1538"/>
      </w:tblGrid>
      <w:tr w:rsidR="00647B71" w:rsidRPr="00457CE9" w14:paraId="754FA1C4" w14:textId="77777777" w:rsidTr="00117667">
        <w:trPr>
          <w:trHeight w:val="770"/>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48D6F6CA" w14:textId="77777777" w:rsidR="00647B71" w:rsidRPr="00457CE9" w:rsidRDefault="00647B71" w:rsidP="00117667">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Альтернатива саны</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9C687A2" w14:textId="77777777" w:rsidR="00647B71" w:rsidRPr="00457CE9" w:rsidRDefault="00647B71" w:rsidP="00117667">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Альтернатива атауы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4E5367" w14:textId="77777777" w:rsidR="00647B71" w:rsidRPr="00457CE9" w:rsidRDefault="00647B71" w:rsidP="00117667">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2021-2025 жж. орташа геометрия</w:t>
            </w:r>
          </w:p>
        </w:tc>
        <w:tc>
          <w:tcPr>
            <w:tcW w:w="1538" w:type="dxa"/>
            <w:tcBorders>
              <w:top w:val="single" w:sz="4" w:space="0" w:color="auto"/>
              <w:left w:val="single" w:sz="4" w:space="0" w:color="auto"/>
              <w:bottom w:val="single" w:sz="4" w:space="0" w:color="auto"/>
              <w:right w:val="single" w:sz="4" w:space="0" w:color="auto"/>
            </w:tcBorders>
            <w:vAlign w:val="center"/>
            <w:hideMark/>
          </w:tcPr>
          <w:p w14:paraId="67E27281" w14:textId="77777777" w:rsidR="00647B71" w:rsidRPr="00457CE9" w:rsidRDefault="00647B71" w:rsidP="00117667">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Меншікті векторы</w:t>
            </w:r>
          </w:p>
        </w:tc>
      </w:tr>
      <w:tr w:rsidR="001E396A" w:rsidRPr="00457CE9" w14:paraId="262A7387" w14:textId="77777777" w:rsidTr="00117667">
        <w:trPr>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0AFDD36B" w14:textId="77777777"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6A4630C" w14:textId="77777777" w:rsidR="001E396A" w:rsidRPr="00457CE9" w:rsidRDefault="001E396A" w:rsidP="00457CE9">
            <w:pPr>
              <w:jc w:val="left"/>
              <w:rPr>
                <w:rFonts w:ascii="Times New Roman" w:eastAsiaTheme="minorEastAsia" w:hAnsi="Times New Roman" w:cs="Times New Roman"/>
                <w:sz w:val="24"/>
                <w:szCs w:val="24"/>
                <w:lang w:val="kk-KZ"/>
              </w:rPr>
            </w:pPr>
            <w:r w:rsidRPr="00457CE9">
              <w:rPr>
                <w:rFonts w:ascii="Times New Roman" w:eastAsia="Times New Roman" w:hAnsi="Times New Roman" w:cs="Times New Roman"/>
                <w:color w:val="000000"/>
                <w:sz w:val="24"/>
                <w:szCs w:val="24"/>
                <w:lang w:eastAsia="ru-RU"/>
              </w:rPr>
              <w:t>Еңбек өнімділігін 2,5 есе ұлғайту</w:t>
            </w:r>
            <w:r w:rsidRPr="00457CE9">
              <w:rPr>
                <w:rFonts w:ascii="Times New Roman" w:eastAsia="Times New Roman" w:hAnsi="Times New Roman" w:cs="Times New Roman"/>
                <w:color w:val="000000"/>
                <w:sz w:val="24"/>
                <w:szCs w:val="24"/>
                <w:lang w:val="kk-KZ" w:eastAsia="ru-RU"/>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789F86" w14:textId="61A0BC76"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0,160417</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D8C9B31" w14:textId="14606A91"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0,2008546</w:t>
            </w:r>
          </w:p>
        </w:tc>
      </w:tr>
      <w:tr w:rsidR="001E396A" w:rsidRPr="00457CE9" w14:paraId="7EC0A013" w14:textId="77777777" w:rsidTr="00117667">
        <w:trPr>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459EDBE2" w14:textId="77777777"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2</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A663EC5" w14:textId="77777777" w:rsidR="001E396A" w:rsidRPr="00457CE9" w:rsidRDefault="001E396A" w:rsidP="00457CE9">
            <w:pPr>
              <w:rPr>
                <w:rFonts w:ascii="Times New Roman" w:eastAsiaTheme="minorEastAsia" w:hAnsi="Times New Roman" w:cs="Times New Roman"/>
                <w:sz w:val="24"/>
                <w:szCs w:val="24"/>
                <w:lang w:val="kk-KZ"/>
              </w:rPr>
            </w:pPr>
            <w:r w:rsidRPr="00457CE9">
              <w:rPr>
                <w:rFonts w:ascii="Times New Roman" w:eastAsia="Times New Roman" w:hAnsi="Times New Roman" w:cs="Times New Roman"/>
                <w:color w:val="000000"/>
                <w:sz w:val="24"/>
                <w:szCs w:val="24"/>
                <w:lang w:eastAsia="ru-RU"/>
              </w:rPr>
              <w:t>Экспорт көлемін ұлғайту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830B52" w14:textId="56AFDBE8"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0,163349</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1561717" w14:textId="5AA4611E"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0,2045256</w:t>
            </w:r>
          </w:p>
        </w:tc>
      </w:tr>
      <w:tr w:rsidR="001E396A" w:rsidRPr="00457CE9" w14:paraId="2BD4F263" w14:textId="77777777" w:rsidTr="00117667">
        <w:trPr>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3EC9E71F" w14:textId="77777777"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2B47197" w14:textId="67FA1568" w:rsidR="001E396A" w:rsidRPr="00457CE9" w:rsidRDefault="009605F7" w:rsidP="00457CE9">
            <w:pPr>
              <w:rPr>
                <w:rFonts w:ascii="Times New Roman" w:eastAsiaTheme="minorEastAsia" w:hAnsi="Times New Roman" w:cs="Times New Roman"/>
                <w:sz w:val="24"/>
                <w:szCs w:val="24"/>
                <w:lang w:val="kk-KZ"/>
              </w:rPr>
            </w:pPr>
            <w:r w:rsidRPr="00457CE9">
              <w:rPr>
                <w:rFonts w:ascii="Times New Roman" w:eastAsia="Times New Roman" w:hAnsi="Times New Roman" w:cs="Times New Roman"/>
                <w:color w:val="000000"/>
                <w:sz w:val="24"/>
                <w:szCs w:val="24"/>
                <w:lang w:eastAsia="ru-RU"/>
              </w:rPr>
              <w:t>Импорт</w:t>
            </w:r>
            <w:r w:rsidR="001E396A" w:rsidRPr="00457CE9">
              <w:rPr>
                <w:rFonts w:ascii="Times New Roman" w:eastAsia="Times New Roman" w:hAnsi="Times New Roman" w:cs="Times New Roman"/>
                <w:color w:val="000000"/>
                <w:sz w:val="24"/>
                <w:szCs w:val="24"/>
                <w:lang w:eastAsia="ru-RU"/>
              </w:rPr>
              <w:t xml:space="preserve"> көлемін азайту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76AC2F" w14:textId="69C8BE9B"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0,152129</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6B86A5B" w14:textId="595EDA93"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0,1904774</w:t>
            </w:r>
          </w:p>
        </w:tc>
      </w:tr>
      <w:tr w:rsidR="001E396A" w:rsidRPr="00457CE9" w14:paraId="485B328F" w14:textId="77777777" w:rsidTr="00117667">
        <w:trPr>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236384D3" w14:textId="77777777"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4</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BEB69B8" w14:textId="77777777" w:rsidR="001E396A" w:rsidRPr="00457CE9" w:rsidRDefault="001E396A" w:rsidP="00457CE9">
            <w:pPr>
              <w:rPr>
                <w:rFonts w:ascii="Times New Roman" w:eastAsiaTheme="minorEastAsia" w:hAnsi="Times New Roman" w:cs="Times New Roman"/>
                <w:sz w:val="24"/>
                <w:szCs w:val="24"/>
                <w:lang w:val="kk-KZ"/>
              </w:rPr>
            </w:pPr>
            <w:r w:rsidRPr="00457CE9">
              <w:rPr>
                <w:rFonts w:ascii="Times New Roman" w:eastAsia="Times New Roman" w:hAnsi="Times New Roman" w:cs="Times New Roman"/>
                <w:color w:val="000000"/>
                <w:sz w:val="24"/>
                <w:szCs w:val="24"/>
                <w:lang w:eastAsia="ru-RU"/>
              </w:rPr>
              <w:t>Бағытталған инвестицияларды ұлғайту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43943B" w14:textId="00479886"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0,161222</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89A73DA" w14:textId="4C736EBA"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0,2018634</w:t>
            </w:r>
          </w:p>
        </w:tc>
      </w:tr>
      <w:tr w:rsidR="001E396A" w:rsidRPr="00457CE9" w14:paraId="234E62E9" w14:textId="77777777" w:rsidTr="00117667">
        <w:trPr>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6DAF72E9" w14:textId="77777777"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5</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ED8421C" w14:textId="77777777" w:rsidR="001E396A" w:rsidRPr="00457CE9" w:rsidRDefault="001E396A" w:rsidP="00457CE9">
            <w:pPr>
              <w:rPr>
                <w:rFonts w:ascii="Times New Roman" w:eastAsiaTheme="minorEastAsia" w:hAnsi="Times New Roman" w:cs="Times New Roman"/>
                <w:sz w:val="24"/>
                <w:szCs w:val="24"/>
                <w:lang w:val="kk-KZ"/>
              </w:rPr>
            </w:pPr>
            <w:r w:rsidRPr="00457CE9">
              <w:rPr>
                <w:rFonts w:ascii="Times New Roman" w:eastAsia="Times New Roman" w:hAnsi="Times New Roman" w:cs="Times New Roman"/>
                <w:color w:val="000000"/>
                <w:sz w:val="24"/>
                <w:szCs w:val="24"/>
                <w:lang w:eastAsia="ru-RU"/>
              </w:rPr>
              <w:t>ЖІӨ-гі үлесін арттыру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6D3AE9" w14:textId="539173B2"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0,161554</w:t>
            </w:r>
          </w:p>
        </w:tc>
        <w:tc>
          <w:tcPr>
            <w:tcW w:w="1538" w:type="dxa"/>
            <w:tcBorders>
              <w:top w:val="single" w:sz="4" w:space="0" w:color="auto"/>
              <w:left w:val="single" w:sz="4" w:space="0" w:color="auto"/>
              <w:bottom w:val="single" w:sz="4" w:space="0" w:color="auto"/>
              <w:right w:val="single" w:sz="4" w:space="0" w:color="auto"/>
            </w:tcBorders>
            <w:vAlign w:val="center"/>
            <w:hideMark/>
          </w:tcPr>
          <w:p w14:paraId="7E79D787" w14:textId="2656F30D" w:rsidR="001E396A" w:rsidRPr="00457CE9" w:rsidRDefault="001E396A" w:rsidP="00457CE9">
            <w:pPr>
              <w:jc w:val="center"/>
              <w:rPr>
                <w:rFonts w:ascii="Times New Roman" w:eastAsiaTheme="minorEastAsia" w:hAnsi="Times New Roman" w:cs="Times New Roman"/>
                <w:sz w:val="24"/>
                <w:szCs w:val="24"/>
                <w:lang w:val="kk-KZ"/>
              </w:rPr>
            </w:pPr>
            <w:r w:rsidRPr="00457CE9">
              <w:rPr>
                <w:rFonts w:ascii="Times New Roman" w:hAnsi="Times New Roman" w:cs="Times New Roman"/>
                <w:color w:val="000000"/>
                <w:sz w:val="24"/>
                <w:szCs w:val="24"/>
              </w:rPr>
              <w:t>0,2022791</w:t>
            </w:r>
          </w:p>
        </w:tc>
      </w:tr>
      <w:tr w:rsidR="00647B71" w:rsidRPr="00457CE9" w14:paraId="7D8C3C84" w14:textId="77777777" w:rsidTr="00117667">
        <w:trPr>
          <w:jc w:val="center"/>
        </w:trPr>
        <w:tc>
          <w:tcPr>
            <w:tcW w:w="1682" w:type="dxa"/>
            <w:tcBorders>
              <w:top w:val="single" w:sz="4" w:space="0" w:color="auto"/>
              <w:left w:val="single" w:sz="4" w:space="0" w:color="auto"/>
              <w:bottom w:val="single" w:sz="4" w:space="0" w:color="auto"/>
              <w:right w:val="single" w:sz="4" w:space="0" w:color="auto"/>
            </w:tcBorders>
            <w:vAlign w:val="center"/>
            <w:hideMark/>
          </w:tcPr>
          <w:p w14:paraId="11354AB5" w14:textId="77777777" w:rsidR="00647B71" w:rsidRPr="00457CE9" w:rsidRDefault="00647B71" w:rsidP="00457CE9">
            <w:pPr>
              <w:jc w:val="center"/>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5</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47FAEDC" w14:textId="77777777" w:rsidR="00647B71" w:rsidRPr="00457CE9" w:rsidRDefault="00647B71" w:rsidP="00457CE9">
            <w:pP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 xml:space="preserve">Жиыны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1641518" w14:textId="5CFC8E94" w:rsidR="00647B71" w:rsidRPr="00457CE9" w:rsidRDefault="001E396A" w:rsidP="00457CE9">
            <w:pPr>
              <w:jc w:val="center"/>
              <w:rPr>
                <w:rFonts w:ascii="Times New Roman" w:hAnsi="Times New Roman" w:cs="Times New Roman"/>
                <w:color w:val="000000"/>
                <w:sz w:val="24"/>
                <w:szCs w:val="24"/>
              </w:rPr>
            </w:pPr>
            <w:r w:rsidRPr="00457CE9">
              <w:rPr>
                <w:rFonts w:ascii="Times New Roman" w:hAnsi="Times New Roman" w:cs="Times New Roman"/>
                <w:color w:val="000000"/>
                <w:sz w:val="24"/>
                <w:szCs w:val="24"/>
              </w:rPr>
              <w:t>0,798670362</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78A3E7E" w14:textId="77777777" w:rsidR="00647B71" w:rsidRPr="00457CE9" w:rsidRDefault="00647B71" w:rsidP="00457CE9">
            <w:pPr>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1</w:t>
            </w:r>
          </w:p>
        </w:tc>
      </w:tr>
      <w:tr w:rsidR="00647B71" w:rsidRPr="00457CE9" w14:paraId="2FD3D9BB" w14:textId="77777777" w:rsidTr="00BB2991">
        <w:trPr>
          <w:jc w:val="center"/>
        </w:trPr>
        <w:tc>
          <w:tcPr>
            <w:tcW w:w="9599" w:type="dxa"/>
            <w:gridSpan w:val="4"/>
            <w:tcBorders>
              <w:top w:val="single" w:sz="4" w:space="0" w:color="auto"/>
              <w:left w:val="single" w:sz="4" w:space="0" w:color="auto"/>
              <w:bottom w:val="single" w:sz="4" w:space="0" w:color="auto"/>
              <w:right w:val="single" w:sz="4" w:space="0" w:color="auto"/>
            </w:tcBorders>
            <w:vAlign w:val="center"/>
            <w:hideMark/>
          </w:tcPr>
          <w:p w14:paraId="07FA7E81" w14:textId="6CE1B3D4" w:rsidR="00647B71" w:rsidRPr="00457CE9" w:rsidRDefault="00647B71" w:rsidP="00457CE9">
            <w:pPr>
              <w:ind w:firstLine="601"/>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BB2991" w:rsidRPr="00457CE9">
              <w:rPr>
                <w:rFonts w:ascii="Times New Roman" w:eastAsiaTheme="minorEastAsia" w:hAnsi="Times New Roman" w:cs="Times New Roman"/>
                <w:sz w:val="24"/>
                <w:szCs w:val="24"/>
                <w:lang w:val="kk-KZ"/>
              </w:rPr>
              <w:t>А</w:t>
            </w:r>
            <w:r w:rsidRPr="00457CE9">
              <w:rPr>
                <w:rFonts w:ascii="Times New Roman" w:eastAsiaTheme="minorEastAsia" w:hAnsi="Times New Roman" w:cs="Times New Roman"/>
                <w:sz w:val="24"/>
                <w:szCs w:val="24"/>
                <w:lang w:val="kk-KZ"/>
              </w:rPr>
              <w:t>втормен құрастырылған</w:t>
            </w:r>
          </w:p>
        </w:tc>
      </w:tr>
    </w:tbl>
    <w:p w14:paraId="6D549D9E" w14:textId="77777777" w:rsidR="00647B71" w:rsidRPr="00457CE9" w:rsidRDefault="00647B71" w:rsidP="00457CE9">
      <w:pPr>
        <w:spacing w:after="0" w:line="240" w:lineRule="auto"/>
        <w:jc w:val="both"/>
        <w:rPr>
          <w:rFonts w:ascii="Times New Roman" w:eastAsiaTheme="minorEastAsia" w:hAnsi="Times New Roman" w:cs="Times New Roman"/>
          <w:sz w:val="28"/>
          <w:lang w:val="kk-KZ"/>
        </w:rPr>
      </w:pPr>
    </w:p>
    <w:p w14:paraId="59D64BF0" w14:textId="0A87EE39" w:rsidR="00063814" w:rsidRDefault="002500C8" w:rsidP="00457CE9">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82</w:t>
      </w:r>
      <w:r w:rsidR="00647B71" w:rsidRPr="00457CE9">
        <w:rPr>
          <w:rFonts w:ascii="Times New Roman" w:eastAsiaTheme="minorEastAsia" w:hAnsi="Times New Roman" w:cs="Times New Roman"/>
          <w:sz w:val="28"/>
          <w:szCs w:val="28"/>
          <w:lang w:val="kk-KZ"/>
        </w:rPr>
        <w:t xml:space="preserve">-кесте бойынша </w:t>
      </w:r>
      <w:r w:rsidR="00575788">
        <w:rPr>
          <w:rFonts w:ascii="Times New Roman" w:eastAsiaTheme="minorEastAsia" w:hAnsi="Times New Roman" w:cs="Times New Roman"/>
          <w:sz w:val="28"/>
          <w:szCs w:val="28"/>
          <w:lang w:val="kk-KZ"/>
        </w:rPr>
        <w:t>АӨК-н</w:t>
      </w:r>
      <w:r w:rsidR="00647B71" w:rsidRPr="00457CE9">
        <w:rPr>
          <w:rFonts w:ascii="Times New Roman" w:eastAsiaTheme="minorEastAsia" w:hAnsi="Times New Roman" w:cs="Times New Roman"/>
          <w:sz w:val="28"/>
          <w:szCs w:val="28"/>
          <w:lang w:val="kk-KZ"/>
        </w:rPr>
        <w:t xml:space="preserve"> 2021-2025 жж. дамытуға бағытталған бюджет қаражатын пайдалану тиімділігін бағалау мақсатында иерархиялық талдау моделі негізінде анықталған негізгі бес түрлі критерийлер (альтернативалар) бойынша қорытынды орташа мәндері келтірілген, және оның жиынындағы әр критерийдің (альтернативаның) меншікті векторы, яғни, үлесі есептелді. Критерий (альтернатива) саны 5-ке тең болғандықтан, критерий эталоны 0,2-ге тең деп алынды. </w:t>
      </w:r>
      <w:r w:rsidR="00E56DF5"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00E56DF5" w:rsidRPr="00457CE9">
        <w:rPr>
          <w:rFonts w:ascii="Times New Roman" w:eastAsiaTheme="minorEastAsia" w:hAnsi="Times New Roman" w:cs="Times New Roman"/>
          <w:sz w:val="28"/>
          <w:szCs w:val="28"/>
          <w:lang w:val="kk-KZ"/>
        </w:rPr>
        <w:t xml:space="preserve"> 2021-2025 жж. дамытуға бағытталған бюджет қаражатының тиімділігін бағалаудың критерийлері бойынша эталон мәнінен ауытқуы 2</w:t>
      </w:r>
      <w:r w:rsidR="00A23F7A">
        <w:rPr>
          <w:rFonts w:ascii="Times New Roman" w:eastAsiaTheme="minorEastAsia" w:hAnsi="Times New Roman" w:cs="Times New Roman"/>
          <w:sz w:val="28"/>
          <w:szCs w:val="28"/>
          <w:lang w:val="kk-KZ"/>
        </w:rPr>
        <w:t>8</w:t>
      </w:r>
      <w:r w:rsidR="00E56DF5" w:rsidRPr="00457CE9">
        <w:rPr>
          <w:rFonts w:ascii="Times New Roman" w:eastAsiaTheme="minorEastAsia" w:hAnsi="Times New Roman" w:cs="Times New Roman"/>
          <w:sz w:val="28"/>
          <w:szCs w:val="28"/>
          <w:lang w:val="kk-KZ"/>
        </w:rPr>
        <w:t>-суретте келтірілген.</w:t>
      </w:r>
    </w:p>
    <w:p w14:paraId="03C3164E" w14:textId="77777777" w:rsidR="00117667" w:rsidRPr="00457CE9" w:rsidRDefault="00117667" w:rsidP="00457CE9">
      <w:pPr>
        <w:spacing w:after="0" w:line="240" w:lineRule="auto"/>
        <w:ind w:firstLine="709"/>
        <w:jc w:val="both"/>
        <w:rPr>
          <w:rFonts w:ascii="Times New Roman" w:eastAsiaTheme="minorEastAsia" w:hAnsi="Times New Roman" w:cs="Times New Roman"/>
          <w:sz w:val="28"/>
          <w:szCs w:val="28"/>
          <w:lang w:val="kk-KZ"/>
        </w:rPr>
      </w:pPr>
    </w:p>
    <w:p w14:paraId="7274BFEA" w14:textId="75E56AF4" w:rsidR="00063814" w:rsidRPr="00457CE9" w:rsidRDefault="00063814" w:rsidP="00B54645">
      <w:pPr>
        <w:spacing w:after="0" w:line="240" w:lineRule="auto"/>
        <w:jc w:val="center"/>
        <w:rPr>
          <w:rFonts w:ascii="Times New Roman" w:eastAsiaTheme="minorEastAsia" w:hAnsi="Times New Roman" w:cs="Times New Roman"/>
          <w:sz w:val="28"/>
          <w:szCs w:val="28"/>
          <w:lang w:val="kk-KZ"/>
        </w:rPr>
      </w:pPr>
      <w:r w:rsidRPr="00457CE9">
        <w:rPr>
          <w:noProof/>
          <w:lang w:eastAsia="ru-RU"/>
        </w:rPr>
        <w:drawing>
          <wp:inline distT="0" distB="0" distL="0" distR="0" wp14:anchorId="7D451CA8" wp14:editId="767C852F">
            <wp:extent cx="5433060" cy="2743200"/>
            <wp:effectExtent l="0" t="0" r="0" b="0"/>
            <wp:docPr id="145326884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F432D2-0DBF-5C27-FAF1-23180A23C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4CA4AE" w14:textId="77777777" w:rsidR="00B54645" w:rsidRPr="00B54645" w:rsidRDefault="00B54645" w:rsidP="00B54645">
      <w:pPr>
        <w:spacing w:after="0" w:line="240" w:lineRule="auto"/>
        <w:jc w:val="center"/>
        <w:rPr>
          <w:rFonts w:ascii="Times New Roman" w:eastAsiaTheme="minorEastAsia" w:hAnsi="Times New Roman" w:cs="Times New Roman"/>
          <w:sz w:val="16"/>
          <w:szCs w:val="16"/>
          <w:lang w:val="kk-KZ"/>
        </w:rPr>
      </w:pPr>
    </w:p>
    <w:p w14:paraId="48C0781C" w14:textId="4A32E376" w:rsidR="00E56DF5" w:rsidRPr="00457CE9" w:rsidRDefault="00E56DF5" w:rsidP="00B54645">
      <w:pPr>
        <w:spacing w:after="0" w:line="240" w:lineRule="auto"/>
        <w:jc w:val="center"/>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Сурет 2</w:t>
      </w:r>
      <w:r w:rsidR="00A23F7A">
        <w:rPr>
          <w:rFonts w:ascii="Times New Roman" w:eastAsiaTheme="minorEastAsia" w:hAnsi="Times New Roman" w:cs="Times New Roman"/>
          <w:sz w:val="28"/>
          <w:szCs w:val="28"/>
          <w:lang w:val="kk-KZ"/>
        </w:rPr>
        <w:t>8</w:t>
      </w:r>
      <w:r w:rsidRPr="00457CE9">
        <w:rPr>
          <w:rFonts w:ascii="Times New Roman" w:eastAsiaTheme="minorEastAsia" w:hAnsi="Times New Roman" w:cs="Times New Roman"/>
          <w:sz w:val="28"/>
          <w:szCs w:val="28"/>
          <w:lang w:val="kk-KZ"/>
        </w:rPr>
        <w:t xml:space="preserve"> </w:t>
      </w:r>
      <w:r w:rsidR="00B54645">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дамытуға бағытталған бюджет қаражатының тиімділігін бағалаудың критерийлері бойынша эталон мәнінен ауытқуы</w:t>
      </w:r>
    </w:p>
    <w:p w14:paraId="580AA6A8" w14:textId="77777777" w:rsidR="00B54645" w:rsidRPr="00B54645" w:rsidRDefault="00B54645" w:rsidP="00457CE9">
      <w:pPr>
        <w:spacing w:after="0" w:line="240" w:lineRule="auto"/>
        <w:ind w:firstLine="709"/>
        <w:jc w:val="both"/>
        <w:rPr>
          <w:rFonts w:ascii="Times New Roman" w:eastAsiaTheme="minorEastAsia" w:hAnsi="Times New Roman" w:cs="Times New Roman"/>
          <w:sz w:val="16"/>
          <w:szCs w:val="16"/>
          <w:lang w:val="kk-KZ"/>
        </w:rPr>
      </w:pPr>
    </w:p>
    <w:p w14:paraId="1ACCA7E9" w14:textId="77DA71FE" w:rsidR="00E56DF5" w:rsidRPr="00457CE9" w:rsidRDefault="00E56DF5" w:rsidP="00457CE9">
      <w:pPr>
        <w:spacing w:after="0" w:line="240" w:lineRule="auto"/>
        <w:ind w:firstLine="709"/>
        <w:jc w:val="both"/>
        <w:rPr>
          <w:rFonts w:ascii="Times New Roman" w:eastAsiaTheme="minorEastAsia" w:hAnsi="Times New Roman" w:cs="Times New Roman"/>
          <w:sz w:val="24"/>
          <w:szCs w:val="24"/>
          <w:lang w:val="kk-KZ"/>
        </w:rPr>
      </w:pPr>
      <w:r w:rsidRPr="00457CE9">
        <w:rPr>
          <w:rFonts w:ascii="Times New Roman" w:eastAsiaTheme="minorEastAsia" w:hAnsi="Times New Roman" w:cs="Times New Roman"/>
          <w:sz w:val="24"/>
          <w:szCs w:val="24"/>
          <w:lang w:val="kk-KZ"/>
        </w:rPr>
        <w:t xml:space="preserve">Ескерту – </w:t>
      </w:r>
      <w:r w:rsidR="00B54645" w:rsidRPr="00457CE9">
        <w:rPr>
          <w:rFonts w:ascii="Times New Roman" w:eastAsiaTheme="minorEastAsia" w:hAnsi="Times New Roman" w:cs="Times New Roman"/>
          <w:sz w:val="24"/>
          <w:szCs w:val="24"/>
          <w:lang w:val="kk-KZ"/>
        </w:rPr>
        <w:t xml:space="preserve">Автормен </w:t>
      </w:r>
      <w:r w:rsidRPr="00457CE9">
        <w:rPr>
          <w:rFonts w:ascii="Times New Roman" w:eastAsiaTheme="minorEastAsia" w:hAnsi="Times New Roman" w:cs="Times New Roman"/>
          <w:sz w:val="24"/>
          <w:szCs w:val="24"/>
          <w:lang w:val="kk-KZ"/>
        </w:rPr>
        <w:t>құрастырылған</w:t>
      </w:r>
    </w:p>
    <w:p w14:paraId="557FAFE6" w14:textId="77777777" w:rsidR="00865D76" w:rsidRDefault="00865D76" w:rsidP="00457CE9">
      <w:pPr>
        <w:spacing w:after="0" w:line="240" w:lineRule="auto"/>
        <w:ind w:firstLine="709"/>
        <w:jc w:val="both"/>
        <w:rPr>
          <w:rFonts w:ascii="Times New Roman" w:eastAsiaTheme="minorEastAsia" w:hAnsi="Times New Roman" w:cs="Times New Roman"/>
          <w:sz w:val="28"/>
          <w:szCs w:val="28"/>
          <w:lang w:val="kk-KZ"/>
        </w:rPr>
      </w:pPr>
    </w:p>
    <w:p w14:paraId="622FA990" w14:textId="612B43DF" w:rsidR="00647B71" w:rsidRDefault="00647B71" w:rsidP="00457CE9">
      <w:pPr>
        <w:spacing w:after="0" w:line="240" w:lineRule="auto"/>
        <w:ind w:firstLine="709"/>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Сәйкесінше, қорытынды нәтиже мәліметтерін </w:t>
      </w:r>
      <w:r w:rsidR="00176F44">
        <w:rPr>
          <w:rFonts w:ascii="Times New Roman" w:eastAsiaTheme="minorEastAsia" w:hAnsi="Times New Roman" w:cs="Times New Roman"/>
          <w:sz w:val="28"/>
          <w:szCs w:val="28"/>
          <w:lang w:val="kk-KZ"/>
        </w:rPr>
        <w:t xml:space="preserve">салыстыруды </w:t>
      </w:r>
      <w:r w:rsidRPr="00457CE9">
        <w:rPr>
          <w:rFonts w:ascii="Times New Roman" w:eastAsiaTheme="minorEastAsia" w:hAnsi="Times New Roman" w:cs="Times New Roman"/>
          <w:sz w:val="28"/>
          <w:szCs w:val="28"/>
          <w:lang w:val="kk-KZ"/>
        </w:rPr>
        <w:t>талдау</w:t>
      </w:r>
      <w:r w:rsidR="00176F44">
        <w:rPr>
          <w:rFonts w:ascii="Times New Roman" w:eastAsiaTheme="minorEastAsia" w:hAnsi="Times New Roman" w:cs="Times New Roman"/>
          <w:sz w:val="28"/>
          <w:szCs w:val="28"/>
          <w:lang w:val="kk-KZ"/>
        </w:rPr>
        <w:t xml:space="preserve"> әдісі арқылы</w:t>
      </w:r>
      <w:r w:rsidRPr="00457CE9">
        <w:rPr>
          <w:rFonts w:ascii="Times New Roman" w:eastAsiaTheme="minorEastAsia" w:hAnsi="Times New Roman" w:cs="Times New Roman"/>
          <w:sz w:val="28"/>
          <w:szCs w:val="28"/>
          <w:lang w:val="kk-KZ"/>
        </w:rPr>
        <w:t xml:space="preserve"> </w:t>
      </w:r>
      <w:r w:rsidR="00176F44" w:rsidRPr="00176F44">
        <w:rPr>
          <w:rFonts w:ascii="Times New Roman" w:eastAsiaTheme="minorEastAsia" w:hAnsi="Times New Roman" w:cs="Times New Roman"/>
          <w:sz w:val="28"/>
          <w:szCs w:val="28"/>
          <w:lang w:val="kk-KZ"/>
        </w:rPr>
        <w:t>[11</w:t>
      </w:r>
      <w:r w:rsidR="00176F44" w:rsidRPr="00401658">
        <w:rPr>
          <w:rFonts w:ascii="Times New Roman" w:eastAsiaTheme="minorEastAsia" w:hAnsi="Times New Roman" w:cs="Times New Roman"/>
          <w:sz w:val="28"/>
          <w:szCs w:val="28"/>
          <w:lang w:val="kk-KZ"/>
        </w:rPr>
        <w:t>1</w:t>
      </w:r>
      <w:r w:rsidR="000314F9">
        <w:rPr>
          <w:rFonts w:ascii="Times New Roman" w:eastAsiaTheme="minorEastAsia" w:hAnsi="Times New Roman" w:cs="Times New Roman"/>
          <w:sz w:val="28"/>
          <w:szCs w:val="28"/>
          <w:lang w:val="kk-KZ"/>
        </w:rPr>
        <w:t>, р. 604</w:t>
      </w:r>
      <w:r w:rsidR="00176F44" w:rsidRPr="00176F44">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критерий эталон көрсеткішінен қаншалықты ауытқығанын анықтау қажет, есептеу мәліметтері </w:t>
      </w:r>
      <w:r w:rsidR="002500C8">
        <w:rPr>
          <w:rFonts w:ascii="Times New Roman" w:eastAsiaTheme="minorEastAsia" w:hAnsi="Times New Roman" w:cs="Times New Roman"/>
          <w:sz w:val="28"/>
          <w:szCs w:val="28"/>
          <w:lang w:val="kk-KZ"/>
        </w:rPr>
        <w:t>83</w:t>
      </w:r>
      <w:r w:rsidR="00117667">
        <w:rPr>
          <w:rFonts w:ascii="Times New Roman" w:eastAsiaTheme="minorEastAsia" w:hAnsi="Times New Roman" w:cs="Times New Roman"/>
          <w:sz w:val="28"/>
          <w:szCs w:val="28"/>
          <w:lang w:val="kk-KZ"/>
        </w:rPr>
        <w:t xml:space="preserve">-кестеде келтірілген.  </w:t>
      </w:r>
    </w:p>
    <w:p w14:paraId="2401D487" w14:textId="77777777" w:rsidR="002500C8" w:rsidRPr="002500C8" w:rsidRDefault="002500C8" w:rsidP="00457CE9">
      <w:pPr>
        <w:spacing w:after="0" w:line="240" w:lineRule="auto"/>
        <w:jc w:val="both"/>
        <w:rPr>
          <w:rFonts w:ascii="Times New Roman" w:eastAsiaTheme="minorEastAsia" w:hAnsi="Times New Roman" w:cs="Times New Roman"/>
          <w:sz w:val="20"/>
          <w:szCs w:val="20"/>
          <w:lang w:val="kk-KZ"/>
        </w:rPr>
      </w:pPr>
    </w:p>
    <w:p w14:paraId="722784AE" w14:textId="2F61E443" w:rsidR="00647B71" w:rsidRDefault="00647B71" w:rsidP="00457CE9">
      <w:pPr>
        <w:spacing w:after="0" w:line="240" w:lineRule="auto"/>
        <w:jc w:val="both"/>
        <w:rPr>
          <w:rFonts w:ascii="Times New Roman" w:eastAsiaTheme="minorEastAsia" w:hAnsi="Times New Roman" w:cs="Times New Roman"/>
          <w:sz w:val="28"/>
          <w:szCs w:val="28"/>
          <w:lang w:val="kk-KZ"/>
        </w:rPr>
      </w:pPr>
      <w:r w:rsidRPr="00457CE9">
        <w:rPr>
          <w:rFonts w:ascii="Times New Roman" w:eastAsiaTheme="minorEastAsia" w:hAnsi="Times New Roman" w:cs="Times New Roman"/>
          <w:sz w:val="28"/>
          <w:szCs w:val="28"/>
          <w:lang w:val="kk-KZ"/>
        </w:rPr>
        <w:t xml:space="preserve">Кесте </w:t>
      </w:r>
      <w:r w:rsidR="002500C8">
        <w:rPr>
          <w:rFonts w:ascii="Times New Roman" w:eastAsiaTheme="minorEastAsia" w:hAnsi="Times New Roman" w:cs="Times New Roman"/>
          <w:sz w:val="28"/>
          <w:szCs w:val="28"/>
          <w:lang w:val="kk-KZ"/>
        </w:rPr>
        <w:t>83</w:t>
      </w:r>
      <w:r w:rsidR="00392F62" w:rsidRPr="00457CE9">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w:t>
      </w:r>
      <w:r w:rsidR="00392F62" w:rsidRPr="00457CE9">
        <w:rPr>
          <w:rFonts w:ascii="Times New Roman" w:eastAsiaTheme="minorEastAsia" w:hAnsi="Times New Roman" w:cs="Times New Roman"/>
          <w:sz w:val="28"/>
          <w:szCs w:val="28"/>
          <w:lang w:val="kk-KZ"/>
        </w:rPr>
        <w:t xml:space="preserve"> </w:t>
      </w:r>
      <w:r w:rsidRPr="00457CE9">
        <w:rPr>
          <w:rFonts w:ascii="Times New Roman" w:eastAsiaTheme="minorEastAsia" w:hAnsi="Times New Roman" w:cs="Times New Roman"/>
          <w:sz w:val="28"/>
          <w:szCs w:val="28"/>
          <w:lang w:val="kk-KZ"/>
        </w:rPr>
        <w:t xml:space="preserve">ҚР </w:t>
      </w:r>
      <w:r w:rsidR="00575788">
        <w:rPr>
          <w:rFonts w:ascii="Times New Roman" w:eastAsiaTheme="minorEastAsia" w:hAnsi="Times New Roman" w:cs="Times New Roman"/>
          <w:sz w:val="28"/>
          <w:szCs w:val="28"/>
          <w:lang w:val="kk-KZ"/>
        </w:rPr>
        <w:t>АӨК-н</w:t>
      </w:r>
      <w:r w:rsidRPr="00457CE9">
        <w:rPr>
          <w:rFonts w:ascii="Times New Roman" w:eastAsiaTheme="minorEastAsia" w:hAnsi="Times New Roman" w:cs="Times New Roman"/>
          <w:sz w:val="28"/>
          <w:szCs w:val="28"/>
          <w:lang w:val="kk-KZ"/>
        </w:rPr>
        <w:t xml:space="preserve"> 2021-2025 жж. дамытуға бағытталған бюджет қаражатын пайдалану тиімділігін оның альтернативалары негізінде бағалаудың көрсеткіштері </w:t>
      </w:r>
    </w:p>
    <w:p w14:paraId="4A7FF7BC" w14:textId="77777777" w:rsidR="00B54645" w:rsidRPr="00B54645" w:rsidRDefault="00B54645" w:rsidP="00457CE9">
      <w:pPr>
        <w:spacing w:after="0" w:line="240" w:lineRule="auto"/>
        <w:jc w:val="both"/>
        <w:rPr>
          <w:rFonts w:ascii="Times New Roman" w:eastAsiaTheme="minorEastAsia" w:hAnsi="Times New Roman" w:cs="Times New Roman"/>
          <w:sz w:val="16"/>
          <w:szCs w:val="16"/>
          <w:lang w:val="kk-KZ"/>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454"/>
        <w:gridCol w:w="1213"/>
        <w:gridCol w:w="1276"/>
        <w:gridCol w:w="1399"/>
        <w:gridCol w:w="1011"/>
      </w:tblGrid>
      <w:tr w:rsidR="009605F7" w:rsidRPr="00457CE9" w14:paraId="3069BCDB" w14:textId="77777777" w:rsidTr="00117667">
        <w:trPr>
          <w:trHeight w:val="360"/>
          <w:jc w:val="center"/>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711A0337" w14:textId="057C2F65"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Критерий</w:t>
            </w:r>
          </w:p>
        </w:tc>
        <w:tc>
          <w:tcPr>
            <w:tcW w:w="3710" w:type="dxa"/>
            <w:tcBorders>
              <w:top w:val="single" w:sz="4" w:space="0" w:color="auto"/>
              <w:left w:val="single" w:sz="4" w:space="0" w:color="auto"/>
              <w:bottom w:val="single" w:sz="4" w:space="0" w:color="auto"/>
              <w:right w:val="single" w:sz="4" w:space="0" w:color="auto"/>
            </w:tcBorders>
            <w:vAlign w:val="center"/>
          </w:tcPr>
          <w:p w14:paraId="1A59810A" w14:textId="516369C2"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Критерий атауы</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DFA4680" w14:textId="1B8A0E76"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Критерий эталоны</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56F572B"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heme="minorEastAsia" w:hAnsi="Times New Roman" w:cs="Times New Roman"/>
                <w:sz w:val="24"/>
                <w:szCs w:val="24"/>
                <w:lang w:val="kk-KZ"/>
              </w:rPr>
              <w:t>Меншікті векторы</w:t>
            </w:r>
          </w:p>
        </w:tc>
        <w:tc>
          <w:tcPr>
            <w:tcW w:w="1399" w:type="dxa"/>
            <w:tcBorders>
              <w:top w:val="single" w:sz="4" w:space="0" w:color="auto"/>
              <w:left w:val="single" w:sz="4" w:space="0" w:color="auto"/>
              <w:bottom w:val="single" w:sz="4" w:space="0" w:color="auto"/>
              <w:right w:val="single" w:sz="4" w:space="0" w:color="auto"/>
            </w:tcBorders>
            <w:noWrap/>
            <w:vAlign w:val="center"/>
            <w:hideMark/>
          </w:tcPr>
          <w:p w14:paraId="2B6FEF14"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Эталоннан ауытқу</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00339FAC"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Алатын орны</w:t>
            </w:r>
          </w:p>
        </w:tc>
      </w:tr>
      <w:tr w:rsidR="009605F7" w:rsidRPr="00457CE9" w14:paraId="0B038CAA" w14:textId="77777777" w:rsidTr="00117667">
        <w:trPr>
          <w:trHeight w:val="58"/>
          <w:jc w:val="center"/>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637EEDA8"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1</w:t>
            </w:r>
          </w:p>
        </w:tc>
        <w:tc>
          <w:tcPr>
            <w:tcW w:w="3710" w:type="dxa"/>
            <w:tcBorders>
              <w:top w:val="single" w:sz="4" w:space="0" w:color="auto"/>
              <w:left w:val="single" w:sz="4" w:space="0" w:color="auto"/>
              <w:bottom w:val="single" w:sz="4" w:space="0" w:color="auto"/>
              <w:right w:val="single" w:sz="4" w:space="0" w:color="auto"/>
            </w:tcBorders>
            <w:vAlign w:val="center"/>
          </w:tcPr>
          <w:p w14:paraId="0D7CFD4A" w14:textId="6DDD1F2D" w:rsidR="009605F7" w:rsidRPr="00457CE9" w:rsidRDefault="009605F7" w:rsidP="00457CE9">
            <w:pPr>
              <w:spacing w:after="0" w:line="240" w:lineRule="auto"/>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Еңбек өнімділігін 2,5 есе ұлғайту</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1770268B" w14:textId="76B80AA3"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0,20</w:t>
            </w:r>
          </w:p>
        </w:tc>
        <w:tc>
          <w:tcPr>
            <w:tcW w:w="1276" w:type="dxa"/>
            <w:tcBorders>
              <w:top w:val="single" w:sz="4" w:space="0" w:color="auto"/>
              <w:left w:val="single" w:sz="4" w:space="0" w:color="auto"/>
              <w:bottom w:val="single" w:sz="4" w:space="0" w:color="auto"/>
              <w:right w:val="single" w:sz="4" w:space="0" w:color="auto"/>
            </w:tcBorders>
            <w:noWrap/>
            <w:vAlign w:val="center"/>
          </w:tcPr>
          <w:p w14:paraId="4483542C" w14:textId="197EFADC"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0,2008546</w:t>
            </w:r>
          </w:p>
        </w:tc>
        <w:tc>
          <w:tcPr>
            <w:tcW w:w="1399" w:type="dxa"/>
            <w:tcBorders>
              <w:top w:val="single" w:sz="4" w:space="0" w:color="auto"/>
              <w:left w:val="single" w:sz="4" w:space="0" w:color="auto"/>
              <w:bottom w:val="single" w:sz="4" w:space="0" w:color="auto"/>
              <w:right w:val="single" w:sz="4" w:space="0" w:color="auto"/>
            </w:tcBorders>
            <w:noWrap/>
            <w:vAlign w:val="center"/>
          </w:tcPr>
          <w:p w14:paraId="7D41063B" w14:textId="376A9B5F"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-0,0008546</w:t>
            </w:r>
          </w:p>
        </w:tc>
        <w:tc>
          <w:tcPr>
            <w:tcW w:w="1011" w:type="dxa"/>
            <w:tcBorders>
              <w:top w:val="single" w:sz="4" w:space="0" w:color="auto"/>
              <w:left w:val="single" w:sz="4" w:space="0" w:color="auto"/>
              <w:bottom w:val="single" w:sz="4" w:space="0" w:color="auto"/>
              <w:right w:val="single" w:sz="4" w:space="0" w:color="auto"/>
            </w:tcBorders>
            <w:noWrap/>
            <w:vAlign w:val="center"/>
            <w:hideMark/>
          </w:tcPr>
          <w:p w14:paraId="4298F501" w14:textId="3DAFBE0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1</w:t>
            </w:r>
          </w:p>
        </w:tc>
      </w:tr>
      <w:tr w:rsidR="009605F7" w:rsidRPr="00457CE9" w14:paraId="436D3AB7" w14:textId="77777777" w:rsidTr="00117667">
        <w:trPr>
          <w:trHeight w:val="58"/>
          <w:jc w:val="center"/>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22381586"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2</w:t>
            </w:r>
          </w:p>
        </w:tc>
        <w:tc>
          <w:tcPr>
            <w:tcW w:w="3710" w:type="dxa"/>
            <w:tcBorders>
              <w:top w:val="single" w:sz="4" w:space="0" w:color="auto"/>
              <w:left w:val="single" w:sz="4" w:space="0" w:color="auto"/>
              <w:bottom w:val="single" w:sz="4" w:space="0" w:color="auto"/>
              <w:right w:val="single" w:sz="4" w:space="0" w:color="auto"/>
            </w:tcBorders>
            <w:vAlign w:val="center"/>
          </w:tcPr>
          <w:p w14:paraId="1AAF6D38" w14:textId="3792D1CC" w:rsidR="009605F7" w:rsidRPr="00457CE9" w:rsidRDefault="009605F7" w:rsidP="00457CE9">
            <w:pPr>
              <w:spacing w:after="0" w:line="240" w:lineRule="auto"/>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Экспорт көлемін ұлғайту</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5C9E7F42" w14:textId="0F0DACEB"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0,20</w:t>
            </w:r>
          </w:p>
        </w:tc>
        <w:tc>
          <w:tcPr>
            <w:tcW w:w="1276" w:type="dxa"/>
            <w:tcBorders>
              <w:top w:val="single" w:sz="4" w:space="0" w:color="auto"/>
              <w:left w:val="single" w:sz="4" w:space="0" w:color="auto"/>
              <w:bottom w:val="single" w:sz="4" w:space="0" w:color="auto"/>
              <w:right w:val="single" w:sz="4" w:space="0" w:color="auto"/>
            </w:tcBorders>
            <w:noWrap/>
            <w:vAlign w:val="center"/>
          </w:tcPr>
          <w:p w14:paraId="4784EF0D" w14:textId="0FD75000"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0,2045256</w:t>
            </w:r>
          </w:p>
        </w:tc>
        <w:tc>
          <w:tcPr>
            <w:tcW w:w="1399" w:type="dxa"/>
            <w:tcBorders>
              <w:top w:val="single" w:sz="4" w:space="0" w:color="auto"/>
              <w:left w:val="single" w:sz="4" w:space="0" w:color="auto"/>
              <w:bottom w:val="single" w:sz="4" w:space="0" w:color="auto"/>
              <w:right w:val="single" w:sz="4" w:space="0" w:color="auto"/>
            </w:tcBorders>
            <w:noWrap/>
            <w:vAlign w:val="center"/>
          </w:tcPr>
          <w:p w14:paraId="51D3AB06" w14:textId="5224C439"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-0,0045256</w:t>
            </w:r>
          </w:p>
        </w:tc>
        <w:tc>
          <w:tcPr>
            <w:tcW w:w="1011" w:type="dxa"/>
            <w:tcBorders>
              <w:top w:val="single" w:sz="4" w:space="0" w:color="auto"/>
              <w:left w:val="single" w:sz="4" w:space="0" w:color="auto"/>
              <w:bottom w:val="single" w:sz="4" w:space="0" w:color="auto"/>
              <w:right w:val="single" w:sz="4" w:space="0" w:color="auto"/>
            </w:tcBorders>
            <w:noWrap/>
            <w:vAlign w:val="center"/>
          </w:tcPr>
          <w:p w14:paraId="4054F533" w14:textId="6CE7700D"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4</w:t>
            </w:r>
          </w:p>
        </w:tc>
      </w:tr>
      <w:tr w:rsidR="009605F7" w:rsidRPr="00457CE9" w14:paraId="099641A5" w14:textId="77777777" w:rsidTr="00117667">
        <w:trPr>
          <w:trHeight w:val="58"/>
          <w:jc w:val="center"/>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50726A01"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3</w:t>
            </w:r>
          </w:p>
        </w:tc>
        <w:tc>
          <w:tcPr>
            <w:tcW w:w="3710" w:type="dxa"/>
            <w:tcBorders>
              <w:top w:val="single" w:sz="4" w:space="0" w:color="auto"/>
              <w:left w:val="single" w:sz="4" w:space="0" w:color="auto"/>
              <w:bottom w:val="single" w:sz="4" w:space="0" w:color="auto"/>
              <w:right w:val="single" w:sz="4" w:space="0" w:color="auto"/>
            </w:tcBorders>
            <w:vAlign w:val="center"/>
          </w:tcPr>
          <w:p w14:paraId="5EC2AAF5" w14:textId="5FCC73DD" w:rsidR="009605F7" w:rsidRPr="00457CE9" w:rsidRDefault="009605F7" w:rsidP="00457CE9">
            <w:pPr>
              <w:spacing w:after="0" w:line="240" w:lineRule="auto"/>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Импорт көлемін азайту</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50598353" w14:textId="56FDB983"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0,20</w:t>
            </w:r>
          </w:p>
        </w:tc>
        <w:tc>
          <w:tcPr>
            <w:tcW w:w="1276" w:type="dxa"/>
            <w:tcBorders>
              <w:top w:val="single" w:sz="4" w:space="0" w:color="auto"/>
              <w:left w:val="single" w:sz="4" w:space="0" w:color="auto"/>
              <w:bottom w:val="single" w:sz="4" w:space="0" w:color="auto"/>
              <w:right w:val="single" w:sz="4" w:space="0" w:color="auto"/>
            </w:tcBorders>
            <w:noWrap/>
            <w:vAlign w:val="center"/>
          </w:tcPr>
          <w:p w14:paraId="150FF4A0" w14:textId="6788AFB2"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0,1904774</w:t>
            </w:r>
          </w:p>
        </w:tc>
        <w:tc>
          <w:tcPr>
            <w:tcW w:w="1399" w:type="dxa"/>
            <w:tcBorders>
              <w:top w:val="single" w:sz="4" w:space="0" w:color="auto"/>
              <w:left w:val="single" w:sz="4" w:space="0" w:color="auto"/>
              <w:bottom w:val="single" w:sz="4" w:space="0" w:color="auto"/>
              <w:right w:val="single" w:sz="4" w:space="0" w:color="auto"/>
            </w:tcBorders>
            <w:noWrap/>
            <w:vAlign w:val="center"/>
          </w:tcPr>
          <w:p w14:paraId="20286010" w14:textId="01C93C93"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0,0095226</w:t>
            </w:r>
          </w:p>
        </w:tc>
        <w:tc>
          <w:tcPr>
            <w:tcW w:w="1011" w:type="dxa"/>
            <w:tcBorders>
              <w:top w:val="single" w:sz="4" w:space="0" w:color="auto"/>
              <w:left w:val="single" w:sz="4" w:space="0" w:color="auto"/>
              <w:bottom w:val="single" w:sz="4" w:space="0" w:color="auto"/>
              <w:right w:val="single" w:sz="4" w:space="0" w:color="auto"/>
            </w:tcBorders>
            <w:noWrap/>
            <w:vAlign w:val="center"/>
          </w:tcPr>
          <w:p w14:paraId="47FA19A8" w14:textId="05C29BBC"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5</w:t>
            </w:r>
          </w:p>
        </w:tc>
      </w:tr>
      <w:tr w:rsidR="009605F7" w:rsidRPr="00457CE9" w14:paraId="65CE19AD" w14:textId="77777777" w:rsidTr="00117667">
        <w:trPr>
          <w:trHeight w:val="58"/>
          <w:jc w:val="center"/>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64610984"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4</w:t>
            </w:r>
          </w:p>
        </w:tc>
        <w:tc>
          <w:tcPr>
            <w:tcW w:w="3710" w:type="dxa"/>
            <w:tcBorders>
              <w:top w:val="single" w:sz="4" w:space="0" w:color="auto"/>
              <w:left w:val="single" w:sz="4" w:space="0" w:color="auto"/>
              <w:bottom w:val="single" w:sz="4" w:space="0" w:color="auto"/>
              <w:right w:val="single" w:sz="4" w:space="0" w:color="auto"/>
            </w:tcBorders>
            <w:vAlign w:val="center"/>
          </w:tcPr>
          <w:p w14:paraId="4EF01739" w14:textId="62D94386" w:rsidR="009605F7" w:rsidRPr="00457CE9" w:rsidRDefault="009605F7" w:rsidP="00457CE9">
            <w:pPr>
              <w:spacing w:after="0" w:line="240" w:lineRule="auto"/>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Бағытталған инвестицияларды ұлғайту</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79B6FE17" w14:textId="6D256712"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0,20</w:t>
            </w:r>
          </w:p>
        </w:tc>
        <w:tc>
          <w:tcPr>
            <w:tcW w:w="1276" w:type="dxa"/>
            <w:tcBorders>
              <w:top w:val="single" w:sz="4" w:space="0" w:color="auto"/>
              <w:left w:val="single" w:sz="4" w:space="0" w:color="auto"/>
              <w:bottom w:val="single" w:sz="4" w:space="0" w:color="auto"/>
              <w:right w:val="single" w:sz="4" w:space="0" w:color="auto"/>
            </w:tcBorders>
            <w:noWrap/>
            <w:vAlign w:val="center"/>
          </w:tcPr>
          <w:p w14:paraId="7C3EC332" w14:textId="20257F03"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0,2018634</w:t>
            </w:r>
          </w:p>
        </w:tc>
        <w:tc>
          <w:tcPr>
            <w:tcW w:w="1399" w:type="dxa"/>
            <w:tcBorders>
              <w:top w:val="single" w:sz="4" w:space="0" w:color="auto"/>
              <w:left w:val="single" w:sz="4" w:space="0" w:color="auto"/>
              <w:bottom w:val="single" w:sz="4" w:space="0" w:color="auto"/>
              <w:right w:val="single" w:sz="4" w:space="0" w:color="auto"/>
            </w:tcBorders>
            <w:noWrap/>
            <w:vAlign w:val="center"/>
          </w:tcPr>
          <w:p w14:paraId="0ED34556" w14:textId="598664FE"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-0,0018634</w:t>
            </w:r>
          </w:p>
        </w:tc>
        <w:tc>
          <w:tcPr>
            <w:tcW w:w="1011" w:type="dxa"/>
            <w:tcBorders>
              <w:top w:val="single" w:sz="4" w:space="0" w:color="auto"/>
              <w:left w:val="single" w:sz="4" w:space="0" w:color="auto"/>
              <w:bottom w:val="single" w:sz="4" w:space="0" w:color="auto"/>
              <w:right w:val="single" w:sz="4" w:space="0" w:color="auto"/>
            </w:tcBorders>
            <w:noWrap/>
            <w:vAlign w:val="center"/>
          </w:tcPr>
          <w:p w14:paraId="5A17A492" w14:textId="44F962FE"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2</w:t>
            </w:r>
          </w:p>
        </w:tc>
      </w:tr>
      <w:tr w:rsidR="009605F7" w:rsidRPr="00457CE9" w14:paraId="041438FE" w14:textId="77777777" w:rsidTr="00117667">
        <w:trPr>
          <w:trHeight w:val="58"/>
          <w:jc w:val="center"/>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2EBBEE6C" w14:textId="77777777"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5</w:t>
            </w:r>
          </w:p>
        </w:tc>
        <w:tc>
          <w:tcPr>
            <w:tcW w:w="3710" w:type="dxa"/>
            <w:tcBorders>
              <w:top w:val="single" w:sz="4" w:space="0" w:color="auto"/>
              <w:left w:val="single" w:sz="4" w:space="0" w:color="auto"/>
              <w:bottom w:val="single" w:sz="4" w:space="0" w:color="auto"/>
              <w:right w:val="single" w:sz="4" w:space="0" w:color="auto"/>
            </w:tcBorders>
            <w:vAlign w:val="center"/>
          </w:tcPr>
          <w:p w14:paraId="03253092" w14:textId="440052C8" w:rsidR="009605F7" w:rsidRPr="00457CE9" w:rsidRDefault="009605F7" w:rsidP="00457CE9">
            <w:pPr>
              <w:spacing w:after="0" w:line="240" w:lineRule="auto"/>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eastAsia="ru-RU"/>
              </w:rPr>
              <w:t>ЖІӨ-гі үлесін арттыру</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7AB66046" w14:textId="6BB7BEF2"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val="kk-KZ" w:eastAsia="ru-RU"/>
              </w:rPr>
            </w:pPr>
            <w:r w:rsidRPr="00457CE9">
              <w:rPr>
                <w:rFonts w:ascii="Times New Roman" w:eastAsia="Times New Roman" w:hAnsi="Times New Roman" w:cs="Times New Roman"/>
                <w:color w:val="000000"/>
                <w:sz w:val="24"/>
                <w:szCs w:val="24"/>
                <w:lang w:val="kk-KZ" w:eastAsia="ru-RU"/>
              </w:rPr>
              <w:t>0,20</w:t>
            </w:r>
          </w:p>
        </w:tc>
        <w:tc>
          <w:tcPr>
            <w:tcW w:w="1276" w:type="dxa"/>
            <w:tcBorders>
              <w:top w:val="single" w:sz="4" w:space="0" w:color="auto"/>
              <w:left w:val="single" w:sz="4" w:space="0" w:color="auto"/>
              <w:bottom w:val="single" w:sz="4" w:space="0" w:color="auto"/>
              <w:right w:val="single" w:sz="4" w:space="0" w:color="auto"/>
            </w:tcBorders>
            <w:noWrap/>
            <w:vAlign w:val="center"/>
          </w:tcPr>
          <w:p w14:paraId="419862BA" w14:textId="13DD3905"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0,2022791</w:t>
            </w:r>
          </w:p>
        </w:tc>
        <w:tc>
          <w:tcPr>
            <w:tcW w:w="1399" w:type="dxa"/>
            <w:tcBorders>
              <w:top w:val="single" w:sz="4" w:space="0" w:color="auto"/>
              <w:left w:val="single" w:sz="4" w:space="0" w:color="auto"/>
              <w:bottom w:val="single" w:sz="4" w:space="0" w:color="auto"/>
              <w:right w:val="single" w:sz="4" w:space="0" w:color="auto"/>
            </w:tcBorders>
            <w:noWrap/>
            <w:vAlign w:val="center"/>
          </w:tcPr>
          <w:p w14:paraId="0E1058CF" w14:textId="28E13901"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hAnsi="Times New Roman" w:cs="Times New Roman"/>
                <w:color w:val="000000"/>
                <w:sz w:val="24"/>
                <w:szCs w:val="24"/>
              </w:rPr>
              <w:t>-0,0022791</w:t>
            </w:r>
          </w:p>
        </w:tc>
        <w:tc>
          <w:tcPr>
            <w:tcW w:w="1011" w:type="dxa"/>
            <w:tcBorders>
              <w:top w:val="single" w:sz="4" w:space="0" w:color="auto"/>
              <w:left w:val="single" w:sz="4" w:space="0" w:color="auto"/>
              <w:bottom w:val="single" w:sz="4" w:space="0" w:color="auto"/>
              <w:right w:val="single" w:sz="4" w:space="0" w:color="auto"/>
            </w:tcBorders>
            <w:noWrap/>
            <w:vAlign w:val="center"/>
          </w:tcPr>
          <w:p w14:paraId="242BAB82" w14:textId="2E5779C6" w:rsidR="009605F7" w:rsidRPr="00457CE9" w:rsidRDefault="009605F7" w:rsidP="00457CE9">
            <w:pPr>
              <w:spacing w:after="0" w:line="240" w:lineRule="auto"/>
              <w:jc w:val="center"/>
              <w:rPr>
                <w:rFonts w:ascii="Times New Roman" w:eastAsia="Times New Roman" w:hAnsi="Times New Roman" w:cs="Times New Roman"/>
                <w:color w:val="000000"/>
                <w:sz w:val="24"/>
                <w:szCs w:val="24"/>
                <w:lang w:eastAsia="ru-RU"/>
              </w:rPr>
            </w:pPr>
            <w:r w:rsidRPr="00457CE9">
              <w:rPr>
                <w:rFonts w:ascii="Times New Roman" w:eastAsia="Times New Roman" w:hAnsi="Times New Roman" w:cs="Times New Roman"/>
                <w:color w:val="000000"/>
                <w:sz w:val="24"/>
                <w:szCs w:val="24"/>
                <w:lang w:eastAsia="ru-RU"/>
              </w:rPr>
              <w:t>3</w:t>
            </w:r>
          </w:p>
        </w:tc>
      </w:tr>
      <w:tr w:rsidR="009605F7" w:rsidRPr="00457CE9" w14:paraId="03A063D4" w14:textId="77777777" w:rsidTr="00117667">
        <w:trPr>
          <w:trHeight w:val="58"/>
          <w:jc w:val="center"/>
        </w:trPr>
        <w:tc>
          <w:tcPr>
            <w:tcW w:w="9566" w:type="dxa"/>
            <w:gridSpan w:val="6"/>
            <w:tcBorders>
              <w:top w:val="single" w:sz="4" w:space="0" w:color="auto"/>
              <w:left w:val="single" w:sz="4" w:space="0" w:color="auto"/>
              <w:bottom w:val="single" w:sz="4" w:space="0" w:color="auto"/>
              <w:right w:val="single" w:sz="4" w:space="0" w:color="auto"/>
            </w:tcBorders>
            <w:noWrap/>
            <w:vAlign w:val="center"/>
          </w:tcPr>
          <w:p w14:paraId="2E9E228E" w14:textId="14712660" w:rsidR="009605F7" w:rsidRPr="00457CE9" w:rsidRDefault="009605F7" w:rsidP="00457CE9">
            <w:pPr>
              <w:spacing w:after="0" w:line="240" w:lineRule="auto"/>
              <w:ind w:firstLine="743"/>
              <w:jc w:val="both"/>
              <w:rPr>
                <w:rFonts w:ascii="Times New Roman" w:eastAsia="Times New Roman" w:hAnsi="Times New Roman" w:cs="Times New Roman"/>
                <w:color w:val="000000"/>
                <w:sz w:val="24"/>
                <w:szCs w:val="24"/>
                <w:lang w:eastAsia="ru-RU"/>
              </w:rPr>
            </w:pPr>
            <w:r w:rsidRPr="00457CE9">
              <w:rPr>
                <w:rFonts w:ascii="Times New Roman" w:eastAsiaTheme="minorEastAsia" w:hAnsi="Times New Roman" w:cs="Times New Roman"/>
                <w:sz w:val="24"/>
                <w:szCs w:val="24"/>
                <w:lang w:val="kk-KZ"/>
              </w:rPr>
              <w:t>Ескерту – автормен құрастырылған</w:t>
            </w:r>
          </w:p>
        </w:tc>
      </w:tr>
    </w:tbl>
    <w:p w14:paraId="66019646" w14:textId="65EEE168" w:rsidR="00022F6A" w:rsidRPr="002500C8" w:rsidRDefault="00022F6A" w:rsidP="002500C8">
      <w:pPr>
        <w:widowControl w:val="0"/>
        <w:tabs>
          <w:tab w:val="left" w:pos="851"/>
          <w:tab w:val="left" w:pos="1605"/>
        </w:tabs>
        <w:spacing w:after="0" w:line="240" w:lineRule="auto"/>
        <w:jc w:val="both"/>
        <w:rPr>
          <w:rFonts w:ascii="Times New Roman" w:hAnsi="Times New Roman" w:cs="Times New Roman"/>
          <w:sz w:val="20"/>
          <w:szCs w:val="20"/>
          <w:lang w:val="kk-KZ"/>
        </w:rPr>
      </w:pPr>
    </w:p>
    <w:p w14:paraId="1DEE18B1" w14:textId="499C5071" w:rsidR="002500C8" w:rsidRDefault="002500C8" w:rsidP="002500C8">
      <w:pPr>
        <w:widowControl w:val="0"/>
        <w:tabs>
          <w:tab w:val="left" w:pos="851"/>
          <w:tab w:val="left" w:pos="1134"/>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83-кесте мәліметтері бойынша эталон мәнге ең жуық критерий «еңбек өнімділігін 2,5 есе ұлғайту», яғни, осы міндетті орындау үшін жеткілікті мөлшерде нәтижелі көрсеткіштер мен іс-шаралар орындалғанын атауға болады. Екінші орында «ауыл шаруашылығына бағытталған инвестицияларды ұлғайту» деп аталатын критерий, бірінші критерийге қарағанда ауытқуы жоғарырақ. «Ауыл шаруашылық өнімінің жалпы ішкі өнімдегі үлесін арттыру» деп аталатын критерий үшінші орынға ие, берілген критерий орындалу үшін іс-шаралар толық жеткіліксіздігін көрсетеді. </w:t>
      </w:r>
    </w:p>
    <w:p w14:paraId="523601E3" w14:textId="77777777" w:rsidR="002500C8" w:rsidRDefault="002500C8" w:rsidP="002500C8">
      <w:pPr>
        <w:tabs>
          <w:tab w:val="left" w:pos="851"/>
          <w:tab w:val="left" w:pos="1134"/>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 және бесінші орында «ауыл шаруашылық өнімінің экспортын ұлғайту» және «импортын азайту» деп аталатын міндеттерді орындау үшін жоспарланған көрсеткіштер мен іс-шаралар толықтай қарастырылмағанын білдіреді. Яғни, бұл критерий 2025 жылға қарай орындалмауы күтіледі. </w:t>
      </w:r>
    </w:p>
    <w:p w14:paraId="7CF33528" w14:textId="6AE5CB7B" w:rsidR="002500C8" w:rsidRDefault="00575788" w:rsidP="002500C8">
      <w:pPr>
        <w:tabs>
          <w:tab w:val="left" w:pos="851"/>
          <w:tab w:val="left" w:pos="1134"/>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АӨК-н</w:t>
      </w:r>
      <w:r w:rsidR="002500C8">
        <w:rPr>
          <w:rFonts w:ascii="Times New Roman" w:hAnsi="Times New Roman" w:cs="Times New Roman"/>
          <w:sz w:val="28"/>
          <w:szCs w:val="28"/>
          <w:lang w:val="kk-KZ"/>
        </w:rPr>
        <w:t xml:space="preserve"> дамытуға бағытталған бюджет қаражатының тиімділік аудиті кезінде иерархиялық талдау моделін қолдану арқылы эксперттік баға бере отырып, көрсеткіштердің орындалуы бойынша баға беруге болатынын жоғарыда жүргізілген талдау көрсетіп отыр. </w:t>
      </w:r>
    </w:p>
    <w:p w14:paraId="2D1D8F51" w14:textId="17C97663" w:rsidR="001D0D76" w:rsidRPr="00457CE9" w:rsidRDefault="001D0D76" w:rsidP="00B54645">
      <w:pPr>
        <w:tabs>
          <w:tab w:val="left" w:pos="851"/>
          <w:tab w:val="left" w:pos="1134"/>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АӨК дамытуға бағытталған бюджет қаражаты тиімділігінің аудиті нәтижесінде берілетін аудиторлық қорытындыда аудиторлық пікір бекітілген критерийлер деңгейіне негізделген дұрыс деп санаймыз, және оған баға беру </w:t>
      </w:r>
      <w:r w:rsidR="002500C8">
        <w:rPr>
          <w:rFonts w:ascii="Times New Roman" w:hAnsi="Times New Roman" w:cs="Times New Roman"/>
          <w:sz w:val="28"/>
          <w:szCs w:val="28"/>
          <w:lang w:val="kk-KZ"/>
        </w:rPr>
        <w:t>84</w:t>
      </w:r>
      <w:r w:rsidRPr="00457CE9">
        <w:rPr>
          <w:rFonts w:ascii="Times New Roman" w:hAnsi="Times New Roman" w:cs="Times New Roman"/>
          <w:sz w:val="28"/>
          <w:szCs w:val="28"/>
          <w:lang w:val="kk-KZ"/>
        </w:rPr>
        <w:t>-кестеде ұсынылған.</w:t>
      </w:r>
    </w:p>
    <w:p w14:paraId="206FCDA0" w14:textId="77777777" w:rsidR="005E4CCD" w:rsidRPr="00A23F7A" w:rsidRDefault="005E4CCD" w:rsidP="00457CE9">
      <w:pPr>
        <w:tabs>
          <w:tab w:val="left" w:pos="851"/>
          <w:tab w:val="left" w:pos="1134"/>
          <w:tab w:val="left" w:pos="1605"/>
        </w:tabs>
        <w:spacing w:after="0" w:line="240" w:lineRule="auto"/>
        <w:ind w:firstLine="709"/>
        <w:jc w:val="both"/>
        <w:rPr>
          <w:rFonts w:ascii="Times New Roman" w:hAnsi="Times New Roman" w:cs="Times New Roman"/>
          <w:sz w:val="16"/>
          <w:szCs w:val="16"/>
          <w:lang w:val="kk-KZ"/>
        </w:rPr>
      </w:pPr>
    </w:p>
    <w:p w14:paraId="2761E99C" w14:textId="61591910" w:rsidR="005E4CCD" w:rsidRDefault="001D0D76" w:rsidP="00457CE9">
      <w:pPr>
        <w:tabs>
          <w:tab w:val="left" w:pos="851"/>
          <w:tab w:val="left" w:pos="1134"/>
          <w:tab w:val="left" w:pos="1605"/>
        </w:tabs>
        <w:spacing w:after="0" w:line="240" w:lineRule="auto"/>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 xml:space="preserve">Кесте </w:t>
      </w:r>
      <w:r w:rsidR="002500C8">
        <w:rPr>
          <w:rFonts w:ascii="Times New Roman" w:hAnsi="Times New Roman" w:cs="Times New Roman"/>
          <w:sz w:val="28"/>
          <w:szCs w:val="28"/>
          <w:lang w:val="kk-KZ"/>
        </w:rPr>
        <w:t>84</w:t>
      </w:r>
      <w:r w:rsidR="00B90011" w:rsidRPr="00457CE9">
        <w:rPr>
          <w:rFonts w:ascii="Times New Roman" w:hAnsi="Times New Roman" w:cs="Times New Roman"/>
          <w:sz w:val="28"/>
          <w:szCs w:val="28"/>
          <w:lang w:val="kk-KZ"/>
        </w:rPr>
        <w:t xml:space="preserve"> </w:t>
      </w:r>
      <w:r w:rsidRPr="00457CE9">
        <w:rPr>
          <w:rFonts w:ascii="Times New Roman" w:hAnsi="Times New Roman" w:cs="Times New Roman"/>
          <w:sz w:val="28"/>
          <w:szCs w:val="28"/>
          <w:lang w:val="kk-KZ"/>
        </w:rPr>
        <w:t>– Критерийлер негізінде тиімділікке баға беру</w:t>
      </w:r>
    </w:p>
    <w:p w14:paraId="2B4C7022" w14:textId="77777777" w:rsidR="00B54645" w:rsidRPr="00B54645" w:rsidRDefault="00B54645" w:rsidP="00457CE9">
      <w:pPr>
        <w:tabs>
          <w:tab w:val="left" w:pos="851"/>
          <w:tab w:val="left" w:pos="1134"/>
          <w:tab w:val="left" w:pos="1605"/>
        </w:tabs>
        <w:spacing w:after="0" w:line="240" w:lineRule="auto"/>
        <w:jc w:val="both"/>
        <w:rPr>
          <w:rFonts w:ascii="Times New Roman" w:hAnsi="Times New Roman" w:cs="Times New Roman"/>
          <w:sz w:val="16"/>
          <w:szCs w:val="16"/>
          <w:lang w:val="kk-KZ"/>
        </w:rPr>
      </w:pPr>
    </w:p>
    <w:tbl>
      <w:tblPr>
        <w:tblStyle w:val="a3"/>
        <w:tblW w:w="9639" w:type="dxa"/>
        <w:tblInd w:w="-5" w:type="dxa"/>
        <w:tblLook w:val="04A0" w:firstRow="1" w:lastRow="0" w:firstColumn="1" w:lastColumn="0" w:noHBand="0" w:noVBand="1"/>
      </w:tblPr>
      <w:tblGrid>
        <w:gridCol w:w="2059"/>
        <w:gridCol w:w="2477"/>
        <w:gridCol w:w="2694"/>
        <w:gridCol w:w="2409"/>
      </w:tblGrid>
      <w:tr w:rsidR="005E4CCD" w:rsidRPr="00B54645" w14:paraId="4548C6EC" w14:textId="77777777" w:rsidTr="002500C8">
        <w:tc>
          <w:tcPr>
            <w:tcW w:w="2059" w:type="dxa"/>
            <w:vAlign w:val="center"/>
          </w:tcPr>
          <w:p w14:paraId="129AD7FE" w14:textId="334606CA" w:rsidR="005E4CCD" w:rsidRPr="00B54645" w:rsidRDefault="005E4CCD" w:rsidP="00B54645">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Критерий саны</w:t>
            </w:r>
          </w:p>
        </w:tc>
        <w:tc>
          <w:tcPr>
            <w:tcW w:w="2477" w:type="dxa"/>
            <w:vAlign w:val="center"/>
          </w:tcPr>
          <w:p w14:paraId="595CDF0C" w14:textId="45B9E5BB" w:rsidR="005E4CCD" w:rsidRPr="00B54645" w:rsidRDefault="005E4CCD" w:rsidP="00B54645">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Критерий орындалуы</w:t>
            </w:r>
          </w:p>
        </w:tc>
        <w:tc>
          <w:tcPr>
            <w:tcW w:w="2694" w:type="dxa"/>
            <w:vAlign w:val="center"/>
          </w:tcPr>
          <w:p w14:paraId="5AE5BCE7" w14:textId="4D56F269" w:rsidR="005E4CCD" w:rsidRPr="00B54645" w:rsidRDefault="005E4CCD" w:rsidP="00B54645">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Пайыздық орындалуы</w:t>
            </w:r>
          </w:p>
        </w:tc>
        <w:tc>
          <w:tcPr>
            <w:tcW w:w="2409" w:type="dxa"/>
            <w:vAlign w:val="center"/>
          </w:tcPr>
          <w:p w14:paraId="3A8CD930" w14:textId="3499EC25" w:rsidR="005E4CCD" w:rsidRPr="00B54645" w:rsidRDefault="001D0D76" w:rsidP="00B54645">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Аудиторлық пікірде б</w:t>
            </w:r>
            <w:r w:rsidR="005E4CCD" w:rsidRPr="00B54645">
              <w:rPr>
                <w:rFonts w:ascii="Times New Roman" w:hAnsi="Times New Roman" w:cs="Times New Roman"/>
                <w:sz w:val="24"/>
                <w:szCs w:val="24"/>
                <w:lang w:val="kk-KZ"/>
              </w:rPr>
              <w:t>аға беру</w:t>
            </w:r>
          </w:p>
        </w:tc>
      </w:tr>
      <w:tr w:rsidR="005E4CCD" w:rsidRPr="00B54645" w14:paraId="4BB187C2" w14:textId="77777777" w:rsidTr="002500C8">
        <w:tc>
          <w:tcPr>
            <w:tcW w:w="2059" w:type="dxa"/>
          </w:tcPr>
          <w:p w14:paraId="14043862" w14:textId="61A3BD80"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5</w:t>
            </w:r>
          </w:p>
        </w:tc>
        <w:tc>
          <w:tcPr>
            <w:tcW w:w="2477" w:type="dxa"/>
          </w:tcPr>
          <w:p w14:paraId="00F3C99E" w14:textId="61A9BD1A"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5</w:t>
            </w:r>
          </w:p>
        </w:tc>
        <w:tc>
          <w:tcPr>
            <w:tcW w:w="2694" w:type="dxa"/>
          </w:tcPr>
          <w:p w14:paraId="238A66DA" w14:textId="3F8A50DB" w:rsidR="005E4CCD" w:rsidRPr="00B54645" w:rsidRDefault="0055710E" w:rsidP="00457CE9">
            <w:pPr>
              <w:tabs>
                <w:tab w:val="left" w:pos="851"/>
                <w:tab w:val="left" w:pos="1134"/>
                <w:tab w:val="left" w:pos="1605"/>
              </w:tabs>
              <w:jc w:val="center"/>
              <w:rPr>
                <w:rFonts w:ascii="Times New Roman" w:hAnsi="Times New Roman" w:cs="Times New Roman"/>
                <w:sz w:val="24"/>
                <w:szCs w:val="24"/>
                <w:lang w:val="kk-KZ"/>
              </w:rPr>
            </w:pPr>
            <w:r>
              <w:rPr>
                <w:rFonts w:ascii="Times New Roman" w:hAnsi="Times New Roman" w:cs="Times New Roman"/>
                <w:sz w:val="24"/>
                <w:szCs w:val="24"/>
                <w:lang w:val="en-US"/>
              </w:rPr>
              <w:t>95-</w:t>
            </w:r>
            <w:r w:rsidR="005E4CCD" w:rsidRPr="00B54645">
              <w:rPr>
                <w:rFonts w:ascii="Times New Roman" w:hAnsi="Times New Roman" w:cs="Times New Roman"/>
                <w:sz w:val="24"/>
                <w:szCs w:val="24"/>
                <w:lang w:val="kk-KZ"/>
              </w:rPr>
              <w:t>100</w:t>
            </w:r>
          </w:p>
        </w:tc>
        <w:tc>
          <w:tcPr>
            <w:tcW w:w="2409" w:type="dxa"/>
          </w:tcPr>
          <w:p w14:paraId="0F98725F" w14:textId="10050B7B"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Жоғары</w:t>
            </w:r>
          </w:p>
        </w:tc>
      </w:tr>
      <w:tr w:rsidR="005E4CCD" w:rsidRPr="00B54645" w14:paraId="07A76059" w14:textId="77777777" w:rsidTr="002500C8">
        <w:tc>
          <w:tcPr>
            <w:tcW w:w="2059" w:type="dxa"/>
          </w:tcPr>
          <w:p w14:paraId="74B2089F" w14:textId="276EE723"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5</w:t>
            </w:r>
          </w:p>
        </w:tc>
        <w:tc>
          <w:tcPr>
            <w:tcW w:w="2477" w:type="dxa"/>
          </w:tcPr>
          <w:p w14:paraId="6D01B239" w14:textId="4FD54E78"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4</w:t>
            </w:r>
          </w:p>
        </w:tc>
        <w:tc>
          <w:tcPr>
            <w:tcW w:w="2694" w:type="dxa"/>
          </w:tcPr>
          <w:p w14:paraId="751F1549" w14:textId="5E590D20" w:rsidR="005E4CCD" w:rsidRPr="0055710E" w:rsidRDefault="005E4CCD" w:rsidP="00457CE9">
            <w:pPr>
              <w:tabs>
                <w:tab w:val="left" w:pos="851"/>
                <w:tab w:val="left" w:pos="1134"/>
                <w:tab w:val="left" w:pos="1605"/>
              </w:tabs>
              <w:jc w:val="center"/>
              <w:rPr>
                <w:rFonts w:ascii="Times New Roman" w:hAnsi="Times New Roman" w:cs="Times New Roman"/>
                <w:sz w:val="24"/>
                <w:szCs w:val="24"/>
                <w:lang w:val="en-US"/>
              </w:rPr>
            </w:pPr>
            <w:r w:rsidRPr="00B54645">
              <w:rPr>
                <w:rFonts w:ascii="Times New Roman" w:hAnsi="Times New Roman" w:cs="Times New Roman"/>
                <w:sz w:val="24"/>
                <w:szCs w:val="24"/>
                <w:lang w:val="kk-KZ"/>
              </w:rPr>
              <w:t>80</w:t>
            </w:r>
            <w:r w:rsidR="0055710E">
              <w:rPr>
                <w:rFonts w:ascii="Times New Roman" w:hAnsi="Times New Roman" w:cs="Times New Roman"/>
                <w:sz w:val="24"/>
                <w:szCs w:val="24"/>
                <w:lang w:val="en-US"/>
              </w:rPr>
              <w:t>-94</w:t>
            </w:r>
          </w:p>
        </w:tc>
        <w:tc>
          <w:tcPr>
            <w:tcW w:w="2409" w:type="dxa"/>
          </w:tcPr>
          <w:p w14:paraId="448096F8" w14:textId="2C961E77"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Орташа</w:t>
            </w:r>
          </w:p>
        </w:tc>
      </w:tr>
      <w:tr w:rsidR="005E4CCD" w:rsidRPr="00B54645" w14:paraId="02A2048C" w14:textId="77777777" w:rsidTr="002500C8">
        <w:tc>
          <w:tcPr>
            <w:tcW w:w="2059" w:type="dxa"/>
          </w:tcPr>
          <w:p w14:paraId="3B27F44C" w14:textId="287BDE3D"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5</w:t>
            </w:r>
          </w:p>
        </w:tc>
        <w:tc>
          <w:tcPr>
            <w:tcW w:w="2477" w:type="dxa"/>
          </w:tcPr>
          <w:p w14:paraId="06D3E9C5" w14:textId="330989C7"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3</w:t>
            </w:r>
          </w:p>
        </w:tc>
        <w:tc>
          <w:tcPr>
            <w:tcW w:w="2694" w:type="dxa"/>
          </w:tcPr>
          <w:p w14:paraId="0ABBDC19" w14:textId="34A15220" w:rsidR="005E4CCD" w:rsidRPr="0055710E" w:rsidRDefault="005E4CCD" w:rsidP="00457CE9">
            <w:pPr>
              <w:tabs>
                <w:tab w:val="left" w:pos="851"/>
                <w:tab w:val="left" w:pos="1134"/>
                <w:tab w:val="left" w:pos="1605"/>
              </w:tabs>
              <w:jc w:val="center"/>
              <w:rPr>
                <w:rFonts w:ascii="Times New Roman" w:hAnsi="Times New Roman" w:cs="Times New Roman"/>
                <w:sz w:val="24"/>
                <w:szCs w:val="24"/>
                <w:lang w:val="en-US"/>
              </w:rPr>
            </w:pPr>
            <w:r w:rsidRPr="00B54645">
              <w:rPr>
                <w:rFonts w:ascii="Times New Roman" w:hAnsi="Times New Roman" w:cs="Times New Roman"/>
                <w:sz w:val="24"/>
                <w:szCs w:val="24"/>
                <w:lang w:val="kk-KZ"/>
              </w:rPr>
              <w:t>60</w:t>
            </w:r>
            <w:r w:rsidR="0055710E">
              <w:rPr>
                <w:rFonts w:ascii="Times New Roman" w:hAnsi="Times New Roman" w:cs="Times New Roman"/>
                <w:sz w:val="24"/>
                <w:szCs w:val="24"/>
                <w:lang w:val="en-US"/>
              </w:rPr>
              <w:t>-79</w:t>
            </w:r>
          </w:p>
        </w:tc>
        <w:tc>
          <w:tcPr>
            <w:tcW w:w="2409" w:type="dxa"/>
          </w:tcPr>
          <w:p w14:paraId="63F76107" w14:textId="161B783A"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Төмен</w:t>
            </w:r>
          </w:p>
        </w:tc>
      </w:tr>
      <w:tr w:rsidR="005E4CCD" w:rsidRPr="00B54645" w14:paraId="0CFA9703" w14:textId="77777777" w:rsidTr="002500C8">
        <w:tc>
          <w:tcPr>
            <w:tcW w:w="2059" w:type="dxa"/>
          </w:tcPr>
          <w:p w14:paraId="5C203010" w14:textId="04800FF5"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5</w:t>
            </w:r>
          </w:p>
        </w:tc>
        <w:tc>
          <w:tcPr>
            <w:tcW w:w="2477" w:type="dxa"/>
          </w:tcPr>
          <w:p w14:paraId="59E0C767" w14:textId="3FF0D084"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2</w:t>
            </w:r>
          </w:p>
        </w:tc>
        <w:tc>
          <w:tcPr>
            <w:tcW w:w="2694" w:type="dxa"/>
          </w:tcPr>
          <w:p w14:paraId="1F4EA259" w14:textId="40510CD8" w:rsidR="005E4CCD" w:rsidRPr="009A3C3A" w:rsidRDefault="009A3C3A" w:rsidP="00457CE9">
            <w:pPr>
              <w:tabs>
                <w:tab w:val="left" w:pos="851"/>
                <w:tab w:val="left" w:pos="1134"/>
                <w:tab w:val="left" w:pos="1605"/>
              </w:tabs>
              <w:jc w:val="center"/>
              <w:rPr>
                <w:rFonts w:ascii="Times New Roman" w:hAnsi="Times New Roman" w:cs="Times New Roman"/>
                <w:sz w:val="24"/>
                <w:szCs w:val="24"/>
                <w:lang w:val="en-US"/>
              </w:rPr>
            </w:pPr>
            <w:r>
              <w:rPr>
                <w:rFonts w:ascii="Times New Roman" w:hAnsi="Times New Roman" w:cs="Times New Roman"/>
                <w:sz w:val="24"/>
                <w:szCs w:val="24"/>
                <w:lang w:val="en-US"/>
              </w:rPr>
              <w:t>0-59</w:t>
            </w:r>
          </w:p>
        </w:tc>
        <w:tc>
          <w:tcPr>
            <w:tcW w:w="2409" w:type="dxa"/>
          </w:tcPr>
          <w:p w14:paraId="26B6E156" w14:textId="36DFF701" w:rsidR="005E4CCD" w:rsidRPr="00B54645" w:rsidRDefault="005E4CCD" w:rsidP="00457CE9">
            <w:pPr>
              <w:tabs>
                <w:tab w:val="left" w:pos="851"/>
                <w:tab w:val="left" w:pos="1134"/>
                <w:tab w:val="left" w:pos="1605"/>
              </w:tabs>
              <w:jc w:val="center"/>
              <w:rPr>
                <w:rFonts w:ascii="Times New Roman" w:hAnsi="Times New Roman" w:cs="Times New Roman"/>
                <w:sz w:val="24"/>
                <w:szCs w:val="24"/>
                <w:lang w:val="kk-KZ"/>
              </w:rPr>
            </w:pPr>
            <w:r w:rsidRPr="00B54645">
              <w:rPr>
                <w:rFonts w:ascii="Times New Roman" w:hAnsi="Times New Roman" w:cs="Times New Roman"/>
                <w:sz w:val="24"/>
                <w:szCs w:val="24"/>
                <w:lang w:val="kk-KZ"/>
              </w:rPr>
              <w:t>Тиімсіз</w:t>
            </w:r>
          </w:p>
        </w:tc>
      </w:tr>
      <w:tr w:rsidR="00510319" w:rsidRPr="00B54645" w14:paraId="2133B8C9" w14:textId="77777777" w:rsidTr="002500C8">
        <w:tc>
          <w:tcPr>
            <w:tcW w:w="9639" w:type="dxa"/>
            <w:gridSpan w:val="4"/>
          </w:tcPr>
          <w:p w14:paraId="2D86A34E" w14:textId="4A62A218" w:rsidR="00510319" w:rsidRPr="00B54645" w:rsidRDefault="00510319" w:rsidP="00457CE9">
            <w:pPr>
              <w:tabs>
                <w:tab w:val="left" w:pos="851"/>
                <w:tab w:val="left" w:pos="1134"/>
                <w:tab w:val="left" w:pos="1605"/>
              </w:tabs>
              <w:ind w:firstLine="601"/>
              <w:rPr>
                <w:rFonts w:ascii="Times New Roman" w:hAnsi="Times New Roman" w:cs="Times New Roman"/>
                <w:sz w:val="24"/>
                <w:szCs w:val="24"/>
                <w:lang w:val="kk-KZ"/>
              </w:rPr>
            </w:pPr>
            <w:r w:rsidRPr="00B54645">
              <w:rPr>
                <w:rFonts w:ascii="Times New Roman" w:eastAsiaTheme="minorEastAsia" w:hAnsi="Times New Roman" w:cs="Times New Roman"/>
                <w:sz w:val="24"/>
                <w:szCs w:val="24"/>
                <w:lang w:val="kk-KZ"/>
              </w:rPr>
              <w:t xml:space="preserve">Ескерту – </w:t>
            </w:r>
            <w:r w:rsidR="00B54645" w:rsidRPr="00B54645">
              <w:rPr>
                <w:rFonts w:ascii="Times New Roman" w:eastAsiaTheme="minorEastAsia" w:hAnsi="Times New Roman" w:cs="Times New Roman"/>
                <w:sz w:val="24"/>
                <w:szCs w:val="24"/>
                <w:lang w:val="kk-KZ"/>
              </w:rPr>
              <w:t xml:space="preserve">Автормен </w:t>
            </w:r>
            <w:r w:rsidRPr="00B54645">
              <w:rPr>
                <w:rFonts w:ascii="Times New Roman" w:eastAsiaTheme="minorEastAsia" w:hAnsi="Times New Roman" w:cs="Times New Roman"/>
                <w:sz w:val="24"/>
                <w:szCs w:val="24"/>
                <w:lang w:val="kk-KZ"/>
              </w:rPr>
              <w:t>құрастырылған</w:t>
            </w:r>
          </w:p>
        </w:tc>
      </w:tr>
    </w:tbl>
    <w:p w14:paraId="1AEFAB3F" w14:textId="77777777" w:rsidR="00681BDB" w:rsidRDefault="00681BDB" w:rsidP="002500C8">
      <w:pPr>
        <w:tabs>
          <w:tab w:val="left" w:pos="851"/>
          <w:tab w:val="left" w:pos="1134"/>
          <w:tab w:val="left" w:pos="1605"/>
        </w:tabs>
        <w:spacing w:after="0" w:line="240" w:lineRule="auto"/>
        <w:ind w:firstLine="709"/>
        <w:jc w:val="both"/>
        <w:rPr>
          <w:rFonts w:ascii="Times New Roman" w:hAnsi="Times New Roman" w:cs="Times New Roman"/>
          <w:sz w:val="28"/>
          <w:szCs w:val="28"/>
          <w:lang w:val="kk-KZ"/>
        </w:rPr>
      </w:pPr>
    </w:p>
    <w:p w14:paraId="2CDACF81" w14:textId="025171A5" w:rsidR="00D30E48" w:rsidRDefault="00575788" w:rsidP="002500C8">
      <w:pPr>
        <w:tabs>
          <w:tab w:val="left" w:pos="851"/>
          <w:tab w:val="left" w:pos="1134"/>
          <w:tab w:val="left" w:pos="1605"/>
        </w:tabs>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АӨК-н</w:t>
      </w:r>
      <w:r w:rsidR="00E83048" w:rsidRPr="00457CE9">
        <w:rPr>
          <w:rFonts w:ascii="Times New Roman" w:hAnsi="Times New Roman" w:cs="Times New Roman"/>
          <w:sz w:val="28"/>
          <w:szCs w:val="28"/>
          <w:lang w:val="kk-KZ"/>
        </w:rPr>
        <w:t xml:space="preserve"> дамытуға бағытталған бюджет қаражатының тиімді пайдалануы оның мақсатына жету үшін жоспарланған міндеттер, көрсеткіштер мен іс-шаралардың қаншалықты дұрыс жоспарланғанына да байланысты. Яғни, тиімділік аудитінің объектісі ретінде бюджет әкімшісі Ауыл шаруашылығы министрлігі белгіленсе, пәні ретінде бюджет қаражатын пайдалану үрдісі алынады. </w:t>
      </w:r>
      <w:r w:rsidR="00B11263" w:rsidRPr="00457CE9">
        <w:rPr>
          <w:rFonts w:ascii="Times New Roman" w:hAnsi="Times New Roman"/>
          <w:sz w:val="28"/>
          <w:szCs w:val="28"/>
          <w:lang w:val="kk-KZ"/>
        </w:rPr>
        <w:t xml:space="preserve">Диссертациялық жұмыста ҚР </w:t>
      </w:r>
      <w:r>
        <w:rPr>
          <w:rFonts w:ascii="Times New Roman" w:hAnsi="Times New Roman"/>
          <w:sz w:val="28"/>
          <w:szCs w:val="28"/>
          <w:lang w:val="kk-KZ"/>
        </w:rPr>
        <w:t>АӨК-н</w:t>
      </w:r>
      <w:r w:rsidR="00B11263" w:rsidRPr="00457CE9">
        <w:rPr>
          <w:rFonts w:ascii="Times New Roman" w:hAnsi="Times New Roman"/>
          <w:sz w:val="28"/>
          <w:szCs w:val="28"/>
          <w:lang w:val="kk-KZ"/>
        </w:rPr>
        <w:t xml:space="preserve"> 2017-2021 жж. дамытудың мемлекеттік бағдарламасында жоспарланған индикаторлар, тапсырмалар, мен тікелей көрсеткіштердің бағдарламаның негізгі индикаторларының орындалуы деңгейіне эксперттік баға беру арқылы үлестердің матрицасының нәтижесі анықталды, мәндері эталон мәнінен ауытқуын көрсетті. </w:t>
      </w:r>
    </w:p>
    <w:p w14:paraId="7E124BA7" w14:textId="2A025F2E" w:rsidR="00477C06" w:rsidRPr="00457CE9" w:rsidRDefault="00B11263" w:rsidP="002500C8">
      <w:pPr>
        <w:tabs>
          <w:tab w:val="left" w:pos="851"/>
          <w:tab w:val="left" w:pos="1134"/>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sz w:val="28"/>
          <w:szCs w:val="28"/>
          <w:lang w:val="kk-KZ"/>
        </w:rPr>
        <w:t>Бұл АӨК</w:t>
      </w:r>
      <w:r w:rsidR="00D30E48">
        <w:rPr>
          <w:rFonts w:ascii="Times New Roman" w:hAnsi="Times New Roman"/>
          <w:sz w:val="28"/>
          <w:szCs w:val="28"/>
          <w:lang w:val="kk-KZ"/>
        </w:rPr>
        <w:t xml:space="preserve"> </w:t>
      </w:r>
      <w:r w:rsidRPr="00457CE9">
        <w:rPr>
          <w:rFonts w:ascii="Times New Roman" w:hAnsi="Times New Roman"/>
          <w:sz w:val="28"/>
          <w:szCs w:val="28"/>
          <w:lang w:val="kk-KZ"/>
        </w:rPr>
        <w:t xml:space="preserve">2017-2021 жж. дамытудың мемлекеттік бағдарламасында жоспарланған тапсырмалар, тікелей және нәтижелі көрсеткіштердің жеткіліксіздігін көрсетіп тұр. 2017-2021 жж. мемлекеттік бағдарламадағы нысаналы индикаторлар нақты </w:t>
      </w:r>
      <w:r w:rsidRPr="00706F70">
        <w:rPr>
          <w:rFonts w:ascii="Times New Roman" w:hAnsi="Times New Roman"/>
          <w:sz w:val="28"/>
          <w:szCs w:val="28"/>
          <w:lang w:val="kk-KZ"/>
        </w:rPr>
        <w:t xml:space="preserve">орындалмағанын </w:t>
      </w:r>
      <w:r w:rsidR="00706F70" w:rsidRPr="00706F70">
        <w:rPr>
          <w:rStyle w:val="a4"/>
          <w:color w:val="auto"/>
          <w:sz w:val="28"/>
          <w:szCs w:val="28"/>
          <w:u w:val="none"/>
          <w:lang w:val="kk-KZ"/>
        </w:rPr>
        <w:t xml:space="preserve">ҚР Стратегиялық жоспарлау және реформалар агенттінің ресми </w:t>
      </w:r>
      <w:r w:rsidRPr="00457CE9">
        <w:rPr>
          <w:rFonts w:ascii="Times New Roman" w:hAnsi="Times New Roman"/>
          <w:sz w:val="28"/>
          <w:szCs w:val="28"/>
          <w:lang w:val="kk-KZ"/>
        </w:rPr>
        <w:t xml:space="preserve">мәліметтерінен көруге болады. Иерархиялық тлдау моделі негізінде осындай жобаларды жоспарлау барысында бағалау арқылы шараларды жеткілікті түрде бекітуге қол жеткізеді. </w:t>
      </w:r>
    </w:p>
    <w:p w14:paraId="60596D8E" w14:textId="77777777" w:rsidR="00B10552" w:rsidRDefault="00B10552" w:rsidP="00B10552">
      <w:pPr>
        <w:tabs>
          <w:tab w:val="left" w:pos="851"/>
          <w:tab w:val="left" w:pos="1134"/>
          <w:tab w:val="left" w:pos="16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АӨК дамытуға бағытталған бюджет қаражатын пайдалану тиімділігі аудитінің сапасын жақсарту және жетілдіру жолдары бойынша ұсыныстар келесідей деп анықталды:</w:t>
      </w:r>
    </w:p>
    <w:p w14:paraId="61CCDC11" w14:textId="3952A185" w:rsidR="00B10552" w:rsidRDefault="00D7177A"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тиімділік аудиті тек аудиторлық есеп берумен аяқталмай, аудит нәтижесі бойынша берілген ұсыныстар әсерін бағалау қажеттігін білдіреді, сондықтан </w:t>
      </w:r>
      <w:r w:rsidR="00AB27D2">
        <w:rPr>
          <w:rFonts w:ascii="Times New Roman" w:hAnsi="Times New Roman"/>
          <w:sz w:val="28"/>
          <w:szCs w:val="28"/>
          <w:lang w:val="kk-KZ"/>
        </w:rPr>
        <w:t xml:space="preserve">ҚР </w:t>
      </w:r>
      <w:r w:rsidR="00B10552">
        <w:rPr>
          <w:rFonts w:ascii="Times New Roman" w:hAnsi="Times New Roman"/>
          <w:sz w:val="28"/>
          <w:szCs w:val="28"/>
          <w:lang w:val="kk-KZ"/>
        </w:rPr>
        <w:t xml:space="preserve">ЖАП-да тиімділік аудиті бойынша </w:t>
      </w:r>
      <w:r>
        <w:rPr>
          <w:rFonts w:ascii="Times New Roman" w:hAnsi="Times New Roman"/>
          <w:sz w:val="28"/>
          <w:szCs w:val="28"/>
          <w:lang w:val="kk-KZ"/>
        </w:rPr>
        <w:t xml:space="preserve">оның сапасын бағалайтын </w:t>
      </w:r>
      <w:r w:rsidR="00B10552">
        <w:rPr>
          <w:rFonts w:ascii="Times New Roman" w:hAnsi="Times New Roman"/>
          <w:sz w:val="28"/>
          <w:szCs w:val="28"/>
          <w:lang w:val="kk-KZ"/>
        </w:rPr>
        <w:t>департамент құру;</w:t>
      </w:r>
    </w:p>
    <w:p w14:paraId="74496E22" w14:textId="24BAE7A0" w:rsidR="00D7177A" w:rsidRDefault="00D7177A"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тиімділік аудиті нәтижелері бойынша ұсыныстарды орындау кезеңі маңызды деп қарастыру – яғни, аудит нәтижелерін ендіру, және тиімділік аудиті бойынша әлеуметтік-экономикалық әсерге баға беру;</w:t>
      </w:r>
    </w:p>
    <w:p w14:paraId="0B235F35" w14:textId="2AAD8D3D" w:rsidR="00B10552" w:rsidRDefault="00B1055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тиімділік аудитінің төртінші қағидасы «тиімділік» деген алып тастау оның орнына «әрекеттілік» (белгілі уақыт аралығында қол жеткізілген нәтижелер) енгізу; </w:t>
      </w:r>
    </w:p>
    <w:p w14:paraId="67081E5D" w14:textId="77777777" w:rsidR="00B10552" w:rsidRDefault="00B1055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жоспардан тыс тиімділік аудиттері үшін ЖАП төлем жасау;</w:t>
      </w:r>
    </w:p>
    <w:p w14:paraId="33B4195E" w14:textId="77777777" w:rsidR="00B10552" w:rsidRDefault="00B1055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тиімділік аудитін жүргізетін аудиторлар мемлекеттік аудит мамандығын тәмәмдаған түлектер құрамынан, және АӨК саласының мамандарын эксперт ретінде қатысуды ұйымдастыру; бұл туралы ақпаратты аудиторлық есепте көрсету;</w:t>
      </w:r>
    </w:p>
    <w:p w14:paraId="264FD23E" w14:textId="77777777" w:rsidR="00B10552" w:rsidRDefault="00B1055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тиімділік аудиті мерзімі 2 айдан – 12 айға дейін созу;</w:t>
      </w:r>
    </w:p>
    <w:p w14:paraId="5F4165D2" w14:textId="6B54311E" w:rsidR="00B10552" w:rsidRDefault="00B1055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тиімділік аудитін жүйелі ұйымдастыру, бұрынғы аудит нәтижелері бойынша анықталған жүйелі кемшіліктер мен бұзушылықтар мониторингін қамтамасыз ету мақсатында</w:t>
      </w:r>
      <w:r w:rsidR="00706F70">
        <w:rPr>
          <w:rFonts w:ascii="Times New Roman" w:hAnsi="Times New Roman"/>
          <w:sz w:val="28"/>
          <w:szCs w:val="28"/>
          <w:lang w:val="kk-KZ"/>
        </w:rPr>
        <w:t xml:space="preserve"> тиімділік аудитінің тиімділігін бағалау</w:t>
      </w:r>
      <w:r>
        <w:rPr>
          <w:rFonts w:ascii="Times New Roman" w:hAnsi="Times New Roman"/>
          <w:sz w:val="28"/>
          <w:szCs w:val="28"/>
          <w:lang w:val="kk-KZ"/>
        </w:rPr>
        <w:t>;</w:t>
      </w:r>
    </w:p>
    <w:p w14:paraId="6AEC0633" w14:textId="77777777" w:rsidR="00B10552" w:rsidRDefault="00B1055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ISSAI, GUID жағдайларын аудиторлар аудит жүргізу кезінде қолдану мақсатында мемлекеттік тілге аудару және олардың біліктілігін жоғарылату бойынша курстар өткізуді ұйымдастыру;</w:t>
      </w:r>
    </w:p>
    <w:p w14:paraId="7BB6B55B" w14:textId="3B1183AD" w:rsidR="00B10552" w:rsidRDefault="00AB27D2" w:rsidP="0097172E">
      <w:pPr>
        <w:pStyle w:val="a5"/>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w:t>
      </w:r>
      <w:r w:rsidR="00B10552">
        <w:rPr>
          <w:rFonts w:ascii="Times New Roman" w:hAnsi="Times New Roman"/>
          <w:sz w:val="28"/>
          <w:szCs w:val="28"/>
          <w:lang w:val="kk-KZ"/>
        </w:rPr>
        <w:t xml:space="preserve">удиторларға аудит барысында жеткілікті және сапалы аудиторлық дәлелдемелер алу мүмкін болмаған жағдайда аудиторлық пікір беруден бас тартуды, теріс пікір беру мүмкіндігін енгізу; </w:t>
      </w:r>
    </w:p>
    <w:p w14:paraId="2B585461" w14:textId="77777777" w:rsidR="00B10552" w:rsidRDefault="00B10552" w:rsidP="0097172E">
      <w:pPr>
        <w:pStyle w:val="a5"/>
        <w:widowControl w:val="0"/>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тиімділік аудиті бойынша аудиторлық есептерде міндетті түрде бюджет қаражатын пайдалану тиімділігі туралы нақты аудиторлық пікір беру, яғни, пайдалану деңгейі жоғары, орташа, төмен, тиімсіз деп жазуды енгізу;</w:t>
      </w:r>
    </w:p>
    <w:p w14:paraId="76A9CB80" w14:textId="5F101641" w:rsidR="00B10552" w:rsidRDefault="00B10552" w:rsidP="0097172E">
      <w:pPr>
        <w:pStyle w:val="a5"/>
        <w:widowControl w:val="0"/>
        <w:numPr>
          <w:ilvl w:val="0"/>
          <w:numId w:val="66"/>
        </w:numPr>
        <w:tabs>
          <w:tab w:val="left" w:pos="993"/>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қазақ тіліндегі пайдаланушылардың қажеттіліктерін қанағаттандыру мақсатында тиімділік аудиті бойынша аудиторлық есептілікті мемлекеттік тілде жариялау ұсынылады.</w:t>
      </w:r>
    </w:p>
    <w:p w14:paraId="277BA5FA" w14:textId="77777777" w:rsidR="00A23F7A" w:rsidRDefault="00A23F7A" w:rsidP="00B10552">
      <w:pPr>
        <w:widowControl w:val="0"/>
        <w:tabs>
          <w:tab w:val="left" w:pos="851"/>
          <w:tab w:val="left" w:pos="1605"/>
        </w:tabs>
        <w:spacing w:after="0" w:line="240" w:lineRule="auto"/>
        <w:jc w:val="both"/>
        <w:rPr>
          <w:rFonts w:ascii="Times New Roman" w:hAnsi="Times New Roman" w:cs="Times New Roman"/>
          <w:b/>
          <w:bCs/>
          <w:sz w:val="28"/>
          <w:szCs w:val="28"/>
          <w:lang w:val="kk-KZ"/>
        </w:rPr>
      </w:pPr>
    </w:p>
    <w:p w14:paraId="68181663"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7EEDF766"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48202CD4"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4E22C5EA"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172BEFB9"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6D8A6ED1"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5494534A"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5919D027"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6AC1DC47"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0613AF8F"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6849B1A9" w14:textId="77777777" w:rsidR="00681BDB" w:rsidRDefault="00681BDB" w:rsidP="00B54645">
      <w:pPr>
        <w:tabs>
          <w:tab w:val="left" w:pos="851"/>
          <w:tab w:val="left" w:pos="1605"/>
        </w:tabs>
        <w:spacing w:after="0" w:line="240" w:lineRule="auto"/>
        <w:jc w:val="center"/>
        <w:rPr>
          <w:rFonts w:ascii="Times New Roman" w:hAnsi="Times New Roman" w:cs="Times New Roman"/>
          <w:b/>
          <w:bCs/>
          <w:sz w:val="28"/>
          <w:szCs w:val="28"/>
          <w:lang w:val="kk-KZ"/>
        </w:rPr>
      </w:pPr>
    </w:p>
    <w:p w14:paraId="412F9EFB" w14:textId="1F163037" w:rsidR="008A0FB9" w:rsidRPr="00B54645" w:rsidRDefault="00B54645" w:rsidP="00B54645">
      <w:pPr>
        <w:tabs>
          <w:tab w:val="left" w:pos="851"/>
          <w:tab w:val="left" w:pos="1605"/>
        </w:tabs>
        <w:spacing w:after="0" w:line="240" w:lineRule="auto"/>
        <w:jc w:val="center"/>
        <w:rPr>
          <w:rFonts w:ascii="Times New Roman" w:hAnsi="Times New Roman" w:cs="Times New Roman"/>
          <w:b/>
          <w:bCs/>
          <w:sz w:val="28"/>
          <w:szCs w:val="28"/>
          <w:lang w:val="kk-KZ"/>
        </w:rPr>
      </w:pPr>
      <w:r w:rsidRPr="00B54645">
        <w:rPr>
          <w:rFonts w:ascii="Times New Roman" w:hAnsi="Times New Roman" w:cs="Times New Roman"/>
          <w:b/>
          <w:bCs/>
          <w:sz w:val="28"/>
          <w:szCs w:val="28"/>
          <w:lang w:val="kk-KZ"/>
        </w:rPr>
        <w:t>ҚОРЫТЫНДЫ</w:t>
      </w:r>
    </w:p>
    <w:p w14:paraId="093A11DB" w14:textId="77777777" w:rsidR="001F6CF7" w:rsidRPr="00457CE9" w:rsidRDefault="001F6CF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812599A" w14:textId="4AFF7A1C" w:rsidR="001F6CF7" w:rsidRPr="00457CE9" w:rsidRDefault="001F6CF7" w:rsidP="00457CE9">
      <w:pPr>
        <w:tabs>
          <w:tab w:val="left" w:pos="851"/>
          <w:tab w:val="left" w:pos="1605"/>
        </w:tabs>
        <w:spacing w:after="0" w:line="240" w:lineRule="auto"/>
        <w:ind w:firstLine="709"/>
        <w:jc w:val="both"/>
        <w:rPr>
          <w:rFonts w:ascii="Times New Roman" w:hAnsi="Times New Roman" w:cs="Times New Roman"/>
          <w:sz w:val="28"/>
          <w:szCs w:val="28"/>
          <w:lang w:val="kk-KZ"/>
        </w:rPr>
      </w:pPr>
      <w:r w:rsidRPr="00457CE9">
        <w:rPr>
          <w:rFonts w:ascii="Times New Roman" w:hAnsi="Times New Roman" w:cs="Times New Roman"/>
          <w:sz w:val="28"/>
          <w:szCs w:val="28"/>
          <w:lang w:val="kk-KZ"/>
        </w:rPr>
        <w:t>«</w:t>
      </w:r>
      <w:r w:rsidRPr="00457CE9">
        <w:rPr>
          <w:rStyle w:val="a4"/>
          <w:bCs/>
          <w:color w:val="auto"/>
          <w:sz w:val="28"/>
          <w:szCs w:val="28"/>
          <w:u w:val="none"/>
          <w:lang w:val="kk-KZ"/>
        </w:rPr>
        <w:t>Агроөнеркәсіп кешенін дамытуға бағытталған бюджет қаражатын пайдалану тиімділігінің аудиті</w:t>
      </w:r>
      <w:r w:rsidRPr="00457CE9">
        <w:rPr>
          <w:rFonts w:ascii="Times New Roman" w:hAnsi="Times New Roman" w:cs="Times New Roman"/>
          <w:sz w:val="28"/>
          <w:szCs w:val="28"/>
          <w:lang w:val="kk-KZ"/>
        </w:rPr>
        <w:t>»</w:t>
      </w:r>
      <w:r w:rsidR="00BB43C5" w:rsidRPr="00457CE9">
        <w:rPr>
          <w:rFonts w:ascii="Times New Roman" w:hAnsi="Times New Roman" w:cs="Times New Roman"/>
          <w:sz w:val="28"/>
          <w:szCs w:val="28"/>
          <w:lang w:val="kk-KZ"/>
        </w:rPr>
        <w:t xml:space="preserve"> атты </w:t>
      </w:r>
      <w:r w:rsidRPr="00457CE9">
        <w:rPr>
          <w:rFonts w:ascii="Times New Roman" w:hAnsi="Times New Roman" w:cs="Times New Roman"/>
          <w:sz w:val="28"/>
          <w:szCs w:val="28"/>
          <w:lang w:val="kk-KZ"/>
        </w:rPr>
        <w:t>диссертациялық</w:t>
      </w:r>
      <w:r w:rsidR="00BB43C5" w:rsidRPr="00457CE9">
        <w:rPr>
          <w:rFonts w:ascii="Times New Roman" w:hAnsi="Times New Roman" w:cs="Times New Roman"/>
          <w:sz w:val="28"/>
          <w:szCs w:val="28"/>
          <w:lang w:val="kk-KZ"/>
        </w:rPr>
        <w:t xml:space="preserve"> жұмысты аяқтай келе келесі </w:t>
      </w:r>
      <w:r w:rsidR="00BB43C5" w:rsidRPr="00B54645">
        <w:rPr>
          <w:rFonts w:ascii="Times New Roman" w:hAnsi="Times New Roman" w:cs="Times New Roman"/>
          <w:b/>
          <w:sz w:val="28"/>
          <w:szCs w:val="28"/>
          <w:lang w:val="kk-KZ"/>
        </w:rPr>
        <w:t>қорытынды</w:t>
      </w:r>
      <w:r w:rsidR="00BB43C5" w:rsidRPr="00457CE9">
        <w:rPr>
          <w:rFonts w:ascii="Times New Roman" w:hAnsi="Times New Roman" w:cs="Times New Roman"/>
          <w:sz w:val="28"/>
          <w:szCs w:val="28"/>
          <w:lang w:val="kk-KZ"/>
        </w:rPr>
        <w:t xml:space="preserve"> жасауға болады:</w:t>
      </w:r>
    </w:p>
    <w:p w14:paraId="45C4D828" w14:textId="03BE65C3" w:rsidR="00F55B60" w:rsidRPr="00457CE9" w:rsidRDefault="0084610D" w:rsidP="0097172E">
      <w:pPr>
        <w:pStyle w:val="a5"/>
        <w:numPr>
          <w:ilvl w:val="0"/>
          <w:numId w:val="33"/>
        </w:numPr>
        <w:shd w:val="clear" w:color="auto" w:fill="FFFFFF"/>
        <w:tabs>
          <w:tab w:val="left" w:pos="426"/>
          <w:tab w:val="left" w:pos="851"/>
          <w:tab w:val="left" w:pos="993"/>
        </w:tabs>
        <w:spacing w:after="0" w:line="240" w:lineRule="auto"/>
        <w:ind w:left="0" w:firstLine="709"/>
        <w:jc w:val="both"/>
        <w:outlineLvl w:val="0"/>
        <w:rPr>
          <w:rFonts w:ascii="Times New Roman" w:hAnsi="Times New Roman"/>
          <w:sz w:val="28"/>
          <w:szCs w:val="28"/>
          <w:lang w:val="kk-KZ"/>
        </w:rPr>
      </w:pPr>
      <w:r w:rsidRPr="00457CE9">
        <w:rPr>
          <w:rStyle w:val="a4"/>
          <w:color w:val="auto"/>
          <w:sz w:val="28"/>
          <w:szCs w:val="28"/>
          <w:u w:val="none"/>
          <w:lang w:val="kk-KZ"/>
        </w:rPr>
        <w:t xml:space="preserve">Тиімділік аудиті көптеген дамыған мемлекеттерде бюджет қаражатын пайдалану тиімділігін тәуелсіз және объективті бағалаудың, бюджет қаражатын нәтижелі, өнімді жұмсаудың, тиімді мемлекеттік саясатты іске асырудағы қаржылық бақылаудың тиімді құралы ретінде әрқашан жетілдіруді қажет ететін мемлекеттік аудиттің күрделі нысаны ретінде дамып келеді. </w:t>
      </w:r>
      <w:r w:rsidR="00A6729D" w:rsidRPr="00457CE9">
        <w:rPr>
          <w:rFonts w:ascii="Times New Roman" w:hAnsi="Times New Roman"/>
          <w:sz w:val="28"/>
          <w:szCs w:val="28"/>
          <w:shd w:val="clear" w:color="auto" w:fill="FFFFFF"/>
          <w:lang w:val="kk-KZ"/>
        </w:rPr>
        <w:t xml:space="preserve">Елімізде тиімділік аудитін жүргізу соның ішінде </w:t>
      </w:r>
      <w:r w:rsidR="00575788">
        <w:rPr>
          <w:rFonts w:ascii="Times New Roman" w:hAnsi="Times New Roman"/>
          <w:sz w:val="28"/>
          <w:szCs w:val="28"/>
          <w:shd w:val="clear" w:color="auto" w:fill="FFFFFF"/>
          <w:lang w:val="kk-KZ"/>
        </w:rPr>
        <w:t>АӨК-н</w:t>
      </w:r>
      <w:r w:rsidR="00A6729D" w:rsidRPr="00457CE9">
        <w:rPr>
          <w:rFonts w:ascii="Times New Roman" w:hAnsi="Times New Roman"/>
          <w:sz w:val="28"/>
          <w:szCs w:val="28"/>
          <w:shd w:val="clear" w:color="auto" w:fill="FFFFFF"/>
          <w:lang w:val="kk-KZ"/>
        </w:rPr>
        <w:t xml:space="preserve"> дамытуға бағытталған бюджет қаражаты</w:t>
      </w:r>
      <w:r w:rsidR="00216487">
        <w:rPr>
          <w:rFonts w:ascii="Times New Roman" w:hAnsi="Times New Roman"/>
          <w:sz w:val="28"/>
          <w:szCs w:val="28"/>
          <w:shd w:val="clear" w:color="auto" w:fill="FFFFFF"/>
          <w:lang w:val="kk-KZ"/>
        </w:rPr>
        <w:t>н пайдалану</w:t>
      </w:r>
      <w:r w:rsidR="00A6729D" w:rsidRPr="00457CE9">
        <w:rPr>
          <w:rFonts w:ascii="Times New Roman" w:hAnsi="Times New Roman"/>
          <w:sz w:val="28"/>
          <w:szCs w:val="28"/>
          <w:shd w:val="clear" w:color="auto" w:fill="FFFFFF"/>
          <w:lang w:val="kk-KZ"/>
        </w:rPr>
        <w:t xml:space="preserve"> тиімділігінің аудиті теориядағы және тәжірибедегі жаңа құбылыс болғандықтан</w:t>
      </w:r>
      <w:r w:rsidR="00DA6780" w:rsidRPr="00457CE9">
        <w:rPr>
          <w:rStyle w:val="a4"/>
          <w:color w:val="auto"/>
          <w:sz w:val="28"/>
          <w:szCs w:val="28"/>
          <w:u w:val="none"/>
          <w:lang w:val="kk-KZ"/>
        </w:rPr>
        <w:t xml:space="preserve">, </w:t>
      </w:r>
      <w:r w:rsidR="00DA6780" w:rsidRPr="00457CE9">
        <w:rPr>
          <w:rFonts w:ascii="Times New Roman" w:hAnsi="Times New Roman"/>
          <w:sz w:val="28"/>
          <w:szCs w:val="28"/>
          <w:shd w:val="clear" w:color="auto" w:fill="FFFFFF"/>
          <w:lang w:val="kk-KZ"/>
        </w:rPr>
        <w:t>оны жан</w:t>
      </w:r>
      <w:r w:rsidR="00216487">
        <w:rPr>
          <w:rFonts w:ascii="Times New Roman" w:hAnsi="Times New Roman"/>
          <w:sz w:val="28"/>
          <w:szCs w:val="28"/>
          <w:shd w:val="clear" w:color="auto" w:fill="FFFFFF"/>
          <w:lang w:val="kk-KZ"/>
        </w:rPr>
        <w:t>-</w:t>
      </w:r>
      <w:r w:rsidR="00DA6780" w:rsidRPr="00457CE9">
        <w:rPr>
          <w:rFonts w:ascii="Times New Roman" w:hAnsi="Times New Roman"/>
          <w:sz w:val="28"/>
          <w:szCs w:val="28"/>
          <w:shd w:val="clear" w:color="auto" w:fill="FFFFFF"/>
          <w:lang w:val="kk-KZ"/>
        </w:rPr>
        <w:t xml:space="preserve">жақты зерттеу және ғылыми түсінік қалыптасу үшін </w:t>
      </w:r>
      <w:r w:rsidR="00A6729D" w:rsidRPr="00457CE9">
        <w:rPr>
          <w:rFonts w:ascii="Times New Roman" w:hAnsi="Times New Roman"/>
          <w:sz w:val="28"/>
          <w:szCs w:val="28"/>
          <w:shd w:val="clear" w:color="auto" w:fill="FFFFFF"/>
          <w:lang w:val="kk-KZ"/>
        </w:rPr>
        <w:t xml:space="preserve">зерттеулер, </w:t>
      </w:r>
      <w:r w:rsidR="00DA6780" w:rsidRPr="00457CE9">
        <w:rPr>
          <w:rFonts w:ascii="Times New Roman" w:hAnsi="Times New Roman"/>
          <w:sz w:val="28"/>
          <w:szCs w:val="28"/>
          <w:shd w:val="clear" w:color="auto" w:fill="FFFFFF"/>
          <w:lang w:val="kk-KZ"/>
        </w:rPr>
        <w:t>уақыт және тәжірибе қажет</w:t>
      </w:r>
      <w:r w:rsidRPr="00457CE9">
        <w:rPr>
          <w:rStyle w:val="a4"/>
          <w:color w:val="auto"/>
          <w:sz w:val="28"/>
          <w:szCs w:val="28"/>
          <w:u w:val="none"/>
          <w:lang w:val="kk-KZ"/>
        </w:rPr>
        <w:t>.</w:t>
      </w:r>
      <w:r w:rsidR="005D0BC2" w:rsidRPr="00457CE9">
        <w:rPr>
          <w:rStyle w:val="a4"/>
          <w:color w:val="auto"/>
          <w:sz w:val="28"/>
          <w:szCs w:val="28"/>
          <w:u w:val="none"/>
          <w:lang w:val="kk-KZ"/>
        </w:rPr>
        <w:t xml:space="preserve"> АӨК дамытуға бағытталған бюджет қаражатын пайдалану тиімділігі аудиті</w:t>
      </w:r>
      <w:r w:rsidR="00A702A1" w:rsidRPr="00457CE9">
        <w:rPr>
          <w:rStyle w:val="a4"/>
          <w:color w:val="auto"/>
          <w:sz w:val="28"/>
          <w:szCs w:val="28"/>
          <w:u w:val="none"/>
          <w:lang w:val="kk-KZ"/>
        </w:rPr>
        <w:t xml:space="preserve"> туралы шетелдік және отандық ғалымдардың зерттеулеріне шолу жасалды. </w:t>
      </w:r>
      <w:r w:rsidR="00F07257" w:rsidRPr="00457CE9">
        <w:rPr>
          <w:rStyle w:val="a4"/>
          <w:color w:val="auto"/>
          <w:sz w:val="28"/>
          <w:szCs w:val="28"/>
          <w:u w:val="none"/>
          <w:lang w:val="kk-KZ"/>
        </w:rPr>
        <w:t xml:space="preserve">Кейбір ғалымдар тиімділік аудитін бағдарламалардың, іс-шаралардың үнемділік, өнімділік, нәтижелілік қағидаларына сәйкестігін объективті, тәуелсіз, сенімді талдау деп анықтаса, басқалары, бюджеттік қаражатты үнемдеуді, пәрменді және нәтижелі </w:t>
      </w:r>
      <w:r w:rsidR="00F07257" w:rsidRPr="00457CE9">
        <w:rPr>
          <w:rFonts w:ascii="Times New Roman" w:hAnsi="Times New Roman"/>
          <w:sz w:val="28"/>
          <w:szCs w:val="28"/>
          <w:lang w:val="kk-KZ"/>
        </w:rPr>
        <w:t xml:space="preserve">пайдалануды қамтамасыз ету үшін жоғары бақылау органы пайдаланатын қызмет түрлерінің бірі деп сипаттаған. Сонымен қоса бақылау объектісі туралы шынайы деректерді алуға бағытталған бақылау және сараптамалық-талдамалық іс-шаралар кешені деп те анықтаған. Тағы басқалары бюджет үрдісін бақылауды жандандыруға бағдарланған, немесе оның мақсаты тиімді жұмыс бағыттарын анықтау және мемлекеттік ресурстарды экономикалық пайдалану деп жазса, тағы бір автор мемлекеттік меншікті басқарудың тиімділігін бағалауға бағытталған болу керек деп жазған. </w:t>
      </w:r>
      <w:r w:rsidR="00A702A1" w:rsidRPr="00457CE9">
        <w:rPr>
          <w:rStyle w:val="a4"/>
          <w:color w:val="auto"/>
          <w:sz w:val="28"/>
          <w:szCs w:val="28"/>
          <w:u w:val="none"/>
          <w:lang w:val="kk-KZ"/>
        </w:rPr>
        <w:t>Жалпы айтқанда</w:t>
      </w:r>
      <w:r w:rsidR="00F07257" w:rsidRPr="00457CE9">
        <w:rPr>
          <w:rStyle w:val="a4"/>
          <w:color w:val="auto"/>
          <w:sz w:val="28"/>
          <w:szCs w:val="28"/>
          <w:u w:val="none"/>
          <w:lang w:val="kk-KZ"/>
        </w:rPr>
        <w:t xml:space="preserve"> АӨК дамытуға бағытталған бюджет қаражаты тиімділігі аудитінің мақсатын дұрыс анықтау және оны ұйымдастыру сапасын жақсарту мақсатында д</w:t>
      </w:r>
      <w:r w:rsidR="00D822FC" w:rsidRPr="00457CE9">
        <w:rPr>
          <w:rFonts w:ascii="Times New Roman" w:hAnsi="Times New Roman"/>
          <w:sz w:val="28"/>
          <w:szCs w:val="28"/>
          <w:lang w:val="kk-KZ"/>
        </w:rPr>
        <w:t>иссертациялық жұмыст</w:t>
      </w:r>
      <w:r w:rsidR="00A6729D" w:rsidRPr="00457CE9">
        <w:rPr>
          <w:rFonts w:ascii="Times New Roman" w:hAnsi="Times New Roman"/>
          <w:sz w:val="28"/>
          <w:szCs w:val="28"/>
          <w:lang w:val="kk-KZ"/>
        </w:rPr>
        <w:t>а</w:t>
      </w:r>
      <w:r w:rsidR="009267D5" w:rsidRPr="00457CE9">
        <w:rPr>
          <w:rFonts w:ascii="Times New Roman" w:hAnsi="Times New Roman"/>
          <w:sz w:val="28"/>
          <w:szCs w:val="28"/>
          <w:lang w:val="kk-KZ"/>
        </w:rPr>
        <w:t xml:space="preserve"> оған келесідей авторлық анықтама берілді: «Агроөнеркәсіп кешенін дамытуға бағытталған бюджет қаражатын пайдалану тиімділігінің аудиті бұл жауапты мемлекеттік орталық орган қызметінің, бюджет қаражатын алушылардың сала ерекшелігін ескере отырып қабылданған ұлттық жобаға</w:t>
      </w:r>
      <w:r w:rsidR="00216487">
        <w:rPr>
          <w:rFonts w:ascii="Times New Roman" w:hAnsi="Times New Roman"/>
          <w:sz w:val="28"/>
          <w:szCs w:val="28"/>
          <w:lang w:val="kk-KZ"/>
        </w:rPr>
        <w:t>/бағдарламаға</w:t>
      </w:r>
      <w:r w:rsidR="009267D5" w:rsidRPr="00457CE9">
        <w:rPr>
          <w:rFonts w:ascii="Times New Roman" w:hAnsi="Times New Roman"/>
          <w:sz w:val="28"/>
          <w:szCs w:val="28"/>
          <w:lang w:val="kk-KZ"/>
        </w:rPr>
        <w:t xml:space="preserve"> сәйкестігін, </w:t>
      </w:r>
      <w:r w:rsidR="00216487">
        <w:rPr>
          <w:rFonts w:ascii="Times New Roman" w:hAnsi="Times New Roman"/>
          <w:sz w:val="28"/>
          <w:szCs w:val="28"/>
          <w:lang w:val="kk-KZ"/>
        </w:rPr>
        <w:t>өнімд</w:t>
      </w:r>
      <w:r w:rsidR="009267D5" w:rsidRPr="00457CE9">
        <w:rPr>
          <w:rFonts w:ascii="Times New Roman" w:hAnsi="Times New Roman"/>
          <w:sz w:val="28"/>
          <w:szCs w:val="28"/>
          <w:lang w:val="kk-KZ"/>
        </w:rPr>
        <w:t>ілігін, үнемділігін және нәтижелілігін көпкритериалды талдау арқылы анықтау және осы саланың мемлекеттің әлеуметтік-экономикалық дамуына ықпалын тәуелсіз бағалау және тексеру болып табылады». Сонымен қатар, АӨК дамытуға жұмсалған бюджет қаражатын пайдалану тиімділігі аудитінің кезеңдері анықталып, оны жүргізетін мемлекеттік аудит органдары белгіленді.</w:t>
      </w:r>
      <w:r w:rsidR="00D822FC" w:rsidRPr="00457CE9">
        <w:rPr>
          <w:rFonts w:ascii="Times New Roman" w:hAnsi="Times New Roman"/>
          <w:sz w:val="28"/>
          <w:szCs w:val="28"/>
          <w:lang w:val="kk-KZ"/>
        </w:rPr>
        <w:t xml:space="preserve"> </w:t>
      </w:r>
    </w:p>
    <w:p w14:paraId="039EB299" w14:textId="2B4AB166" w:rsidR="00AF70D9" w:rsidRPr="00457CE9" w:rsidRDefault="00F55B60" w:rsidP="0097172E">
      <w:pPr>
        <w:pStyle w:val="a5"/>
        <w:numPr>
          <w:ilvl w:val="0"/>
          <w:numId w:val="33"/>
        </w:numPr>
        <w:shd w:val="clear" w:color="auto" w:fill="FFFFFF"/>
        <w:tabs>
          <w:tab w:val="left" w:pos="426"/>
          <w:tab w:val="left" w:pos="851"/>
          <w:tab w:val="left" w:pos="993"/>
        </w:tabs>
        <w:spacing w:after="0" w:line="240" w:lineRule="auto"/>
        <w:ind w:left="0" w:firstLine="709"/>
        <w:jc w:val="both"/>
        <w:outlineLvl w:val="0"/>
        <w:rPr>
          <w:rFonts w:ascii="Times New Roman" w:hAnsi="Times New Roman"/>
          <w:sz w:val="28"/>
          <w:szCs w:val="28"/>
          <w:lang w:val="kk-KZ"/>
        </w:rPr>
      </w:pPr>
      <w:r w:rsidRPr="00457CE9">
        <w:rPr>
          <w:rFonts w:ascii="Times New Roman" w:hAnsi="Times New Roman"/>
          <w:sz w:val="28"/>
          <w:szCs w:val="28"/>
          <w:lang w:val="kk-KZ"/>
        </w:rPr>
        <w:t>ҚР-да мемлекеттік аудиттің типі болып табылатын тиімділік аудиті «ҚР Мемлекеттік аудит және қаржылық бақылау заңына» сәйкес бюджет қаражатын</w:t>
      </w:r>
      <w:r w:rsidR="00216487">
        <w:rPr>
          <w:rFonts w:ascii="Times New Roman" w:hAnsi="Times New Roman"/>
          <w:sz w:val="28"/>
          <w:szCs w:val="28"/>
          <w:lang w:val="kk-KZ"/>
        </w:rPr>
        <w:t>ың тиімділігін</w:t>
      </w:r>
      <w:r w:rsidRPr="00457CE9">
        <w:rPr>
          <w:rFonts w:ascii="Times New Roman" w:hAnsi="Times New Roman"/>
          <w:sz w:val="28"/>
          <w:szCs w:val="28"/>
          <w:lang w:val="kk-KZ"/>
        </w:rPr>
        <w:t xml:space="preserve"> тексерудің жаңа </w:t>
      </w:r>
      <w:r w:rsidR="007E1D8E" w:rsidRPr="00457CE9">
        <w:rPr>
          <w:rFonts w:ascii="Times New Roman" w:hAnsi="Times New Roman"/>
          <w:sz w:val="28"/>
          <w:szCs w:val="28"/>
          <w:lang w:val="kk-KZ"/>
        </w:rPr>
        <w:t xml:space="preserve">бақылау </w:t>
      </w:r>
      <w:r w:rsidRPr="00457CE9">
        <w:rPr>
          <w:rFonts w:ascii="Times New Roman" w:hAnsi="Times New Roman"/>
          <w:sz w:val="28"/>
          <w:szCs w:val="28"/>
          <w:lang w:val="kk-KZ"/>
        </w:rPr>
        <w:t xml:space="preserve">құралы болып табылады. Осы заңға сәйкес тиімділік аудитін жүргізу «Сыртқы мемлекеттік аудиттің және қаржылық </w:t>
      </w:r>
      <w:r w:rsidR="009267D5" w:rsidRPr="00457CE9">
        <w:rPr>
          <w:rFonts w:ascii="Times New Roman" w:hAnsi="Times New Roman"/>
          <w:sz w:val="28"/>
          <w:szCs w:val="28"/>
          <w:lang w:val="kk-KZ"/>
        </w:rPr>
        <w:t>б</w:t>
      </w:r>
      <w:r w:rsidRPr="00457CE9">
        <w:rPr>
          <w:rFonts w:ascii="Times New Roman" w:hAnsi="Times New Roman"/>
          <w:sz w:val="28"/>
          <w:szCs w:val="28"/>
          <w:lang w:val="kk-KZ"/>
        </w:rPr>
        <w:t xml:space="preserve">ақылаудың рәсімдік стандарттарын бекіту туралы» Жоғары аудит палатасының қаулысына сәйкес 100 «Тиімділік аудитін жүргізу бойынша сыртқы мемлекеттік аудиттің және қаржылық бақылаудың рәсімдік стандарты» бойынша жүзеге асырылып келеді, бұл стандарт экономиканың барлық салаларына арналған. </w:t>
      </w:r>
      <w:r w:rsidR="00575788">
        <w:rPr>
          <w:rFonts w:ascii="Times New Roman" w:hAnsi="Times New Roman"/>
          <w:sz w:val="28"/>
          <w:szCs w:val="28"/>
          <w:lang w:val="kk-KZ"/>
        </w:rPr>
        <w:t>АӨК-</w:t>
      </w:r>
      <w:r w:rsidR="007A535F">
        <w:rPr>
          <w:rFonts w:ascii="Times New Roman" w:hAnsi="Times New Roman"/>
          <w:sz w:val="28"/>
          <w:szCs w:val="28"/>
          <w:lang w:val="kk-KZ"/>
        </w:rPr>
        <w:t>і</w:t>
      </w:r>
      <w:r w:rsidRPr="00457CE9">
        <w:rPr>
          <w:rFonts w:ascii="Times New Roman" w:hAnsi="Times New Roman"/>
          <w:sz w:val="28"/>
          <w:szCs w:val="28"/>
          <w:lang w:val="kk-KZ"/>
        </w:rPr>
        <w:t xml:space="preserve"> жеке сала ретінде өз ерекшеліктері болғандықтан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бағытталған бюджет қаражатын пайдалану тиімділі</w:t>
      </w:r>
      <w:r w:rsidR="007A535F">
        <w:rPr>
          <w:rFonts w:ascii="Times New Roman" w:hAnsi="Times New Roman"/>
          <w:sz w:val="28"/>
          <w:szCs w:val="28"/>
          <w:lang w:val="kk-KZ"/>
        </w:rPr>
        <w:t>гінің</w:t>
      </w:r>
      <w:r w:rsidRPr="00457CE9">
        <w:rPr>
          <w:rFonts w:ascii="Times New Roman" w:hAnsi="Times New Roman"/>
          <w:sz w:val="28"/>
          <w:szCs w:val="28"/>
          <w:lang w:val="kk-KZ"/>
        </w:rPr>
        <w:t xml:space="preserve"> аудитін ұйымдастыру және жүргізу үшін жеке салалық </w:t>
      </w:r>
      <w:r w:rsidR="009267D5" w:rsidRPr="00457CE9">
        <w:rPr>
          <w:rFonts w:ascii="Times New Roman" w:hAnsi="Times New Roman"/>
          <w:sz w:val="28"/>
          <w:szCs w:val="28"/>
          <w:lang w:val="kk-KZ"/>
        </w:rPr>
        <w:t xml:space="preserve">рәсімдік </w:t>
      </w:r>
      <w:r w:rsidRPr="00457CE9">
        <w:rPr>
          <w:rFonts w:ascii="Times New Roman" w:hAnsi="Times New Roman"/>
          <w:sz w:val="28"/>
          <w:szCs w:val="28"/>
          <w:lang w:val="kk-KZ"/>
        </w:rPr>
        <w:t xml:space="preserve">стандарт қажеттілігі туындап отыр.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бағытталған бюджет қаражат</w:t>
      </w:r>
      <w:r w:rsidR="007A535F">
        <w:rPr>
          <w:rFonts w:ascii="Times New Roman" w:hAnsi="Times New Roman"/>
          <w:sz w:val="28"/>
          <w:szCs w:val="28"/>
          <w:lang w:val="kk-KZ"/>
        </w:rPr>
        <w:t>ы</w:t>
      </w:r>
      <w:r w:rsidRPr="00457CE9">
        <w:rPr>
          <w:rFonts w:ascii="Times New Roman" w:hAnsi="Times New Roman"/>
          <w:sz w:val="28"/>
          <w:szCs w:val="28"/>
          <w:lang w:val="kk-KZ"/>
        </w:rPr>
        <w:t>н</w:t>
      </w:r>
      <w:r w:rsidR="007A535F">
        <w:rPr>
          <w:rFonts w:ascii="Times New Roman" w:hAnsi="Times New Roman"/>
          <w:sz w:val="28"/>
          <w:szCs w:val="28"/>
          <w:lang w:val="kk-KZ"/>
        </w:rPr>
        <w:t xml:space="preserve"> пайдалану</w:t>
      </w:r>
      <w:r w:rsidRPr="00457CE9">
        <w:rPr>
          <w:rFonts w:ascii="Times New Roman" w:hAnsi="Times New Roman"/>
          <w:sz w:val="28"/>
          <w:szCs w:val="28"/>
          <w:lang w:val="kk-KZ"/>
        </w:rPr>
        <w:t xml:space="preserve"> тиімділі</w:t>
      </w:r>
      <w:r w:rsidR="007A535F">
        <w:rPr>
          <w:rFonts w:ascii="Times New Roman" w:hAnsi="Times New Roman"/>
          <w:sz w:val="28"/>
          <w:szCs w:val="28"/>
          <w:lang w:val="kk-KZ"/>
        </w:rPr>
        <w:t>гінің</w:t>
      </w:r>
      <w:r w:rsidRPr="00457CE9">
        <w:rPr>
          <w:rFonts w:ascii="Times New Roman" w:hAnsi="Times New Roman"/>
          <w:sz w:val="28"/>
          <w:szCs w:val="28"/>
          <w:lang w:val="kk-KZ"/>
        </w:rPr>
        <w:t xml:space="preserve"> аудитін ұйымдастыру және жүргізудің әдіснамасы «Ұсынымдар әзірлей отырып, агроөнеркәсіптік кешенді дамытуға бағытталған бюджет қаражатын пайдалану тиімділігіне аудит жүргізудің әдіснамалық тәсілдерін зерттеу» деп аталатын «Зерттеулер, талдау және тиімділікті бағалау орталығы» ЖШС-нің зерттеу еңбегі 2022 жылы жарияланды. Берілген нұсқаулық жобасында үш негізгі бөлім қарастырылған, бірінші бөлім «жалпы жағдайлар», екінші бөлім «мемлекеттік аудит объектілерінің тізімін құру», үшінші бөлімі «мемлекеттік аудитті жоспарлау», төртінші бөлімі «мемлекеттік аудитті жүргізу» деп анықтаған.  Біздің ойымызша бұл жобаға да толықтырулар ұсыну қажет. 2021 жылы ҚР Жоғары аудит палатасы «ҚР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2017-2021 жж. дамытудың мемлекеттік бағдарламасының» мемлекеттік аудиті, соның ішінде тиімділік аудиті жүргізіліп, оның аудиторлық есебі ҚР Ауыл шаруашылығы министрлігінің және Жоғары аудит палатасының ресми сайттарында жарияланған. Аудиторлық есептің жалпы көлемі 206 беттен негізгі мәтіні және растаушы құжаттар көлемі 1160 бетте деп көрсетілген. Жүргізілген аудиторлық есептің сапасы жоғары деңгейде</w:t>
      </w:r>
      <w:r w:rsidR="003A254B" w:rsidRPr="00457CE9">
        <w:rPr>
          <w:rFonts w:ascii="Times New Roman" w:hAnsi="Times New Roman"/>
          <w:sz w:val="28"/>
          <w:szCs w:val="28"/>
          <w:lang w:val="kk-KZ"/>
        </w:rPr>
        <w:t xml:space="preserve"> </w:t>
      </w:r>
      <w:r w:rsidRPr="00457CE9">
        <w:rPr>
          <w:rFonts w:ascii="Times New Roman" w:hAnsi="Times New Roman"/>
          <w:sz w:val="28"/>
          <w:szCs w:val="28"/>
          <w:lang w:val="kk-KZ"/>
        </w:rPr>
        <w:t xml:space="preserve">деп айтуға болмайды. Себебі, тиімділік аудиті сәйкестік аудитінен айырмашылығы </w:t>
      </w:r>
      <w:r w:rsidR="007E1D8E" w:rsidRPr="00457CE9">
        <w:rPr>
          <w:rFonts w:ascii="Times New Roman" w:hAnsi="Times New Roman"/>
          <w:sz w:val="28"/>
          <w:szCs w:val="28"/>
          <w:lang w:val="kk-KZ"/>
        </w:rPr>
        <w:t>шамалы</w:t>
      </w:r>
      <w:r w:rsidRPr="00457CE9">
        <w:rPr>
          <w:rFonts w:ascii="Times New Roman" w:hAnsi="Times New Roman"/>
          <w:sz w:val="28"/>
          <w:szCs w:val="28"/>
          <w:lang w:val="kk-KZ"/>
        </w:rPr>
        <w:t xml:space="preserve">. Сондықтан ҚР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бағытталған бюджет қаражатын</w:t>
      </w:r>
      <w:r w:rsidR="007A535F">
        <w:rPr>
          <w:rFonts w:ascii="Times New Roman" w:hAnsi="Times New Roman"/>
          <w:sz w:val="28"/>
          <w:szCs w:val="28"/>
          <w:lang w:val="kk-KZ"/>
        </w:rPr>
        <w:t xml:space="preserve"> пайдалану</w:t>
      </w:r>
      <w:r w:rsidRPr="00457CE9">
        <w:rPr>
          <w:rFonts w:ascii="Times New Roman" w:hAnsi="Times New Roman"/>
          <w:sz w:val="28"/>
          <w:szCs w:val="28"/>
          <w:lang w:val="kk-KZ"/>
        </w:rPr>
        <w:t xml:space="preserve"> тиімділі</w:t>
      </w:r>
      <w:r w:rsidR="007A535F">
        <w:rPr>
          <w:rFonts w:ascii="Times New Roman" w:hAnsi="Times New Roman"/>
          <w:sz w:val="28"/>
          <w:szCs w:val="28"/>
          <w:lang w:val="kk-KZ"/>
        </w:rPr>
        <w:t>гінің</w:t>
      </w:r>
      <w:r w:rsidRPr="00457CE9">
        <w:rPr>
          <w:rFonts w:ascii="Times New Roman" w:hAnsi="Times New Roman"/>
          <w:sz w:val="28"/>
          <w:szCs w:val="28"/>
          <w:lang w:val="kk-KZ"/>
        </w:rPr>
        <w:t xml:space="preserve"> аудитін жетілдіру жолдарын анықтау өзекті болып қалып отыр.</w:t>
      </w:r>
      <w:r w:rsidR="003A254B" w:rsidRPr="00457CE9">
        <w:rPr>
          <w:rFonts w:ascii="Times New Roman" w:hAnsi="Times New Roman"/>
          <w:sz w:val="28"/>
          <w:szCs w:val="28"/>
          <w:lang w:val="kk-KZ"/>
        </w:rPr>
        <w:t xml:space="preserve"> Жүргізілген аудиторлық есеп қорытындыларынан аудит мақсатына қарай арнайы критерийлері белгіленбеген. Аудиторлық есептерде мақсатына қарай нақты аудиторлық пікір берілмеген. </w:t>
      </w:r>
      <w:r w:rsidR="00AF70D9" w:rsidRPr="00457CE9">
        <w:rPr>
          <w:rFonts w:ascii="Times New Roman" w:hAnsi="Times New Roman"/>
          <w:sz w:val="28"/>
          <w:szCs w:val="28"/>
          <w:lang w:val="kk-KZ"/>
        </w:rPr>
        <w:t>Біздің ойымызша а</w:t>
      </w:r>
      <w:r w:rsidR="003A254B" w:rsidRPr="00457CE9">
        <w:rPr>
          <w:rFonts w:ascii="Times New Roman" w:hAnsi="Times New Roman"/>
          <w:sz w:val="28"/>
          <w:szCs w:val="28"/>
          <w:lang w:val="kk-KZ"/>
        </w:rPr>
        <w:t>удиторлық есептегі ақпарат</w:t>
      </w:r>
      <w:r w:rsidR="00AF70D9" w:rsidRPr="00457CE9">
        <w:rPr>
          <w:rFonts w:ascii="Times New Roman" w:hAnsi="Times New Roman"/>
          <w:sz w:val="28"/>
          <w:szCs w:val="28"/>
          <w:lang w:val="kk-KZ"/>
        </w:rPr>
        <w:t xml:space="preserve"> пайдаланушыларға</w:t>
      </w:r>
      <w:r w:rsidR="003A254B" w:rsidRPr="00457CE9">
        <w:rPr>
          <w:rFonts w:ascii="Times New Roman" w:hAnsi="Times New Roman"/>
          <w:sz w:val="28"/>
          <w:szCs w:val="28"/>
          <w:lang w:val="kk-KZ"/>
        </w:rPr>
        <w:t xml:space="preserve"> </w:t>
      </w:r>
      <w:r w:rsidR="00AF70D9" w:rsidRPr="00457CE9">
        <w:rPr>
          <w:rFonts w:ascii="Times New Roman" w:hAnsi="Times New Roman"/>
          <w:sz w:val="28"/>
          <w:szCs w:val="28"/>
          <w:lang w:val="kk-KZ"/>
        </w:rPr>
        <w:t xml:space="preserve">толық, шынайы және </w:t>
      </w:r>
      <w:r w:rsidR="003A254B" w:rsidRPr="00457CE9">
        <w:rPr>
          <w:rFonts w:ascii="Times New Roman" w:hAnsi="Times New Roman"/>
          <w:sz w:val="28"/>
          <w:szCs w:val="28"/>
          <w:lang w:val="kk-KZ"/>
        </w:rPr>
        <w:t>түсінікті</w:t>
      </w:r>
      <w:r w:rsidR="00AF70D9" w:rsidRPr="00457CE9">
        <w:rPr>
          <w:rFonts w:ascii="Times New Roman" w:hAnsi="Times New Roman"/>
          <w:sz w:val="28"/>
          <w:szCs w:val="28"/>
          <w:lang w:val="kk-KZ"/>
        </w:rPr>
        <w:t xml:space="preserve"> болуға тиіс, жүргізілген аудиттер бойынша есептерде ақпарат шашыраңқы, оқуға өте ұзақ, аудиторлық дәлелдемелері жүйеленбеген, аудит нәтижесінде қандай пікір қалыптасқаны белгісіз. Сондықтан тиімділік аудиті бойынша аудиторлық есеп сапасын жақсарту бағытында жасалатын жұмыстар көп.</w:t>
      </w:r>
    </w:p>
    <w:p w14:paraId="37253C04" w14:textId="21077445" w:rsidR="00AF70D9" w:rsidRPr="00457CE9" w:rsidRDefault="00575788" w:rsidP="0097172E">
      <w:pPr>
        <w:pStyle w:val="a5"/>
        <w:numPr>
          <w:ilvl w:val="0"/>
          <w:numId w:val="33"/>
        </w:numPr>
        <w:shd w:val="clear" w:color="auto" w:fill="FFFFFF"/>
        <w:tabs>
          <w:tab w:val="left" w:pos="426"/>
          <w:tab w:val="left" w:pos="851"/>
          <w:tab w:val="left" w:pos="993"/>
        </w:tabs>
        <w:spacing w:after="0" w:line="240" w:lineRule="auto"/>
        <w:ind w:left="0" w:firstLine="709"/>
        <w:jc w:val="both"/>
        <w:outlineLvl w:val="0"/>
        <w:rPr>
          <w:rFonts w:ascii="Times New Roman" w:hAnsi="Times New Roman"/>
          <w:sz w:val="28"/>
          <w:szCs w:val="28"/>
          <w:lang w:val="kk-KZ"/>
        </w:rPr>
      </w:pPr>
      <w:r>
        <w:rPr>
          <w:rFonts w:ascii="Times New Roman" w:hAnsi="Times New Roman"/>
          <w:sz w:val="28"/>
          <w:szCs w:val="28"/>
          <w:shd w:val="clear" w:color="auto" w:fill="FFFFFF"/>
          <w:lang w:val="kk-KZ"/>
        </w:rPr>
        <w:t>АӨК-н</w:t>
      </w:r>
      <w:r w:rsidR="00AF70D9" w:rsidRPr="00457CE9">
        <w:rPr>
          <w:rFonts w:ascii="Times New Roman" w:hAnsi="Times New Roman"/>
          <w:sz w:val="28"/>
          <w:szCs w:val="28"/>
          <w:shd w:val="clear" w:color="auto" w:fill="FFFFFF"/>
          <w:lang w:val="kk-KZ"/>
        </w:rPr>
        <w:t xml:space="preserve"> дамытуға бағытталған бюджет қаражаты</w:t>
      </w:r>
      <w:r w:rsidR="00012BE5">
        <w:rPr>
          <w:rFonts w:ascii="Times New Roman" w:hAnsi="Times New Roman"/>
          <w:sz w:val="28"/>
          <w:szCs w:val="28"/>
          <w:shd w:val="clear" w:color="auto" w:fill="FFFFFF"/>
          <w:lang w:val="kk-KZ"/>
        </w:rPr>
        <w:t>н пайдалану</w:t>
      </w:r>
      <w:r w:rsidR="00AF70D9" w:rsidRPr="00457CE9">
        <w:rPr>
          <w:rFonts w:ascii="Times New Roman" w:hAnsi="Times New Roman"/>
          <w:sz w:val="28"/>
          <w:szCs w:val="28"/>
          <w:shd w:val="clear" w:color="auto" w:fill="FFFFFF"/>
          <w:lang w:val="kk-KZ"/>
        </w:rPr>
        <w:t xml:space="preserve"> тиімділігі аудитін республикалық деңгейде ұйымдастыру және өткізу ауқымды жұмыс болып табылады, өйткені диссертациялық жұмыста келтірілгендей АӨК үлкен төрт саланы қамтиды. Шетелдік тәжірибені зерттеу барысында бұл бағытта белгілі тақырыптар бойынша тиімділік аудиттері жүргізілетіні, соған байланысты тиімділік аудитінің мақсаты, объектісі, пәні, жүргізу әдістері мен рәсімдері де әр түрлі болатыны белгілі болды. Бірақ барлық елдерге ортақ белгі ол тиімділік аудитін жүргізу кезінде аудит мақсатына қарай нақты өлшенетін критерийдерді анықтау және осы критерийлер орындалуы деңгейіне қарай тәуелсіз баға беру деп анықталған. </w:t>
      </w:r>
      <w:r w:rsidR="007E1D8E" w:rsidRPr="00457CE9">
        <w:rPr>
          <w:rFonts w:ascii="Times New Roman" w:hAnsi="Times New Roman"/>
          <w:sz w:val="28"/>
          <w:szCs w:val="28"/>
          <w:shd w:val="clear" w:color="auto" w:fill="FFFFFF"/>
          <w:lang w:val="kk-KZ"/>
        </w:rPr>
        <w:t xml:space="preserve">Тиімділік аудитін жүргізу кезінде нақты критерийлер, берілген аудиторлық тапсырманың мақсатын ашуға және аудиторлық пікір берудің негізі болып шығатынын шетелдік тәжірибе көрсетуде. </w:t>
      </w:r>
      <w:r w:rsidR="00AF70D9" w:rsidRPr="00457CE9">
        <w:rPr>
          <w:rFonts w:ascii="Times New Roman" w:hAnsi="Times New Roman"/>
          <w:sz w:val="28"/>
          <w:szCs w:val="28"/>
          <w:shd w:val="clear" w:color="auto" w:fill="FFFFFF"/>
          <w:lang w:val="kk-KZ"/>
        </w:rPr>
        <w:t xml:space="preserve">ҚР-да </w:t>
      </w:r>
      <w:r>
        <w:rPr>
          <w:rFonts w:ascii="Times New Roman" w:hAnsi="Times New Roman"/>
          <w:sz w:val="28"/>
          <w:szCs w:val="28"/>
          <w:shd w:val="clear" w:color="auto" w:fill="FFFFFF"/>
          <w:lang w:val="kk-KZ"/>
        </w:rPr>
        <w:t>АӨК-н</w:t>
      </w:r>
      <w:r w:rsidR="00AF70D9" w:rsidRPr="00457CE9">
        <w:rPr>
          <w:rFonts w:ascii="Times New Roman" w:hAnsi="Times New Roman"/>
          <w:sz w:val="28"/>
          <w:szCs w:val="28"/>
          <w:shd w:val="clear" w:color="auto" w:fill="FFFFFF"/>
          <w:lang w:val="kk-KZ"/>
        </w:rPr>
        <w:t xml:space="preserve"> дамыту ҚР Ауыл шаруашылығы министрлігімен әзірленген және қабылданған мемлекеттік бағдарламалар, ұлттық жобалар арқылы жүзеге асырылуда. Осы бағыттағы теория мен тәжірибені зерттей келе біздің ойымызша, </w:t>
      </w:r>
      <w:r>
        <w:rPr>
          <w:rFonts w:ascii="Times New Roman" w:hAnsi="Times New Roman"/>
          <w:sz w:val="28"/>
          <w:szCs w:val="28"/>
          <w:shd w:val="clear" w:color="auto" w:fill="FFFFFF"/>
          <w:lang w:val="kk-KZ"/>
        </w:rPr>
        <w:t>АӨК-н</w:t>
      </w:r>
      <w:r w:rsidR="00AF70D9" w:rsidRPr="00457CE9">
        <w:rPr>
          <w:rFonts w:ascii="Times New Roman" w:hAnsi="Times New Roman"/>
          <w:sz w:val="28"/>
          <w:szCs w:val="28"/>
          <w:shd w:val="clear" w:color="auto" w:fill="FFFFFF"/>
          <w:lang w:val="kk-KZ"/>
        </w:rPr>
        <w:t xml:space="preserve"> дамуын сипаттайтын негізгі макроэкономикалық </w:t>
      </w:r>
      <w:r w:rsidR="00175165" w:rsidRPr="00457CE9">
        <w:rPr>
          <w:rFonts w:ascii="Times New Roman" w:hAnsi="Times New Roman"/>
          <w:sz w:val="28"/>
          <w:szCs w:val="28"/>
          <w:shd w:val="clear" w:color="auto" w:fill="FFFFFF"/>
          <w:lang w:val="kk-KZ"/>
        </w:rPr>
        <w:t>әлеуметтік</w:t>
      </w:r>
      <w:r w:rsidR="00587FE1">
        <w:rPr>
          <w:rFonts w:ascii="Times New Roman" w:hAnsi="Times New Roman"/>
          <w:sz w:val="28"/>
          <w:szCs w:val="28"/>
          <w:shd w:val="clear" w:color="auto" w:fill="FFFFFF"/>
          <w:lang w:val="kk-KZ"/>
        </w:rPr>
        <w:t xml:space="preserve">, </w:t>
      </w:r>
      <w:r w:rsidR="00175165" w:rsidRPr="00457CE9">
        <w:rPr>
          <w:rFonts w:ascii="Times New Roman" w:hAnsi="Times New Roman"/>
          <w:sz w:val="28"/>
          <w:szCs w:val="28"/>
          <w:shd w:val="clear" w:color="auto" w:fill="FFFFFF"/>
          <w:lang w:val="kk-KZ"/>
        </w:rPr>
        <w:t>экономикалық, экологиялық</w:t>
      </w:r>
      <w:r w:rsidR="00587FE1">
        <w:rPr>
          <w:rFonts w:ascii="Times New Roman" w:hAnsi="Times New Roman"/>
          <w:sz w:val="28"/>
          <w:szCs w:val="28"/>
          <w:shd w:val="clear" w:color="auto" w:fill="FFFFFF"/>
          <w:lang w:val="kk-KZ"/>
        </w:rPr>
        <w:t>, технологиялық, бюджеттік</w:t>
      </w:r>
      <w:r w:rsidR="00175165" w:rsidRPr="00457CE9">
        <w:rPr>
          <w:rFonts w:ascii="Times New Roman" w:hAnsi="Times New Roman"/>
          <w:sz w:val="28"/>
          <w:szCs w:val="28"/>
          <w:shd w:val="clear" w:color="auto" w:fill="FFFFFF"/>
          <w:lang w:val="kk-KZ"/>
        </w:rPr>
        <w:t xml:space="preserve"> ықпалын бағалайтын </w:t>
      </w:r>
      <w:r w:rsidR="00AF70D9" w:rsidRPr="00457CE9">
        <w:rPr>
          <w:rFonts w:ascii="Times New Roman" w:hAnsi="Times New Roman"/>
          <w:sz w:val="28"/>
          <w:szCs w:val="28"/>
          <w:shd w:val="clear" w:color="auto" w:fill="FFFFFF"/>
          <w:lang w:val="kk-KZ"/>
        </w:rPr>
        <w:t>көрсеткіштер</w:t>
      </w:r>
      <w:r w:rsidR="00175165" w:rsidRPr="00457CE9">
        <w:rPr>
          <w:rFonts w:ascii="Times New Roman" w:hAnsi="Times New Roman"/>
          <w:sz w:val="28"/>
          <w:szCs w:val="28"/>
          <w:shd w:val="clear" w:color="auto" w:fill="FFFFFF"/>
          <w:lang w:val="kk-KZ"/>
        </w:rPr>
        <w:t>ін</w:t>
      </w:r>
      <w:r w:rsidR="00AF70D9" w:rsidRPr="00457CE9">
        <w:rPr>
          <w:rFonts w:ascii="Times New Roman" w:hAnsi="Times New Roman"/>
          <w:sz w:val="28"/>
          <w:szCs w:val="28"/>
          <w:shd w:val="clear" w:color="auto" w:fill="FFFFFF"/>
          <w:lang w:val="kk-KZ"/>
        </w:rPr>
        <w:t xml:space="preserve"> аудиттің критерийлері ретінде белгілеп алып оны орындау үшін қажетті ресурстардың тиімділігі, үнемділігі, нәтижелілігі, өнімділігі тарапынан баға беру болып табылады. </w:t>
      </w:r>
    </w:p>
    <w:p w14:paraId="056B3D74" w14:textId="6DB4C0A9" w:rsidR="002F3EA7" w:rsidRPr="00457CE9" w:rsidRDefault="00D822FC" w:rsidP="0097172E">
      <w:pPr>
        <w:pStyle w:val="a5"/>
        <w:numPr>
          <w:ilvl w:val="0"/>
          <w:numId w:val="33"/>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w:t>
      </w:r>
      <w:r w:rsidR="00B607CE" w:rsidRPr="00457CE9">
        <w:rPr>
          <w:rFonts w:ascii="Times New Roman" w:hAnsi="Times New Roman"/>
          <w:sz w:val="28"/>
          <w:szCs w:val="28"/>
          <w:lang w:val="kk-KZ"/>
        </w:rPr>
        <w:t xml:space="preserve">ҚР-да </w:t>
      </w:r>
      <w:r w:rsidR="00575788">
        <w:rPr>
          <w:rFonts w:ascii="Times New Roman" w:hAnsi="Times New Roman"/>
          <w:sz w:val="28"/>
          <w:szCs w:val="28"/>
          <w:lang w:val="kk-KZ"/>
        </w:rPr>
        <w:t>АӨК-н</w:t>
      </w:r>
      <w:r w:rsidR="006D04A8" w:rsidRPr="00457CE9">
        <w:rPr>
          <w:rFonts w:ascii="Times New Roman" w:hAnsi="Times New Roman"/>
          <w:sz w:val="28"/>
          <w:szCs w:val="28"/>
          <w:lang w:val="kk-KZ"/>
        </w:rPr>
        <w:t xml:space="preserve"> дамытуға бағытталған бюджет қаражатын</w:t>
      </w:r>
      <w:r w:rsidR="009640B3" w:rsidRPr="00457CE9">
        <w:rPr>
          <w:rFonts w:ascii="Times New Roman" w:hAnsi="Times New Roman"/>
          <w:sz w:val="28"/>
          <w:szCs w:val="28"/>
          <w:lang w:val="kk-KZ"/>
        </w:rPr>
        <w:t xml:space="preserve"> пайдалану</w:t>
      </w:r>
      <w:r w:rsidR="006D04A8" w:rsidRPr="00457CE9">
        <w:rPr>
          <w:rFonts w:ascii="Times New Roman" w:hAnsi="Times New Roman"/>
          <w:sz w:val="28"/>
          <w:szCs w:val="28"/>
          <w:lang w:val="kk-KZ"/>
        </w:rPr>
        <w:t xml:space="preserve"> </w:t>
      </w:r>
      <w:r w:rsidR="00B607CE" w:rsidRPr="00457CE9">
        <w:rPr>
          <w:rFonts w:ascii="Times New Roman" w:hAnsi="Times New Roman"/>
          <w:sz w:val="28"/>
          <w:szCs w:val="28"/>
          <w:lang w:val="kk-KZ"/>
        </w:rPr>
        <w:t>жағдайына талдау жасалды.</w:t>
      </w:r>
      <w:r w:rsidR="0036777F" w:rsidRPr="00457CE9">
        <w:rPr>
          <w:rFonts w:ascii="Times New Roman" w:hAnsi="Times New Roman"/>
          <w:sz w:val="28"/>
          <w:szCs w:val="28"/>
          <w:lang w:val="kk-KZ"/>
        </w:rPr>
        <w:t xml:space="preserve"> </w:t>
      </w:r>
      <w:r w:rsidR="00575788">
        <w:rPr>
          <w:rFonts w:ascii="Times New Roman" w:hAnsi="Times New Roman"/>
          <w:sz w:val="28"/>
          <w:szCs w:val="28"/>
          <w:lang w:val="kk-KZ"/>
        </w:rPr>
        <w:t>АӨК-н</w:t>
      </w:r>
      <w:r w:rsidR="0059145A" w:rsidRPr="00457CE9">
        <w:rPr>
          <w:rFonts w:ascii="Times New Roman" w:hAnsi="Times New Roman"/>
          <w:sz w:val="28"/>
          <w:szCs w:val="28"/>
          <w:lang w:val="kk-KZ"/>
        </w:rPr>
        <w:t xml:space="preserve"> дамытуға бағытталған бюджет қаражатының көлемін жоспарлайтын, облыстарға, аймақтарға бөліп тарататын және оның мониторингін жүзеге асыратын бюджеттік бағдарлама әкімшісі ҚР Ауыл шаруашылығы болып табылады. Министрлікте салалық департаменттер </w:t>
      </w:r>
      <w:r w:rsidR="00575788">
        <w:rPr>
          <w:rFonts w:ascii="Times New Roman" w:hAnsi="Times New Roman"/>
          <w:sz w:val="28"/>
          <w:szCs w:val="28"/>
          <w:lang w:val="kk-KZ"/>
        </w:rPr>
        <w:t>АӨК-н</w:t>
      </w:r>
      <w:r w:rsidR="0059145A" w:rsidRPr="00457CE9">
        <w:rPr>
          <w:rFonts w:ascii="Times New Roman" w:hAnsi="Times New Roman"/>
          <w:sz w:val="28"/>
          <w:szCs w:val="28"/>
          <w:lang w:val="kk-KZ"/>
        </w:rPr>
        <w:t xml:space="preserve"> дамыту бойынша негізгі бағыттарын, міндеттерін, нәтижелі көрсеткіштері мен іс-шараларын анықтайды. 2017-2021 жж. АӨК дамытудың мемлекеттік бағдарламасының мемлекеттік аудиті кезінде негізінен</w:t>
      </w:r>
      <w:r w:rsidR="00B607CE" w:rsidRPr="00457CE9">
        <w:rPr>
          <w:rFonts w:ascii="Times New Roman" w:hAnsi="Times New Roman"/>
          <w:sz w:val="28"/>
          <w:szCs w:val="28"/>
          <w:lang w:val="kk-KZ"/>
        </w:rPr>
        <w:t xml:space="preserve"> </w:t>
      </w:r>
      <w:r w:rsidR="006D04A8" w:rsidRPr="00457CE9">
        <w:rPr>
          <w:rFonts w:ascii="Times New Roman" w:hAnsi="Times New Roman"/>
          <w:sz w:val="28"/>
          <w:szCs w:val="28"/>
          <w:lang w:val="kk-KZ"/>
        </w:rPr>
        <w:t>тиімділік аудиті</w:t>
      </w:r>
      <w:r w:rsidR="0059145A" w:rsidRPr="00457CE9">
        <w:rPr>
          <w:rFonts w:ascii="Times New Roman" w:hAnsi="Times New Roman"/>
          <w:sz w:val="28"/>
          <w:szCs w:val="28"/>
          <w:lang w:val="kk-KZ"/>
        </w:rPr>
        <w:t xml:space="preserve">, </w:t>
      </w:r>
      <w:r w:rsidR="000C70E1" w:rsidRPr="00457CE9">
        <w:rPr>
          <w:rFonts w:ascii="Times New Roman" w:hAnsi="Times New Roman"/>
          <w:sz w:val="28"/>
          <w:szCs w:val="28"/>
          <w:lang w:val="kk-KZ"/>
        </w:rPr>
        <w:t>сәйкестік аудиті</w:t>
      </w:r>
      <w:r w:rsidR="0059145A" w:rsidRPr="00457CE9">
        <w:rPr>
          <w:rFonts w:ascii="Times New Roman" w:hAnsi="Times New Roman"/>
          <w:sz w:val="28"/>
          <w:szCs w:val="28"/>
          <w:lang w:val="kk-KZ"/>
        </w:rPr>
        <w:t xml:space="preserve"> және параллель аудиті 2020 жылы қазан айында аудиторлық қорытындысы жарияланған. Аудиторлық тексеріс көлемі өте ауқымды болған, және негізгі пікірі, яғни, тиімділік аудиті бойынша нақты тиімділігі жоғары, орташа</w:t>
      </w:r>
      <w:r w:rsidR="003114F5">
        <w:rPr>
          <w:rFonts w:ascii="Times New Roman" w:hAnsi="Times New Roman"/>
          <w:sz w:val="28"/>
          <w:szCs w:val="28"/>
          <w:lang w:val="kk-KZ"/>
        </w:rPr>
        <w:t>,</w:t>
      </w:r>
      <w:r w:rsidR="0059145A" w:rsidRPr="00457CE9">
        <w:rPr>
          <w:rFonts w:ascii="Times New Roman" w:hAnsi="Times New Roman"/>
          <w:sz w:val="28"/>
          <w:szCs w:val="28"/>
          <w:lang w:val="kk-KZ"/>
        </w:rPr>
        <w:t xml:space="preserve"> төмен </w:t>
      </w:r>
      <w:r w:rsidR="003114F5" w:rsidRPr="00457CE9">
        <w:rPr>
          <w:rFonts w:ascii="Times New Roman" w:hAnsi="Times New Roman"/>
          <w:sz w:val="28"/>
          <w:szCs w:val="28"/>
          <w:lang w:val="kk-KZ"/>
        </w:rPr>
        <w:t>немесе</w:t>
      </w:r>
      <w:r w:rsidR="003114F5">
        <w:rPr>
          <w:rFonts w:ascii="Times New Roman" w:hAnsi="Times New Roman"/>
          <w:sz w:val="28"/>
          <w:szCs w:val="28"/>
          <w:lang w:val="kk-KZ"/>
        </w:rPr>
        <w:t xml:space="preserve"> тиімсіз</w:t>
      </w:r>
      <w:r w:rsidR="003114F5" w:rsidRPr="00457CE9">
        <w:rPr>
          <w:rFonts w:ascii="Times New Roman" w:hAnsi="Times New Roman"/>
          <w:sz w:val="28"/>
          <w:szCs w:val="28"/>
          <w:lang w:val="kk-KZ"/>
        </w:rPr>
        <w:t xml:space="preserve"> </w:t>
      </w:r>
      <w:r w:rsidR="0059145A" w:rsidRPr="00457CE9">
        <w:rPr>
          <w:rFonts w:ascii="Times New Roman" w:hAnsi="Times New Roman"/>
          <w:sz w:val="28"/>
          <w:szCs w:val="28"/>
          <w:lang w:val="kk-KZ"/>
        </w:rPr>
        <w:t>деген қорытынды келтірілмеген. Мемлекеттік аудит мемлекеттік бағдарламаның аралық аудиті болғандықтан,</w:t>
      </w:r>
      <w:r w:rsidR="00046D48" w:rsidRPr="00457CE9">
        <w:rPr>
          <w:rFonts w:ascii="Times New Roman" w:hAnsi="Times New Roman"/>
          <w:sz w:val="28"/>
          <w:szCs w:val="28"/>
          <w:lang w:val="kk-KZ"/>
        </w:rPr>
        <w:t xml:space="preserve"> негізгі нысаналы индикаторлар бойынша көрсеткіштер 2020-2021 жж. болжамды деп анықталып баға берілген. Аталған бағдарлама бойынша жоспарланған мақсатына, нысаналы көрсеткіштеріне, нәтижелі көрсеткіштеріне, іс-шараларына және мемлекеттік бюджеттен қаражат көлеміне өзгерістер енгізіліп отырған, яғни, орындалмайтын көптеген көрсеткіштер қысқартылып, қаржыландырылуы негізінен республикалық бюджеттен қаражат көбейіп, бюджеттен тыс қаражаттары жоспар бойынша тартылмаған. Аудит кезінде көптеген жүйелі кемшіліктер анықталған, мәселен, </w:t>
      </w:r>
      <w:r w:rsidR="00F12463" w:rsidRPr="00457CE9">
        <w:rPr>
          <w:rFonts w:ascii="Times New Roman" w:hAnsi="Times New Roman"/>
          <w:sz w:val="28"/>
          <w:szCs w:val="28"/>
          <w:lang w:val="kk-KZ"/>
        </w:rPr>
        <w:t xml:space="preserve">жоспарланған нысаналы индикаторлар, міндеттер, нәтижелі көрсеткіштер мен іс-шаралар арасында нақты байланыс болмауы, </w:t>
      </w:r>
      <w:r w:rsidR="00046D48" w:rsidRPr="00457CE9">
        <w:rPr>
          <w:rFonts w:ascii="Times New Roman" w:hAnsi="Times New Roman"/>
          <w:sz w:val="28"/>
          <w:szCs w:val="28"/>
          <w:lang w:val="kk-KZ"/>
        </w:rPr>
        <w:t>субсидия алушылар міндеттеме</w:t>
      </w:r>
      <w:r w:rsidR="00346E3E" w:rsidRPr="00457CE9">
        <w:rPr>
          <w:rFonts w:ascii="Times New Roman" w:hAnsi="Times New Roman"/>
          <w:sz w:val="28"/>
          <w:szCs w:val="28"/>
          <w:lang w:val="kk-KZ"/>
        </w:rPr>
        <w:t>ле</w:t>
      </w:r>
      <w:r w:rsidR="00046D48" w:rsidRPr="00457CE9">
        <w:rPr>
          <w:rFonts w:ascii="Times New Roman" w:hAnsi="Times New Roman"/>
          <w:sz w:val="28"/>
          <w:szCs w:val="28"/>
          <w:lang w:val="kk-KZ"/>
        </w:rPr>
        <w:t>рінің болмауы, бюджет қаражатының жұмсалуына және көрсеткіштер мониторингісінің жүргізілмеуі, жобалар бойынша техникалық-экономилық негіздердің болмауы, бюджеттік тапсырыстар бойынша қажетті растаушы құжаттаманың болмауы</w:t>
      </w:r>
      <w:r w:rsidR="00DB1012" w:rsidRPr="00457CE9">
        <w:rPr>
          <w:rFonts w:ascii="Times New Roman" w:hAnsi="Times New Roman"/>
          <w:sz w:val="28"/>
          <w:szCs w:val="28"/>
          <w:lang w:val="kk-KZ"/>
        </w:rPr>
        <w:t>,</w:t>
      </w:r>
      <w:r w:rsidR="00046D48" w:rsidRPr="00457CE9">
        <w:rPr>
          <w:rFonts w:ascii="Times New Roman" w:hAnsi="Times New Roman"/>
          <w:sz w:val="28"/>
          <w:szCs w:val="28"/>
          <w:lang w:val="kk-KZ"/>
        </w:rPr>
        <w:t xml:space="preserve"> бағдарламаны іске асырушы басқа да жауапты орындаушылар арасында байланыстың</w:t>
      </w:r>
      <w:r w:rsidR="00292482" w:rsidRPr="00457CE9">
        <w:rPr>
          <w:rFonts w:ascii="Times New Roman" w:hAnsi="Times New Roman"/>
          <w:sz w:val="28"/>
          <w:szCs w:val="28"/>
          <w:lang w:val="kk-KZ"/>
        </w:rPr>
        <w:t>, өзара әрекеттің</w:t>
      </w:r>
      <w:r w:rsidR="00046D48" w:rsidRPr="00457CE9">
        <w:rPr>
          <w:rFonts w:ascii="Times New Roman" w:hAnsi="Times New Roman"/>
          <w:sz w:val="28"/>
          <w:szCs w:val="28"/>
          <w:lang w:val="kk-KZ"/>
        </w:rPr>
        <w:t xml:space="preserve"> әлсіздігі</w:t>
      </w:r>
      <w:r w:rsidR="00292482" w:rsidRPr="00457CE9">
        <w:rPr>
          <w:rFonts w:ascii="Times New Roman" w:hAnsi="Times New Roman"/>
          <w:sz w:val="28"/>
          <w:szCs w:val="28"/>
          <w:lang w:val="kk-KZ"/>
        </w:rPr>
        <w:t xml:space="preserve">, бюджеттік бағдарламалар арасында қаражаттардың жұмсалуы бойынша дер кезінде түзетулердің енгізілмеуі, жоспарлы шаралар мен көрсеткіштердің көрсетілмеуінен олардың орындалғанын тексеру мүмкіндігінің болмауы тағы басқа. Аталған кемшіліктер мен бұзушылықтар болуына қарамастан 2015-2022 жылдар аралығында жоспарланған бюджет қаражатының игерілуі толықтай деуге болады. Бұл </w:t>
      </w:r>
      <w:r w:rsidR="00346E3E" w:rsidRPr="00457CE9">
        <w:rPr>
          <w:rFonts w:ascii="Times New Roman" w:hAnsi="Times New Roman"/>
          <w:sz w:val="28"/>
          <w:szCs w:val="28"/>
          <w:lang w:val="kk-KZ"/>
        </w:rPr>
        <w:t>б</w:t>
      </w:r>
      <w:r w:rsidR="003114F5">
        <w:rPr>
          <w:rFonts w:ascii="Times New Roman" w:hAnsi="Times New Roman"/>
          <w:sz w:val="28"/>
          <w:szCs w:val="28"/>
          <w:lang w:val="kk-KZ"/>
        </w:rPr>
        <w:t>ю</w:t>
      </w:r>
      <w:r w:rsidR="00292482" w:rsidRPr="00457CE9">
        <w:rPr>
          <w:rFonts w:ascii="Times New Roman" w:hAnsi="Times New Roman"/>
          <w:sz w:val="28"/>
          <w:szCs w:val="28"/>
          <w:lang w:val="kk-KZ"/>
        </w:rPr>
        <w:t>джет қаражат</w:t>
      </w:r>
      <w:r w:rsidR="00346E3E" w:rsidRPr="00457CE9">
        <w:rPr>
          <w:rFonts w:ascii="Times New Roman" w:hAnsi="Times New Roman"/>
          <w:sz w:val="28"/>
          <w:szCs w:val="28"/>
          <w:lang w:val="kk-KZ"/>
        </w:rPr>
        <w:t xml:space="preserve">ы </w:t>
      </w:r>
      <w:r w:rsidR="00292482" w:rsidRPr="00457CE9">
        <w:rPr>
          <w:rFonts w:ascii="Times New Roman" w:hAnsi="Times New Roman"/>
          <w:sz w:val="28"/>
          <w:szCs w:val="28"/>
          <w:lang w:val="kk-KZ"/>
        </w:rPr>
        <w:t>толық жұмсалуына қарамастан жоспарл</w:t>
      </w:r>
      <w:r w:rsidR="00346E3E" w:rsidRPr="00457CE9">
        <w:rPr>
          <w:rFonts w:ascii="Times New Roman" w:hAnsi="Times New Roman"/>
          <w:sz w:val="28"/>
          <w:szCs w:val="28"/>
          <w:lang w:val="kk-KZ"/>
        </w:rPr>
        <w:t>анған</w:t>
      </w:r>
      <w:r w:rsidR="00292482" w:rsidRPr="00457CE9">
        <w:rPr>
          <w:rFonts w:ascii="Times New Roman" w:hAnsi="Times New Roman"/>
          <w:sz w:val="28"/>
          <w:szCs w:val="28"/>
          <w:lang w:val="kk-KZ"/>
        </w:rPr>
        <w:t xml:space="preserve"> нысаналы индикаторлар мен көрсеткіштердің толық орындалмауы </w:t>
      </w:r>
      <w:r w:rsidR="00346E3E" w:rsidRPr="00457CE9">
        <w:rPr>
          <w:rFonts w:ascii="Times New Roman" w:hAnsi="Times New Roman"/>
          <w:sz w:val="28"/>
          <w:szCs w:val="28"/>
          <w:lang w:val="kk-KZ"/>
        </w:rPr>
        <w:t>анықтал</w:t>
      </w:r>
      <w:r w:rsidR="00292482" w:rsidRPr="00457CE9">
        <w:rPr>
          <w:rFonts w:ascii="Times New Roman" w:hAnsi="Times New Roman"/>
          <w:sz w:val="28"/>
          <w:szCs w:val="28"/>
          <w:lang w:val="kk-KZ"/>
        </w:rPr>
        <w:t xml:space="preserve">ған. Тиімділік аудитінің өнімділік, үнемділік, нәтижелілік деп аталатын негізгі </w:t>
      </w:r>
      <w:r w:rsidR="00346E3E" w:rsidRPr="00457CE9">
        <w:rPr>
          <w:rFonts w:ascii="Times New Roman" w:hAnsi="Times New Roman"/>
          <w:sz w:val="28"/>
          <w:szCs w:val="28"/>
          <w:lang w:val="kk-KZ"/>
        </w:rPr>
        <w:t>көрсеткішт</w:t>
      </w:r>
      <w:r w:rsidR="00292482" w:rsidRPr="00457CE9">
        <w:rPr>
          <w:rFonts w:ascii="Times New Roman" w:hAnsi="Times New Roman"/>
          <w:sz w:val="28"/>
          <w:szCs w:val="28"/>
          <w:lang w:val="kk-KZ"/>
        </w:rPr>
        <w:t xml:space="preserve">ерінің орындалмауы байқалады. Мемлекеттік бағдарламада жоспарланған көрсеткіштер мен іс-шаралар саны жыл сайын азайып, оны бақылау қиындығы туындағанын атауға болады. Жалпы </w:t>
      </w:r>
      <w:r w:rsidR="00575788">
        <w:rPr>
          <w:rFonts w:ascii="Times New Roman" w:hAnsi="Times New Roman"/>
          <w:sz w:val="28"/>
          <w:szCs w:val="28"/>
          <w:lang w:val="kk-KZ"/>
        </w:rPr>
        <w:t>АӨК-н</w:t>
      </w:r>
      <w:r w:rsidR="00292482" w:rsidRPr="00457CE9">
        <w:rPr>
          <w:rFonts w:ascii="Times New Roman" w:hAnsi="Times New Roman"/>
          <w:sz w:val="28"/>
          <w:szCs w:val="28"/>
          <w:lang w:val="kk-KZ"/>
        </w:rPr>
        <w:t xml:space="preserve"> дамуын сипаттайтын негізгі макроэкономикалық көрсеткіштердің, яғни, ауыл шаруашылығы саласындағы еңбек өнімділігінің 2,5 есе ұлғаюы, ЖІӨ-дегі ауыл шаруашылығы өнімдерінің үлесінің өсуі, ауыл шаруашылық өнімінің экспорты қысқарып, импортының төмендеуі, ауыл тұрғындарының өмір</w:t>
      </w:r>
      <w:r w:rsidR="00EE5B0F" w:rsidRPr="00457CE9">
        <w:rPr>
          <w:rFonts w:ascii="Times New Roman" w:hAnsi="Times New Roman"/>
          <w:sz w:val="28"/>
          <w:szCs w:val="28"/>
          <w:lang w:val="kk-KZ"/>
        </w:rPr>
        <w:t xml:space="preserve"> сапасының жақсаруы </w:t>
      </w:r>
      <w:r w:rsidR="00346E3E" w:rsidRPr="00457CE9">
        <w:rPr>
          <w:rFonts w:ascii="Times New Roman" w:hAnsi="Times New Roman"/>
          <w:sz w:val="28"/>
          <w:szCs w:val="28"/>
          <w:lang w:val="kk-KZ"/>
        </w:rPr>
        <w:t xml:space="preserve">орындалмай </w:t>
      </w:r>
      <w:r w:rsidR="00EE5B0F" w:rsidRPr="00457CE9">
        <w:rPr>
          <w:rFonts w:ascii="Times New Roman" w:hAnsi="Times New Roman"/>
          <w:sz w:val="28"/>
          <w:szCs w:val="28"/>
          <w:lang w:val="kk-KZ"/>
        </w:rPr>
        <w:t>теріс динамикаға ие екендігін көруге болады</w:t>
      </w:r>
      <w:r w:rsidR="00AC5208" w:rsidRPr="00457CE9">
        <w:rPr>
          <w:rFonts w:ascii="Times New Roman" w:hAnsi="Times New Roman"/>
          <w:sz w:val="28"/>
          <w:szCs w:val="28"/>
          <w:lang w:val="kk-KZ"/>
        </w:rPr>
        <w:t>.</w:t>
      </w:r>
    </w:p>
    <w:p w14:paraId="27CBE657" w14:textId="0D944A18" w:rsidR="00973DF9" w:rsidRPr="00457CE9" w:rsidRDefault="00575788" w:rsidP="0097172E">
      <w:pPr>
        <w:pStyle w:val="a5"/>
        <w:numPr>
          <w:ilvl w:val="0"/>
          <w:numId w:val="33"/>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shd w:val="clear" w:color="auto" w:fill="FFFFFF"/>
          <w:lang w:val="kk-KZ"/>
        </w:rPr>
        <w:t>АӨК-н</w:t>
      </w:r>
      <w:r w:rsidR="00973DF9" w:rsidRPr="00457CE9">
        <w:rPr>
          <w:rFonts w:ascii="Times New Roman" w:hAnsi="Times New Roman"/>
          <w:sz w:val="28"/>
          <w:szCs w:val="28"/>
          <w:shd w:val="clear" w:color="auto" w:fill="FFFFFF"/>
          <w:lang w:val="kk-KZ"/>
        </w:rPr>
        <w:t xml:space="preserve"> дамытуға бағытталған бюджет қаражаты</w:t>
      </w:r>
      <w:r w:rsidR="003114F5">
        <w:rPr>
          <w:rFonts w:ascii="Times New Roman" w:hAnsi="Times New Roman"/>
          <w:sz w:val="28"/>
          <w:szCs w:val="28"/>
          <w:shd w:val="clear" w:color="auto" w:fill="FFFFFF"/>
          <w:lang w:val="kk-KZ"/>
        </w:rPr>
        <w:t>н пайдалану</w:t>
      </w:r>
      <w:r w:rsidR="00973DF9" w:rsidRPr="00457CE9">
        <w:rPr>
          <w:rFonts w:ascii="Times New Roman" w:hAnsi="Times New Roman"/>
          <w:sz w:val="28"/>
          <w:szCs w:val="28"/>
          <w:shd w:val="clear" w:color="auto" w:fill="FFFFFF"/>
          <w:lang w:val="kk-KZ"/>
        </w:rPr>
        <w:t xml:space="preserve"> тиімділігі</w:t>
      </w:r>
      <w:r w:rsidR="003114F5">
        <w:rPr>
          <w:rFonts w:ascii="Times New Roman" w:hAnsi="Times New Roman"/>
          <w:sz w:val="28"/>
          <w:szCs w:val="28"/>
          <w:shd w:val="clear" w:color="auto" w:fill="FFFFFF"/>
          <w:lang w:val="kk-KZ"/>
        </w:rPr>
        <w:t>нің</w:t>
      </w:r>
      <w:r w:rsidR="00973DF9" w:rsidRPr="00457CE9">
        <w:rPr>
          <w:rFonts w:ascii="Times New Roman" w:hAnsi="Times New Roman"/>
          <w:sz w:val="28"/>
          <w:szCs w:val="28"/>
          <w:shd w:val="clear" w:color="auto" w:fill="FFFFFF"/>
          <w:lang w:val="kk-KZ"/>
        </w:rPr>
        <w:t xml:space="preserve"> аудитін республикалық деңгейде ұйымдастыру және өткізу ауқымды жұмыс болып табылады, өйткені диссертациялық жұмыста келтірілгендей АӨК үлкен төрт саланы қамтиды. Еліміз</w:t>
      </w:r>
      <w:r w:rsidR="00572FA4" w:rsidRPr="00457CE9">
        <w:rPr>
          <w:rFonts w:ascii="Times New Roman" w:hAnsi="Times New Roman"/>
          <w:sz w:val="28"/>
          <w:szCs w:val="28"/>
          <w:shd w:val="clear" w:color="auto" w:fill="FFFFFF"/>
          <w:lang w:val="kk-KZ"/>
        </w:rPr>
        <w:t>де 15 қараша</w:t>
      </w:r>
      <w:r w:rsidR="00973DF9" w:rsidRPr="00457CE9">
        <w:rPr>
          <w:rFonts w:ascii="Times New Roman" w:hAnsi="Times New Roman"/>
          <w:sz w:val="28"/>
          <w:szCs w:val="28"/>
          <w:shd w:val="clear" w:color="auto" w:fill="FFFFFF"/>
          <w:lang w:val="kk-KZ"/>
        </w:rPr>
        <w:t xml:space="preserve"> 2015 жылы мемлекеттік аудит және қаржылық бақылау туралы заңы қабылданып, мемлекеттік аудит</w:t>
      </w:r>
      <w:r w:rsidR="00572FA4" w:rsidRPr="00457CE9">
        <w:rPr>
          <w:rFonts w:ascii="Times New Roman" w:hAnsi="Times New Roman"/>
          <w:sz w:val="28"/>
          <w:szCs w:val="28"/>
          <w:shd w:val="clear" w:color="auto" w:fill="FFFFFF"/>
          <w:lang w:val="kk-KZ"/>
        </w:rPr>
        <w:t>тің үш типтері: қаржылық есептілік, сәйкестік және тиімділік аудиттері бекітілген, және оны</w:t>
      </w:r>
      <w:r w:rsidR="00973DF9" w:rsidRPr="00457CE9">
        <w:rPr>
          <w:rFonts w:ascii="Times New Roman" w:hAnsi="Times New Roman"/>
          <w:sz w:val="28"/>
          <w:szCs w:val="28"/>
          <w:shd w:val="clear" w:color="auto" w:fill="FFFFFF"/>
          <w:lang w:val="kk-KZ"/>
        </w:rPr>
        <w:t xml:space="preserve"> ұйымдастыру </w:t>
      </w:r>
      <w:r w:rsidR="00572FA4" w:rsidRPr="00457CE9">
        <w:rPr>
          <w:rFonts w:ascii="Times New Roman" w:hAnsi="Times New Roman"/>
          <w:sz w:val="28"/>
          <w:szCs w:val="28"/>
          <w:shd w:val="clear" w:color="auto" w:fill="FFFFFF"/>
          <w:lang w:val="kk-KZ"/>
        </w:rPr>
        <w:t>INTOSAI кәсіби ISSAI стандарттары негізінде</w:t>
      </w:r>
      <w:r w:rsidR="00286A9A" w:rsidRPr="00457CE9">
        <w:rPr>
          <w:rFonts w:ascii="Times New Roman" w:hAnsi="Times New Roman"/>
          <w:sz w:val="28"/>
          <w:szCs w:val="28"/>
          <w:shd w:val="clear" w:color="auto" w:fill="FFFFFF"/>
          <w:lang w:val="kk-KZ"/>
        </w:rPr>
        <w:t xml:space="preserve"> әзірленіп бекітілген жалпы және рәсімдік стандарттарының жағдайларына сәйкес жүзеге асырылуда.</w:t>
      </w:r>
      <w:r w:rsidR="00572FA4" w:rsidRPr="00457CE9">
        <w:rPr>
          <w:rFonts w:ascii="Times New Roman" w:hAnsi="Times New Roman"/>
          <w:sz w:val="28"/>
          <w:szCs w:val="28"/>
          <w:shd w:val="clear" w:color="auto" w:fill="FFFFFF"/>
          <w:lang w:val="kk-KZ"/>
        </w:rPr>
        <w:t xml:space="preserve">  </w:t>
      </w:r>
      <w:r w:rsidR="00286A9A" w:rsidRPr="00457CE9">
        <w:rPr>
          <w:rFonts w:ascii="Times New Roman" w:hAnsi="Times New Roman"/>
          <w:sz w:val="28"/>
          <w:szCs w:val="28"/>
          <w:shd w:val="clear" w:color="auto" w:fill="FFFFFF"/>
          <w:lang w:val="kk-KZ"/>
        </w:rPr>
        <w:t>АӨК дамытуға бағытталған бюджет қаражатын пайдалану т</w:t>
      </w:r>
      <w:r w:rsidR="00973DF9" w:rsidRPr="00457CE9">
        <w:rPr>
          <w:rFonts w:ascii="Times New Roman" w:hAnsi="Times New Roman"/>
          <w:sz w:val="28"/>
          <w:szCs w:val="28"/>
          <w:shd w:val="clear" w:color="auto" w:fill="FFFFFF"/>
          <w:lang w:val="kk-KZ"/>
        </w:rPr>
        <w:t>иімділі</w:t>
      </w:r>
      <w:r w:rsidR="00286A9A" w:rsidRPr="00457CE9">
        <w:rPr>
          <w:rFonts w:ascii="Times New Roman" w:hAnsi="Times New Roman"/>
          <w:sz w:val="28"/>
          <w:szCs w:val="28"/>
          <w:shd w:val="clear" w:color="auto" w:fill="FFFFFF"/>
          <w:lang w:val="kk-KZ"/>
        </w:rPr>
        <w:t>гінің</w:t>
      </w:r>
      <w:r w:rsidR="00973DF9" w:rsidRPr="00457CE9">
        <w:rPr>
          <w:rFonts w:ascii="Times New Roman" w:hAnsi="Times New Roman"/>
          <w:sz w:val="28"/>
          <w:szCs w:val="28"/>
          <w:shd w:val="clear" w:color="auto" w:fill="FFFFFF"/>
          <w:lang w:val="kk-KZ"/>
        </w:rPr>
        <w:t xml:space="preserve"> аудиті т</w:t>
      </w:r>
      <w:r w:rsidR="00286A9A" w:rsidRPr="00457CE9">
        <w:rPr>
          <w:rFonts w:ascii="Times New Roman" w:hAnsi="Times New Roman"/>
          <w:sz w:val="28"/>
          <w:szCs w:val="28"/>
          <w:shd w:val="clear" w:color="auto" w:fill="FFFFFF"/>
          <w:lang w:val="kk-KZ"/>
        </w:rPr>
        <w:t>әжірибеде ЖАП, тексеру комиссиялары аудиторларымен жүргізілуде</w:t>
      </w:r>
      <w:r w:rsidR="00973DF9" w:rsidRPr="00457CE9">
        <w:rPr>
          <w:rFonts w:ascii="Times New Roman" w:hAnsi="Times New Roman"/>
          <w:sz w:val="28"/>
          <w:szCs w:val="28"/>
          <w:shd w:val="clear" w:color="auto" w:fill="FFFFFF"/>
          <w:lang w:val="kk-KZ"/>
        </w:rPr>
        <w:t xml:space="preserve">. </w:t>
      </w:r>
      <w:r w:rsidR="00286A9A" w:rsidRPr="00457CE9">
        <w:rPr>
          <w:rFonts w:ascii="Times New Roman" w:hAnsi="Times New Roman"/>
          <w:sz w:val="28"/>
          <w:szCs w:val="28"/>
          <w:shd w:val="clear" w:color="auto" w:fill="FFFFFF"/>
          <w:lang w:val="kk-KZ"/>
        </w:rPr>
        <w:t xml:space="preserve">Диссертациялық жұмыста мемлекеттік жоғары аудит органдарымен жүргізілген тиімділік аудиті бойынша аудиторлық есептер зерттелінді. Нәтижесінде біздің ойымызша тиімділік аудитін ұйымдастыруда бірқатар кемшіліктердің бары анықталды. Және </w:t>
      </w:r>
      <w:r w:rsidR="00973DF9" w:rsidRPr="00457CE9">
        <w:rPr>
          <w:rFonts w:ascii="Times New Roman" w:hAnsi="Times New Roman"/>
          <w:sz w:val="28"/>
          <w:szCs w:val="28"/>
          <w:shd w:val="clear" w:color="auto" w:fill="FFFFFF"/>
          <w:lang w:val="kk-KZ"/>
        </w:rPr>
        <w:t xml:space="preserve">ҚР-да </w:t>
      </w:r>
      <w:r>
        <w:rPr>
          <w:rFonts w:ascii="Times New Roman" w:hAnsi="Times New Roman"/>
          <w:sz w:val="28"/>
          <w:szCs w:val="28"/>
          <w:shd w:val="clear" w:color="auto" w:fill="FFFFFF"/>
          <w:lang w:val="kk-KZ"/>
        </w:rPr>
        <w:t>АӨК-н</w:t>
      </w:r>
      <w:r w:rsidR="00973DF9" w:rsidRPr="00457CE9">
        <w:rPr>
          <w:rFonts w:ascii="Times New Roman" w:hAnsi="Times New Roman"/>
          <w:sz w:val="28"/>
          <w:szCs w:val="28"/>
          <w:shd w:val="clear" w:color="auto" w:fill="FFFFFF"/>
          <w:lang w:val="kk-KZ"/>
        </w:rPr>
        <w:t xml:space="preserve"> дамыту ҚР Ауыл шаруашылығы министрлігімен әзірленген және қабылданған мемлекеттік бағдарламалар, ұлттық жобалар арқылы жүзеге асырылуда. </w:t>
      </w:r>
      <w:r w:rsidR="00442EAD" w:rsidRPr="00457CE9">
        <w:rPr>
          <w:rFonts w:ascii="Times New Roman" w:hAnsi="Times New Roman"/>
          <w:sz w:val="28"/>
          <w:szCs w:val="28"/>
          <w:shd w:val="clear" w:color="auto" w:fill="FFFFFF"/>
          <w:lang w:val="kk-KZ"/>
        </w:rPr>
        <w:t xml:space="preserve">Жұмыста </w:t>
      </w:r>
      <w:r w:rsidR="00442EAD" w:rsidRPr="00457CE9">
        <w:rPr>
          <w:rFonts w:ascii="Times New Roman" w:eastAsia="Times New Roman" w:hAnsi="Times New Roman"/>
          <w:kern w:val="36"/>
          <w:sz w:val="28"/>
          <w:szCs w:val="28"/>
          <w:lang w:val="kk-KZ" w:eastAsia="ru-RU"/>
        </w:rPr>
        <w:t>ҚР 2017-2021 жж. АӨК дамытуға бағытталған бюджет қаражатының тиімділік аудиті бойынша оны тиімсіз пайдаланудың негізгі себептері жүйеленді. Соған орай АӨК дамытуға бағытталған бюджет қаражатын пайдалану тиімділігі аудитінің</w:t>
      </w:r>
      <w:r w:rsidR="003114F5">
        <w:rPr>
          <w:rFonts w:ascii="Times New Roman" w:eastAsia="Times New Roman" w:hAnsi="Times New Roman"/>
          <w:kern w:val="36"/>
          <w:sz w:val="28"/>
          <w:szCs w:val="28"/>
          <w:lang w:val="kk-KZ" w:eastAsia="ru-RU"/>
        </w:rPr>
        <w:t xml:space="preserve"> </w:t>
      </w:r>
      <w:r w:rsidR="00442EAD" w:rsidRPr="00457CE9">
        <w:rPr>
          <w:rFonts w:ascii="Times New Roman" w:eastAsia="Times New Roman" w:hAnsi="Times New Roman"/>
          <w:kern w:val="36"/>
          <w:sz w:val="28"/>
          <w:szCs w:val="28"/>
          <w:lang w:val="kk-KZ" w:eastAsia="ru-RU"/>
        </w:rPr>
        <w:t xml:space="preserve"> тапсырмалары әзірленіп ұсынылды. </w:t>
      </w:r>
    </w:p>
    <w:p w14:paraId="58F428A3" w14:textId="5F926751" w:rsidR="00AF70D9" w:rsidRPr="00457CE9" w:rsidRDefault="00F12463" w:rsidP="0097172E">
      <w:pPr>
        <w:pStyle w:val="a5"/>
        <w:numPr>
          <w:ilvl w:val="0"/>
          <w:numId w:val="33"/>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Қазіргі таңда ҚР</w:t>
      </w:r>
      <w:r w:rsidR="00DB1012" w:rsidRPr="00457CE9">
        <w:rPr>
          <w:rFonts w:ascii="Times New Roman" w:hAnsi="Times New Roman"/>
          <w:sz w:val="28"/>
          <w:szCs w:val="28"/>
          <w:lang w:val="kk-KZ"/>
        </w:rPr>
        <w:t xml:space="preserve">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2021-2025 жж.</w:t>
      </w:r>
      <w:r w:rsidR="00DB1012" w:rsidRPr="00457CE9">
        <w:rPr>
          <w:rFonts w:ascii="Times New Roman" w:hAnsi="Times New Roman"/>
          <w:sz w:val="28"/>
          <w:szCs w:val="28"/>
          <w:lang w:val="kk-KZ"/>
        </w:rPr>
        <w:t xml:space="preserve"> дамыту мақсатында</w:t>
      </w:r>
      <w:r w:rsidRPr="00457CE9">
        <w:rPr>
          <w:rFonts w:ascii="Times New Roman" w:hAnsi="Times New Roman"/>
          <w:sz w:val="28"/>
          <w:szCs w:val="28"/>
          <w:lang w:val="kk-KZ"/>
        </w:rPr>
        <w:t xml:space="preserve"> ҚР Үкімет қаулысымен ұлттық жоба бекітіліп, жүзеге асырылуда. Бұған дейінгі мемлекеттік бағдарламада келтірілген кемшіліктер ескеріле отырып, жасалған ұлттық жобадағы мақсат нақтыланып, міндеттері бойынша көрсеткіштері және оған қол жеткізу мақсатындағы іс-шаралар</w:t>
      </w:r>
      <w:r w:rsidR="00B841F3" w:rsidRPr="00457CE9">
        <w:rPr>
          <w:rFonts w:ascii="Times New Roman" w:hAnsi="Times New Roman"/>
          <w:sz w:val="28"/>
          <w:szCs w:val="28"/>
          <w:lang w:val="kk-KZ"/>
        </w:rPr>
        <w:t>ы</w:t>
      </w:r>
      <w:r w:rsidRPr="00457CE9">
        <w:rPr>
          <w:rFonts w:ascii="Times New Roman" w:hAnsi="Times New Roman"/>
          <w:sz w:val="28"/>
          <w:szCs w:val="28"/>
          <w:lang w:val="kk-KZ"/>
        </w:rPr>
        <w:t xml:space="preserve"> </w:t>
      </w:r>
      <w:r w:rsidR="00DB1012" w:rsidRPr="00457CE9">
        <w:rPr>
          <w:rFonts w:ascii="Times New Roman" w:hAnsi="Times New Roman"/>
          <w:sz w:val="28"/>
          <w:szCs w:val="28"/>
          <w:lang w:val="kk-KZ"/>
        </w:rPr>
        <w:t>жоспарланған</w:t>
      </w:r>
      <w:r w:rsidRPr="00457CE9">
        <w:rPr>
          <w:rFonts w:ascii="Times New Roman" w:hAnsi="Times New Roman"/>
          <w:sz w:val="28"/>
          <w:szCs w:val="28"/>
          <w:lang w:val="kk-KZ"/>
        </w:rPr>
        <w:t>.</w:t>
      </w:r>
      <w:r w:rsidR="00B841F3" w:rsidRPr="00457CE9">
        <w:rPr>
          <w:rFonts w:ascii="Times New Roman" w:hAnsi="Times New Roman"/>
          <w:sz w:val="28"/>
          <w:szCs w:val="28"/>
          <w:lang w:val="kk-KZ"/>
        </w:rPr>
        <w:t xml:space="preserve"> </w:t>
      </w:r>
      <w:r w:rsidR="00575788">
        <w:rPr>
          <w:rFonts w:ascii="Times New Roman" w:hAnsi="Times New Roman"/>
          <w:sz w:val="28"/>
          <w:szCs w:val="28"/>
          <w:lang w:val="kk-KZ"/>
        </w:rPr>
        <w:t>АӨК-н</w:t>
      </w:r>
      <w:r w:rsidR="00B841F3" w:rsidRPr="00457CE9">
        <w:rPr>
          <w:rFonts w:ascii="Times New Roman" w:hAnsi="Times New Roman"/>
          <w:sz w:val="28"/>
          <w:szCs w:val="28"/>
          <w:lang w:val="kk-KZ"/>
        </w:rPr>
        <w:t xml:space="preserve"> дамытудың ұлттық жобасын өткізуге жауапты Ауыл шаруашылығы министрлігі болып табылады. Аталған жобаға қаражат бөлу мемлекеттік және бюджеттен тыс көздерден тарту қарастырылған. </w:t>
      </w:r>
      <w:r w:rsidR="00844077" w:rsidRPr="00457CE9">
        <w:rPr>
          <w:rFonts w:ascii="Times New Roman" w:hAnsi="Times New Roman"/>
          <w:sz w:val="28"/>
          <w:szCs w:val="28"/>
          <w:lang w:val="kk-KZ"/>
        </w:rPr>
        <w:t>Бюджеттен тыс көздерге потенциалды инвесторлардан тікелей инвест</w:t>
      </w:r>
      <w:r w:rsidR="00D822FC" w:rsidRPr="00457CE9">
        <w:rPr>
          <w:rFonts w:ascii="Times New Roman" w:hAnsi="Times New Roman"/>
          <w:sz w:val="28"/>
          <w:szCs w:val="28"/>
          <w:lang w:val="kk-KZ"/>
        </w:rPr>
        <w:t>и</w:t>
      </w:r>
      <w:r w:rsidR="00844077" w:rsidRPr="00457CE9">
        <w:rPr>
          <w:rFonts w:ascii="Times New Roman" w:hAnsi="Times New Roman"/>
          <w:sz w:val="28"/>
          <w:szCs w:val="28"/>
          <w:lang w:val="kk-KZ"/>
        </w:rPr>
        <w:t xml:space="preserve">циялар, халықаралық несие ұйымдарынан қарыз және тағы басқа ұйымдардан қаражат тартуды қарастырады, осы тапсырманы орындау мақсатында ҚР Ауыл шаруашылығы министрлігінде </w:t>
      </w:r>
      <w:r w:rsidR="00760775" w:rsidRPr="0006316B">
        <w:rPr>
          <w:rFonts w:ascii="Times New Roman" w:hAnsi="Times New Roman"/>
          <w:sz w:val="28"/>
          <w:szCs w:val="28"/>
          <w:lang w:val="kk-KZ"/>
        </w:rPr>
        <w:t xml:space="preserve">«Халықаралық ынтымақтастық және инвестиция тарту департаменті» құрылған, және оның қызметін белгілейтін Ауыл шаруашылығы министрінің 07.12.2021 жылғы №365 бұйрығымен </w:t>
      </w:r>
      <w:r w:rsidR="00346E3E" w:rsidRPr="0006316B">
        <w:rPr>
          <w:rFonts w:ascii="Times New Roman" w:hAnsi="Times New Roman"/>
          <w:sz w:val="28"/>
          <w:szCs w:val="28"/>
          <w:lang w:val="kk-KZ"/>
        </w:rPr>
        <w:t xml:space="preserve">жағдай </w:t>
      </w:r>
      <w:r w:rsidR="00760775" w:rsidRPr="0006316B">
        <w:rPr>
          <w:rFonts w:ascii="Times New Roman" w:hAnsi="Times New Roman"/>
          <w:sz w:val="28"/>
          <w:szCs w:val="28"/>
          <w:lang w:val="kk-KZ"/>
        </w:rPr>
        <w:t>бекітілген</w:t>
      </w:r>
      <w:r w:rsidR="005824DF" w:rsidRPr="0006316B">
        <w:rPr>
          <w:rFonts w:ascii="Times New Roman" w:hAnsi="Times New Roman"/>
          <w:sz w:val="28"/>
          <w:szCs w:val="28"/>
          <w:lang w:val="kk-KZ"/>
        </w:rPr>
        <w:t xml:space="preserve"> [1</w:t>
      </w:r>
      <w:r w:rsidR="0006316B" w:rsidRPr="0006316B">
        <w:rPr>
          <w:rFonts w:ascii="Times New Roman" w:hAnsi="Times New Roman"/>
          <w:sz w:val="28"/>
          <w:szCs w:val="28"/>
          <w:lang w:val="kk-KZ"/>
        </w:rPr>
        <w:t>44</w:t>
      </w:r>
      <w:r w:rsidR="005824DF" w:rsidRPr="0006316B">
        <w:rPr>
          <w:rFonts w:ascii="Times New Roman" w:hAnsi="Times New Roman"/>
          <w:sz w:val="28"/>
          <w:szCs w:val="28"/>
          <w:lang w:val="kk-KZ"/>
        </w:rPr>
        <w:t>]</w:t>
      </w:r>
      <w:r w:rsidR="00760775" w:rsidRPr="0006316B">
        <w:rPr>
          <w:rFonts w:ascii="Times New Roman" w:hAnsi="Times New Roman"/>
          <w:sz w:val="28"/>
          <w:szCs w:val="28"/>
          <w:lang w:val="kk-KZ"/>
        </w:rPr>
        <w:t xml:space="preserve">. Негізгі міндеті АӨК саласында халықаралық интеграция мәселелері бойынша жұмысты жетілдіру болып табылады. Осыған дейінгі іске асырылған </w:t>
      </w:r>
      <w:r w:rsidR="00575788">
        <w:rPr>
          <w:rFonts w:ascii="Times New Roman" w:hAnsi="Times New Roman"/>
          <w:sz w:val="28"/>
          <w:szCs w:val="28"/>
          <w:lang w:val="kk-KZ"/>
        </w:rPr>
        <w:t>АӨК-н</w:t>
      </w:r>
      <w:r w:rsidR="00760775" w:rsidRPr="0006316B">
        <w:rPr>
          <w:rFonts w:ascii="Times New Roman" w:hAnsi="Times New Roman"/>
          <w:sz w:val="28"/>
          <w:szCs w:val="28"/>
          <w:lang w:val="kk-KZ"/>
        </w:rPr>
        <w:t xml:space="preserve"> дамытудың мемлекеттік </w:t>
      </w:r>
      <w:r w:rsidR="00760775" w:rsidRPr="00457CE9">
        <w:rPr>
          <w:rFonts w:ascii="Times New Roman" w:hAnsi="Times New Roman"/>
          <w:sz w:val="28"/>
          <w:szCs w:val="28"/>
          <w:lang w:val="kk-KZ"/>
        </w:rPr>
        <w:t>бағдарлама</w:t>
      </w:r>
      <w:r w:rsidR="00346E3E" w:rsidRPr="00457CE9">
        <w:rPr>
          <w:rFonts w:ascii="Times New Roman" w:hAnsi="Times New Roman"/>
          <w:sz w:val="28"/>
          <w:szCs w:val="28"/>
          <w:lang w:val="kk-KZ"/>
        </w:rPr>
        <w:t>сында</w:t>
      </w:r>
      <w:r w:rsidR="00760775" w:rsidRPr="00457CE9">
        <w:rPr>
          <w:rFonts w:ascii="Times New Roman" w:hAnsi="Times New Roman"/>
          <w:sz w:val="28"/>
          <w:szCs w:val="28"/>
          <w:lang w:val="kk-KZ"/>
        </w:rPr>
        <w:t xml:space="preserve"> </w:t>
      </w:r>
      <w:r w:rsidR="004D4C05" w:rsidRPr="00457CE9">
        <w:rPr>
          <w:rFonts w:ascii="Times New Roman" w:hAnsi="Times New Roman"/>
          <w:sz w:val="28"/>
          <w:szCs w:val="28"/>
          <w:lang w:val="kk-KZ"/>
        </w:rPr>
        <w:t>12.07.2018 жылы Үкімет қаулысымен «</w:t>
      </w:r>
      <w:r w:rsidR="004D4C05" w:rsidRPr="00457CE9">
        <w:rPr>
          <w:rFonts w:ascii="Times New Roman" w:eastAsia="Times New Roman" w:hAnsi="Times New Roman"/>
          <w:kern w:val="36"/>
          <w:sz w:val="28"/>
          <w:szCs w:val="28"/>
          <w:lang w:val="kk-KZ" w:eastAsia="ru-RU"/>
        </w:rPr>
        <w:t>Ауыл шаруашылығындағы негізгі капиталға салынған инвестициялар»</w:t>
      </w:r>
      <w:r w:rsidR="004D4C05" w:rsidRPr="00457CE9">
        <w:rPr>
          <w:rFonts w:ascii="Times New Roman" w:hAnsi="Times New Roman"/>
          <w:sz w:val="28"/>
          <w:szCs w:val="28"/>
          <w:lang w:val="kk-KZ"/>
        </w:rPr>
        <w:t xml:space="preserve"> және «</w:t>
      </w:r>
      <w:r w:rsidR="004D4C05" w:rsidRPr="00457CE9">
        <w:rPr>
          <w:rFonts w:ascii="Times New Roman" w:eastAsia="Times New Roman" w:hAnsi="Times New Roman"/>
          <w:kern w:val="36"/>
          <w:sz w:val="28"/>
          <w:szCs w:val="28"/>
          <w:lang w:val="kk-KZ" w:eastAsia="ru-RU"/>
        </w:rPr>
        <w:t xml:space="preserve">Тамақ өнімдерін өндірудегі негізгі капиталға салынған инвестициялар» деп аталатын </w:t>
      </w:r>
      <w:r w:rsidR="004D4C05" w:rsidRPr="00457CE9">
        <w:rPr>
          <w:rFonts w:ascii="Times New Roman" w:hAnsi="Times New Roman"/>
          <w:sz w:val="28"/>
          <w:szCs w:val="28"/>
          <w:lang w:val="kk-KZ"/>
        </w:rPr>
        <w:t>нысаналы индикаторлары енгізілген, жоспарлы сандық мәні бекітілмегендіктен қаншалықты орындалғанын бағалау қиындығы туындаған, алайда 2017 жылы «</w:t>
      </w:r>
      <w:r w:rsidR="004D4C05" w:rsidRPr="00457CE9">
        <w:rPr>
          <w:rFonts w:ascii="Times New Roman" w:eastAsia="Times New Roman" w:hAnsi="Times New Roman"/>
          <w:kern w:val="36"/>
          <w:sz w:val="28"/>
          <w:szCs w:val="28"/>
          <w:lang w:val="kk-KZ" w:eastAsia="ru-RU"/>
        </w:rPr>
        <w:t>2015 жылдың деңгейіне тамақ өнімдерін өндірудегі негізгі капиталға салынған инвестициялардың нақты көлем индексі» деп аталатын нысаналы индикатордың жоспарлы мәні 2021 жылға 221,9 пайызға дейін жеткізу деп бекітілген болса, оның нақты мәні 177,1 пайызды құрап, 44,8 пайыздық пунктіге орындалмағанын көруге болады.</w:t>
      </w:r>
      <w:r w:rsidR="00EE530B" w:rsidRPr="00457CE9">
        <w:rPr>
          <w:rFonts w:ascii="Times New Roman" w:eastAsia="Times New Roman" w:hAnsi="Times New Roman"/>
          <w:kern w:val="36"/>
          <w:sz w:val="28"/>
          <w:szCs w:val="28"/>
          <w:lang w:val="kk-KZ" w:eastAsia="ru-RU"/>
        </w:rPr>
        <w:t xml:space="preserve"> </w:t>
      </w:r>
      <w:r w:rsidR="00575788">
        <w:rPr>
          <w:rFonts w:ascii="Times New Roman" w:eastAsia="Times New Roman" w:hAnsi="Times New Roman"/>
          <w:kern w:val="36"/>
          <w:sz w:val="28"/>
          <w:szCs w:val="28"/>
          <w:lang w:val="kk-KZ" w:eastAsia="ru-RU"/>
        </w:rPr>
        <w:t>АӨК-н</w:t>
      </w:r>
      <w:r w:rsidR="00EE530B" w:rsidRPr="00457CE9">
        <w:rPr>
          <w:rFonts w:ascii="Times New Roman" w:eastAsia="Times New Roman" w:hAnsi="Times New Roman"/>
          <w:kern w:val="36"/>
          <w:sz w:val="28"/>
          <w:szCs w:val="28"/>
          <w:lang w:val="kk-KZ" w:eastAsia="ru-RU"/>
        </w:rPr>
        <w:t xml:space="preserve"> 2021-2025 жж. дамытудың ұлттық жобасында ауыл шаруашылығының негізгі капиталына тартылған инвестициялар көлемі</w:t>
      </w:r>
      <w:r w:rsidR="005B5D73" w:rsidRPr="00457CE9">
        <w:rPr>
          <w:rFonts w:ascii="Times New Roman" w:eastAsia="Times New Roman" w:hAnsi="Times New Roman"/>
          <w:kern w:val="36"/>
          <w:sz w:val="28"/>
          <w:szCs w:val="28"/>
          <w:lang w:val="kk-KZ" w:eastAsia="ru-RU"/>
        </w:rPr>
        <w:t xml:space="preserve"> 1214982,4 млн</w:t>
      </w:r>
      <w:r w:rsidR="00346E3E" w:rsidRPr="00457CE9">
        <w:rPr>
          <w:rFonts w:ascii="Times New Roman" w:eastAsia="Times New Roman" w:hAnsi="Times New Roman"/>
          <w:kern w:val="36"/>
          <w:sz w:val="28"/>
          <w:szCs w:val="28"/>
          <w:lang w:val="kk-KZ" w:eastAsia="ru-RU"/>
        </w:rPr>
        <w:t>.</w:t>
      </w:r>
      <w:r w:rsidR="005B5D73" w:rsidRPr="00457CE9">
        <w:rPr>
          <w:rFonts w:ascii="Times New Roman" w:eastAsia="Times New Roman" w:hAnsi="Times New Roman"/>
          <w:kern w:val="36"/>
          <w:sz w:val="28"/>
          <w:szCs w:val="28"/>
          <w:lang w:val="kk-KZ" w:eastAsia="ru-RU"/>
        </w:rPr>
        <w:t xml:space="preserve"> теңге деп жоспарланған</w:t>
      </w:r>
      <w:r w:rsidR="0019265F" w:rsidRPr="00457CE9">
        <w:rPr>
          <w:rFonts w:ascii="Times New Roman" w:eastAsia="Times New Roman" w:hAnsi="Times New Roman"/>
          <w:kern w:val="36"/>
          <w:sz w:val="28"/>
          <w:szCs w:val="28"/>
          <w:lang w:val="kk-KZ" w:eastAsia="ru-RU"/>
        </w:rPr>
        <w:t>, бұл көрсеткіш 2025 жылға қарай қанша деңгейде орындалатынын уақыт көрсетеді</w:t>
      </w:r>
      <w:r w:rsidR="00AC5208" w:rsidRPr="00457CE9">
        <w:rPr>
          <w:rFonts w:ascii="Times New Roman" w:eastAsia="Times New Roman" w:hAnsi="Times New Roman"/>
          <w:kern w:val="36"/>
          <w:sz w:val="28"/>
          <w:szCs w:val="28"/>
          <w:lang w:val="kk-KZ" w:eastAsia="ru-RU"/>
        </w:rPr>
        <w:t>.</w:t>
      </w:r>
      <w:r w:rsidR="00346E3E" w:rsidRPr="00457CE9">
        <w:rPr>
          <w:rFonts w:ascii="Times New Roman" w:eastAsia="Times New Roman" w:hAnsi="Times New Roman"/>
          <w:kern w:val="36"/>
          <w:sz w:val="28"/>
          <w:szCs w:val="28"/>
          <w:lang w:val="kk-KZ" w:eastAsia="ru-RU"/>
        </w:rPr>
        <w:t xml:space="preserve"> </w:t>
      </w:r>
      <w:r w:rsidR="002F3EA7" w:rsidRPr="00457CE9">
        <w:rPr>
          <w:rFonts w:ascii="Times New Roman" w:eastAsia="Times New Roman" w:hAnsi="Times New Roman"/>
          <w:kern w:val="36"/>
          <w:sz w:val="28"/>
          <w:szCs w:val="28"/>
          <w:lang w:val="kk-KZ" w:eastAsia="ru-RU"/>
        </w:rPr>
        <w:t xml:space="preserve">ҚР </w:t>
      </w:r>
      <w:r w:rsidR="00575788">
        <w:rPr>
          <w:rFonts w:ascii="Times New Roman" w:hAnsi="Times New Roman"/>
          <w:sz w:val="28"/>
          <w:szCs w:val="28"/>
          <w:shd w:val="clear" w:color="auto" w:fill="FFFFFF"/>
          <w:lang w:val="kk-KZ"/>
        </w:rPr>
        <w:t>АӨК-н</w:t>
      </w:r>
      <w:r w:rsidR="00442EAD" w:rsidRPr="00457CE9">
        <w:rPr>
          <w:rFonts w:ascii="Times New Roman" w:hAnsi="Times New Roman"/>
          <w:sz w:val="28"/>
          <w:szCs w:val="28"/>
          <w:shd w:val="clear" w:color="auto" w:fill="FFFFFF"/>
          <w:lang w:val="kk-KZ"/>
        </w:rPr>
        <w:t xml:space="preserve"> дамуын сипаттайтын негізгі макроэкономикалық көрсеткіштерді </w:t>
      </w:r>
      <w:r w:rsidR="002F3EA7" w:rsidRPr="00457CE9">
        <w:rPr>
          <w:rFonts w:ascii="Times New Roman" w:hAnsi="Times New Roman"/>
          <w:sz w:val="28"/>
          <w:szCs w:val="28"/>
          <w:shd w:val="clear" w:color="auto" w:fill="FFFFFF"/>
          <w:lang w:val="kk-KZ"/>
        </w:rPr>
        <w:t xml:space="preserve">тиімділік </w:t>
      </w:r>
      <w:r w:rsidR="00442EAD" w:rsidRPr="00457CE9">
        <w:rPr>
          <w:rFonts w:ascii="Times New Roman" w:hAnsi="Times New Roman"/>
          <w:sz w:val="28"/>
          <w:szCs w:val="28"/>
          <w:shd w:val="clear" w:color="auto" w:fill="FFFFFF"/>
          <w:lang w:val="kk-KZ"/>
        </w:rPr>
        <w:t>аудиті</w:t>
      </w:r>
      <w:r w:rsidR="002F3EA7" w:rsidRPr="00457CE9">
        <w:rPr>
          <w:rFonts w:ascii="Times New Roman" w:hAnsi="Times New Roman"/>
          <w:sz w:val="28"/>
          <w:szCs w:val="28"/>
          <w:shd w:val="clear" w:color="auto" w:fill="FFFFFF"/>
          <w:lang w:val="kk-KZ"/>
        </w:rPr>
        <w:t>ні</w:t>
      </w:r>
      <w:r w:rsidR="00442EAD" w:rsidRPr="00457CE9">
        <w:rPr>
          <w:rFonts w:ascii="Times New Roman" w:hAnsi="Times New Roman"/>
          <w:sz w:val="28"/>
          <w:szCs w:val="28"/>
          <w:shd w:val="clear" w:color="auto" w:fill="FFFFFF"/>
          <w:lang w:val="kk-KZ"/>
        </w:rPr>
        <w:t>ң критерийлері ретінде белгілеп алып оны орындау үшін қажетті ресурстардың тиімділігі, үнемділігі, нәтижелілігі, өнімділігі тарапынан баға беру болып табылады.</w:t>
      </w:r>
      <w:r w:rsidR="002F3EA7" w:rsidRPr="00457CE9">
        <w:rPr>
          <w:rFonts w:ascii="Times New Roman" w:hAnsi="Times New Roman"/>
          <w:sz w:val="28"/>
          <w:szCs w:val="28"/>
          <w:shd w:val="clear" w:color="auto" w:fill="FFFFFF"/>
          <w:lang w:val="kk-KZ"/>
        </w:rPr>
        <w:t xml:space="preserve"> </w:t>
      </w:r>
      <w:r w:rsidR="00346E3E" w:rsidRPr="00457CE9">
        <w:rPr>
          <w:rFonts w:ascii="Times New Roman" w:eastAsia="Times New Roman" w:hAnsi="Times New Roman"/>
          <w:kern w:val="36"/>
          <w:sz w:val="28"/>
          <w:szCs w:val="28"/>
          <w:lang w:val="kk-KZ" w:eastAsia="ru-RU"/>
        </w:rPr>
        <w:t xml:space="preserve">Осы орайда </w:t>
      </w:r>
      <w:r w:rsidR="00973DF9" w:rsidRPr="00457CE9">
        <w:rPr>
          <w:rFonts w:ascii="Times New Roman" w:eastAsia="Times New Roman" w:hAnsi="Times New Roman"/>
          <w:kern w:val="36"/>
          <w:sz w:val="28"/>
          <w:szCs w:val="28"/>
          <w:lang w:val="kk-KZ" w:eastAsia="ru-RU"/>
        </w:rPr>
        <w:t xml:space="preserve">диссертациялық жұмыста </w:t>
      </w:r>
      <w:r w:rsidR="00346E3E" w:rsidRPr="00457CE9">
        <w:rPr>
          <w:rFonts w:ascii="Times New Roman" w:eastAsia="Times New Roman" w:hAnsi="Times New Roman"/>
          <w:kern w:val="36"/>
          <w:sz w:val="28"/>
          <w:szCs w:val="28"/>
          <w:lang w:val="kk-KZ" w:eastAsia="ru-RU"/>
        </w:rPr>
        <w:t xml:space="preserve">АӨК дамытуға бағытталған бюджет қаражатын пайдалану тиімділігі аудитін ұйымдастыру барысында </w:t>
      </w:r>
      <w:r w:rsidR="00973DF9" w:rsidRPr="00457CE9">
        <w:rPr>
          <w:rFonts w:ascii="Times New Roman" w:eastAsia="Times New Roman" w:hAnsi="Times New Roman"/>
          <w:kern w:val="36"/>
          <w:sz w:val="28"/>
          <w:szCs w:val="28"/>
          <w:lang w:val="kk-KZ" w:eastAsia="ru-RU"/>
        </w:rPr>
        <w:t>тиімділік аудитінің тақырыптары мен оның мақсатына қарай нақты критерийлері әзірленіп жүйелену ұсынылды.</w:t>
      </w:r>
      <w:r w:rsidR="00442EAD" w:rsidRPr="00457CE9">
        <w:rPr>
          <w:rFonts w:ascii="Times New Roman" w:eastAsia="Times New Roman" w:hAnsi="Times New Roman"/>
          <w:kern w:val="36"/>
          <w:sz w:val="28"/>
          <w:szCs w:val="28"/>
          <w:lang w:val="kk-KZ" w:eastAsia="ru-RU"/>
        </w:rPr>
        <w:t xml:space="preserve"> </w:t>
      </w:r>
    </w:p>
    <w:p w14:paraId="7AF3BAF5" w14:textId="7B02041C" w:rsidR="00AF70D9" w:rsidRPr="00457CE9" w:rsidRDefault="00AF70D9" w:rsidP="0097172E">
      <w:pPr>
        <w:pStyle w:val="a5"/>
        <w:numPr>
          <w:ilvl w:val="0"/>
          <w:numId w:val="33"/>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Диссертациялық жұмыста ҚР АӨК дамытуға бағытталған бюджет қаражатына және оны іске асыратын Ауыл шаруашылығы министрлігі әзірлеген және іске асырған бағдарламаларына терең талдау жасалды. ҚР-да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 стратегиялық бағыттың бірі болып табылады және мемлекеттік бюджеттен бұл саланы қолдауға қомақты қаражат бөлінетіні анықталды. Елімізде тәуелсіздік алғаннан бері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 бойынша жалпы саны он мемлекеттік бағдарламалар, жоба іске асырылып келген. АӨК-нің дамығанын сипаттайтын негізгі макроэкономикалық көрсеткіштері ретінде жалпы ішкі өнімдегі ауыл шаруашылық өнімнің (қызметтің, жұмыстың) үлесі, ауыл шаруашылық саласындағы жұмыскерлердің еңбек өнімділігі, ауыл шаруашылығына тікелей тартылған инвестициялар көлемі, экспортталған және импортталған ауыл шаруашылық өнімнің көлемі және тағы басқа көрсеткіштер динамикасы арқылы жалпы баға беріледі. Дамыған мемлекеттерде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мемлекеттік қолдау әрқашан өзекті, дегенмен шетелдік тәжірибе бойынша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бәсекеге қаблетті деңгейіне жеткен кезде бөлінетін бюджет қаражаты көлемінің азаюы күтіледі, ал бұл керісінше жыл сайын өсу динамикасына ие. Бұл жерде ҚР-да бөлінген бюджет қаражаты еліміздің азық-түлік қауіпсіздігін қамтамасыз етумен қатар, бәсекеге қаблетті өнімдерін шетелге экспорттау жоба мақсаты ретінде анықталған. Алайда еліміздің азық-түлік қауіпсіздігі жеткілікті деңгейде емес екендігін, оның әлеуеті</w:t>
      </w:r>
      <w:r w:rsidR="00FB714D">
        <w:rPr>
          <w:rFonts w:ascii="Times New Roman" w:hAnsi="Times New Roman"/>
          <w:sz w:val="28"/>
          <w:szCs w:val="28"/>
          <w:lang w:val="kk-KZ"/>
        </w:rPr>
        <w:t>н</w:t>
      </w:r>
      <w:r w:rsidRPr="00457CE9">
        <w:rPr>
          <w:rFonts w:ascii="Times New Roman" w:hAnsi="Times New Roman"/>
          <w:sz w:val="28"/>
          <w:szCs w:val="28"/>
          <w:lang w:val="kk-KZ"/>
        </w:rPr>
        <w:t xml:space="preserve"> жоғары бағаланғанымен, халықаралық рейтингтерден 41 орын</w:t>
      </w:r>
      <w:r w:rsidR="00FB714D">
        <w:rPr>
          <w:rFonts w:ascii="Times New Roman" w:hAnsi="Times New Roman"/>
          <w:sz w:val="28"/>
          <w:szCs w:val="28"/>
          <w:lang w:val="kk-KZ"/>
        </w:rPr>
        <w:t xml:space="preserve"> екенін</w:t>
      </w:r>
      <w:r w:rsidRPr="00457CE9">
        <w:rPr>
          <w:rFonts w:ascii="Times New Roman" w:hAnsi="Times New Roman"/>
          <w:sz w:val="28"/>
          <w:szCs w:val="28"/>
          <w:lang w:val="kk-KZ"/>
        </w:rPr>
        <w:t xml:space="preserve"> көруге болады</w:t>
      </w:r>
      <w:r w:rsidR="0006316B">
        <w:rPr>
          <w:rFonts w:ascii="Times New Roman" w:hAnsi="Times New Roman"/>
          <w:sz w:val="28"/>
          <w:szCs w:val="28"/>
          <w:lang w:val="kk-KZ"/>
        </w:rPr>
        <w:t xml:space="preserve"> </w:t>
      </w:r>
      <w:r w:rsidR="0006316B" w:rsidRPr="0006316B">
        <w:rPr>
          <w:rFonts w:ascii="Times New Roman" w:hAnsi="Times New Roman"/>
          <w:sz w:val="28"/>
          <w:szCs w:val="28"/>
          <w:lang w:val="kk-KZ"/>
        </w:rPr>
        <w:t>[145]</w:t>
      </w:r>
      <w:r w:rsidRPr="00457CE9">
        <w:rPr>
          <w:rFonts w:ascii="Times New Roman" w:hAnsi="Times New Roman"/>
          <w:sz w:val="28"/>
          <w:szCs w:val="28"/>
          <w:lang w:val="kk-KZ"/>
        </w:rPr>
        <w:t>. Мәселен Жаңа Зеландия (16 орын) және Аустралия (32 орын) елдерінде басқа елдермен салыстырғанда мемлекеттік қолдау көлемі жоғары емес. Бұл елдерде мемлекеттік қолдау негізінен ауыл шаруашылығы өнімдерін өндіру технологиясына, ғылыми зерттеулерге, инфрақұрылымды дамытуға бағытталған</w:t>
      </w:r>
      <w:r w:rsidR="0006316B" w:rsidRPr="0006316B">
        <w:rPr>
          <w:rFonts w:ascii="Times New Roman" w:hAnsi="Times New Roman"/>
          <w:sz w:val="28"/>
          <w:szCs w:val="28"/>
          <w:lang w:val="kk-KZ"/>
        </w:rPr>
        <w:t xml:space="preserve"> [146]</w:t>
      </w:r>
      <w:r w:rsidRPr="00457CE9">
        <w:rPr>
          <w:rFonts w:ascii="Times New Roman" w:hAnsi="Times New Roman"/>
          <w:sz w:val="28"/>
          <w:szCs w:val="28"/>
          <w:lang w:val="kk-KZ"/>
        </w:rPr>
        <w:t xml:space="preserve">. Сондықтан ҚР-да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бағытталған бюджет қаражатын пайдалану тиімділігі аудитін оған жауапты мемлекеттік орган қызметін, біздің жағдайда ҚР АШМ, және бюджет қаражатын алушылардың бюджет қаражатын мақсатқа сәйкес жұмсағанын, яғни, дамуға қосқан үлесіне баға беруден бастау қажет. Осы орайда бағыттар бойынша тиімділік аудитін жоспарлау, ұйымдастыру және сапасын бақылау аса маңызды. Диссертациялық тақырыпты зерттеу барысында бюджет қаражатының қажет көлемін жоспарлаушы, жұмсау бағыттарын анықтаушы, және қайта бөлуші АШМ жоспарлаған және іске асырған бюджет бағдарламалары бойынша жұмсалған бюджет қаражатының көлемі, бағыттары, яғни, тікелей және нәтижелі көрсеткіштерге қол жеткізілуі, одан ауытқу себептері, бюджет қаражатын тиімсіз пайдалану себептері анықталды. АӨК дамытуға кері әсерін тигізетін кемшіліктері жүйеленді. Сонымен қатар ЖАП, тексеру комиссиялары аудиторларымен өткізілген АӨК дамытуға жұмсалған бюджет қаражаты тиімділігі аудиттері бойынша ресми сайттарында жарияланған аудиторлық есептері негізінде біздің ойымызша жіберілген кемшіліктері анықталды. Нәтижесінде тиімділік аудит қорытындыларында ұсынылған жақсарту шаралары толықтырылды және тиімділік аудитінің сапасын жақсарту және жетілдіру жолдары ұсынылды</w:t>
      </w:r>
      <w:r w:rsidR="00B54645">
        <w:rPr>
          <w:rFonts w:ascii="Times New Roman" w:hAnsi="Times New Roman"/>
          <w:sz w:val="28"/>
          <w:szCs w:val="28"/>
          <w:lang w:val="kk-KZ"/>
        </w:rPr>
        <w:t>:</w:t>
      </w:r>
      <w:r w:rsidRPr="00457CE9">
        <w:rPr>
          <w:rFonts w:ascii="Times New Roman" w:hAnsi="Times New Roman"/>
          <w:sz w:val="28"/>
          <w:szCs w:val="28"/>
          <w:lang w:val="kk-KZ"/>
        </w:rPr>
        <w:t xml:space="preserve"> </w:t>
      </w:r>
    </w:p>
    <w:p w14:paraId="73583C9E"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біріншіден, АӨК дамытуға жұмсалған бюджет қаражатын тиімділік аудитімен толық қамтамасыз ету;</w:t>
      </w:r>
    </w:p>
    <w:p w14:paraId="1B1A5DBB"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екіншіден, мемлекеттік аудиторларға МАХС жағдайлары негізінде АӨК дамытуға жұмсалған бюджет қаражаты тиімділігі аудиті бағытындағы кешенді курстар арқылы біліктілігін жоғарылатуды ұйымдастыру; </w:t>
      </w:r>
    </w:p>
    <w:p w14:paraId="5D8A8ACD" w14:textId="7C7C8DCC"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үшіншіден</w:t>
      </w:r>
      <w:r w:rsidR="00B54645">
        <w:rPr>
          <w:rFonts w:ascii="Times New Roman" w:hAnsi="Times New Roman"/>
          <w:sz w:val="28"/>
          <w:szCs w:val="28"/>
          <w:lang w:val="kk-KZ"/>
        </w:rPr>
        <w:t xml:space="preserve">, </w:t>
      </w:r>
      <w:r w:rsidRPr="00457CE9">
        <w:rPr>
          <w:rFonts w:ascii="Times New Roman" w:hAnsi="Times New Roman"/>
          <w:sz w:val="28"/>
          <w:szCs w:val="28"/>
          <w:lang w:val="kk-KZ"/>
        </w:rPr>
        <w:t>тиімділік аудитін ұйымдастыру кезінде мемлекеттік объектінің ішкі бақылау жүйесіне баға беру;</w:t>
      </w:r>
    </w:p>
    <w:p w14:paraId="26FBB955"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төртіншіден, АӨК дамыту бағыттары бойынша тиімділік аудиті мақсатын нақты анықтау және онымен байланысты критерийлерді белгілеу, олардың негізінде объективті, тәуелсіз бағалау;</w:t>
      </w:r>
    </w:p>
    <w:p w14:paraId="2201CA12"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бесіншіден, тиімділік аудиті кезінде жеткілікті және сапалы аудиторлық дәлелдемелерді қамтамасыз ету мақсатында қолданылатын АӨК дамытуға жұмсалған ресурстарды пайдалану тиімділігін сипаттайтын көрсеткіштері әзірленді;</w:t>
      </w:r>
    </w:p>
    <w:p w14:paraId="39B1E65D"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алтыншыдан, АӨК дамытуға жұмсалған бюджет қаражаты тиімділігі аудитін ұйымдастыру мен өткізудің қадамдары әзірленді;</w:t>
      </w:r>
    </w:p>
    <w:p w14:paraId="78DF3EBF"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жетіншіден, АӨК дамытуға жұмсалған бюджет қаражатын пайдалану тиімділігі аудитінің нәтижесі бойынша аудиторлық есепте нақты аудиторлық пікір (жоғары, орташа, төмен, тиімсіз) беруді енгізу;</w:t>
      </w:r>
    </w:p>
    <w:p w14:paraId="277711BC" w14:textId="77777777" w:rsidR="00AF70D9" w:rsidRPr="00457CE9" w:rsidRDefault="00AF70D9" w:rsidP="0097172E">
      <w:pPr>
        <w:pStyle w:val="a5"/>
        <w:numPr>
          <w:ilvl w:val="0"/>
          <w:numId w:val="43"/>
        </w:numPr>
        <w:tabs>
          <w:tab w:val="left" w:pos="851"/>
          <w:tab w:val="left" w:pos="993"/>
          <w:tab w:val="left" w:pos="1605"/>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сегізіншіден, тиімділік аудит есептері негізінде жинақталған кемшіліктер мен бұзушылықтар жүйеленіп, бұзушылықтар сыныптауышына енгізу үшін бұзушылықтар тізімі әзірленді.</w:t>
      </w:r>
    </w:p>
    <w:p w14:paraId="1DF025F3" w14:textId="5A7120A0" w:rsidR="00AF70D9" w:rsidRPr="00457CE9" w:rsidRDefault="00AF70D9" w:rsidP="00457CE9">
      <w:pPr>
        <w:tabs>
          <w:tab w:val="left" w:pos="851"/>
          <w:tab w:val="left" w:pos="993"/>
          <w:tab w:val="left" w:pos="1605"/>
        </w:tabs>
        <w:spacing w:after="0" w:line="240" w:lineRule="auto"/>
        <w:ind w:firstLine="709"/>
        <w:jc w:val="both"/>
        <w:rPr>
          <w:rFonts w:ascii="Times New Roman" w:hAnsi="Times New Roman"/>
          <w:sz w:val="28"/>
          <w:szCs w:val="28"/>
          <w:lang w:val="kk-KZ"/>
        </w:rPr>
      </w:pPr>
      <w:r w:rsidRPr="00457CE9">
        <w:rPr>
          <w:rFonts w:ascii="Times New Roman" w:hAnsi="Times New Roman"/>
          <w:sz w:val="28"/>
          <w:szCs w:val="28"/>
          <w:lang w:val="kk-KZ"/>
        </w:rPr>
        <w:t>АӨК дамытуға жұмсалған бюджет қаражаты тиімділігі аудитінің әзірленіп ұсынылған сапасын жақсарту және жетілдіру жолдары пайдаланушыларға тиімділік аудиті туралы есептердің сапалы болуына септігін тигізеді. Себебі, бюджет шығындарының тиімділігі аудит арқылы ақпаратты ашуды күшейткен сайын жоғарылайды. Бюджет қаражаты қоғамдық қажеттіліктерді қанағаттандыруға арналғандықтан, яғни, АӨК дамытуға жұмсалған қаражат туралы ақпарат пайдаланушыларға сапалы өткізілген тәуелсіз аудит арқылы шынайы, дер кезінде, және толық жеткізілген жағдайда оның ашықтығы жергілікті басқару органдарының сапалы жұмыс істеуге ынталандыратыны, оны пайдалану тиімділігі де артады деп күтіледі.</w:t>
      </w:r>
      <w:r w:rsidR="00574B29">
        <w:rPr>
          <w:rFonts w:ascii="Times New Roman" w:hAnsi="Times New Roman"/>
          <w:sz w:val="28"/>
          <w:szCs w:val="28"/>
          <w:lang w:val="kk-KZ"/>
        </w:rPr>
        <w:t xml:space="preserve"> </w:t>
      </w:r>
      <w:r w:rsidRPr="00457CE9">
        <w:rPr>
          <w:rFonts w:ascii="Times New Roman" w:hAnsi="Times New Roman"/>
          <w:sz w:val="28"/>
          <w:szCs w:val="28"/>
          <w:lang w:val="kk-KZ"/>
        </w:rPr>
        <w:t>Пайдаланушыларға бюджет қаражаты туралы ақпараттар бұқаралық ақпарат арқылы тез арада және аз шығынмен жеткізу қамтамасыз етіледі. Бұл өз кезегінде пайдаланушылардың жергілікті мемлекеттік органдарға сенімін артады, және салықтық түсімдердің өсуіне септігін тигізеді.</w:t>
      </w:r>
    </w:p>
    <w:p w14:paraId="6E01716B" w14:textId="10154CBC" w:rsidR="00681BDB" w:rsidRPr="00681BDB" w:rsidRDefault="00AC5208" w:rsidP="0097172E">
      <w:pPr>
        <w:pStyle w:val="a5"/>
        <w:numPr>
          <w:ilvl w:val="0"/>
          <w:numId w:val="33"/>
        </w:numPr>
        <w:tabs>
          <w:tab w:val="left" w:pos="993"/>
        </w:tabs>
        <w:spacing w:after="0" w:line="240" w:lineRule="auto"/>
        <w:ind w:left="0" w:firstLine="709"/>
        <w:jc w:val="both"/>
        <w:rPr>
          <w:rFonts w:ascii="Times New Roman" w:hAnsi="Times New Roman"/>
          <w:sz w:val="28"/>
          <w:szCs w:val="28"/>
          <w:lang w:val="kk-KZ"/>
        </w:rPr>
      </w:pPr>
      <w:r w:rsidRPr="00457CE9">
        <w:rPr>
          <w:rFonts w:ascii="Times New Roman" w:hAnsi="Times New Roman"/>
          <w:sz w:val="28"/>
          <w:szCs w:val="28"/>
          <w:lang w:val="kk-KZ"/>
        </w:rPr>
        <w:t xml:space="preserve">Диссертациялық жұмыста </w:t>
      </w:r>
      <w:r w:rsidR="00575788">
        <w:rPr>
          <w:rFonts w:ascii="Times New Roman" w:hAnsi="Times New Roman"/>
          <w:sz w:val="28"/>
          <w:szCs w:val="28"/>
          <w:lang w:val="kk-KZ"/>
        </w:rPr>
        <w:t>АӨК-н</w:t>
      </w:r>
      <w:r w:rsidRPr="00457CE9">
        <w:rPr>
          <w:rFonts w:ascii="Times New Roman" w:hAnsi="Times New Roman"/>
          <w:sz w:val="28"/>
          <w:szCs w:val="28"/>
          <w:lang w:val="kk-KZ"/>
        </w:rPr>
        <w:t xml:space="preserve"> дамытуға бағытталған бюджет қаражатын пайдалану тиімділігінің жоғары болуына жеткілікті іс-шаралар, тиісті түрде жоспарланған тікелей және нәтижелі көрсеткіштер, және оған қажетті бюджет қаражатының болуы, дер кезінде олардың мониторингісін қамтамасыз ету әсер етеді. </w:t>
      </w:r>
      <w:r w:rsidR="00FF3B29" w:rsidRPr="00457CE9">
        <w:rPr>
          <w:rFonts w:ascii="Times New Roman" w:hAnsi="Times New Roman"/>
          <w:sz w:val="28"/>
          <w:szCs w:val="28"/>
          <w:lang w:val="kk-KZ"/>
        </w:rPr>
        <w:t>АӨК дамыту бағытталған бюджет қаражатын пайдалану тиімділігі аудитін ұйымдастыру барысында оны іске асырудың ұлттық жобасында жоспарланған немесе нақты орындалған міндеттер, нәтижелі көрсеткіштер мен іс-шаралар жеткіліктілігін бағалауын</w:t>
      </w:r>
      <w:r w:rsidRPr="00457CE9">
        <w:rPr>
          <w:rFonts w:ascii="Times New Roman" w:hAnsi="Times New Roman"/>
          <w:sz w:val="28"/>
          <w:szCs w:val="28"/>
          <w:lang w:val="kk-KZ"/>
        </w:rPr>
        <w:t xml:space="preserve"> </w:t>
      </w:r>
      <w:r w:rsidR="001766E6" w:rsidRPr="00457CE9">
        <w:rPr>
          <w:rFonts w:ascii="Times New Roman" w:hAnsi="Times New Roman"/>
          <w:sz w:val="28"/>
          <w:szCs w:val="28"/>
          <w:lang w:val="kk-KZ"/>
        </w:rPr>
        <w:t xml:space="preserve">иерархиялық талдау моделін қолдану </w:t>
      </w:r>
      <w:r w:rsidR="00FF3B29" w:rsidRPr="00457CE9">
        <w:rPr>
          <w:rFonts w:ascii="Times New Roman" w:hAnsi="Times New Roman"/>
          <w:sz w:val="28"/>
          <w:szCs w:val="28"/>
          <w:lang w:val="kk-KZ"/>
        </w:rPr>
        <w:t xml:space="preserve">мүмкіндігі </w:t>
      </w:r>
      <w:r w:rsidR="001766E6" w:rsidRPr="00457CE9">
        <w:rPr>
          <w:rFonts w:ascii="Times New Roman" w:hAnsi="Times New Roman"/>
          <w:sz w:val="28"/>
          <w:szCs w:val="28"/>
          <w:lang w:val="kk-KZ"/>
        </w:rPr>
        <w:t>ұсынылды.</w:t>
      </w:r>
      <w:r w:rsidR="00FF3B29" w:rsidRPr="00457CE9">
        <w:rPr>
          <w:rFonts w:ascii="Times New Roman" w:hAnsi="Times New Roman"/>
          <w:sz w:val="28"/>
          <w:szCs w:val="28"/>
          <w:lang w:val="kk-KZ"/>
        </w:rPr>
        <w:t xml:space="preserve"> Иерархиялық талдау моделі көпаспектілі күрделі тапсырмаларды орындауда кешенді көзқарасты пайдаланатын математикалық тәсіл болып табылады. Иерархиялық талдау моделі қандай да тапсырманы орындаудың бір ғана нұсқасы емес, бірнешеуін салыстыру арқылы оңтайлы нұсқаны таңдауға мүмкіндік береді.</w:t>
      </w:r>
      <w:r w:rsidR="001766E6" w:rsidRPr="00457CE9">
        <w:rPr>
          <w:rFonts w:ascii="Times New Roman" w:hAnsi="Times New Roman"/>
          <w:sz w:val="28"/>
          <w:szCs w:val="28"/>
          <w:lang w:val="kk-KZ"/>
        </w:rPr>
        <w:t xml:space="preserve"> </w:t>
      </w:r>
      <w:r w:rsidR="00FF3B29" w:rsidRPr="00457CE9">
        <w:rPr>
          <w:rFonts w:ascii="Times New Roman" w:hAnsi="Times New Roman"/>
          <w:sz w:val="28"/>
          <w:szCs w:val="28"/>
          <w:lang w:val="kk-KZ"/>
        </w:rPr>
        <w:t>Аталған модельді АӨК дамытуға бағытталған бюджет қаражаты</w:t>
      </w:r>
      <w:r w:rsidR="0005370A" w:rsidRPr="00457CE9">
        <w:rPr>
          <w:rFonts w:ascii="Times New Roman" w:hAnsi="Times New Roman"/>
          <w:sz w:val="28"/>
          <w:szCs w:val="28"/>
          <w:lang w:val="kk-KZ"/>
        </w:rPr>
        <w:t xml:space="preserve">н тиімді пайдалану нұсқасын белгіленген критерийлерге эксперттік баға беру арқылы </w:t>
      </w:r>
      <w:r w:rsidR="00BC547C" w:rsidRPr="00457CE9">
        <w:rPr>
          <w:rFonts w:ascii="Times New Roman" w:hAnsi="Times New Roman"/>
          <w:sz w:val="28"/>
          <w:szCs w:val="28"/>
          <w:lang w:val="kk-KZ"/>
        </w:rPr>
        <w:t>таңдалады. Иерархиялық талдау моделі белгілі мақсатқа жету үшін жоспарланған міндеттер, нәтижелі көрсеткіштер мен іс-шараларға қатысты критерийлерді қаншалықты орындалуын экспер</w:t>
      </w:r>
      <w:r w:rsidR="00B54645">
        <w:rPr>
          <w:rFonts w:ascii="Times New Roman" w:hAnsi="Times New Roman"/>
          <w:sz w:val="28"/>
          <w:szCs w:val="28"/>
          <w:lang w:val="kk-KZ"/>
        </w:rPr>
        <w:t xml:space="preserve">ттер тәуелсіз баға беру арқылы </w:t>
      </w:r>
      <w:r w:rsidR="00BC547C" w:rsidRPr="00457CE9">
        <w:rPr>
          <w:rFonts w:ascii="Times New Roman" w:hAnsi="Times New Roman"/>
          <w:sz w:val="28"/>
          <w:szCs w:val="28"/>
          <w:lang w:val="kk-KZ"/>
        </w:rPr>
        <w:t>жеткілікті деңгейде қаншалықты орындалуына баға беру арқылы оның жоспарында олқылықтардың бар жоғын соңғы матрицасының мәндері көрсетеді. Осылайша қай критерий бойынша іс-шаралар жеткіліксіздігін анықтап, оны дер кезінде толықтыруға мүмкіндік бар.</w:t>
      </w:r>
      <w:r w:rsidR="002B4128" w:rsidRPr="00457CE9">
        <w:rPr>
          <w:rFonts w:ascii="Times New Roman" w:hAnsi="Times New Roman"/>
          <w:sz w:val="28"/>
          <w:szCs w:val="28"/>
          <w:lang w:val="kk-KZ"/>
        </w:rPr>
        <w:t xml:space="preserve"> </w:t>
      </w:r>
      <w:r w:rsidR="00681BDB" w:rsidRPr="00681BDB">
        <w:rPr>
          <w:rFonts w:ascii="Times New Roman" w:hAnsi="Times New Roman"/>
          <w:color w:val="000000"/>
          <w:sz w:val="28"/>
          <w:szCs w:val="28"/>
          <w:lang w:val="kk-KZ"/>
        </w:rPr>
        <w:t xml:space="preserve">Агроөнеркәсіптік кешенді дамытуға бағытталған бюджет қаражатының тиімділігі аудитінің сапасын жақсарту үшін мынадай тәсілдерді қолдануға болады: </w:t>
      </w:r>
    </w:p>
    <w:p w14:paraId="48690271" w14:textId="77777777" w:rsidR="00681BDB" w:rsidRDefault="00681BDB" w:rsidP="0097172E">
      <w:pPr>
        <w:pStyle w:val="a5"/>
        <w:widowControl w:val="0"/>
        <w:numPr>
          <w:ilvl w:val="3"/>
          <w:numId w:val="60"/>
        </w:numPr>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нақты критерийлер мен тиімділік көрсеткіштерін белгілеу: қойылған мақсаттарға қол жеткізуді бағалауға мүмкіндік беретін нақты және өлшенетін көрсеткіштерді әзірлеу. Бұл өндірісті ұлғайту деңгейі, шығындарды азайту, экологиялық қауіпсіздікті арттыру және т. б. болуы мүмкін. </w:t>
      </w:r>
    </w:p>
    <w:p w14:paraId="7F8F8A87" w14:textId="77777777" w:rsidR="00681BDB" w:rsidRDefault="00681BDB" w:rsidP="0097172E">
      <w:pPr>
        <w:pStyle w:val="a5"/>
        <w:widowControl w:val="0"/>
        <w:numPr>
          <w:ilvl w:val="3"/>
          <w:numId w:val="60"/>
        </w:numPr>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мониторинг пен бақылауды күшейту: бюджет қаражатының пайдаланылуына тұрақты мониторинг және бақылау жүйесін енгізу. Бұл ықтимал бұзушылықтарды және қаражатты тиімсіз пайдалануды уақтылы анықтауға және жоюға мүмкіндік береді. </w:t>
      </w:r>
    </w:p>
    <w:p w14:paraId="40C2694F" w14:textId="77777777" w:rsidR="00681BDB" w:rsidRDefault="00681BDB" w:rsidP="0097172E">
      <w:pPr>
        <w:pStyle w:val="a5"/>
        <w:widowControl w:val="0"/>
        <w:numPr>
          <w:ilvl w:val="3"/>
          <w:numId w:val="60"/>
        </w:numPr>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нәтижелерді талдау және кері байланыс: алынған мәліметтер мен нәтижелерге талдау жасаңыз, сонымен қатар процеске қатысушылармен кері байланыс жасаңыз. Бұл проблемалық аймақтарды анықтауға және оларды жақсарту үшін шаралар қабылдауға мүмкіндік береді. </w:t>
      </w:r>
    </w:p>
    <w:p w14:paraId="7D4ED6BC" w14:textId="77777777" w:rsidR="00681BDB" w:rsidRDefault="00681BDB" w:rsidP="0097172E">
      <w:pPr>
        <w:pStyle w:val="a5"/>
        <w:widowControl w:val="0"/>
        <w:numPr>
          <w:ilvl w:val="3"/>
          <w:numId w:val="60"/>
        </w:numPr>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сарапшыларды тарту: тиімділік аудитін жүргізу үшін тәуелсіз сарапшыларды тартудың мағынасы болуы мүмкін. Олар тиімділікті бағалаудың жаңа идеялары мен тәсілдерін ұсына алады және бұрын назардан тыс қалған мәселелерді анықтауға көмектеседі. </w:t>
      </w:r>
    </w:p>
    <w:p w14:paraId="5490DEBC" w14:textId="77777777" w:rsidR="00681BDB" w:rsidRDefault="00681BDB" w:rsidP="0097172E">
      <w:pPr>
        <w:pStyle w:val="a5"/>
        <w:widowControl w:val="0"/>
        <w:numPr>
          <w:ilvl w:val="3"/>
          <w:numId w:val="60"/>
        </w:numPr>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қызметкерлерді оқыту және дамыту: бюджет қаражатын басқару мен бақылауға жауапты қызметкерлерді оқыту мен дамытуды ұйымдастырыңыз. Бұл олардың біліктілігі мен жұмыс тиімділігін арттыруға көмектеседі. </w:t>
      </w:r>
    </w:p>
    <w:p w14:paraId="54BDB6A0" w14:textId="77777777" w:rsidR="00681BDB" w:rsidRDefault="00681BDB" w:rsidP="0097172E">
      <w:pPr>
        <w:pStyle w:val="a5"/>
        <w:widowControl w:val="0"/>
        <w:numPr>
          <w:ilvl w:val="3"/>
          <w:numId w:val="60"/>
        </w:numPr>
        <w:tabs>
          <w:tab w:val="left" w:pos="851"/>
          <w:tab w:val="left" w:pos="993"/>
          <w:tab w:val="left" w:pos="1605"/>
        </w:tabs>
        <w:spacing w:after="0" w:line="240" w:lineRule="auto"/>
        <w:ind w:left="0"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заманауи ақпараттық жүйелерді енгізу: бюджет қаражатын басқару және бақылау процестерін автоматтандыру үшін заманауи ақпараттық жүйелерді енгізуді қарастырыңыз. Бұл деректердің ашықтығы мен дәлдігін жақсартады, сонымен қатар талдау мен есеп беруді жеңілдетеді. </w:t>
      </w:r>
    </w:p>
    <w:p w14:paraId="0D13FA49" w14:textId="00C1FC1C" w:rsidR="00681BDB" w:rsidRDefault="00681BDB" w:rsidP="00681BDB">
      <w:pPr>
        <w:pStyle w:val="a5"/>
        <w:widowControl w:val="0"/>
        <w:tabs>
          <w:tab w:val="left" w:pos="851"/>
          <w:tab w:val="left" w:pos="993"/>
          <w:tab w:val="left" w:pos="1605"/>
        </w:tabs>
        <w:spacing w:after="0" w:line="240" w:lineRule="auto"/>
        <w:ind w:left="0" w:firstLine="709"/>
        <w:jc w:val="both"/>
        <w:rPr>
          <w:rFonts w:ascii="Times New Roman" w:hAnsi="Times New Roman"/>
          <w:sz w:val="28"/>
          <w:szCs w:val="28"/>
          <w:lang w:val="kk-KZ"/>
        </w:rPr>
      </w:pPr>
      <w:r>
        <w:rPr>
          <w:rFonts w:ascii="Times New Roman" w:hAnsi="Times New Roman"/>
          <w:color w:val="000000"/>
          <w:sz w:val="28"/>
          <w:szCs w:val="28"/>
          <w:lang w:val="kk-KZ"/>
        </w:rPr>
        <w:t>Осы тәсілдерді енгізу бюджет қаражатын пайдалану тиімділігі аудитінің сапасын арттыруға және агроөнеркәсіптік кешенде қаражатты неғұрлым тиімді пайдалануды қамтамасыз етуге көмектеседі.</w:t>
      </w:r>
    </w:p>
    <w:p w14:paraId="45CFFF6D" w14:textId="77777777" w:rsidR="00681BDB" w:rsidRPr="00681BDB" w:rsidRDefault="00681BDB" w:rsidP="00681BDB">
      <w:pPr>
        <w:tabs>
          <w:tab w:val="left" w:pos="993"/>
        </w:tabs>
        <w:spacing w:after="0" w:line="240" w:lineRule="auto"/>
        <w:jc w:val="both"/>
        <w:rPr>
          <w:rFonts w:ascii="Times New Roman" w:hAnsi="Times New Roman"/>
          <w:sz w:val="28"/>
          <w:szCs w:val="28"/>
          <w:lang w:val="kk-KZ"/>
        </w:rPr>
      </w:pPr>
    </w:p>
    <w:p w14:paraId="4C71DF4F" w14:textId="77777777" w:rsidR="008A0FB9" w:rsidRPr="00457CE9" w:rsidRDefault="008A0FB9" w:rsidP="00457CE9">
      <w:pPr>
        <w:tabs>
          <w:tab w:val="left" w:pos="851"/>
          <w:tab w:val="left" w:pos="1605"/>
        </w:tabs>
        <w:spacing w:after="0" w:line="240" w:lineRule="auto"/>
        <w:jc w:val="both"/>
        <w:rPr>
          <w:rFonts w:ascii="Times New Roman" w:hAnsi="Times New Roman" w:cs="Times New Roman"/>
          <w:sz w:val="28"/>
          <w:szCs w:val="28"/>
          <w:lang w:val="kk-KZ"/>
        </w:rPr>
      </w:pPr>
    </w:p>
    <w:p w14:paraId="667A660A" w14:textId="77777777" w:rsidR="00A667AD" w:rsidRPr="00457CE9" w:rsidRDefault="00A667AD"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09F7FDA" w14:textId="77777777" w:rsidR="00A667AD" w:rsidRPr="00457CE9" w:rsidRDefault="00A667AD"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380064B9" w14:textId="77777777" w:rsidR="00A667AD" w:rsidRPr="00457CE9" w:rsidRDefault="00A667AD"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F886B02" w14:textId="77777777" w:rsidR="00B11263" w:rsidRDefault="00B11263"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27882113" w14:textId="77777777" w:rsidR="00B54645" w:rsidRDefault="00B54645"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2C55451D" w14:textId="77777777" w:rsidR="00BE3507" w:rsidRDefault="00BE35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E492CAB" w14:textId="77777777" w:rsidR="00BE3507" w:rsidRDefault="00BE35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384392BC" w14:textId="77777777" w:rsidR="00BE3507" w:rsidRDefault="00BE35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1360FE62" w14:textId="77777777" w:rsidR="00BE3507" w:rsidRDefault="00BE35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B0B9F0A" w14:textId="77777777" w:rsidR="00BE3507" w:rsidRDefault="00BE35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7E10744" w14:textId="77777777" w:rsidR="00BE3507" w:rsidRDefault="00BE35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1A20C98A" w14:textId="77777777" w:rsidR="006B6907" w:rsidRDefault="006B69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19320754" w14:textId="77777777" w:rsidR="006B6907" w:rsidRDefault="006B69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293431B3" w14:textId="77777777" w:rsidR="006B6907" w:rsidRDefault="006B69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45B01E55"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DB6F0F7"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1A4A4466"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21FCD18"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47C630BA"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091B103"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70A7757D"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943BC10"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3C2D180F"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205E2A90"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707C348"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1104590"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62CB98F0"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0929266F"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3EAE200A"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31F14A83" w14:textId="77777777" w:rsidR="00681BDB" w:rsidRDefault="00681BDB"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4AEB667A" w14:textId="77777777" w:rsidR="006B6907" w:rsidRDefault="006B69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4EB4425B" w14:textId="77777777" w:rsidR="006B6907" w:rsidRDefault="006B69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73ECA99B" w14:textId="77777777" w:rsidR="002E4E46" w:rsidRDefault="002E4E46" w:rsidP="002E4E46">
      <w:pPr>
        <w:tabs>
          <w:tab w:val="left" w:pos="1134"/>
          <w:tab w:val="left" w:pos="1605"/>
        </w:tabs>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ПАЙДАЛАНЫЛҒАН ӘДЕБИЕТТЕР ТІЗІМІ</w:t>
      </w:r>
    </w:p>
    <w:p w14:paraId="59339552" w14:textId="77777777" w:rsidR="002E4E46" w:rsidRDefault="002E4E46" w:rsidP="002E4E46">
      <w:pPr>
        <w:tabs>
          <w:tab w:val="left" w:pos="1134"/>
          <w:tab w:val="left" w:pos="1605"/>
        </w:tabs>
        <w:spacing w:after="0" w:line="240" w:lineRule="auto"/>
        <w:ind w:firstLine="709"/>
        <w:jc w:val="both"/>
        <w:rPr>
          <w:rFonts w:ascii="Times New Roman" w:hAnsi="Times New Roman" w:cs="Times New Roman"/>
          <w:sz w:val="28"/>
          <w:szCs w:val="28"/>
          <w:lang w:val="kk-KZ"/>
        </w:rPr>
      </w:pPr>
    </w:p>
    <w:p w14:paraId="2AF447ED" w14:textId="77777777" w:rsidR="002E4E46" w:rsidRDefault="0097172E" w:rsidP="0097172E">
      <w:pPr>
        <w:pStyle w:val="a5"/>
        <w:widowControl w:val="0"/>
        <w:numPr>
          <w:ilvl w:val="0"/>
          <w:numId w:val="61"/>
        </w:numPr>
        <w:tabs>
          <w:tab w:val="left" w:pos="993"/>
          <w:tab w:val="left" w:pos="1134"/>
        </w:tabs>
        <w:spacing w:after="0" w:line="240" w:lineRule="auto"/>
        <w:ind w:left="0" w:firstLine="709"/>
        <w:jc w:val="both"/>
        <w:rPr>
          <w:rFonts w:ascii="Times New Roman" w:hAnsi="Times New Roman"/>
          <w:shd w:val="clear" w:color="auto" w:fill="FFFFFF"/>
          <w:lang w:val="kk-KZ"/>
        </w:rPr>
      </w:pPr>
      <w:hyperlink r:id="rId51" w:history="1">
        <w:r w:rsidR="002E4E46">
          <w:rPr>
            <w:rStyle w:val="a4"/>
            <w:sz w:val="28"/>
            <w:szCs w:val="28"/>
          </w:rPr>
          <w:t xml:space="preserve">Бюллетень Счетной палаты №3 (292) 2022 г. </w:t>
        </w:r>
        <w:r w:rsidR="002E4E46">
          <w:rPr>
            <w:rStyle w:val="a4"/>
            <w:sz w:val="28"/>
            <w:szCs w:val="28"/>
            <w:lang w:val="kk-KZ"/>
          </w:rPr>
          <w:t xml:space="preserve">// </w:t>
        </w:r>
        <w:r w:rsidR="002E4E46">
          <w:rPr>
            <w:rStyle w:val="a4"/>
            <w:sz w:val="28"/>
            <w:szCs w:val="28"/>
          </w:rPr>
          <w:t>ach.gov.ru</w:t>
        </w:r>
        <w:r w:rsidR="002E4E46">
          <w:rPr>
            <w:rStyle w:val="a4"/>
            <w:sz w:val="28"/>
            <w:szCs w:val="28"/>
            <w:lang w:val="kk-KZ"/>
          </w:rPr>
          <w:t>.</w:t>
        </w:r>
      </w:hyperlink>
      <w:r w:rsidR="002E4E46">
        <w:rPr>
          <w:rStyle w:val="a4"/>
          <w:sz w:val="28"/>
          <w:szCs w:val="28"/>
          <w:lang w:val="kk-KZ"/>
        </w:rPr>
        <w:t xml:space="preserve"> 10.09.2020 ж.</w:t>
      </w:r>
    </w:p>
    <w:p w14:paraId="78782077" w14:textId="77777777" w:rsidR="002E4E46" w:rsidRDefault="0097172E" w:rsidP="0097172E">
      <w:pPr>
        <w:pStyle w:val="a5"/>
        <w:widowControl w:val="0"/>
        <w:numPr>
          <w:ilvl w:val="0"/>
          <w:numId w:val="61"/>
        </w:numPr>
        <w:tabs>
          <w:tab w:val="left" w:pos="993"/>
          <w:tab w:val="left" w:pos="1134"/>
        </w:tabs>
        <w:spacing w:after="0" w:line="240" w:lineRule="auto"/>
        <w:ind w:left="0" w:firstLine="709"/>
        <w:jc w:val="both"/>
        <w:rPr>
          <w:rFonts w:ascii="Times New Roman" w:hAnsi="Times New Roman"/>
          <w:sz w:val="28"/>
          <w:szCs w:val="28"/>
          <w:shd w:val="clear" w:color="auto" w:fill="FFFFFF"/>
          <w:lang w:val="kk-KZ"/>
        </w:rPr>
      </w:pPr>
      <w:hyperlink r:id="rId52" w:history="1">
        <w:r w:rsidR="002E4E46">
          <w:rPr>
            <w:rStyle w:val="a4"/>
            <w:sz w:val="28"/>
            <w:szCs w:val="28"/>
            <w:lang w:val="kk-KZ"/>
          </w:rPr>
          <w:t>Қазақстан Республикасы Стратегиялық жоспарлау және реформалар агенттігі Ұлттық статистика бюросы // stat.gov.kz.</w:t>
        </w:r>
      </w:hyperlink>
      <w:r w:rsidR="002E4E46">
        <w:rPr>
          <w:rStyle w:val="a4"/>
          <w:sz w:val="28"/>
          <w:szCs w:val="28"/>
          <w:lang w:val="kk-KZ"/>
        </w:rPr>
        <w:t xml:space="preserve"> 15.09.2020 ж.</w:t>
      </w:r>
    </w:p>
    <w:p w14:paraId="33827F79" w14:textId="77777777" w:rsidR="002E4E46" w:rsidRDefault="002E4E46" w:rsidP="0097172E">
      <w:pPr>
        <w:pStyle w:val="a5"/>
        <w:widowControl w:val="0"/>
        <w:numPr>
          <w:ilvl w:val="0"/>
          <w:numId w:val="61"/>
        </w:numPr>
        <w:tabs>
          <w:tab w:val="left" w:pos="993"/>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Қазақстан Республикасының Президенті Қ.-Ж. Тоқаев. «Әділетті мемлекет. Біртұтас ұлт. Берекелі қоғам: </w:t>
      </w:r>
      <w:r>
        <w:rPr>
          <w:rStyle w:val="rynqvb"/>
          <w:rFonts w:ascii="Times New Roman" w:hAnsi="Times New Roman"/>
          <w:sz w:val="28"/>
          <w:szCs w:val="28"/>
          <w:lang w:val="kk-KZ"/>
        </w:rPr>
        <w:t>Қазақстан халқына жолдау // https://www.gov.kz/memleket/entities/aqmola-ugzk/documents.</w:t>
      </w:r>
      <w:r>
        <w:rPr>
          <w:rStyle w:val="a4"/>
          <w:sz w:val="28"/>
          <w:szCs w:val="28"/>
          <w:lang w:val="kk-KZ"/>
        </w:rPr>
        <w:t xml:space="preserve"> 20.10.2020 ж.</w:t>
      </w:r>
    </w:p>
    <w:p w14:paraId="306123BE" w14:textId="77777777" w:rsidR="002E4E46" w:rsidRDefault="002E4E46" w:rsidP="0097172E">
      <w:pPr>
        <w:pStyle w:val="a5"/>
        <w:widowControl w:val="0"/>
        <w:numPr>
          <w:ilvl w:val="0"/>
          <w:numId w:val="61"/>
        </w:numPr>
        <w:tabs>
          <w:tab w:val="left" w:pos="993"/>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Қазақстан Республикасының Президенті Қ.-Ж. Тоқаев. Халық бірлігі және жүйелі реформалар – ел өркендеуінің берік негізі: </w:t>
      </w:r>
      <w:r>
        <w:rPr>
          <w:rStyle w:val="rynqvb"/>
          <w:rFonts w:ascii="Times New Roman" w:hAnsi="Times New Roman"/>
          <w:sz w:val="28"/>
          <w:szCs w:val="28"/>
          <w:lang w:val="kk-KZ"/>
        </w:rPr>
        <w:t>Қазақстан халқына жолдау</w:t>
      </w:r>
      <w:r>
        <w:rPr>
          <w:rFonts w:ascii="Times New Roman" w:hAnsi="Times New Roman"/>
          <w:sz w:val="28"/>
          <w:szCs w:val="28"/>
          <w:lang w:val="kk-KZ"/>
        </w:rPr>
        <w:t xml:space="preserve"> // </w:t>
      </w:r>
      <w:hyperlink r:id="rId53" w:history="1">
        <w:r>
          <w:rPr>
            <w:rStyle w:val="a4"/>
            <w:sz w:val="28"/>
            <w:szCs w:val="28"/>
            <w:lang w:val="kk-KZ"/>
          </w:rPr>
          <w:t>https://primeminister.kz/addresses/01092021. 12.10.2020</w:t>
        </w:r>
      </w:hyperlink>
      <w:r>
        <w:rPr>
          <w:rStyle w:val="a4"/>
          <w:sz w:val="28"/>
          <w:szCs w:val="28"/>
          <w:lang w:val="kk-KZ"/>
        </w:rPr>
        <w:t xml:space="preserve"> ж.</w:t>
      </w:r>
    </w:p>
    <w:p w14:paraId="19A50140" w14:textId="77777777" w:rsidR="002E4E46" w:rsidRDefault="002E4E46" w:rsidP="0097172E">
      <w:pPr>
        <w:pStyle w:val="a5"/>
        <w:widowControl w:val="0"/>
        <w:numPr>
          <w:ilvl w:val="0"/>
          <w:numId w:val="61"/>
        </w:numPr>
        <w:tabs>
          <w:tab w:val="left" w:pos="993"/>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Қазақстан Республикасының Президенті Қ.-Ж. Тоқаев. Жаңа Қазақстан – жаңару мен жаңғыру жолы: </w:t>
      </w:r>
      <w:r>
        <w:rPr>
          <w:rStyle w:val="rynqvb"/>
          <w:rFonts w:ascii="Times New Roman" w:hAnsi="Times New Roman"/>
          <w:sz w:val="28"/>
          <w:szCs w:val="28"/>
          <w:lang w:val="kk-KZ"/>
        </w:rPr>
        <w:t>Қазақстан халқына жолдау</w:t>
      </w:r>
      <w:r>
        <w:rPr>
          <w:rFonts w:ascii="Times New Roman" w:hAnsi="Times New Roman"/>
          <w:sz w:val="28"/>
          <w:szCs w:val="28"/>
          <w:lang w:val="kk-KZ"/>
        </w:rPr>
        <w:t xml:space="preserve"> // </w:t>
      </w:r>
      <w:hyperlink r:id="rId54" w:history="1">
        <w:r>
          <w:rPr>
            <w:rStyle w:val="a4"/>
            <w:sz w:val="28"/>
            <w:szCs w:val="28"/>
            <w:lang w:val="kk-KZ"/>
          </w:rPr>
          <w:t>https://adilet.zan.kz/kaz/docs/K22002022_1</w:t>
        </w:r>
      </w:hyperlink>
      <w:r>
        <w:rPr>
          <w:rFonts w:ascii="Times New Roman" w:hAnsi="Times New Roman"/>
          <w:sz w:val="28"/>
          <w:szCs w:val="28"/>
          <w:lang w:val="kk-KZ"/>
        </w:rPr>
        <w:t>.</w:t>
      </w:r>
      <w:r>
        <w:rPr>
          <w:rStyle w:val="a4"/>
          <w:sz w:val="28"/>
          <w:szCs w:val="28"/>
          <w:lang w:val="kk-KZ"/>
        </w:rPr>
        <w:t xml:space="preserve"> 15.10.2020 ж.</w:t>
      </w:r>
    </w:p>
    <w:p w14:paraId="6A2DA3D4" w14:textId="77777777" w:rsidR="002E4E46" w:rsidRDefault="0097172E" w:rsidP="0097172E">
      <w:pPr>
        <w:pStyle w:val="a5"/>
        <w:widowControl w:val="0"/>
        <w:numPr>
          <w:ilvl w:val="0"/>
          <w:numId w:val="61"/>
        </w:numPr>
        <w:tabs>
          <w:tab w:val="left" w:pos="0"/>
          <w:tab w:val="left" w:pos="993"/>
          <w:tab w:val="left" w:pos="1134"/>
        </w:tabs>
        <w:spacing w:after="0" w:line="240" w:lineRule="auto"/>
        <w:ind w:left="0" w:firstLine="709"/>
        <w:jc w:val="both"/>
        <w:rPr>
          <w:rFonts w:ascii="Times New Roman" w:hAnsi="Times New Roman"/>
          <w:sz w:val="28"/>
          <w:szCs w:val="28"/>
          <w:shd w:val="clear" w:color="auto" w:fill="FFFFFF"/>
          <w:lang w:val="kk-KZ"/>
        </w:rPr>
      </w:pPr>
      <w:hyperlink r:id="rId55" w:anchor="z103" w:history="1">
        <w:r w:rsidR="002E4E46">
          <w:rPr>
            <w:rStyle w:val="a4"/>
            <w:sz w:val="28"/>
            <w:szCs w:val="28"/>
          </w:rPr>
          <w:t>Об утверждении Концепции развития агропромышленного комплекса Республики Казахстан на 2021 – 2030 годы - ИПС "Әділет" (zan.kz)</w:t>
        </w:r>
      </w:hyperlink>
      <w:r w:rsidR="002E4E46">
        <w:rPr>
          <w:rFonts w:ascii="Times New Roman" w:hAnsi="Times New Roman"/>
          <w:sz w:val="28"/>
          <w:szCs w:val="28"/>
          <w:lang w:val="kk-KZ"/>
        </w:rPr>
        <w:t>. 21.10.2020ж.</w:t>
      </w:r>
    </w:p>
    <w:p w14:paraId="73F2E2F7" w14:textId="77777777" w:rsidR="002E4E46" w:rsidRDefault="002E4E46" w:rsidP="0097172E">
      <w:pPr>
        <w:pStyle w:val="a5"/>
        <w:widowControl w:val="0"/>
        <w:numPr>
          <w:ilvl w:val="0"/>
          <w:numId w:val="61"/>
        </w:numPr>
        <w:tabs>
          <w:tab w:val="left" w:pos="0"/>
          <w:tab w:val="left" w:pos="993"/>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2021</w:t>
      </w:r>
      <w:r>
        <w:rPr>
          <w:rFonts w:ascii="Times New Roman" w:hAnsi="Times New Roman"/>
          <w:sz w:val="28"/>
          <w:szCs w:val="28"/>
        </w:rPr>
        <w:t>-2022</w:t>
      </w:r>
      <w:r>
        <w:rPr>
          <w:rFonts w:ascii="Times New Roman" w:hAnsi="Times New Roman"/>
          <w:sz w:val="28"/>
          <w:szCs w:val="28"/>
          <w:lang w:val="kk-KZ"/>
        </w:rPr>
        <w:t xml:space="preserve"> жылғы Алдын ала деректер // </w:t>
      </w:r>
      <w:hyperlink r:id="rId56" w:history="1">
        <w:r>
          <w:rPr>
            <w:rStyle w:val="a4"/>
            <w:sz w:val="28"/>
            <w:szCs w:val="28"/>
            <w:lang w:val="kk-KZ"/>
          </w:rPr>
          <w:t>stat.gov.kz.</w:t>
        </w:r>
      </w:hyperlink>
      <w:r>
        <w:rPr>
          <w:rStyle w:val="a4"/>
          <w:sz w:val="28"/>
          <w:szCs w:val="28"/>
          <w:lang w:val="kk-KZ"/>
        </w:rPr>
        <w:t xml:space="preserve"> 29.10.2020 ж.</w:t>
      </w:r>
    </w:p>
    <w:p w14:paraId="47FA0D99" w14:textId="77777777" w:rsidR="002E4E46" w:rsidRDefault="002E4E46" w:rsidP="0097172E">
      <w:pPr>
        <w:pStyle w:val="a5"/>
        <w:widowControl w:val="0"/>
        <w:numPr>
          <w:ilvl w:val="0"/>
          <w:numId w:val="61"/>
        </w:numPr>
        <w:tabs>
          <w:tab w:val="left" w:pos="993"/>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Beisenova L</w:t>
      </w:r>
      <w:r>
        <w:rPr>
          <w:rFonts w:ascii="Times New Roman" w:hAnsi="Times New Roman"/>
          <w:sz w:val="28"/>
          <w:szCs w:val="28"/>
          <w:lang w:val="kk-KZ"/>
        </w:rPr>
        <w:t>.</w:t>
      </w:r>
      <w:r>
        <w:rPr>
          <w:rFonts w:ascii="Times New Roman" w:hAnsi="Times New Roman"/>
          <w:sz w:val="28"/>
          <w:szCs w:val="28"/>
          <w:lang w:val="en-US"/>
        </w:rPr>
        <w:t>Z., Spatayeva S</w:t>
      </w:r>
      <w:r>
        <w:rPr>
          <w:rFonts w:ascii="Times New Roman" w:hAnsi="Times New Roman"/>
          <w:sz w:val="28"/>
          <w:szCs w:val="28"/>
          <w:lang w:val="kk-KZ"/>
        </w:rPr>
        <w:t>.</w:t>
      </w:r>
      <w:r>
        <w:rPr>
          <w:rFonts w:ascii="Times New Roman" w:hAnsi="Times New Roman"/>
          <w:sz w:val="28"/>
          <w:szCs w:val="28"/>
          <w:lang w:val="en-US"/>
        </w:rPr>
        <w:t>B., Shakharova A</w:t>
      </w:r>
      <w:r>
        <w:rPr>
          <w:rFonts w:ascii="Times New Roman" w:hAnsi="Times New Roman"/>
          <w:sz w:val="28"/>
          <w:szCs w:val="28"/>
          <w:lang w:val="kk-KZ"/>
        </w:rPr>
        <w:t>.</w:t>
      </w:r>
      <w:r>
        <w:rPr>
          <w:rFonts w:ascii="Times New Roman" w:hAnsi="Times New Roman"/>
          <w:sz w:val="28"/>
          <w:szCs w:val="28"/>
          <w:lang w:val="en-US"/>
        </w:rPr>
        <w:t>Y. Performance Audit of the Use of Budget Funds Aimed at the Development of the Agricultural Sector of Kazakhstan // Journal of advanced research in law and economics</w:t>
      </w:r>
      <w:r>
        <w:rPr>
          <w:rFonts w:ascii="Times New Roman" w:hAnsi="Times New Roman"/>
          <w:sz w:val="28"/>
          <w:szCs w:val="28"/>
          <w:lang w:val="kk-KZ"/>
        </w:rPr>
        <w:t>.</w:t>
      </w:r>
      <w:r>
        <w:rPr>
          <w:rFonts w:ascii="Times New Roman" w:hAnsi="Times New Roman"/>
          <w:sz w:val="28"/>
          <w:szCs w:val="28"/>
          <w:lang w:val="en-US"/>
        </w:rPr>
        <w:t xml:space="preserve"> </w:t>
      </w:r>
      <w:r>
        <w:rPr>
          <w:rFonts w:ascii="Times New Roman" w:hAnsi="Times New Roman"/>
          <w:sz w:val="28"/>
          <w:szCs w:val="28"/>
          <w:lang w:val="kk-KZ"/>
        </w:rPr>
        <w:t xml:space="preserve">– </w:t>
      </w:r>
      <w:r>
        <w:rPr>
          <w:rFonts w:ascii="Times New Roman" w:hAnsi="Times New Roman"/>
          <w:sz w:val="28"/>
          <w:szCs w:val="28"/>
          <w:lang w:val="en-US"/>
        </w:rPr>
        <w:t xml:space="preserve">2020. </w:t>
      </w:r>
      <w:r>
        <w:rPr>
          <w:rFonts w:ascii="Times New Roman" w:hAnsi="Times New Roman"/>
          <w:sz w:val="28"/>
          <w:szCs w:val="28"/>
          <w:lang w:val="kk-KZ"/>
        </w:rPr>
        <w:t xml:space="preserve">– </w:t>
      </w:r>
      <w:r>
        <w:rPr>
          <w:rFonts w:ascii="Times New Roman" w:hAnsi="Times New Roman"/>
          <w:sz w:val="28"/>
          <w:szCs w:val="28"/>
          <w:lang w:val="en-US"/>
        </w:rPr>
        <w:t>Vol</w:t>
      </w:r>
      <w:r>
        <w:rPr>
          <w:rFonts w:ascii="Times New Roman" w:hAnsi="Times New Roman"/>
          <w:sz w:val="28"/>
          <w:szCs w:val="28"/>
          <w:lang w:val="kk-KZ"/>
        </w:rPr>
        <w:t>.</w:t>
      </w:r>
      <w:r>
        <w:rPr>
          <w:rFonts w:ascii="Times New Roman" w:hAnsi="Times New Roman"/>
          <w:sz w:val="28"/>
          <w:szCs w:val="28"/>
          <w:lang w:val="en-US"/>
        </w:rPr>
        <w:t xml:space="preserve"> </w:t>
      </w:r>
      <w:r>
        <w:rPr>
          <w:rFonts w:ascii="Times New Roman" w:hAnsi="Times New Roman"/>
          <w:sz w:val="28"/>
          <w:szCs w:val="28"/>
          <w:lang w:val="kk-KZ"/>
        </w:rPr>
        <w:t xml:space="preserve">11, </w:t>
      </w:r>
      <w:r>
        <w:rPr>
          <w:rFonts w:ascii="Times New Roman" w:hAnsi="Times New Roman"/>
          <w:sz w:val="28"/>
          <w:szCs w:val="28"/>
          <w:lang w:val="en-US"/>
        </w:rPr>
        <w:t>Issue 4(50)</w:t>
      </w:r>
      <w:r>
        <w:rPr>
          <w:rFonts w:ascii="Times New Roman" w:hAnsi="Times New Roman"/>
          <w:sz w:val="28"/>
          <w:szCs w:val="28"/>
          <w:lang w:val="kk-KZ"/>
        </w:rPr>
        <w:t xml:space="preserve">. – Р. </w:t>
      </w:r>
      <w:r>
        <w:rPr>
          <w:rFonts w:ascii="Times New Roman" w:hAnsi="Times New Roman"/>
          <w:sz w:val="28"/>
          <w:szCs w:val="28"/>
          <w:lang w:val="en-US"/>
        </w:rPr>
        <w:t>1102-1108</w:t>
      </w:r>
      <w:r>
        <w:rPr>
          <w:rFonts w:ascii="Times New Roman" w:hAnsi="Times New Roman"/>
          <w:sz w:val="28"/>
          <w:szCs w:val="28"/>
          <w:lang w:val="kk-KZ"/>
        </w:rPr>
        <w:t>.</w:t>
      </w:r>
    </w:p>
    <w:p w14:paraId="5EE887C3"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Коваленко С.Н., Трунова Е.А. Аудит эффективности: современные проблемы и пути их решения // Научные ведомости. Серия Экономика. Информатика. – 2017. – №2(251), вып. 41. – С. 68-74.</w:t>
      </w:r>
    </w:p>
    <w:p w14:paraId="19AD343C"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100. Тиімділік аудитін жүргізу бойынша сыртқы мемлекеттік аудиттің және қаржылық бақылаудың рәсімдік стандарты // </w:t>
      </w:r>
      <w:hyperlink r:id="rId57" w:anchor="z3" w:history="1">
        <w:r>
          <w:rPr>
            <w:rStyle w:val="a4"/>
            <w:sz w:val="28"/>
            <w:szCs w:val="28"/>
            <w:lang w:val="kk-KZ"/>
          </w:rPr>
          <w:t>Сыртқы мемлекеттік аудиттің және қаржылық бақылаудың рәсімдік стандарттарын бекіту туралы - "Әділет" АҚЖ (zan.kz)</w:t>
        </w:r>
      </w:hyperlink>
      <w:r>
        <w:rPr>
          <w:rStyle w:val="a4"/>
          <w:sz w:val="28"/>
          <w:szCs w:val="28"/>
          <w:lang w:val="kk-KZ"/>
        </w:rPr>
        <w:t>. 10.11.2020 ж.</w:t>
      </w:r>
    </w:p>
    <w:p w14:paraId="24B9A6F5"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17 тұрақты даму мақсаты </w:t>
      </w:r>
      <w:hyperlink r:id="rId58" w:history="1">
        <w:r>
          <w:rPr>
            <w:rStyle w:val="a4"/>
            <w:sz w:val="28"/>
            <w:szCs w:val="28"/>
            <w:lang w:val="kk-KZ"/>
          </w:rPr>
          <w:t>Тұрақты даму мақсаттары // egov.kz</w:t>
        </w:r>
      </w:hyperlink>
      <w:r>
        <w:rPr>
          <w:rStyle w:val="a4"/>
          <w:sz w:val="28"/>
          <w:szCs w:val="28"/>
          <w:lang w:val="kk-KZ"/>
        </w:rPr>
        <w:t>. 12.11.2020 ж.</w:t>
      </w:r>
    </w:p>
    <w:p w14:paraId="0146D196" w14:textId="77777777" w:rsidR="002E4E46" w:rsidRDefault="0097172E"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hyperlink r:id="rId59" w:history="1">
        <w:r w:rsidR="002E4E46">
          <w:rPr>
            <w:rStyle w:val="a4"/>
            <w:sz w:val="28"/>
            <w:szCs w:val="28"/>
            <w:lang w:val="kk-KZ"/>
          </w:rPr>
          <w:t xml:space="preserve"> </w:t>
        </w:r>
        <w:r w:rsidR="002E4E46">
          <w:rPr>
            <w:rStyle w:val="a4"/>
            <w:sz w:val="28"/>
            <w:szCs w:val="28"/>
          </w:rPr>
          <w:t>ISSAI 3000</w:t>
        </w:r>
        <w:r w:rsidR="002E4E46">
          <w:rPr>
            <w:rStyle w:val="a4"/>
            <w:sz w:val="28"/>
            <w:szCs w:val="28"/>
            <w:lang w:val="kk-KZ"/>
          </w:rPr>
          <w:t>-</w:t>
        </w:r>
        <w:r w:rsidR="002E4E46">
          <w:rPr>
            <w:rStyle w:val="a4"/>
            <w:sz w:val="28"/>
            <w:szCs w:val="28"/>
          </w:rPr>
          <w:t>3100</w:t>
        </w:r>
        <w:r w:rsidR="002E4E46">
          <w:rPr>
            <w:rStyle w:val="a4"/>
            <w:sz w:val="28"/>
            <w:szCs w:val="28"/>
            <w:lang w:val="kk-KZ"/>
          </w:rPr>
          <w:t xml:space="preserve">: </w:t>
        </w:r>
        <w:r w:rsidR="002E4E46">
          <w:rPr>
            <w:rStyle w:val="a4"/>
            <w:sz w:val="28"/>
            <w:szCs w:val="28"/>
          </w:rPr>
          <w:t>руководство по аудиту эффективности</w:t>
        </w:r>
        <w:r w:rsidR="002E4E46">
          <w:rPr>
            <w:rStyle w:val="a4"/>
            <w:sz w:val="28"/>
            <w:szCs w:val="28"/>
            <w:lang w:val="kk-KZ"/>
          </w:rPr>
          <w:t xml:space="preserve"> // </w:t>
        </w:r>
        <w:r w:rsidR="002E4E46">
          <w:rPr>
            <w:rStyle w:val="a4"/>
            <w:sz w:val="28"/>
            <w:szCs w:val="28"/>
          </w:rPr>
          <w:t>studylib.net</w:t>
        </w:r>
        <w:r w:rsidR="002E4E46">
          <w:rPr>
            <w:rStyle w:val="a4"/>
            <w:sz w:val="28"/>
            <w:szCs w:val="28"/>
            <w:lang w:val="kk-KZ"/>
          </w:rPr>
          <w:t>.</w:t>
        </w:r>
      </w:hyperlink>
      <w:r w:rsidR="002E4E46">
        <w:rPr>
          <w:rStyle w:val="a4"/>
          <w:sz w:val="28"/>
          <w:szCs w:val="28"/>
          <w:lang w:val="kk-KZ"/>
        </w:rPr>
        <w:t xml:space="preserve"> 17.11.2020 ж.</w:t>
      </w:r>
    </w:p>
    <w:p w14:paraId="14E30D09" w14:textId="77777777" w:rsidR="002E4E46" w:rsidRDefault="002E4E46" w:rsidP="0097172E">
      <w:pPr>
        <w:pStyle w:val="a5"/>
        <w:widowControl w:val="0"/>
        <w:numPr>
          <w:ilvl w:val="0"/>
          <w:numId w:val="61"/>
        </w:numPr>
        <w:tabs>
          <w:tab w:val="left" w:pos="1134"/>
        </w:tabs>
        <w:spacing w:after="0" w:line="240" w:lineRule="auto"/>
        <w:ind w:left="0" w:firstLine="709"/>
        <w:jc w:val="both"/>
        <w:rPr>
          <w:rStyle w:val="a4"/>
          <w:color w:val="auto"/>
          <w:u w:val="none"/>
        </w:rPr>
      </w:pPr>
      <w:r>
        <w:rPr>
          <w:rFonts w:ascii="Times New Roman" w:hAnsi="Times New Roman"/>
          <w:sz w:val="28"/>
          <w:szCs w:val="28"/>
          <w:shd w:val="clear" w:color="auto" w:fill="FFFFFF"/>
          <w:lang w:val="kk-KZ"/>
        </w:rPr>
        <w:t xml:space="preserve">Қазақстан Республикасының Заңы. Мемлекеттік аудит және қаржылық бақылау туралы: 2015 жылдың 12 қарашада, №392-V ҚРЗ қабылданған // </w:t>
      </w:r>
      <w:hyperlink r:id="rId60" w:history="1">
        <w:r>
          <w:rPr>
            <w:rStyle w:val="a4"/>
            <w:sz w:val="28"/>
            <w:szCs w:val="28"/>
            <w:shd w:val="clear" w:color="auto" w:fill="FFFFFF"/>
            <w:lang w:val="kk-KZ"/>
          </w:rPr>
          <w:t>https://adilet.zan.kz/kaz/docs/Z1500000392/history</w:t>
        </w:r>
      </w:hyperlink>
      <w:r>
        <w:rPr>
          <w:rFonts w:ascii="Times New Roman" w:hAnsi="Times New Roman"/>
          <w:sz w:val="28"/>
          <w:szCs w:val="28"/>
          <w:shd w:val="clear" w:color="auto" w:fill="FFFFFF"/>
          <w:lang w:val="kk-KZ"/>
        </w:rPr>
        <w:t xml:space="preserve">. </w:t>
      </w:r>
      <w:r>
        <w:rPr>
          <w:rStyle w:val="a4"/>
          <w:sz w:val="28"/>
          <w:szCs w:val="28"/>
          <w:lang w:val="kk-KZ"/>
        </w:rPr>
        <w:t>20.11.2020 ж.</w:t>
      </w:r>
    </w:p>
    <w:p w14:paraId="6577C5D2" w14:textId="77777777" w:rsidR="002E4E46" w:rsidRDefault="002E4E46" w:rsidP="0097172E">
      <w:pPr>
        <w:pStyle w:val="a5"/>
        <w:widowControl w:val="0"/>
        <w:numPr>
          <w:ilvl w:val="0"/>
          <w:numId w:val="61"/>
        </w:numPr>
        <w:tabs>
          <w:tab w:val="left" w:pos="1134"/>
        </w:tabs>
        <w:spacing w:after="0" w:line="240" w:lineRule="auto"/>
        <w:ind w:left="0" w:firstLine="709"/>
        <w:jc w:val="both"/>
      </w:pPr>
      <w:r>
        <w:rPr>
          <w:rFonts w:ascii="Times New Roman" w:hAnsi="Times New Roman"/>
          <w:sz w:val="28"/>
          <w:szCs w:val="28"/>
          <w:lang w:val="kk-KZ"/>
        </w:rPr>
        <w:t>Саунин А.Н. О содержании аудита эффективности использования государственных средств как нового типа государственного финансового контроля // Управление наукой и наукометрия. – 2008. – Т. 3, №1. – С. 348-358.</w:t>
      </w:r>
    </w:p>
    <w:p w14:paraId="3EECED6E" w14:textId="77777777" w:rsidR="002E4E46" w:rsidRDefault="002E4E46" w:rsidP="0097172E">
      <w:pPr>
        <w:pStyle w:val="a5"/>
        <w:widowControl w:val="0"/>
        <w:numPr>
          <w:ilvl w:val="0"/>
          <w:numId w:val="61"/>
        </w:numPr>
        <w:tabs>
          <w:tab w:val="left" w:pos="1134"/>
        </w:tabs>
        <w:spacing w:after="0" w:line="240" w:lineRule="auto"/>
        <w:ind w:left="0" w:firstLine="709"/>
        <w:jc w:val="both"/>
        <w:rPr>
          <w:rStyle w:val="a4"/>
          <w:color w:val="auto"/>
          <w:u w:val="none"/>
        </w:rPr>
      </w:pPr>
      <w:r>
        <w:rPr>
          <w:rFonts w:ascii="Times New Roman" w:hAnsi="Times New Roman"/>
          <w:sz w:val="28"/>
          <w:szCs w:val="28"/>
          <w:lang w:val="kk-KZ"/>
        </w:rPr>
        <w:t xml:space="preserve">Штеле Е.А., Вечерковская О.Б., </w:t>
      </w:r>
      <w:hyperlink r:id="rId61" w:history="1">
        <w:r>
          <w:rPr>
            <w:rStyle w:val="a4"/>
            <w:sz w:val="28"/>
            <w:szCs w:val="28"/>
            <w:lang w:val="kk-KZ"/>
          </w:rPr>
          <w:t>К вопросу о понятии «эффективность» // Economic Analysis: Theory and Practice. – 2017. vol. 16, iss. 5, С. 935–947</w:t>
        </w:r>
      </w:hyperlink>
    </w:p>
    <w:p w14:paraId="225D78EB" w14:textId="77777777" w:rsidR="002E4E46" w:rsidRDefault="002E4E46" w:rsidP="0097172E">
      <w:pPr>
        <w:pStyle w:val="a5"/>
        <w:widowControl w:val="0"/>
        <w:numPr>
          <w:ilvl w:val="0"/>
          <w:numId w:val="61"/>
        </w:numPr>
        <w:tabs>
          <w:tab w:val="left" w:pos="1134"/>
        </w:tabs>
        <w:spacing w:after="0" w:line="240" w:lineRule="auto"/>
        <w:ind w:left="0" w:firstLine="709"/>
        <w:jc w:val="both"/>
      </w:pPr>
      <w:r>
        <w:rPr>
          <w:rFonts w:ascii="Times New Roman" w:hAnsi="Times New Roman"/>
          <w:sz w:val="28"/>
          <w:szCs w:val="28"/>
          <w:lang w:val="kk-KZ"/>
        </w:rPr>
        <w:t>Саунин А.Н. Аудит эффективности в государственном финансовом контроле // Финансы. – 2004. – №9. – С. 54-60.</w:t>
      </w:r>
    </w:p>
    <w:p w14:paraId="76F48EAF" w14:textId="77777777" w:rsidR="002E4E46" w:rsidRDefault="0097172E" w:rsidP="0097172E">
      <w:pPr>
        <w:pStyle w:val="a5"/>
        <w:numPr>
          <w:ilvl w:val="0"/>
          <w:numId w:val="61"/>
        </w:numPr>
        <w:tabs>
          <w:tab w:val="left" w:pos="1134"/>
          <w:tab w:val="left" w:pos="1605"/>
        </w:tabs>
        <w:spacing w:after="0" w:line="240" w:lineRule="auto"/>
        <w:ind w:left="0" w:firstLine="709"/>
        <w:jc w:val="both"/>
        <w:rPr>
          <w:rStyle w:val="a4"/>
          <w:color w:val="auto"/>
          <w:u w:val="none"/>
          <w:lang w:val="en-US"/>
        </w:rPr>
      </w:pPr>
      <w:hyperlink r:id="rId62" w:history="1">
        <w:r w:rsidR="002E4E46">
          <w:rPr>
            <w:rStyle w:val="a4"/>
            <w:sz w:val="28"/>
            <w:szCs w:val="28"/>
            <w:lang w:val="en-US"/>
          </w:rPr>
          <w:t>GUID5290_finalversion_RUS.pdf (kniknowledgebase.org)</w:t>
        </w:r>
      </w:hyperlink>
      <w:r w:rsidR="002E4E46">
        <w:rPr>
          <w:rFonts w:ascii="Times New Roman" w:hAnsi="Times New Roman"/>
          <w:sz w:val="28"/>
          <w:szCs w:val="28"/>
          <w:lang w:val="en-US"/>
        </w:rPr>
        <w:t xml:space="preserve"> 25.11.2021 </w:t>
      </w:r>
      <w:r w:rsidR="002E4E46">
        <w:rPr>
          <w:rFonts w:ascii="Times New Roman" w:hAnsi="Times New Roman"/>
          <w:sz w:val="28"/>
          <w:szCs w:val="28"/>
          <w:lang w:val="kk-KZ"/>
        </w:rPr>
        <w:t>г.</w:t>
      </w:r>
    </w:p>
    <w:p w14:paraId="1F12BC13" w14:textId="77777777" w:rsidR="002E4E46" w:rsidRPr="002E4E46" w:rsidRDefault="002E4E46" w:rsidP="0097172E">
      <w:pPr>
        <w:pStyle w:val="a5"/>
        <w:widowControl w:val="0"/>
        <w:numPr>
          <w:ilvl w:val="0"/>
          <w:numId w:val="61"/>
        </w:numPr>
        <w:tabs>
          <w:tab w:val="left" w:pos="1134"/>
        </w:tabs>
        <w:spacing w:after="0" w:line="240" w:lineRule="auto"/>
        <w:ind w:left="0" w:firstLine="709"/>
        <w:jc w:val="both"/>
        <w:rPr>
          <w:shd w:val="clear" w:color="auto" w:fill="FFFFFF"/>
          <w:lang w:val="en-US"/>
        </w:rPr>
      </w:pPr>
      <w:r>
        <w:rPr>
          <w:rFonts w:ascii="Times New Roman" w:hAnsi="Times New Roman"/>
          <w:sz w:val="28"/>
          <w:szCs w:val="28"/>
          <w:lang w:val="en-US"/>
        </w:rPr>
        <w:t>Umor, S., Zakaria, Z., Sulaiman, N.A., Kutty, R.M. Preliminary insights: Isomorphism and effectiveness of performance auditing issues follow-up (2018) International Journal of Engineering and Technology(UAE), 7 (4), pp. 121-128. 1) https://www.scopus.com/inward/record.uri?eid=2-s2.0-85058411890&amp;doi=10.14419%2fijet.v7i4.28.22564&amp;partnerID=40&amp;md5=a8aa13dab6c092de6e14f404c64d7f1e DOI: 10.14419/ijet.v7i4.28.22564</w:t>
      </w:r>
      <w:r>
        <w:rPr>
          <w:rFonts w:ascii="Times New Roman" w:hAnsi="Times New Roman"/>
          <w:sz w:val="28"/>
          <w:szCs w:val="28"/>
          <w:lang w:val="kk-KZ"/>
        </w:rPr>
        <w:t xml:space="preserve"> 25.11.2021 г.</w:t>
      </w:r>
    </w:p>
    <w:p w14:paraId="2CC5D8FB"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 xml:space="preserve">Kells, Stuart. </w:t>
      </w:r>
      <w:hyperlink r:id="rId63" w:history="1">
        <w:r w:rsidRPr="0055710E">
          <w:rPr>
            <w:rStyle w:val="af3"/>
            <w:rFonts w:ascii="Times New Roman" w:hAnsi="Times New Roman"/>
            <w:i w:val="0"/>
            <w:iCs w:val="0"/>
            <w:sz w:val="28"/>
            <w:szCs w:val="28"/>
            <w:bdr w:val="none" w:sz="0" w:space="0" w:color="auto" w:frame="1"/>
            <w:shd w:val="clear" w:color="auto" w:fill="FFFFFF"/>
            <w:lang w:val="en-US"/>
          </w:rPr>
          <w:t>Australian Accounting Review</w:t>
        </w:r>
      </w:hyperlink>
      <w:r w:rsidRPr="0055710E">
        <w:rPr>
          <w:rStyle w:val="af3"/>
          <w:i w:val="0"/>
          <w:iCs w:val="0"/>
          <w:sz w:val="28"/>
          <w:szCs w:val="28"/>
          <w:bdr w:val="none" w:sz="0" w:space="0" w:color="auto" w:frame="1"/>
          <w:shd w:val="clear" w:color="auto" w:fill="FFFFFF"/>
          <w:lang w:val="en-US"/>
        </w:rPr>
        <w:t>.</w:t>
      </w:r>
      <w:r>
        <w:rPr>
          <w:rStyle w:val="af3"/>
          <w:sz w:val="28"/>
          <w:szCs w:val="28"/>
          <w:bdr w:val="none" w:sz="0" w:space="0" w:color="auto" w:frame="1"/>
          <w:shd w:val="clear" w:color="auto" w:fill="FFFFFF"/>
          <w:lang w:val="en-US"/>
        </w:rPr>
        <w:t xml:space="preserve"> </w:t>
      </w:r>
      <w:r>
        <w:rPr>
          <w:rStyle w:val="typography-modulelvnit"/>
          <w:rFonts w:ascii="Times New Roman" w:hAnsi="Times New Roman"/>
          <w:sz w:val="28"/>
          <w:szCs w:val="28"/>
          <w:shd w:val="clear" w:color="auto" w:fill="FFFFFF"/>
        </w:rPr>
        <w:t>Том</w:t>
      </w:r>
      <w:r>
        <w:rPr>
          <w:rStyle w:val="typography-modulelvnit"/>
          <w:rFonts w:ascii="Times New Roman" w:hAnsi="Times New Roman"/>
          <w:sz w:val="28"/>
          <w:szCs w:val="28"/>
          <w:shd w:val="clear" w:color="auto" w:fill="FFFFFF"/>
          <w:lang w:val="en-US"/>
        </w:rPr>
        <w:t xml:space="preserve"> 21, </w:t>
      </w:r>
      <w:r>
        <w:rPr>
          <w:rStyle w:val="typography-modulelvnit"/>
          <w:rFonts w:ascii="Times New Roman" w:hAnsi="Times New Roman"/>
          <w:sz w:val="28"/>
          <w:szCs w:val="28"/>
          <w:shd w:val="clear" w:color="auto" w:fill="FFFFFF"/>
        </w:rPr>
        <w:t>Выпуск</w:t>
      </w:r>
      <w:r>
        <w:rPr>
          <w:rStyle w:val="typography-modulelvnit"/>
          <w:rFonts w:ascii="Times New Roman" w:hAnsi="Times New Roman"/>
          <w:sz w:val="28"/>
          <w:szCs w:val="28"/>
          <w:shd w:val="clear" w:color="auto" w:fill="FFFFFF"/>
          <w:lang w:val="en-US"/>
        </w:rPr>
        <w:t xml:space="preserve"> 4, </w:t>
      </w:r>
      <w:r>
        <w:rPr>
          <w:rStyle w:val="typography-modulelvnit"/>
          <w:rFonts w:ascii="Times New Roman" w:hAnsi="Times New Roman"/>
          <w:sz w:val="28"/>
          <w:szCs w:val="28"/>
          <w:shd w:val="clear" w:color="auto" w:fill="FFFFFF"/>
        </w:rPr>
        <w:t>Страницы</w:t>
      </w:r>
      <w:r>
        <w:rPr>
          <w:rStyle w:val="typography-modulelvnit"/>
          <w:rFonts w:ascii="Times New Roman" w:hAnsi="Times New Roman"/>
          <w:sz w:val="28"/>
          <w:szCs w:val="28"/>
          <w:shd w:val="clear" w:color="auto" w:fill="FFFFFF"/>
          <w:lang w:val="en-US"/>
        </w:rPr>
        <w:t xml:space="preserve"> 383 - 396December 2011</w:t>
      </w:r>
      <w:r>
        <w:rPr>
          <w:rFonts w:ascii="Times New Roman" w:hAnsi="Times New Roman"/>
          <w:sz w:val="28"/>
          <w:szCs w:val="28"/>
          <w:lang w:val="en-US"/>
        </w:rPr>
        <w:t xml:space="preserve"> DOI </w:t>
      </w:r>
      <w:r>
        <w:rPr>
          <w:rFonts w:ascii="Times New Roman" w:hAnsi="Times New Roman"/>
          <w:sz w:val="28"/>
          <w:szCs w:val="28"/>
          <w:shd w:val="clear" w:color="auto" w:fill="FFFFFF"/>
          <w:lang w:val="en-US"/>
        </w:rPr>
        <w:t>10.1111/j.1835-2561.2011.00150.x</w:t>
      </w:r>
      <w:r>
        <w:rPr>
          <w:rFonts w:ascii="Times New Roman" w:hAnsi="Times New Roman"/>
          <w:sz w:val="28"/>
          <w:szCs w:val="28"/>
          <w:lang w:val="en-US"/>
        </w:rPr>
        <w:t xml:space="preserve"> </w:t>
      </w:r>
      <w:hyperlink r:id="rId64" w:history="1">
        <w:r>
          <w:rPr>
            <w:rStyle w:val="a4"/>
            <w:sz w:val="28"/>
            <w:szCs w:val="28"/>
            <w:lang w:val="en-US"/>
          </w:rPr>
          <w:t xml:space="preserve">Scopus - </w:t>
        </w:r>
        <w:r>
          <w:rPr>
            <w:rStyle w:val="a4"/>
            <w:sz w:val="28"/>
            <w:szCs w:val="28"/>
          </w:rPr>
          <w:t>сведения</w:t>
        </w:r>
        <w:r>
          <w:rPr>
            <w:rStyle w:val="a4"/>
            <w:sz w:val="28"/>
            <w:szCs w:val="28"/>
            <w:lang w:val="en-US"/>
          </w:rPr>
          <w:t xml:space="preserve"> </w:t>
        </w:r>
        <w:r>
          <w:rPr>
            <w:rStyle w:val="a4"/>
            <w:sz w:val="28"/>
            <w:szCs w:val="28"/>
          </w:rPr>
          <w:t>о</w:t>
        </w:r>
        <w:r>
          <w:rPr>
            <w:rStyle w:val="a4"/>
            <w:sz w:val="28"/>
            <w:szCs w:val="28"/>
            <w:lang w:val="en-US"/>
          </w:rPr>
          <w:t xml:space="preserve"> </w:t>
        </w:r>
        <w:r>
          <w:rPr>
            <w:rStyle w:val="a4"/>
            <w:sz w:val="28"/>
            <w:szCs w:val="28"/>
          </w:rPr>
          <w:t>документе</w:t>
        </w:r>
        <w:r>
          <w:rPr>
            <w:rStyle w:val="a4"/>
            <w:sz w:val="28"/>
            <w:szCs w:val="28"/>
            <w:lang w:val="en-US"/>
          </w:rPr>
          <w:t xml:space="preserve"> - The Seven Deadly Sins of Performance Auditing: Implications for Monitoring Public Audit Institutions (kazatu.kz)</w:t>
        </w:r>
      </w:hyperlink>
      <w:r>
        <w:rPr>
          <w:rFonts w:ascii="Times New Roman" w:hAnsi="Times New Roman"/>
          <w:sz w:val="28"/>
          <w:szCs w:val="28"/>
          <w:lang w:val="kk-KZ"/>
        </w:rPr>
        <w:t xml:space="preserve"> 30.11.2021 г.</w:t>
      </w:r>
    </w:p>
    <w:p w14:paraId="3D21D1E0"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Barzelay, M. (1997) „Central audit institutions and performance auditing: a comparative analysis of organizational strategies in the OECD‟, An International Journal of Policy, Administration and Institutions, Governance, Vol. 10, No. 3, pp. 235-260</w:t>
      </w:r>
    </w:p>
    <w:p w14:paraId="557D5D29"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Percy, I. (2001) „The best value agenda for auditing (in the public sector)‟, Financial Accountability &amp; Management, Vol. 17, No. 4, pp.351-361</w:t>
      </w:r>
    </w:p>
    <w:p w14:paraId="456BBF1E"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Bowerman, M. Raby, H. and Humphrey, C. (2000) „In search of the audit society: some evidence from health care, police and schools‟, International Journal of Auditing, Vol. 4, No. 1, pp. 71-100.</w:t>
      </w:r>
    </w:p>
    <w:p w14:paraId="518FB7D7"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Садчиков А.С. </w:t>
      </w:r>
      <w:r>
        <w:rPr>
          <w:rFonts w:ascii="Times New Roman" w:hAnsi="Times New Roman"/>
          <w:sz w:val="28"/>
          <w:szCs w:val="28"/>
          <w:shd w:val="clear" w:color="auto" w:fill="FFFFFF"/>
        </w:rPr>
        <w:t>Аудит эффективности использования ресурсов: методологический подход / А. С. Садчиков // Аудиторские ведомости. - 2007. - </w:t>
      </w:r>
      <w:r>
        <w:rPr>
          <w:rFonts w:ascii="Times New Roman" w:hAnsi="Times New Roman"/>
        </w:rPr>
        <w:t>№ 6. - С. 14-25.</w:t>
      </w:r>
    </w:p>
    <w:p w14:paraId="118C9A0F"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Слободяник Ю.Б. Особенности имплементации международных стандартов государственного аудита // Международный бухгалтерский учет. – 2014. – №34(328). – С. 58-66. </w:t>
      </w:r>
    </w:p>
    <w:p w14:paraId="59FEFAF4"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Саунин А.Н. О</w:t>
      </w:r>
      <w:r>
        <w:rPr>
          <w:rFonts w:ascii="Times New Roman" w:hAnsi="Times New Roman"/>
          <w:sz w:val="28"/>
          <w:szCs w:val="28"/>
        </w:rPr>
        <w:t xml:space="preserve"> содержании аудита эффективности использования государственных средств как нового типа государственного финансового контроля</w:t>
      </w:r>
      <w:r>
        <w:rPr>
          <w:rFonts w:ascii="Times New Roman" w:hAnsi="Times New Roman"/>
          <w:sz w:val="28"/>
          <w:szCs w:val="28"/>
          <w:lang w:val="kk-KZ"/>
        </w:rPr>
        <w:t xml:space="preserve"> // </w:t>
      </w:r>
      <w:r>
        <w:rPr>
          <w:rFonts w:ascii="Times New Roman" w:hAnsi="Times New Roman"/>
          <w:sz w:val="28"/>
          <w:szCs w:val="28"/>
        </w:rPr>
        <w:t>Проблемы управления сферой науки и инноваций</w:t>
      </w:r>
      <w:r>
        <w:rPr>
          <w:rFonts w:ascii="Times New Roman" w:hAnsi="Times New Roman"/>
          <w:sz w:val="28"/>
          <w:szCs w:val="28"/>
          <w:lang w:val="kk-KZ"/>
        </w:rPr>
        <w:t>. – 2015. №2. С. 348-358</w:t>
      </w:r>
    </w:p>
    <w:p w14:paraId="25EE43C0" w14:textId="77777777" w:rsidR="002E4E46" w:rsidRDefault="002E4E46" w:rsidP="0097172E">
      <w:pPr>
        <w:pStyle w:val="a5"/>
        <w:widowControl w:val="0"/>
        <w:numPr>
          <w:ilvl w:val="0"/>
          <w:numId w:val="61"/>
        </w:numPr>
        <w:tabs>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Жуков В.А. Аудит эффективности в системе государственного финансового контроля // Учет и контроль. – 2006. – №1. – С. 18-23.</w:t>
      </w:r>
    </w:p>
    <w:p w14:paraId="40A9DFD0"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Макарова Л.Г. Понятие и виды аудита эффективности // Экономический анализ: теория и практика. – 2012. – №5(260). – С. 2-8.</w:t>
      </w:r>
    </w:p>
    <w:p w14:paraId="4FFBF7D7" w14:textId="77777777" w:rsidR="002E4E46" w:rsidRDefault="002E4E46" w:rsidP="0097172E">
      <w:pPr>
        <w:pStyle w:val="a5"/>
        <w:widowControl w:val="0"/>
        <w:numPr>
          <w:ilvl w:val="0"/>
          <w:numId w:val="61"/>
        </w:numPr>
        <w:tabs>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rPr>
        <w:t xml:space="preserve">Карепина О.И. Теоретико-методологические подходы к внедрению аудита эффективности государственных расходов // Финансовые исследования. </w:t>
      </w:r>
      <w:r>
        <w:rPr>
          <w:rFonts w:ascii="Times New Roman" w:hAnsi="Times New Roman"/>
          <w:sz w:val="28"/>
          <w:szCs w:val="28"/>
          <w:lang w:val="kk-KZ"/>
        </w:rPr>
        <w:t xml:space="preserve">– </w:t>
      </w:r>
      <w:r>
        <w:rPr>
          <w:rFonts w:ascii="Times New Roman" w:hAnsi="Times New Roman"/>
          <w:sz w:val="28"/>
          <w:szCs w:val="28"/>
        </w:rPr>
        <w:t xml:space="preserve">2009. </w:t>
      </w:r>
      <w:r>
        <w:rPr>
          <w:rFonts w:ascii="Times New Roman" w:hAnsi="Times New Roman"/>
          <w:sz w:val="28"/>
          <w:szCs w:val="28"/>
          <w:lang w:val="kk-KZ"/>
        </w:rPr>
        <w:t xml:space="preserve">– </w:t>
      </w:r>
      <w:r>
        <w:rPr>
          <w:rFonts w:ascii="Times New Roman" w:hAnsi="Times New Roman"/>
          <w:sz w:val="28"/>
          <w:szCs w:val="28"/>
        </w:rPr>
        <w:t xml:space="preserve">№1. </w:t>
      </w:r>
      <w:r>
        <w:rPr>
          <w:rFonts w:ascii="Times New Roman" w:hAnsi="Times New Roman"/>
          <w:sz w:val="28"/>
          <w:szCs w:val="28"/>
          <w:lang w:val="kk-KZ"/>
        </w:rPr>
        <w:t xml:space="preserve">– </w:t>
      </w:r>
      <w:r>
        <w:rPr>
          <w:rFonts w:ascii="Times New Roman" w:hAnsi="Times New Roman"/>
          <w:sz w:val="28"/>
          <w:szCs w:val="28"/>
        </w:rPr>
        <w:t>С. 36</w:t>
      </w:r>
      <w:r>
        <w:rPr>
          <w:rFonts w:ascii="Times New Roman" w:hAnsi="Times New Roman"/>
          <w:sz w:val="28"/>
          <w:szCs w:val="28"/>
          <w:lang w:val="kk-KZ"/>
        </w:rPr>
        <w:t>-</w:t>
      </w:r>
      <w:r>
        <w:rPr>
          <w:rFonts w:ascii="Times New Roman" w:hAnsi="Times New Roman"/>
          <w:sz w:val="28"/>
          <w:szCs w:val="28"/>
        </w:rPr>
        <w:t>44.</w:t>
      </w:r>
    </w:p>
    <w:p w14:paraId="105FE5AD" w14:textId="77777777" w:rsidR="002E4E46" w:rsidRDefault="002E4E46" w:rsidP="0097172E">
      <w:pPr>
        <w:pStyle w:val="a5"/>
        <w:numPr>
          <w:ilvl w:val="0"/>
          <w:numId w:val="61"/>
        </w:numPr>
        <w:tabs>
          <w:tab w:val="left" w:pos="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Фролова А.О. </w:t>
      </w:r>
      <w:hyperlink r:id="rId65" w:history="1">
        <w:r>
          <w:rPr>
            <w:rStyle w:val="a4"/>
            <w:sz w:val="28"/>
            <w:szCs w:val="28"/>
          </w:rPr>
          <w:t xml:space="preserve">Аудит эффективности использования государственной финансовой поддержки сельскохозяйственных организаций // </w:t>
        </w:r>
        <w:r>
          <w:rPr>
            <w:rStyle w:val="a4"/>
            <w:sz w:val="28"/>
            <w:szCs w:val="28"/>
            <w:lang w:val="kk-KZ"/>
          </w:rPr>
          <w:t>Бухгалтерский учет и аудит</w:t>
        </w:r>
        <w:r>
          <w:rPr>
            <w:rStyle w:val="a4"/>
            <w:sz w:val="28"/>
            <w:szCs w:val="28"/>
          </w:rPr>
          <w:t xml:space="preserve">. – </w:t>
        </w:r>
        <w:r>
          <w:rPr>
            <w:rStyle w:val="a4"/>
            <w:sz w:val="28"/>
            <w:szCs w:val="28"/>
            <w:lang w:val="kk-KZ"/>
          </w:rPr>
          <w:t>2010</w:t>
        </w:r>
        <w:r>
          <w:rPr>
            <w:rStyle w:val="a4"/>
            <w:sz w:val="28"/>
            <w:szCs w:val="28"/>
          </w:rPr>
          <w:t>. – №</w:t>
        </w:r>
        <w:r>
          <w:rPr>
            <w:rStyle w:val="a4"/>
            <w:sz w:val="28"/>
            <w:szCs w:val="28"/>
            <w:lang w:val="kk-KZ"/>
          </w:rPr>
          <w:t>1</w:t>
        </w:r>
        <w:r>
          <w:rPr>
            <w:rStyle w:val="a4"/>
            <w:sz w:val="28"/>
            <w:szCs w:val="28"/>
          </w:rPr>
          <w:t xml:space="preserve">. – С. </w:t>
        </w:r>
        <w:r>
          <w:rPr>
            <w:rStyle w:val="a4"/>
            <w:sz w:val="28"/>
            <w:szCs w:val="28"/>
            <w:lang w:val="kk-KZ"/>
          </w:rPr>
          <w:t>92</w:t>
        </w:r>
        <w:r>
          <w:rPr>
            <w:rStyle w:val="a4"/>
            <w:sz w:val="28"/>
            <w:szCs w:val="28"/>
          </w:rPr>
          <w:t>-</w:t>
        </w:r>
        <w:r>
          <w:rPr>
            <w:rStyle w:val="a4"/>
            <w:sz w:val="28"/>
            <w:szCs w:val="28"/>
            <w:lang w:val="kk-KZ"/>
          </w:rPr>
          <w:t>109</w:t>
        </w:r>
      </w:hyperlink>
    </w:p>
    <w:p w14:paraId="49FAC6E8"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Васильева М.В. Методы оценки эффективности использования государственных средств при проведении аудита эффективности // Анализ экономической эффективности. – 2009. – №20(149). – С. 53-60.</w:t>
      </w:r>
    </w:p>
    <w:p w14:paraId="34ADA0CD"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Dr. Alexia Nalewaika, Professor Anthony Mills, Project Performance Audit: Enhanced Protocols for Triple Bottom Line Results </w:t>
      </w:r>
      <w:hyperlink r:id="rId66" w:history="1">
        <w:r>
          <w:rPr>
            <w:rStyle w:val="a4"/>
            <w:sz w:val="28"/>
            <w:szCs w:val="28"/>
            <w:lang w:val="kk-KZ"/>
          </w:rPr>
          <w:t>(PDF) Аудит эффективности проекта: усовершенствованные протоколы для получения результатов с тройным итогом (researchgate.net)</w:t>
        </w:r>
      </w:hyperlink>
      <w:r>
        <w:rPr>
          <w:rFonts w:ascii="Times New Roman" w:hAnsi="Times New Roman"/>
          <w:lang w:val="kk-KZ"/>
        </w:rPr>
        <w:t xml:space="preserve"> </w:t>
      </w:r>
      <w:r>
        <w:rPr>
          <w:rFonts w:ascii="Times New Roman" w:hAnsi="Times New Roman"/>
          <w:sz w:val="28"/>
          <w:szCs w:val="28"/>
          <w:lang w:val="kk-KZ"/>
        </w:rPr>
        <w:t>15.12.2021 г.</w:t>
      </w:r>
    </w:p>
    <w:p w14:paraId="03FEAF3E"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Нугербеков С.Н. Вопросы применения международных стандартов государственного аудита // Государственный аудит. – 2018. – №1(38). – С. 24-35.</w:t>
      </w:r>
    </w:p>
    <w:p w14:paraId="5C959E09"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Қари Ә.М., Құлмурзинова Ғ.А. </w:t>
      </w:r>
      <w:r>
        <w:rPr>
          <w:rFonts w:ascii="Times New Roman" w:hAnsi="Times New Roman"/>
          <w:sz w:val="28"/>
          <w:szCs w:val="28"/>
          <w:shd w:val="clear" w:color="auto" w:fill="FFFFFF"/>
        </w:rPr>
        <w:t xml:space="preserve">Особенности проведения аудита </w:t>
      </w:r>
      <w:r>
        <w:rPr>
          <w:rFonts w:ascii="Times New Roman" w:hAnsi="Times New Roman"/>
          <w:sz w:val="28"/>
          <w:szCs w:val="28"/>
        </w:rPr>
        <w:t>эффективности бюджетных средств, направленных на развитие науки</w:t>
      </w:r>
      <w:r>
        <w:rPr>
          <w:rFonts w:ascii="Times New Roman" w:hAnsi="Times New Roman"/>
          <w:sz w:val="28"/>
          <w:szCs w:val="28"/>
          <w:shd w:val="clear" w:color="auto" w:fill="FFFFFF"/>
          <w:lang w:val="kk-KZ"/>
        </w:rPr>
        <w:t xml:space="preserve"> </w:t>
      </w:r>
      <w:r>
        <w:rPr>
          <w:rFonts w:ascii="Times New Roman" w:hAnsi="Times New Roman"/>
          <w:sz w:val="28"/>
          <w:szCs w:val="28"/>
          <w:lang w:val="kk-KZ"/>
        </w:rPr>
        <w:t>// Мемлекеттік аудит. – 2016. – №4(33). – Б. 66-71.</w:t>
      </w:r>
    </w:p>
    <w:p w14:paraId="72DCA82B"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Молдашев А.Т. </w:t>
      </w:r>
      <w:r>
        <w:rPr>
          <w:rFonts w:ascii="Times New Roman" w:hAnsi="Times New Roman"/>
          <w:sz w:val="28"/>
          <w:szCs w:val="28"/>
          <w:shd w:val="clear" w:color="auto" w:fill="FFFFFF"/>
        </w:rPr>
        <w:t xml:space="preserve">Аудит (контроль) эффективности использования средств бюджета </w:t>
      </w:r>
      <w:r>
        <w:rPr>
          <w:rFonts w:ascii="Times New Roman" w:hAnsi="Times New Roman"/>
          <w:sz w:val="28"/>
          <w:szCs w:val="28"/>
        </w:rPr>
        <w:t>Республики Казахстан и его результативность</w:t>
      </w:r>
      <w:r>
        <w:rPr>
          <w:rFonts w:ascii="Times New Roman" w:hAnsi="Times New Roman"/>
          <w:sz w:val="28"/>
          <w:szCs w:val="28"/>
          <w:lang w:val="kk-KZ"/>
        </w:rPr>
        <w:t>// Мемлекеттік аудит. – 2018. – №1(38). – Б. 51-55.</w:t>
      </w:r>
    </w:p>
    <w:p w14:paraId="162C5EDA"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Grönlund, A., Svärdsten, F. and Öhman, P. „Value for money and the rule of law: the (new) performance audit in Sweden‟, International Journal of Public Sector Management, 2011. Vol. 24,No. 2, pp. 107-121.</w:t>
      </w:r>
    </w:p>
    <w:p w14:paraId="3F3F93F5"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Lonsdale, J., Performance Auditing: Contributing to Accountability in Democratic Government, Edward Elgar, 2011. p. 95-117</w:t>
      </w:r>
    </w:p>
    <w:p w14:paraId="051BF1C7"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Glynn, J. J. and Murphy, M. P. (1996) „Public management: failing accountabilities and failing performance review‟, International Journal of Public Sector Management, Vol. 9, No. 5-6, pp. 125-137</w:t>
      </w:r>
    </w:p>
    <w:p w14:paraId="1C17159E"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 xml:space="preserve">Raudla R., Taro K., Agu C. et al. The Impact of Performance Audit on Public Sector Organizations: The Case of Estonia // Public Organization Review. – 2016. – Vol. 16, Issue 2. – P. 217-233. </w:t>
      </w:r>
    </w:p>
    <w:p w14:paraId="3CA51C53"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 xml:space="preserve">Dingzu Zhang, Xingjie Shen and Cong Peng, National Audit, Media Attention, and Efficiency of Local Fiscal Expenditure: A Spatial Econometric Analysis Based on Provincial Panel Data in China </w:t>
      </w:r>
      <w:r>
        <w:rPr>
          <w:rFonts w:ascii="Times New Roman" w:hAnsi="Times New Roman"/>
          <w:sz w:val="28"/>
          <w:szCs w:val="28"/>
          <w:lang w:val="kk-KZ"/>
        </w:rPr>
        <w:t xml:space="preserve">// </w:t>
      </w:r>
      <w:r>
        <w:rPr>
          <w:rFonts w:ascii="Times New Roman" w:hAnsi="Times New Roman"/>
          <w:sz w:val="28"/>
          <w:szCs w:val="28"/>
          <w:lang w:val="en-US"/>
        </w:rPr>
        <w:t>Sustainability 2023, 15, 532.</w:t>
      </w:r>
      <w:r>
        <w:rPr>
          <w:rFonts w:ascii="Times New Roman" w:hAnsi="Times New Roman"/>
          <w:sz w:val="28"/>
          <w:szCs w:val="28"/>
          <w:lang w:val="kk-KZ"/>
        </w:rPr>
        <w:t xml:space="preserve"> – р. 24. </w:t>
      </w:r>
      <w:r>
        <w:rPr>
          <w:rFonts w:ascii="Times New Roman" w:hAnsi="Times New Roman"/>
          <w:sz w:val="28"/>
          <w:szCs w:val="28"/>
          <w:lang w:val="en-US"/>
        </w:rPr>
        <w:t>https://doi.org/10.3390/su15010532</w:t>
      </w:r>
    </w:p>
    <w:p w14:paraId="253C7266"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Грачева Е.Ю. </w:t>
      </w:r>
      <w:hyperlink r:id="rId67" w:history="1">
        <w:r>
          <w:rPr>
            <w:rStyle w:val="a4"/>
            <w:sz w:val="28"/>
            <w:szCs w:val="28"/>
          </w:rPr>
          <w:t xml:space="preserve">Государственный финансовый контроль как важнейший инструмент обеспечения публичных интересов в условиях рынка </w:t>
        </w:r>
      </w:hyperlink>
      <w:r>
        <w:rPr>
          <w:rFonts w:ascii="Times New Roman" w:hAnsi="Times New Roman"/>
          <w:sz w:val="28"/>
          <w:szCs w:val="28"/>
          <w:lang w:val="kk-KZ"/>
        </w:rPr>
        <w:t>// Вестник университета имени О.Е. Кутафина. – 2014. – №4. – С. 20-29.</w:t>
      </w:r>
    </w:p>
    <w:p w14:paraId="1AFD6928"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Филлипова В.В. </w:t>
      </w:r>
      <w:hyperlink r:id="rId68" w:history="1">
        <w:r>
          <w:rPr>
            <w:rStyle w:val="a4"/>
            <w:sz w:val="28"/>
            <w:szCs w:val="28"/>
            <w:lang w:val="kk-KZ"/>
          </w:rPr>
          <w:t>Аудит эффективности в системе государственного финансового контроля: дис. ... канд. экон. наук: 08.00.12. – М., 2005. – 175 с.</w:t>
        </w:r>
      </w:hyperlink>
    </w:p>
    <w:p w14:paraId="06B7DC8E"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Саунин А.Н. О понятии критериев в аудите эффективности и процедуре их выбора // Государственный аудит. – 2017. – №3(36). – С. 40-46.</w:t>
      </w:r>
    </w:p>
    <w:p w14:paraId="5694EFD4"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en-US"/>
        </w:rPr>
        <w:t>C</w:t>
      </w:r>
      <w:r>
        <w:rPr>
          <w:rFonts w:ascii="Times New Roman" w:hAnsi="Times New Roman"/>
          <w:sz w:val="28"/>
          <w:szCs w:val="28"/>
          <w:shd w:val="clear" w:color="auto" w:fill="FFFFFF"/>
          <w:lang w:val="kk-KZ"/>
        </w:rPr>
        <w:t>аунин А.Н. Аудит эффективности использования государственных средств. Учебник. Издательство Московского университета, 2023. – С. 352</w:t>
      </w:r>
    </w:p>
    <w:p w14:paraId="2AC1735B" w14:textId="77777777" w:rsidR="002E4E46" w:rsidRDefault="002E4E46" w:rsidP="0097172E">
      <w:pPr>
        <w:pStyle w:val="a5"/>
        <w:widowControl w:val="0"/>
        <w:numPr>
          <w:ilvl w:val="0"/>
          <w:numId w:val="61"/>
        </w:numPr>
        <w:tabs>
          <w:tab w:val="left" w:pos="1134"/>
        </w:tabs>
        <w:spacing w:after="0" w:line="240" w:lineRule="auto"/>
        <w:ind w:left="0" w:firstLine="709"/>
        <w:jc w:val="both"/>
        <w:rPr>
          <w:rStyle w:val="a4"/>
          <w:color w:val="auto"/>
          <w:u w:val="none"/>
        </w:rPr>
      </w:pPr>
      <w:r>
        <w:rPr>
          <w:rFonts w:ascii="Times New Roman" w:hAnsi="Times New Roman"/>
          <w:sz w:val="28"/>
          <w:szCs w:val="28"/>
          <w:lang w:val="kk-KZ"/>
        </w:rPr>
        <w:t>Compliance Assessment Tools, iCAT</w:t>
      </w:r>
      <w:r>
        <w:rPr>
          <w:rFonts w:ascii="Times New Roman" w:hAnsi="Times New Roman"/>
          <w:sz w:val="28"/>
          <w:szCs w:val="28"/>
          <w:lang w:val="en-US"/>
        </w:rPr>
        <w:t xml:space="preserve"> </w:t>
      </w:r>
      <w:hyperlink r:id="rId69" w:history="1">
        <w:r>
          <w:rPr>
            <w:rStyle w:val="a4"/>
            <w:sz w:val="28"/>
            <w:szCs w:val="28"/>
            <w:lang w:val="en-US"/>
          </w:rPr>
          <w:t>Microsoft Word - FA iCAT Guidance.docx // squarespace.com.</w:t>
        </w:r>
      </w:hyperlink>
      <w:r>
        <w:rPr>
          <w:rStyle w:val="a4"/>
          <w:sz w:val="28"/>
          <w:szCs w:val="28"/>
          <w:lang w:val="en-US"/>
        </w:rPr>
        <w:t xml:space="preserve"> 30.11.2020 y.</w:t>
      </w:r>
    </w:p>
    <w:p w14:paraId="0D9BBC48" w14:textId="77777777" w:rsidR="00E703B1" w:rsidRPr="00E703B1" w:rsidRDefault="00E703B1" w:rsidP="0097172E">
      <w:pPr>
        <w:pStyle w:val="a5"/>
        <w:widowControl w:val="0"/>
        <w:numPr>
          <w:ilvl w:val="0"/>
          <w:numId w:val="61"/>
        </w:numPr>
        <w:tabs>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en-US"/>
        </w:rPr>
        <w:t xml:space="preserve">ISSAI PA 300 </w:t>
      </w:r>
      <w:hyperlink r:id="rId70" w:history="1">
        <w:r w:rsidRPr="00E703B1">
          <w:rPr>
            <w:rStyle w:val="a4"/>
            <w:sz w:val="28"/>
            <w:szCs w:val="28"/>
            <w:lang w:val="en-US"/>
          </w:rPr>
          <w:t>Microsoft Word - ISSAI-300-Performance Audit Principles_RU.docx (intosai.org)</w:t>
        </w:r>
      </w:hyperlink>
      <w:r w:rsidRPr="00E703B1">
        <w:rPr>
          <w:rFonts w:ascii="Times New Roman" w:hAnsi="Times New Roman"/>
          <w:sz w:val="28"/>
          <w:szCs w:val="28"/>
          <w:lang w:val="en-US"/>
        </w:rPr>
        <w:t xml:space="preserve"> 05.12.2020 </w:t>
      </w:r>
      <w:r w:rsidRPr="00E703B1">
        <w:rPr>
          <w:rFonts w:ascii="Times New Roman" w:hAnsi="Times New Roman"/>
          <w:sz w:val="28"/>
          <w:szCs w:val="28"/>
          <w:lang w:val="kk-KZ"/>
        </w:rPr>
        <w:t>г.</w:t>
      </w:r>
    </w:p>
    <w:p w14:paraId="0FAAE6A4" w14:textId="77777777" w:rsidR="002E4E46" w:rsidRPr="00E703B1" w:rsidRDefault="002E4E46" w:rsidP="0097172E">
      <w:pPr>
        <w:pStyle w:val="a5"/>
        <w:widowControl w:val="0"/>
        <w:numPr>
          <w:ilvl w:val="0"/>
          <w:numId w:val="61"/>
        </w:numPr>
        <w:tabs>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Система профессиональных высказываний ISSAI электронный ресурс </w:t>
      </w:r>
      <w:hyperlink r:id="rId71" w:history="1">
        <w:r>
          <w:rPr>
            <w:rStyle w:val="a4"/>
            <w:sz w:val="28"/>
            <w:szCs w:val="28"/>
            <w:lang w:val="kk-KZ"/>
          </w:rPr>
          <w:t>ИФПП (issai.org)</w:t>
        </w:r>
      </w:hyperlink>
      <w:r>
        <w:rPr>
          <w:rFonts w:ascii="Times New Roman" w:hAnsi="Times New Roman"/>
          <w:sz w:val="28"/>
          <w:szCs w:val="28"/>
          <w:lang w:val="kk-KZ"/>
        </w:rPr>
        <w:t xml:space="preserve"> // </w:t>
      </w:r>
      <w:hyperlink r:id="rId72" w:history="1">
        <w:r>
          <w:rPr>
            <w:rStyle w:val="a4"/>
            <w:sz w:val="28"/>
            <w:szCs w:val="28"/>
            <w:lang w:val="kk-KZ"/>
          </w:rPr>
          <w:t>https://www.issai.org/professional</w:t>
        </w:r>
      </w:hyperlink>
      <w:r>
        <w:rPr>
          <w:rFonts w:ascii="Times New Roman" w:hAnsi="Times New Roman"/>
          <w:sz w:val="28"/>
          <w:szCs w:val="28"/>
          <w:lang w:val="kk-KZ"/>
        </w:rPr>
        <w:t>. 16.12.2020 г.</w:t>
      </w:r>
    </w:p>
    <w:p w14:paraId="5BE0E270" w14:textId="28043DFF" w:rsidR="00E703B1" w:rsidRDefault="00E703B1" w:rsidP="0097172E">
      <w:pPr>
        <w:pStyle w:val="a5"/>
        <w:widowControl w:val="0"/>
        <w:numPr>
          <w:ilvl w:val="0"/>
          <w:numId w:val="61"/>
        </w:numPr>
        <w:tabs>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ISSAI 100</w:t>
      </w:r>
      <w:r>
        <w:rPr>
          <w:rFonts w:ascii="Times New Roman" w:hAnsi="Times New Roman"/>
          <w:sz w:val="28"/>
          <w:szCs w:val="28"/>
          <w:lang w:val="en-US"/>
        </w:rPr>
        <w:t xml:space="preserve"> </w:t>
      </w:r>
      <w:hyperlink r:id="rId73" w:history="1">
        <w:r>
          <w:rPr>
            <w:rStyle w:val="a4"/>
            <w:sz w:val="28"/>
            <w:szCs w:val="28"/>
            <w:lang w:val="en-US"/>
          </w:rPr>
          <w:t xml:space="preserve">Microsoft Word - ISSAI-100-Fundamental Principles of Public-Sector Auditing_RU.docx </w:t>
        </w:r>
        <w:r>
          <w:rPr>
            <w:rStyle w:val="a4"/>
            <w:sz w:val="28"/>
            <w:szCs w:val="28"/>
            <w:lang w:val="kk-KZ"/>
          </w:rPr>
          <w:t xml:space="preserve">// </w:t>
        </w:r>
        <w:r>
          <w:rPr>
            <w:rStyle w:val="a4"/>
            <w:sz w:val="28"/>
            <w:szCs w:val="28"/>
            <w:lang w:val="en-US"/>
          </w:rPr>
          <w:t>eurosai.org</w:t>
        </w:r>
        <w:r>
          <w:rPr>
            <w:rStyle w:val="a4"/>
            <w:sz w:val="28"/>
            <w:szCs w:val="28"/>
            <w:lang w:val="kk-KZ"/>
          </w:rPr>
          <w:t>. 24.12.2020</w:t>
        </w:r>
      </w:hyperlink>
      <w:r>
        <w:rPr>
          <w:rFonts w:ascii="Times New Roman" w:hAnsi="Times New Roman"/>
          <w:sz w:val="28"/>
          <w:szCs w:val="28"/>
          <w:lang w:val="en-US"/>
        </w:rPr>
        <w:t xml:space="preserve"> y.</w:t>
      </w:r>
    </w:p>
    <w:p w14:paraId="62F4F381" w14:textId="77777777" w:rsidR="00BD0044" w:rsidRDefault="00BD0044" w:rsidP="0097172E">
      <w:pPr>
        <w:pStyle w:val="a5"/>
        <w:numPr>
          <w:ilvl w:val="0"/>
          <w:numId w:val="61"/>
        </w:numPr>
        <w:tabs>
          <w:tab w:val="left" w:pos="1134"/>
          <w:tab w:val="left" w:pos="1605"/>
        </w:tabs>
        <w:spacing w:after="0" w:line="240" w:lineRule="auto"/>
        <w:ind w:left="0" w:firstLine="709"/>
        <w:jc w:val="both"/>
        <w:rPr>
          <w:rStyle w:val="a4"/>
          <w:color w:val="auto"/>
        </w:rPr>
      </w:pPr>
      <w:r w:rsidRPr="00415417">
        <w:rPr>
          <w:rStyle w:val="a4"/>
          <w:color w:val="auto"/>
          <w:sz w:val="28"/>
          <w:szCs w:val="28"/>
          <w:u w:val="none"/>
          <w:lang w:val="kk-KZ"/>
        </w:rPr>
        <w:t xml:space="preserve">Спатаева С.Б. </w:t>
      </w:r>
      <w:r>
        <w:rPr>
          <w:rFonts w:ascii="Times New Roman" w:hAnsi="Times New Roman"/>
          <w:sz w:val="28"/>
          <w:szCs w:val="28"/>
          <w:lang w:val="kk-KZ"/>
        </w:rPr>
        <w:t xml:space="preserve">Қазақстан республикасында бюджет қаражаттары шығындау жүйесі // </w:t>
      </w:r>
      <w:r>
        <w:rPr>
          <w:rFonts w:ascii="Times New Roman" w:hAnsi="Times New Roman"/>
          <w:bCs/>
          <w:iCs/>
          <w:sz w:val="28"/>
          <w:szCs w:val="28"/>
          <w:lang w:val="kk-KZ" w:bidi="ru-RU"/>
        </w:rPr>
        <w:t>«Жаңа қаржы үлгісі – қазақстандықтардың əл-ауқатын арттырудың негізі» халықаралық ғылыми-тəжірибелік конференциясының еңбектер жинағы / Астана. – Л.Н.Гумилев атындағы ЕҰУ. – 2019. Б. – 666 -670.</w:t>
      </w:r>
    </w:p>
    <w:p w14:paraId="128232E0" w14:textId="77777777" w:rsidR="002E4E46" w:rsidRDefault="002E4E46" w:rsidP="0097172E">
      <w:pPr>
        <w:pStyle w:val="a5"/>
        <w:widowControl w:val="0"/>
        <w:numPr>
          <w:ilvl w:val="0"/>
          <w:numId w:val="61"/>
        </w:numPr>
        <w:tabs>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Спатаева С.Б. </w:t>
      </w:r>
      <w:r>
        <w:rPr>
          <w:rFonts w:ascii="Times New Roman" w:hAnsi="Times New Roman"/>
          <w:bCs/>
          <w:sz w:val="28"/>
          <w:szCs w:val="28"/>
          <w:lang w:val="kk-KZ"/>
        </w:rPr>
        <w:t xml:space="preserve">Понятие, принципы и цели аудита соответствия использования средств бюджета// </w:t>
      </w:r>
      <w:r>
        <w:rPr>
          <w:rFonts w:ascii="Times New Roman" w:hAnsi="Times New Roman"/>
          <w:sz w:val="28"/>
          <w:szCs w:val="28"/>
          <w:lang w:val="kk-KZ"/>
        </w:rPr>
        <w:t>Қазақстан Республикасының ұлттық валютасының 25 жылдығына арналған «Қазақстан экономикасын жаңғырту – мемлекеттің қаржы жүйесі мен ұлттық валютасының тұрақтылық факторы» халықаралық ғылыми-тәжірибелік конференциясының еңбектер жинағы, Астана: Л.Н.Гумилев атындағы ЕҰУ. – 2018. – 432-436 б.</w:t>
      </w:r>
    </w:p>
    <w:p w14:paraId="4D9F19B9" w14:textId="77777777" w:rsidR="002E4E46" w:rsidRDefault="002E4E46" w:rsidP="0097172E">
      <w:pPr>
        <w:pStyle w:val="a5"/>
        <w:widowControl w:val="0"/>
        <w:numPr>
          <w:ilvl w:val="0"/>
          <w:numId w:val="61"/>
        </w:numPr>
        <w:tabs>
          <w:tab w:val="left" w:pos="710"/>
          <w:tab w:val="left" w:pos="1134"/>
        </w:tabs>
        <w:spacing w:after="0" w:line="240" w:lineRule="auto"/>
        <w:ind w:left="0" w:firstLine="709"/>
        <w:jc w:val="both"/>
        <w:rPr>
          <w:shd w:val="clear" w:color="auto" w:fill="FFFFFF"/>
        </w:rPr>
      </w:pPr>
      <w:r>
        <w:rPr>
          <w:rFonts w:ascii="Times New Roman" w:hAnsi="Times New Roman"/>
          <w:sz w:val="28"/>
          <w:szCs w:val="28"/>
        </w:rPr>
        <w:t xml:space="preserve">Нормативное постановление Счетного комитета по контролю за исполнением республиканского бюджета. </w:t>
      </w:r>
      <w:hyperlink r:id="rId74" w:history="1">
        <w:r>
          <w:rPr>
            <w:rStyle w:val="a4"/>
            <w:sz w:val="28"/>
            <w:szCs w:val="28"/>
          </w:rPr>
          <w:t>Об утверждении процедурных стандартов внешнего государственного аудита и финансового контроля: утв. 31 марта 2016 года, №5-НҚ // https://adilet.zan.kz/rus/docs/V1600013647.</w:t>
        </w:r>
      </w:hyperlink>
      <w:r>
        <w:rPr>
          <w:rStyle w:val="a4"/>
          <w:sz w:val="28"/>
          <w:szCs w:val="28"/>
          <w:lang w:val="kk-KZ"/>
        </w:rPr>
        <w:t>27.12.2020 г.</w:t>
      </w:r>
    </w:p>
    <w:p w14:paraId="6BAA9BD5" w14:textId="77777777" w:rsidR="002E4E46" w:rsidRDefault="002E4E46" w:rsidP="0097172E">
      <w:pPr>
        <w:pStyle w:val="a5"/>
        <w:widowControl w:val="0"/>
        <w:numPr>
          <w:ilvl w:val="0"/>
          <w:numId w:val="61"/>
        </w:numPr>
        <w:tabs>
          <w:tab w:val="left" w:pos="0"/>
          <w:tab w:val="left" w:pos="71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Республикалық бюджеттің атқарылуын бақылау жөніндегі есеп комитетінің нормативтік Қаулысы. </w:t>
      </w:r>
      <w:hyperlink r:id="rId75" w:history="1">
        <w:r>
          <w:rPr>
            <w:rStyle w:val="a4"/>
            <w:sz w:val="28"/>
            <w:szCs w:val="28"/>
            <w:lang w:val="kk-KZ"/>
          </w:rPr>
          <w:t>Сыртқы мемлекеттік аудит және қаржылық бақылау жүргізу қағидаларын бекіту туралы: 2020 жылдың 30 шiлдесi, №6-НҚ қабылданған // https://adilet.zan.kz/kaz/docs/V2000021070.</w:t>
        </w:r>
      </w:hyperlink>
      <w:r>
        <w:rPr>
          <w:rFonts w:ascii="Times New Roman" w:hAnsi="Times New Roman"/>
          <w:sz w:val="28"/>
          <w:szCs w:val="28"/>
          <w:lang w:val="kk-KZ"/>
        </w:rPr>
        <w:t xml:space="preserve"> 05.01.2021 г.</w:t>
      </w:r>
    </w:p>
    <w:p w14:paraId="0B291B1D"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№2 от 23.10.2020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25.02.2021г.</w:t>
      </w:r>
    </w:p>
    <w:p w14:paraId="4301EE31" w14:textId="77777777" w:rsidR="002E4E46" w:rsidRDefault="002E4E46" w:rsidP="0097172E">
      <w:pPr>
        <w:pStyle w:val="a5"/>
        <w:widowControl w:val="0"/>
        <w:numPr>
          <w:ilvl w:val="0"/>
          <w:numId w:val="61"/>
        </w:numPr>
        <w:tabs>
          <w:tab w:val="left" w:pos="142"/>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eastAsia="zh-CN"/>
        </w:rPr>
        <w:t xml:space="preserve">Президент Республики Казахстан Н.А. Назарбаев. </w:t>
      </w:r>
      <w:hyperlink r:id="rId76" w:history="1">
        <w:r>
          <w:rPr>
            <w:rStyle w:val="a4"/>
            <w:sz w:val="28"/>
            <w:szCs w:val="28"/>
          </w:rPr>
          <w:t>Стратегия "Казахстан-2050": новый политический курс состоявшегося государства</w:t>
        </w:r>
        <w:r>
          <w:rPr>
            <w:rStyle w:val="a4"/>
            <w:sz w:val="28"/>
            <w:szCs w:val="28"/>
            <w:lang w:val="kk-KZ"/>
          </w:rPr>
          <w:t xml:space="preserve">: послание народу Казахстана //  </w:t>
        </w:r>
        <w:r>
          <w:rPr>
            <w:rStyle w:val="a4"/>
            <w:sz w:val="28"/>
            <w:szCs w:val="28"/>
          </w:rPr>
          <w:t>https://adilet.zan.kz/rus/docs/K1200002050</w:t>
        </w:r>
      </w:hyperlink>
      <w:r>
        <w:rPr>
          <w:rFonts w:ascii="Times New Roman" w:hAnsi="Times New Roman"/>
          <w:sz w:val="28"/>
          <w:szCs w:val="28"/>
          <w:lang w:val="kk-KZ"/>
        </w:rPr>
        <w:t xml:space="preserve"> 15.01.2021 г.</w:t>
      </w:r>
    </w:p>
    <w:p w14:paraId="3C1BB2A8" w14:textId="77777777" w:rsidR="002E4E46" w:rsidRDefault="002E4E46" w:rsidP="0097172E">
      <w:pPr>
        <w:pStyle w:val="a5"/>
        <w:widowControl w:val="0"/>
        <w:numPr>
          <w:ilvl w:val="0"/>
          <w:numId w:val="61"/>
        </w:numPr>
        <w:tabs>
          <w:tab w:val="left" w:pos="-142"/>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eastAsia="zh-CN"/>
        </w:rPr>
        <w:t xml:space="preserve">Қазақстан Республикасы Үкіметінің Қаулысы. Мемлекет дамуының 2025 ж. дейінгі стратегиялық жоспарында </w:t>
      </w:r>
      <w:hyperlink r:id="rId77" w:history="1">
        <w:r>
          <w:rPr>
            <w:rStyle w:val="a4"/>
            <w:sz w:val="28"/>
            <w:szCs w:val="28"/>
            <w:lang w:val="kk-KZ"/>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Республикасының Президенті Жарлығының жобасы туралы: 2017 жылдың 30 қарашада, №799</w:t>
        </w:r>
      </w:hyperlink>
      <w:r>
        <w:rPr>
          <w:rStyle w:val="a4"/>
          <w:sz w:val="28"/>
          <w:szCs w:val="28"/>
          <w:lang w:val="kk-KZ"/>
        </w:rPr>
        <w:t xml:space="preserve"> бекітілген // </w:t>
      </w:r>
      <w:hyperlink r:id="rId78" w:history="1">
        <w:r>
          <w:rPr>
            <w:rStyle w:val="a4"/>
            <w:sz w:val="28"/>
            <w:szCs w:val="28"/>
            <w:lang w:val="kk-KZ"/>
          </w:rPr>
          <w:t>https://adilet.zan.kz/kaz.</w:t>
        </w:r>
      </w:hyperlink>
      <w:r>
        <w:rPr>
          <w:rStyle w:val="a4"/>
          <w:sz w:val="28"/>
          <w:szCs w:val="28"/>
          <w:lang w:val="kk-KZ"/>
        </w:rPr>
        <w:t xml:space="preserve"> </w:t>
      </w:r>
      <w:r>
        <w:rPr>
          <w:rFonts w:ascii="Times New Roman" w:hAnsi="Times New Roman"/>
          <w:sz w:val="28"/>
          <w:szCs w:val="28"/>
          <w:lang w:val="kk-KZ"/>
        </w:rPr>
        <w:t>10.01.2021 г.</w:t>
      </w:r>
    </w:p>
    <w:p w14:paraId="0DA19D3E" w14:textId="77777777" w:rsidR="002E4E46" w:rsidRDefault="002E4E46" w:rsidP="0097172E">
      <w:pPr>
        <w:pStyle w:val="a5"/>
        <w:widowControl w:val="0"/>
        <w:numPr>
          <w:ilvl w:val="0"/>
          <w:numId w:val="61"/>
        </w:numPr>
        <w:tabs>
          <w:tab w:val="left" w:pos="-142"/>
          <w:tab w:val="left" w:pos="1134"/>
        </w:tabs>
        <w:spacing w:after="0" w:line="240" w:lineRule="auto"/>
        <w:ind w:left="0" w:firstLine="709"/>
        <w:jc w:val="both"/>
        <w:rPr>
          <w:rStyle w:val="a4"/>
          <w:color w:val="auto"/>
          <w:u w:val="none"/>
        </w:rPr>
      </w:pPr>
      <w:r>
        <w:rPr>
          <w:rFonts w:ascii="Times New Roman" w:hAnsi="Times New Roman"/>
          <w:sz w:val="28"/>
          <w:szCs w:val="28"/>
          <w:lang w:val="kk-KZ"/>
        </w:rPr>
        <w:t xml:space="preserve">Қазақстан Республикасының Бюджет Кодексі. </w:t>
      </w:r>
      <w:hyperlink r:id="rId79" w:history="1">
        <w:r>
          <w:rPr>
            <w:rStyle w:val="a4"/>
            <w:sz w:val="28"/>
            <w:szCs w:val="28"/>
            <w:lang w:val="kk-KZ"/>
          </w:rPr>
          <w:t>Қазақстан Республикасының Бюджет кодексі: 2008 жылдың 4 желтоқсанда, №95 қабылданған //</w:t>
        </w:r>
      </w:hyperlink>
      <w:r>
        <w:rPr>
          <w:rStyle w:val="a4"/>
          <w:sz w:val="28"/>
          <w:szCs w:val="28"/>
          <w:lang w:val="kk-KZ"/>
        </w:rPr>
        <w:t xml:space="preserve"> </w:t>
      </w:r>
      <w:hyperlink r:id="rId80" w:history="1">
        <w:r>
          <w:rPr>
            <w:rStyle w:val="a4"/>
            <w:sz w:val="28"/>
            <w:szCs w:val="28"/>
            <w:lang w:val="kk-KZ"/>
          </w:rPr>
          <w:t>https://adilet.zan.kz/kaz/docs/K080000095_</w:t>
        </w:r>
      </w:hyperlink>
      <w:r>
        <w:rPr>
          <w:rStyle w:val="a4"/>
          <w:sz w:val="28"/>
          <w:szCs w:val="28"/>
          <w:lang w:val="kk-KZ"/>
        </w:rPr>
        <w:t>. 15.01.2021 г.</w:t>
      </w:r>
    </w:p>
    <w:p w14:paraId="0C1A0E92" w14:textId="77777777" w:rsidR="002E4E46" w:rsidRDefault="002E4E46" w:rsidP="0097172E">
      <w:pPr>
        <w:pStyle w:val="a5"/>
        <w:widowControl w:val="0"/>
        <w:numPr>
          <w:ilvl w:val="0"/>
          <w:numId w:val="61"/>
        </w:numPr>
        <w:tabs>
          <w:tab w:val="left" w:pos="-142"/>
          <w:tab w:val="left" w:pos="1134"/>
        </w:tabs>
        <w:spacing w:after="0" w:line="240" w:lineRule="auto"/>
        <w:ind w:left="0" w:firstLine="709"/>
        <w:jc w:val="both"/>
      </w:pPr>
      <w:r>
        <w:rPr>
          <w:rFonts w:ascii="Times New Roman" w:hAnsi="Times New Roman"/>
          <w:sz w:val="28"/>
          <w:szCs w:val="28"/>
          <w:lang w:val="kk-KZ" w:eastAsia="zh-CN"/>
        </w:rPr>
        <w:t>Қазақстан Республикасы Үкіметінің Қаулысы. Қазақстан Республикасындағы мемлекеттік жоспарлау жүйесін бекіту туралы: 2017 жылдың 29 қарашада, №790 бекітілген</w:t>
      </w:r>
      <w:r>
        <w:rPr>
          <w:rStyle w:val="a4"/>
          <w:sz w:val="28"/>
          <w:szCs w:val="28"/>
          <w:lang w:val="kk-KZ"/>
        </w:rPr>
        <w:t xml:space="preserve"> // </w:t>
      </w:r>
      <w:r>
        <w:rPr>
          <w:rFonts w:ascii="Times New Roman" w:hAnsi="Times New Roman"/>
          <w:sz w:val="28"/>
          <w:szCs w:val="28"/>
          <w:lang w:val="kk-KZ"/>
        </w:rPr>
        <w:t xml:space="preserve">https://adilet.zan.kz </w:t>
      </w:r>
      <w:r>
        <w:rPr>
          <w:rStyle w:val="a4"/>
          <w:sz w:val="28"/>
          <w:szCs w:val="28"/>
          <w:lang w:val="kk-KZ"/>
        </w:rPr>
        <w:t>20.01.2021 г.</w:t>
      </w:r>
    </w:p>
    <w:p w14:paraId="5EADAF9C"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реализации плана развития за 2022 год //</w:t>
      </w:r>
      <w:hyperlink w:history="1">
        <w:r>
          <w:rPr>
            <w:rStyle w:val="a4"/>
            <w:sz w:val="28"/>
            <w:szCs w:val="28"/>
            <w:lang w:val="kk-KZ"/>
          </w:rPr>
          <w:t xml:space="preserve"> </w:t>
        </w:r>
        <w:r>
          <w:rPr>
            <w:rStyle w:val="a4"/>
            <w:sz w:val="28"/>
            <w:szCs w:val="28"/>
          </w:rPr>
          <w:t>www.gov.kz</w:t>
        </w:r>
      </w:hyperlink>
      <w:r>
        <w:rPr>
          <w:rStyle w:val="a4"/>
          <w:sz w:val="28"/>
          <w:szCs w:val="28"/>
          <w:lang w:val="kk-KZ"/>
        </w:rPr>
        <w:t xml:space="preserve">. </w:t>
      </w:r>
      <w:r>
        <w:rPr>
          <w:rStyle w:val="a4"/>
          <w:sz w:val="28"/>
          <w:szCs w:val="28"/>
        </w:rPr>
        <w:t xml:space="preserve">27.01.2021 </w:t>
      </w:r>
      <w:r>
        <w:rPr>
          <w:rStyle w:val="a4"/>
          <w:sz w:val="28"/>
          <w:szCs w:val="28"/>
          <w:lang w:val="kk-KZ"/>
        </w:rPr>
        <w:t>г.</w:t>
      </w:r>
    </w:p>
    <w:p w14:paraId="4836D2D5"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реализации плана развития Министерства Сельского хоязйства РК на 2020-2024 годы //</w:t>
      </w:r>
      <w:hyperlink w:history="1">
        <w:r>
          <w:rPr>
            <w:rStyle w:val="a4"/>
            <w:sz w:val="28"/>
            <w:szCs w:val="28"/>
            <w:lang w:val="kk-KZ"/>
          </w:rPr>
          <w:t xml:space="preserve"> </w:t>
        </w:r>
        <w:r>
          <w:rPr>
            <w:rStyle w:val="a4"/>
            <w:sz w:val="28"/>
            <w:szCs w:val="28"/>
          </w:rPr>
          <w:t>www.gov.kz</w:t>
        </w:r>
      </w:hyperlink>
      <w:r>
        <w:rPr>
          <w:rStyle w:val="a4"/>
          <w:sz w:val="28"/>
          <w:szCs w:val="28"/>
          <w:lang w:val="kk-KZ"/>
        </w:rPr>
        <w:t>. 30.01.2021 г.</w:t>
      </w:r>
    </w:p>
    <w:p w14:paraId="7A430314" w14:textId="77777777" w:rsidR="002E4E46" w:rsidRDefault="002E4E46" w:rsidP="0097172E">
      <w:pPr>
        <w:pStyle w:val="a5"/>
        <w:numPr>
          <w:ilvl w:val="0"/>
          <w:numId w:val="61"/>
        </w:numPr>
        <w:tabs>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Отчет об итогах деятельности МСХ РК за 2021 год //</w:t>
      </w:r>
      <w:hyperlink w:history="1">
        <w:r>
          <w:rPr>
            <w:rStyle w:val="a4"/>
            <w:sz w:val="28"/>
            <w:szCs w:val="28"/>
            <w:lang w:val="kk-KZ"/>
          </w:rPr>
          <w:t xml:space="preserve"> </w:t>
        </w:r>
        <w:r>
          <w:rPr>
            <w:rStyle w:val="a4"/>
            <w:sz w:val="28"/>
            <w:szCs w:val="28"/>
          </w:rPr>
          <w:t>www.gov.kz</w:t>
        </w:r>
      </w:hyperlink>
      <w:r>
        <w:rPr>
          <w:rStyle w:val="a4"/>
          <w:sz w:val="28"/>
          <w:szCs w:val="28"/>
          <w:lang w:val="kk-KZ"/>
        </w:rPr>
        <w:t>. 02.02.2021 г.</w:t>
      </w:r>
    </w:p>
    <w:p w14:paraId="77D9FDF7" w14:textId="77777777" w:rsidR="002E4E46" w:rsidRDefault="002E4E46" w:rsidP="0097172E">
      <w:pPr>
        <w:pStyle w:val="a5"/>
        <w:widowControl w:val="0"/>
        <w:numPr>
          <w:ilvl w:val="0"/>
          <w:numId w:val="61"/>
        </w:numPr>
        <w:tabs>
          <w:tab w:val="left" w:pos="1134"/>
        </w:tabs>
        <w:spacing w:after="0" w:line="240" w:lineRule="auto"/>
        <w:ind w:left="0" w:firstLine="709"/>
        <w:jc w:val="both"/>
        <w:rPr>
          <w:shd w:val="clear" w:color="auto" w:fill="FFFFFF"/>
          <w:lang w:val="kk-KZ"/>
        </w:rPr>
      </w:pPr>
      <w:r>
        <w:rPr>
          <w:rFonts w:ascii="Times New Roman" w:hAnsi="Times New Roman"/>
          <w:sz w:val="28"/>
          <w:szCs w:val="28"/>
          <w:shd w:val="clear" w:color="auto" w:fill="FFFFFF"/>
        </w:rPr>
        <w:t>Тюлюпов Е</w:t>
      </w:r>
      <w:r>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rPr>
        <w:t>Бюджет: ужесточить требования</w:t>
      </w:r>
      <w:r>
        <w:rPr>
          <w:rFonts w:ascii="Times New Roman" w:hAnsi="Times New Roman"/>
          <w:sz w:val="28"/>
          <w:szCs w:val="28"/>
          <w:shd w:val="clear" w:color="auto" w:fill="FFFFFF"/>
          <w:lang w:val="kk-KZ"/>
        </w:rPr>
        <w:t xml:space="preserve"> // </w:t>
      </w:r>
      <w:hyperlink r:id="rId81" w:history="1">
        <w:r>
          <w:rPr>
            <w:rStyle w:val="a4"/>
            <w:sz w:val="28"/>
            <w:szCs w:val="28"/>
            <w:shd w:val="clear" w:color="auto" w:fill="FFFFFF"/>
            <w:lang w:val="kk-KZ"/>
          </w:rPr>
          <w:t>https://www.kazpravda.kz/fresh/view/budzhet-uzhestochit-trebovaniya</w:t>
        </w:r>
      </w:hyperlink>
      <w:r>
        <w:rPr>
          <w:rFonts w:ascii="Times New Roman" w:hAnsi="Times New Roman"/>
          <w:sz w:val="28"/>
          <w:szCs w:val="28"/>
          <w:lang w:val="kk-KZ"/>
        </w:rPr>
        <w:t>) 05.02.2021 г.</w:t>
      </w:r>
    </w:p>
    <w:p w14:paraId="00F0D58F"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Спатаева С.Б., Бейсенова Л.З. Агроөнеркәсіп кешенін дамытуға бағытталған бюджет қаражаттарын пайдаланудың тиімділік аудитін ұйымдастыру әдіснамасының теориялық негіздері // «XXI ғасырдағы ғылым және білім» атты   ІІ Халықаралық ғылыми-тәжірибелік конференция жинағы// Құраст.:  Ж. Қалиев, Ә. Сатылғанов, т.б.– Нур-Султан, 2020 – С. 395-398, ISBN 978 – 601 – 301 – 389 – 3</w:t>
      </w:r>
    </w:p>
    <w:p w14:paraId="323D86EC" w14:textId="77777777" w:rsidR="002E4E46" w:rsidRDefault="002E4E46" w:rsidP="0097172E">
      <w:pPr>
        <w:pStyle w:val="a5"/>
        <w:widowControl w:val="0"/>
        <w:numPr>
          <w:ilvl w:val="0"/>
          <w:numId w:val="61"/>
        </w:numPr>
        <w:tabs>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ҚР АӨК 2017-2021 жж. дамытудың мемлекеттік бағдарламасы</w:t>
      </w:r>
      <w:r>
        <w:rPr>
          <w:rStyle w:val="a4"/>
          <w:sz w:val="28"/>
          <w:szCs w:val="28"/>
          <w:lang w:val="kk-KZ"/>
        </w:rPr>
        <w:t xml:space="preserve"> // </w:t>
      </w:r>
      <w:hyperlink r:id="rId82" w:history="1">
        <w:r>
          <w:rPr>
            <w:rStyle w:val="a4"/>
            <w:sz w:val="28"/>
            <w:szCs w:val="28"/>
          </w:rPr>
          <w:t>Об утверждении Государственной программы развития агропромышленного комплекса Республики Казахстан на 2017 – 2021 годы - ИПС "Әділет" (zan.kz)</w:t>
        </w:r>
      </w:hyperlink>
      <w:r>
        <w:rPr>
          <w:rFonts w:ascii="Times New Roman" w:hAnsi="Times New Roman"/>
          <w:sz w:val="28"/>
          <w:szCs w:val="28"/>
          <w:lang w:val="kk-KZ"/>
        </w:rPr>
        <w:t xml:space="preserve"> // </w:t>
      </w:r>
      <w:r>
        <w:rPr>
          <w:rFonts w:ascii="Times New Roman" w:eastAsia="Times New Roman" w:hAnsi="Times New Roman"/>
          <w:kern w:val="36"/>
          <w:sz w:val="28"/>
          <w:szCs w:val="28"/>
          <w:lang w:val="kk-KZ" w:eastAsia="ru-RU"/>
        </w:rPr>
        <w:t>25.03.2021 г.</w:t>
      </w:r>
    </w:p>
    <w:p w14:paraId="7D6DD982" w14:textId="77777777" w:rsidR="002E4E46" w:rsidRDefault="002E4E46" w:rsidP="0097172E">
      <w:pPr>
        <w:pStyle w:val="a5"/>
        <w:widowControl w:val="0"/>
        <w:numPr>
          <w:ilvl w:val="0"/>
          <w:numId w:val="61"/>
        </w:numPr>
        <w:tabs>
          <w:tab w:val="left" w:pos="0"/>
          <w:tab w:val="left" w:pos="1134"/>
        </w:tabs>
        <w:spacing w:after="0" w:line="240" w:lineRule="auto"/>
        <w:ind w:left="0" w:firstLine="709"/>
        <w:jc w:val="both"/>
        <w:rPr>
          <w:rStyle w:val="a4"/>
          <w:color w:val="auto"/>
          <w:u w:val="none"/>
          <w:lang w:val="en-US"/>
        </w:rPr>
      </w:pPr>
      <w:r>
        <w:rPr>
          <w:rFonts w:ascii="Times New Roman" w:hAnsi="Times New Roman"/>
          <w:sz w:val="28"/>
          <w:szCs w:val="28"/>
          <w:lang w:val="kk-KZ"/>
        </w:rPr>
        <w:t xml:space="preserve">National agricultural statistics service </w:t>
      </w:r>
      <w:hyperlink r:id="rId83" w:history="1">
        <w:r>
          <w:rPr>
            <w:rStyle w:val="a4"/>
            <w:sz w:val="28"/>
            <w:szCs w:val="28"/>
            <w:lang w:val="en-US"/>
          </w:rPr>
          <w:t xml:space="preserve">USDA </w:t>
        </w:r>
        <w:r>
          <w:rPr>
            <w:rStyle w:val="a4"/>
            <w:sz w:val="28"/>
            <w:szCs w:val="28"/>
            <w:lang w:val="kk-KZ"/>
          </w:rPr>
          <w:t>//</w:t>
        </w:r>
        <w:r>
          <w:rPr>
            <w:rStyle w:val="a4"/>
            <w:sz w:val="28"/>
            <w:szCs w:val="28"/>
            <w:lang w:val="en-US"/>
          </w:rPr>
          <w:t xml:space="preserve"> https://www.nass.usda.gov/</w:t>
        </w:r>
      </w:hyperlink>
      <w:r>
        <w:rPr>
          <w:rStyle w:val="a4"/>
          <w:sz w:val="28"/>
          <w:szCs w:val="28"/>
          <w:lang w:val="kk-KZ"/>
        </w:rPr>
        <w:t>. 11.02.2021 г.</w:t>
      </w:r>
    </w:p>
    <w:p w14:paraId="7A3E4A65" w14:textId="77777777" w:rsidR="002E4E46" w:rsidRPr="002E4E46" w:rsidRDefault="002E4E46" w:rsidP="0097172E">
      <w:pPr>
        <w:pStyle w:val="a5"/>
        <w:numPr>
          <w:ilvl w:val="0"/>
          <w:numId w:val="61"/>
        </w:numPr>
        <w:tabs>
          <w:tab w:val="left" w:pos="1134"/>
          <w:tab w:val="left" w:pos="1605"/>
        </w:tabs>
        <w:spacing w:after="0" w:line="240" w:lineRule="auto"/>
        <w:ind w:left="0" w:firstLine="709"/>
        <w:jc w:val="both"/>
        <w:rPr>
          <w:lang w:val="en-US"/>
        </w:rPr>
      </w:pPr>
      <w:r>
        <w:rPr>
          <w:rFonts w:ascii="Times New Roman" w:hAnsi="Times New Roman"/>
          <w:sz w:val="28"/>
          <w:szCs w:val="28"/>
          <w:lang w:val="kk-KZ"/>
        </w:rPr>
        <w:t>The Role of SAIs in the audit of agriculture: report on the 15</w:t>
      </w:r>
      <w:r>
        <w:rPr>
          <w:rFonts w:ascii="Times New Roman" w:hAnsi="Times New Roman"/>
          <w:sz w:val="28"/>
          <w:szCs w:val="28"/>
          <w:vertAlign w:val="superscript"/>
          <w:lang w:val="kk-KZ"/>
        </w:rPr>
        <w:t>th</w:t>
      </w:r>
      <w:r>
        <w:rPr>
          <w:rFonts w:ascii="Times New Roman" w:hAnsi="Times New Roman"/>
          <w:sz w:val="28"/>
          <w:szCs w:val="28"/>
          <w:lang w:val="kk-KZ"/>
        </w:rPr>
        <w:t xml:space="preserve"> UN/ Intosai Seminar on Government Auditing</w:t>
      </w:r>
      <w:r>
        <w:rPr>
          <w:rFonts w:ascii="Times New Roman" w:hAnsi="Times New Roman"/>
          <w:sz w:val="28"/>
          <w:szCs w:val="28"/>
          <w:lang w:val="en-US"/>
        </w:rPr>
        <w:t xml:space="preserve"> / Department of Economic and Social Affairs</w:t>
      </w:r>
      <w:r>
        <w:rPr>
          <w:rFonts w:ascii="Times New Roman" w:hAnsi="Times New Roman"/>
          <w:sz w:val="28"/>
          <w:szCs w:val="28"/>
          <w:lang w:val="kk-KZ"/>
        </w:rPr>
        <w:t xml:space="preserve">. </w:t>
      </w:r>
      <w:r>
        <w:rPr>
          <w:rFonts w:ascii="Times New Roman" w:hAnsi="Times New Roman"/>
          <w:sz w:val="28"/>
          <w:szCs w:val="28"/>
          <w:lang w:val="en-US"/>
        </w:rPr>
        <w:t xml:space="preserve">– </w:t>
      </w:r>
      <w:r>
        <w:rPr>
          <w:rFonts w:ascii="Times New Roman" w:hAnsi="Times New Roman"/>
          <w:sz w:val="28"/>
          <w:szCs w:val="28"/>
          <w:lang w:val="kk-KZ"/>
        </w:rPr>
        <w:t>Vienna, 2002</w:t>
      </w:r>
      <w:r>
        <w:rPr>
          <w:rFonts w:ascii="Times New Roman" w:hAnsi="Times New Roman"/>
          <w:sz w:val="28"/>
          <w:szCs w:val="28"/>
          <w:lang w:val="en-US"/>
        </w:rPr>
        <w:t>. – 109 p.</w:t>
      </w:r>
    </w:p>
    <w:p w14:paraId="42B8F828" w14:textId="77777777" w:rsidR="002E4E46" w:rsidRDefault="0097172E" w:rsidP="0097172E">
      <w:pPr>
        <w:pStyle w:val="a5"/>
        <w:widowControl w:val="0"/>
        <w:numPr>
          <w:ilvl w:val="0"/>
          <w:numId w:val="61"/>
        </w:numPr>
        <w:tabs>
          <w:tab w:val="left" w:pos="0"/>
          <w:tab w:val="left" w:pos="1134"/>
        </w:tabs>
        <w:spacing w:after="0" w:line="240" w:lineRule="auto"/>
        <w:ind w:left="0" w:firstLine="709"/>
        <w:jc w:val="both"/>
        <w:rPr>
          <w:rStyle w:val="a4"/>
          <w:color w:val="auto"/>
          <w:sz w:val="28"/>
          <w:szCs w:val="28"/>
          <w:shd w:val="clear" w:color="auto" w:fill="FFFFFF"/>
          <w:lang w:val="kk-KZ"/>
        </w:rPr>
      </w:pPr>
      <w:hyperlink r:id="rId84" w:history="1">
        <w:r w:rsidR="002E4E46">
          <w:rPr>
            <w:rStyle w:val="a4"/>
            <w:sz w:val="28"/>
            <w:szCs w:val="28"/>
          </w:rPr>
          <w:t xml:space="preserve">Стандарт по заданиям по обеспечению достоверности ASAE 3500 ... </w:t>
        </w:r>
        <w:r w:rsidR="002E4E46">
          <w:rPr>
            <w:rStyle w:val="a4"/>
            <w:sz w:val="28"/>
            <w:szCs w:val="28"/>
            <w:lang w:val="kk-KZ"/>
          </w:rPr>
          <w:t>//</w:t>
        </w:r>
        <w:r w:rsidR="002E4E46">
          <w:rPr>
            <w:rStyle w:val="a4"/>
            <w:sz w:val="28"/>
            <w:szCs w:val="28"/>
          </w:rPr>
          <w:t>| Задания по обеспечению качества ASAE 3500 Задания по производительности | PDF4PRO</w:t>
        </w:r>
      </w:hyperlink>
      <w:r w:rsidR="002E4E46">
        <w:rPr>
          <w:rStyle w:val="a4"/>
          <w:sz w:val="28"/>
          <w:szCs w:val="28"/>
          <w:lang w:val="kk-KZ"/>
        </w:rPr>
        <w:t xml:space="preserve"> </w:t>
      </w:r>
      <w:r w:rsidR="002E4E46">
        <w:rPr>
          <w:rStyle w:val="a4"/>
          <w:sz w:val="28"/>
          <w:szCs w:val="28"/>
        </w:rPr>
        <w:t>13.02.2021</w:t>
      </w:r>
      <w:r w:rsidR="002E4E46">
        <w:rPr>
          <w:rStyle w:val="a4"/>
          <w:sz w:val="28"/>
          <w:szCs w:val="28"/>
          <w:lang w:val="kk-KZ"/>
        </w:rPr>
        <w:t xml:space="preserve"> г.</w:t>
      </w:r>
    </w:p>
    <w:p w14:paraId="4D14ECEC" w14:textId="77777777" w:rsidR="002E4E46" w:rsidRDefault="002E4E46" w:rsidP="0097172E">
      <w:pPr>
        <w:pStyle w:val="a5"/>
        <w:widowControl w:val="0"/>
        <w:numPr>
          <w:ilvl w:val="0"/>
          <w:numId w:val="61"/>
        </w:numPr>
        <w:tabs>
          <w:tab w:val="left" w:pos="0"/>
          <w:tab w:val="left" w:pos="1134"/>
        </w:tabs>
        <w:spacing w:after="0" w:line="240" w:lineRule="auto"/>
        <w:ind w:left="0" w:firstLine="709"/>
        <w:jc w:val="both"/>
      </w:pPr>
      <w:r>
        <w:rPr>
          <w:rFonts w:ascii="Times New Roman" w:hAnsi="Times New Roman"/>
          <w:sz w:val="28"/>
          <w:szCs w:val="28"/>
          <w:lang w:val="kk-KZ"/>
        </w:rPr>
        <w:t>Бюллетень Счетной Палаты РФ, Агропромышленный комплекс. – 2022. – №3(292).</w:t>
      </w:r>
      <w:r>
        <w:rPr>
          <w:rFonts w:ascii="Times New Roman" w:hAnsi="Times New Roman"/>
          <w:sz w:val="28"/>
          <w:szCs w:val="28"/>
        </w:rPr>
        <w:t xml:space="preserve"> –</w:t>
      </w:r>
      <w:r>
        <w:rPr>
          <w:rFonts w:ascii="Times New Roman" w:hAnsi="Times New Roman"/>
          <w:sz w:val="28"/>
          <w:szCs w:val="28"/>
          <w:lang w:val="kk-KZ"/>
        </w:rPr>
        <w:t xml:space="preserve"> С. 113. </w:t>
      </w:r>
    </w:p>
    <w:p w14:paraId="36D20422" w14:textId="77777777" w:rsidR="002E4E46" w:rsidRDefault="002E4E46" w:rsidP="0097172E">
      <w:pPr>
        <w:pStyle w:val="a5"/>
        <w:widowControl w:val="0"/>
        <w:numPr>
          <w:ilvl w:val="0"/>
          <w:numId w:val="61"/>
        </w:numPr>
        <w:tabs>
          <w:tab w:val="left" w:pos="0"/>
          <w:tab w:val="left" w:pos="1134"/>
        </w:tabs>
        <w:spacing w:after="0" w:line="240" w:lineRule="auto"/>
        <w:ind w:left="0" w:firstLine="709"/>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USDA Market Facilitation Program. </w:t>
      </w:r>
      <w:r>
        <w:rPr>
          <w:rFonts w:ascii="Times New Roman" w:hAnsi="Times New Roman"/>
          <w:sz w:val="28"/>
          <w:szCs w:val="28"/>
          <w:lang w:val="en-US"/>
        </w:rPr>
        <w:t>Oversight of Future Supplemental Assistance to Farmers Could Be Improved //</w:t>
      </w:r>
      <w:r>
        <w:rPr>
          <w:rFonts w:ascii="Times New Roman" w:hAnsi="Times New Roman"/>
          <w:sz w:val="28"/>
          <w:szCs w:val="28"/>
          <w:lang w:val="kk-KZ"/>
        </w:rPr>
        <w:t xml:space="preserve"> </w:t>
      </w:r>
      <w:hyperlink r:id="rId85" w:history="1">
        <w:r>
          <w:rPr>
            <w:rStyle w:val="a4"/>
            <w:sz w:val="28"/>
            <w:szCs w:val="28"/>
            <w:lang w:val="en-US"/>
          </w:rPr>
          <w:t>GAO-22-104259, MARKET FACILITATION PROGRAM: USDA Could Improve Its Oversight of Future Supplemental Assistance to Farmers</w:t>
        </w:r>
      </w:hyperlink>
      <w:r>
        <w:rPr>
          <w:rStyle w:val="a4"/>
          <w:sz w:val="28"/>
          <w:szCs w:val="28"/>
          <w:lang w:val="kk-KZ"/>
        </w:rPr>
        <w:t>.</w:t>
      </w:r>
      <w:r>
        <w:rPr>
          <w:rStyle w:val="a4"/>
          <w:sz w:val="28"/>
          <w:szCs w:val="28"/>
          <w:lang w:val="en-US"/>
        </w:rPr>
        <w:t xml:space="preserve"> 22.02.2021 </w:t>
      </w:r>
      <w:r>
        <w:rPr>
          <w:rStyle w:val="a4"/>
          <w:sz w:val="28"/>
          <w:szCs w:val="28"/>
          <w:lang w:val="kk-KZ"/>
        </w:rPr>
        <w:t>г.</w:t>
      </w:r>
    </w:p>
    <w:p w14:paraId="31F5637F" w14:textId="77777777" w:rsidR="002E4E46" w:rsidRDefault="002E4E46" w:rsidP="0097172E">
      <w:pPr>
        <w:pStyle w:val="a5"/>
        <w:widowControl w:val="0"/>
        <w:numPr>
          <w:ilvl w:val="0"/>
          <w:numId w:val="61"/>
        </w:numPr>
        <w:tabs>
          <w:tab w:val="left" w:pos="0"/>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Спатаева С.Б., Бейсенова Л.З. АӨК дамытуға бағытталған бюджет қаражаттарын пайдаланудың тиімділік аудитін ұйымдастырудың шетелдік тәжірибесі// </w:t>
      </w:r>
      <w:r>
        <w:rPr>
          <w:rFonts w:ascii="Times New Roman" w:hAnsi="Times New Roman"/>
          <w:bCs/>
          <w:sz w:val="28"/>
          <w:szCs w:val="28"/>
          <w:lang w:val="kk-KZ"/>
        </w:rPr>
        <w:t>Жаңа тарихи шындық жағдайындағы мемлекеттік аудит жүйесі» халықаралық ғылыми-практикалық конференциясының баяндамалар жинағы, Нұр-Сұлтан, 2021. Б. 337-345</w:t>
      </w:r>
    </w:p>
    <w:p w14:paraId="2DF6BC21" w14:textId="77777777" w:rsidR="002E4E46" w:rsidRDefault="002E4E46" w:rsidP="0097172E">
      <w:pPr>
        <w:pStyle w:val="a5"/>
        <w:widowControl w:val="0"/>
        <w:numPr>
          <w:ilvl w:val="0"/>
          <w:numId w:val="61"/>
        </w:numPr>
        <w:tabs>
          <w:tab w:val="left" w:pos="0"/>
          <w:tab w:val="left" w:pos="1134"/>
        </w:tabs>
        <w:spacing w:after="0" w:line="240" w:lineRule="auto"/>
        <w:ind w:left="0" w:firstLine="709"/>
        <w:jc w:val="both"/>
        <w:rPr>
          <w:rStyle w:val="a4"/>
          <w:color w:val="auto"/>
          <w:u w:val="none"/>
        </w:rPr>
      </w:pPr>
      <w:r>
        <w:rPr>
          <w:rFonts w:ascii="Times New Roman" w:hAnsi="Times New Roman"/>
          <w:sz w:val="28"/>
          <w:szCs w:val="28"/>
          <w:lang w:val="kk-KZ"/>
        </w:rPr>
        <w:t xml:space="preserve">Исследование методологических подходов к проведению аудита эффективности использования бюджетных средств, направленных на развитие агропромышленного комплекса с выработкой рекомендаций // </w:t>
      </w:r>
      <w:hyperlink r:id="rId86" w:history="1">
        <w:r>
          <w:rPr>
            <w:rStyle w:val="a4"/>
            <w:sz w:val="28"/>
            <w:szCs w:val="28"/>
            <w:lang w:val="kk-KZ"/>
          </w:rPr>
          <w:t>https://www.gov.kz/memleket/entities/esep/documents/details/270890?lang=ru</w:t>
        </w:r>
      </w:hyperlink>
      <w:r>
        <w:rPr>
          <w:rStyle w:val="a4"/>
          <w:sz w:val="28"/>
          <w:szCs w:val="28"/>
          <w:lang w:val="kk-KZ"/>
        </w:rPr>
        <w:t xml:space="preserve">. </w:t>
      </w:r>
      <w:r>
        <w:rPr>
          <w:rFonts w:ascii="Times New Roman" w:eastAsia="Times New Roman" w:hAnsi="Times New Roman"/>
          <w:kern w:val="36"/>
          <w:sz w:val="28"/>
          <w:szCs w:val="28"/>
          <w:lang w:val="kk-KZ" w:eastAsia="ru-RU"/>
        </w:rPr>
        <w:t>27</w:t>
      </w:r>
      <w:r>
        <w:rPr>
          <w:rStyle w:val="a4"/>
          <w:sz w:val="28"/>
          <w:szCs w:val="28"/>
          <w:shd w:val="clear" w:color="auto" w:fill="FFFFFF"/>
        </w:rPr>
        <w:t>.</w:t>
      </w:r>
      <w:r>
        <w:rPr>
          <w:rStyle w:val="a4"/>
          <w:sz w:val="28"/>
          <w:szCs w:val="28"/>
          <w:shd w:val="clear" w:color="auto" w:fill="FFFFFF"/>
          <w:lang w:val="kk-KZ"/>
        </w:rPr>
        <w:t>02.2021 г.</w:t>
      </w:r>
    </w:p>
    <w:p w14:paraId="6D9C1248" w14:textId="77777777" w:rsidR="002E4E46" w:rsidRDefault="002E4E46" w:rsidP="0097172E">
      <w:pPr>
        <w:pStyle w:val="a5"/>
        <w:numPr>
          <w:ilvl w:val="0"/>
          <w:numId w:val="61"/>
        </w:numPr>
        <w:tabs>
          <w:tab w:val="left" w:pos="1134"/>
          <w:tab w:val="left" w:pos="1605"/>
        </w:tabs>
        <w:spacing w:after="0" w:line="240" w:lineRule="auto"/>
        <w:ind w:left="0" w:firstLine="709"/>
        <w:jc w:val="both"/>
        <w:rPr>
          <w:sz w:val="28"/>
          <w:szCs w:val="28"/>
          <w:lang w:val="kk-KZ"/>
        </w:rPr>
      </w:pPr>
      <w:r>
        <w:rPr>
          <w:rStyle w:val="rynqvb"/>
          <w:rFonts w:ascii="Times New Roman" w:hAnsi="Times New Roman"/>
          <w:sz w:val="28"/>
          <w:szCs w:val="28"/>
        </w:rPr>
        <w:t>Развитие сельского хозяйства Российской Федерации на 2018-2025 гг.</w:t>
      </w:r>
      <w:r>
        <w:rPr>
          <w:rFonts w:ascii="Times New Roman" w:hAnsi="Times New Roman"/>
          <w:sz w:val="28"/>
          <w:szCs w:val="28"/>
          <w:lang w:val="kk-KZ"/>
        </w:rPr>
        <w:t xml:space="preserve"> // </w:t>
      </w:r>
      <w:hyperlink r:id="rId87" w:history="1">
        <w:r>
          <w:rPr>
            <w:rStyle w:val="a4"/>
            <w:sz w:val="28"/>
            <w:szCs w:val="28"/>
          </w:rPr>
          <w:t>Microsoft Word - ГП-25 программа развития сельского хозяйства .docx (ach.gov.ru)</w:t>
        </w:r>
      </w:hyperlink>
      <w:r>
        <w:rPr>
          <w:rFonts w:ascii="Times New Roman" w:hAnsi="Times New Roman"/>
          <w:sz w:val="28"/>
          <w:szCs w:val="28"/>
          <w:lang w:val="kk-KZ"/>
        </w:rPr>
        <w:t xml:space="preserve"> 25.02.2021 г.</w:t>
      </w:r>
      <w:r>
        <w:rPr>
          <w:rFonts w:ascii="Times New Roman" w:hAnsi="Times New Roman"/>
          <w:sz w:val="28"/>
          <w:szCs w:val="28"/>
          <w:highlight w:val="yellow"/>
          <w:shd w:val="clear" w:color="auto" w:fill="FFFFFF"/>
          <w:lang w:val="kk-KZ"/>
        </w:rPr>
        <w:t xml:space="preserve"> </w:t>
      </w:r>
    </w:p>
    <w:p w14:paraId="17763B43" w14:textId="77777777" w:rsidR="002E4E46" w:rsidRDefault="002E4E46" w:rsidP="0097172E">
      <w:pPr>
        <w:pStyle w:val="a5"/>
        <w:widowControl w:val="0"/>
        <w:numPr>
          <w:ilvl w:val="0"/>
          <w:numId w:val="61"/>
        </w:numPr>
        <w:tabs>
          <w:tab w:val="left" w:pos="1134"/>
        </w:tabs>
        <w:spacing w:after="0" w:line="240" w:lineRule="auto"/>
        <w:ind w:left="0" w:firstLine="709"/>
        <w:jc w:val="both"/>
        <w:rPr>
          <w:rStyle w:val="a4"/>
          <w:color w:val="auto"/>
          <w:shd w:val="clear" w:color="auto" w:fill="FFFFFF"/>
        </w:rPr>
      </w:pPr>
      <w:r>
        <w:rPr>
          <w:rFonts w:ascii="Times New Roman" w:hAnsi="Times New Roman"/>
          <w:sz w:val="28"/>
          <w:szCs w:val="28"/>
          <w:lang w:val="kk-KZ"/>
        </w:rPr>
        <w:t xml:space="preserve">Стандарт внешнего государственного аудита СГА 104 «Аудит эффективности»: Постановление Коллегии Счетной Палаты РФ от 30.11.2016 г. №4ПК // </w:t>
      </w:r>
      <w:hyperlink r:id="rId88" w:history="1">
        <w:r>
          <w:rPr>
            <w:rStyle w:val="a4"/>
            <w:sz w:val="28"/>
            <w:szCs w:val="28"/>
            <w:lang w:val="kk-KZ"/>
          </w:rPr>
          <w:t>460b8ddd57d9d200cb581435c9dc0fd4.pdf (ach.gov.ru)</w:t>
        </w:r>
      </w:hyperlink>
      <w:r>
        <w:rPr>
          <w:rStyle w:val="a4"/>
          <w:sz w:val="28"/>
          <w:szCs w:val="28"/>
          <w:lang w:val="kk-KZ"/>
        </w:rPr>
        <w:t>. 05.03.2021 г.</w:t>
      </w:r>
    </w:p>
    <w:p w14:paraId="2DCC2A6B" w14:textId="77777777" w:rsidR="002E4E46" w:rsidRDefault="002E4E46" w:rsidP="0097172E">
      <w:pPr>
        <w:pStyle w:val="a5"/>
        <w:numPr>
          <w:ilvl w:val="0"/>
          <w:numId w:val="61"/>
        </w:numPr>
        <w:tabs>
          <w:tab w:val="left" w:pos="1134"/>
          <w:tab w:val="left" w:pos="1605"/>
        </w:tabs>
        <w:spacing w:after="0" w:line="240" w:lineRule="auto"/>
        <w:ind w:left="0" w:firstLine="709"/>
        <w:jc w:val="both"/>
      </w:pPr>
      <w:r>
        <w:rPr>
          <w:rFonts w:ascii="Times New Roman" w:hAnsi="Times New Roman"/>
          <w:sz w:val="28"/>
          <w:szCs w:val="28"/>
          <w:lang w:val="kk-KZ"/>
        </w:rPr>
        <w:t xml:space="preserve">Публичный аудит в ЕС// </w:t>
      </w:r>
      <w:hyperlink r:id="rId89" w:anchor="h-21" w:history="1">
        <w:r>
          <w:rPr>
            <w:rStyle w:val="a4"/>
            <w:sz w:val="28"/>
            <w:szCs w:val="28"/>
          </w:rPr>
          <w:t>Публичный аудит в Европейском Союзе 2022 г. (europa.eu)</w:t>
        </w:r>
      </w:hyperlink>
      <w:r>
        <w:rPr>
          <w:rStyle w:val="a4"/>
          <w:sz w:val="28"/>
          <w:szCs w:val="28"/>
          <w:lang w:val="kk-KZ"/>
        </w:rPr>
        <w:t xml:space="preserve"> // </w:t>
      </w:r>
      <w:r>
        <w:rPr>
          <w:rFonts w:ascii="Times New Roman" w:hAnsi="Times New Roman"/>
          <w:sz w:val="28"/>
          <w:szCs w:val="28"/>
        </w:rPr>
        <w:t xml:space="preserve">03.03.2021 </w:t>
      </w:r>
      <w:r>
        <w:rPr>
          <w:rFonts w:ascii="Times New Roman" w:hAnsi="Times New Roman"/>
          <w:sz w:val="28"/>
          <w:szCs w:val="28"/>
          <w:lang w:val="kk-KZ"/>
        </w:rPr>
        <w:t>г.</w:t>
      </w:r>
    </w:p>
    <w:p w14:paraId="0C8423BD"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Alexandra Otetea, Cristina Maria Tita (Batusaru), Mihai Aristotel Ungureanu, The Performance Impact of the Supreme Audit Institutions on National Budgets. Great Britain and Romania Case - Comparative Study </w:t>
      </w:r>
      <w:r>
        <w:rPr>
          <w:rFonts w:ascii="Times New Roman" w:hAnsi="Times New Roman"/>
          <w:sz w:val="28"/>
          <w:szCs w:val="28"/>
          <w:lang w:val="kk-KZ"/>
        </w:rPr>
        <w:t xml:space="preserve">// </w:t>
      </w:r>
      <w:r>
        <w:rPr>
          <w:rFonts w:ascii="Times New Roman" w:hAnsi="Times New Roman"/>
          <w:sz w:val="28"/>
          <w:szCs w:val="28"/>
          <w:lang w:val="en-US"/>
        </w:rPr>
        <w:t>Procedia Economics and Finance 27 ( 2015 ) 621 – 628</w:t>
      </w:r>
      <w:r>
        <w:rPr>
          <w:rFonts w:ascii="Times New Roman" w:hAnsi="Times New Roman"/>
          <w:sz w:val="28"/>
          <w:szCs w:val="28"/>
          <w:lang w:val="kk-KZ"/>
        </w:rPr>
        <w:t xml:space="preserve"> </w:t>
      </w:r>
      <w:hyperlink r:id="rId90" w:history="1">
        <w:r>
          <w:rPr>
            <w:rStyle w:val="a4"/>
            <w:sz w:val="28"/>
            <w:szCs w:val="28"/>
            <w:lang w:val="en-US"/>
          </w:rPr>
          <w:t xml:space="preserve">(PDF) </w:t>
        </w:r>
        <w:r>
          <w:rPr>
            <w:rStyle w:val="a4"/>
            <w:sz w:val="28"/>
            <w:szCs w:val="28"/>
          </w:rPr>
          <w:t>Влияние</w:t>
        </w:r>
        <w:r>
          <w:rPr>
            <w:rStyle w:val="a4"/>
            <w:sz w:val="28"/>
            <w:szCs w:val="28"/>
            <w:lang w:val="en-US"/>
          </w:rPr>
          <w:t xml:space="preserve"> </w:t>
        </w:r>
        <w:r>
          <w:rPr>
            <w:rStyle w:val="a4"/>
            <w:sz w:val="28"/>
            <w:szCs w:val="28"/>
          </w:rPr>
          <w:t>деятельности</w:t>
        </w:r>
        <w:r>
          <w:rPr>
            <w:rStyle w:val="a4"/>
            <w:sz w:val="28"/>
            <w:szCs w:val="28"/>
            <w:lang w:val="en-US"/>
          </w:rPr>
          <w:t xml:space="preserve"> </w:t>
        </w:r>
        <w:r>
          <w:rPr>
            <w:rStyle w:val="a4"/>
            <w:sz w:val="28"/>
            <w:szCs w:val="28"/>
          </w:rPr>
          <w:t>высших</w:t>
        </w:r>
        <w:r>
          <w:rPr>
            <w:rStyle w:val="a4"/>
            <w:sz w:val="28"/>
            <w:szCs w:val="28"/>
            <w:lang w:val="en-US"/>
          </w:rPr>
          <w:t xml:space="preserve"> </w:t>
        </w:r>
        <w:r>
          <w:rPr>
            <w:rStyle w:val="a4"/>
            <w:sz w:val="28"/>
            <w:szCs w:val="28"/>
          </w:rPr>
          <w:t>органов</w:t>
        </w:r>
        <w:r>
          <w:rPr>
            <w:rStyle w:val="a4"/>
            <w:sz w:val="28"/>
            <w:szCs w:val="28"/>
            <w:lang w:val="en-US"/>
          </w:rPr>
          <w:t xml:space="preserve"> </w:t>
        </w:r>
        <w:r>
          <w:rPr>
            <w:rStyle w:val="a4"/>
            <w:sz w:val="28"/>
            <w:szCs w:val="28"/>
          </w:rPr>
          <w:t>финансового</w:t>
        </w:r>
        <w:r>
          <w:rPr>
            <w:rStyle w:val="a4"/>
            <w:sz w:val="28"/>
            <w:szCs w:val="28"/>
            <w:lang w:val="en-US"/>
          </w:rPr>
          <w:t xml:space="preserve"> </w:t>
        </w:r>
        <w:r>
          <w:rPr>
            <w:rStyle w:val="a4"/>
            <w:sz w:val="28"/>
            <w:szCs w:val="28"/>
          </w:rPr>
          <w:t>контроля</w:t>
        </w:r>
        <w:r>
          <w:rPr>
            <w:rStyle w:val="a4"/>
            <w:sz w:val="28"/>
            <w:szCs w:val="28"/>
            <w:lang w:val="en-US"/>
          </w:rPr>
          <w:t xml:space="preserve"> </w:t>
        </w:r>
        <w:r>
          <w:rPr>
            <w:rStyle w:val="a4"/>
            <w:sz w:val="28"/>
            <w:szCs w:val="28"/>
          </w:rPr>
          <w:t>на</w:t>
        </w:r>
        <w:r>
          <w:rPr>
            <w:rStyle w:val="a4"/>
            <w:sz w:val="28"/>
            <w:szCs w:val="28"/>
            <w:lang w:val="en-US"/>
          </w:rPr>
          <w:t xml:space="preserve"> </w:t>
        </w:r>
        <w:r>
          <w:rPr>
            <w:rStyle w:val="a4"/>
            <w:sz w:val="28"/>
            <w:szCs w:val="28"/>
          </w:rPr>
          <w:t>национальные</w:t>
        </w:r>
        <w:r>
          <w:rPr>
            <w:rStyle w:val="a4"/>
            <w:sz w:val="28"/>
            <w:szCs w:val="28"/>
            <w:lang w:val="en-US"/>
          </w:rPr>
          <w:t xml:space="preserve"> </w:t>
        </w:r>
        <w:r>
          <w:rPr>
            <w:rStyle w:val="a4"/>
            <w:sz w:val="28"/>
            <w:szCs w:val="28"/>
          </w:rPr>
          <w:t>бюджеты</w:t>
        </w:r>
        <w:r>
          <w:rPr>
            <w:rStyle w:val="a4"/>
            <w:sz w:val="28"/>
            <w:szCs w:val="28"/>
            <w:lang w:val="en-US"/>
          </w:rPr>
          <w:t xml:space="preserve">. </w:t>
        </w:r>
        <w:r>
          <w:rPr>
            <w:rStyle w:val="a4"/>
            <w:sz w:val="28"/>
            <w:szCs w:val="28"/>
          </w:rPr>
          <w:t>Пример</w:t>
        </w:r>
        <w:r>
          <w:rPr>
            <w:rStyle w:val="a4"/>
            <w:sz w:val="28"/>
            <w:szCs w:val="28"/>
            <w:lang w:val="en-US"/>
          </w:rPr>
          <w:t xml:space="preserve"> </w:t>
        </w:r>
        <w:r>
          <w:rPr>
            <w:rStyle w:val="a4"/>
            <w:sz w:val="28"/>
            <w:szCs w:val="28"/>
          </w:rPr>
          <w:t>Великобритании</w:t>
        </w:r>
        <w:r>
          <w:rPr>
            <w:rStyle w:val="a4"/>
            <w:sz w:val="28"/>
            <w:szCs w:val="28"/>
            <w:lang w:val="en-US"/>
          </w:rPr>
          <w:t xml:space="preserve"> </w:t>
        </w:r>
        <w:r>
          <w:rPr>
            <w:rStyle w:val="a4"/>
            <w:sz w:val="28"/>
            <w:szCs w:val="28"/>
          </w:rPr>
          <w:t>и</w:t>
        </w:r>
        <w:r>
          <w:rPr>
            <w:rStyle w:val="a4"/>
            <w:sz w:val="28"/>
            <w:szCs w:val="28"/>
            <w:lang w:val="en-US"/>
          </w:rPr>
          <w:t xml:space="preserve"> </w:t>
        </w:r>
        <w:r>
          <w:rPr>
            <w:rStyle w:val="a4"/>
            <w:sz w:val="28"/>
            <w:szCs w:val="28"/>
          </w:rPr>
          <w:t>Румынии</w:t>
        </w:r>
        <w:r>
          <w:rPr>
            <w:rStyle w:val="a4"/>
            <w:sz w:val="28"/>
            <w:szCs w:val="28"/>
            <w:lang w:val="en-US"/>
          </w:rPr>
          <w:t xml:space="preserve"> – </w:t>
        </w:r>
        <w:r>
          <w:rPr>
            <w:rStyle w:val="a4"/>
            <w:sz w:val="28"/>
            <w:szCs w:val="28"/>
          </w:rPr>
          <w:t>сравнительное</w:t>
        </w:r>
        <w:r>
          <w:rPr>
            <w:rStyle w:val="a4"/>
            <w:sz w:val="28"/>
            <w:szCs w:val="28"/>
            <w:lang w:val="en-US"/>
          </w:rPr>
          <w:t xml:space="preserve"> </w:t>
        </w:r>
        <w:r>
          <w:rPr>
            <w:rStyle w:val="a4"/>
            <w:sz w:val="28"/>
            <w:szCs w:val="28"/>
          </w:rPr>
          <w:t>исследование</w:t>
        </w:r>
        <w:r>
          <w:rPr>
            <w:rStyle w:val="a4"/>
            <w:sz w:val="28"/>
            <w:szCs w:val="28"/>
            <w:lang w:val="en-US"/>
          </w:rPr>
          <w:t xml:space="preserve"> (researchgate.net)</w:t>
        </w:r>
      </w:hyperlink>
      <w:r>
        <w:rPr>
          <w:rFonts w:ascii="Times New Roman" w:hAnsi="Times New Roman"/>
          <w:sz w:val="28"/>
          <w:szCs w:val="28"/>
          <w:lang w:val="en-US"/>
        </w:rPr>
        <w:t xml:space="preserve"> 05.03.2021 </w:t>
      </w:r>
      <w:r>
        <w:rPr>
          <w:rFonts w:ascii="Times New Roman" w:hAnsi="Times New Roman"/>
          <w:sz w:val="28"/>
          <w:szCs w:val="28"/>
          <w:lang w:val="kk-KZ"/>
        </w:rPr>
        <w:t>г.</w:t>
      </w:r>
    </w:p>
    <w:p w14:paraId="445BCD78" w14:textId="77777777" w:rsidR="002E4E46" w:rsidRPr="002E4E46" w:rsidRDefault="002E4E46" w:rsidP="0097172E">
      <w:pPr>
        <w:pStyle w:val="a5"/>
        <w:numPr>
          <w:ilvl w:val="0"/>
          <w:numId w:val="61"/>
        </w:numPr>
        <w:tabs>
          <w:tab w:val="left" w:pos="1134"/>
          <w:tab w:val="left" w:pos="1605"/>
        </w:tabs>
        <w:spacing w:after="0" w:line="240" w:lineRule="auto"/>
        <w:ind w:left="0" w:firstLine="709"/>
        <w:jc w:val="both"/>
        <w:rPr>
          <w:rStyle w:val="a4"/>
          <w:color w:val="auto"/>
          <w:u w:val="none"/>
          <w:lang w:val="en-US"/>
        </w:rPr>
      </w:pPr>
      <w:r>
        <w:rPr>
          <w:rFonts w:ascii="Times New Roman" w:hAnsi="Times New Roman"/>
          <w:sz w:val="28"/>
          <w:szCs w:val="28"/>
          <w:lang w:val="en-US"/>
        </w:rPr>
        <w:t>Lonsdale, J., (1999) “Impacts”, in Pollitt, C., Xavier, C., Lonsdale, J., Mul, R. and Waerness, M. (Eds), Performance Audit and Public Management in Five Countries, Oxford University Press, Oxford, pp. 171-93</w:t>
      </w:r>
    </w:p>
    <w:p w14:paraId="10E65D32" w14:textId="77777777" w:rsidR="002E4E46" w:rsidRDefault="002E4E46" w:rsidP="0097172E">
      <w:pPr>
        <w:pStyle w:val="a5"/>
        <w:widowControl w:val="0"/>
        <w:numPr>
          <w:ilvl w:val="0"/>
          <w:numId w:val="61"/>
        </w:numPr>
        <w:tabs>
          <w:tab w:val="left" w:pos="1134"/>
        </w:tabs>
        <w:spacing w:after="0" w:line="240" w:lineRule="auto"/>
        <w:ind w:left="0" w:firstLine="709"/>
        <w:jc w:val="both"/>
      </w:pPr>
      <w:r>
        <w:rPr>
          <w:rFonts w:ascii="Times New Roman" w:eastAsia="Times New Roman" w:hAnsi="Times New Roman"/>
          <w:kern w:val="36"/>
          <w:sz w:val="28"/>
          <w:szCs w:val="28"/>
          <w:lang w:val="kk-KZ" w:eastAsia="ru-RU"/>
        </w:rPr>
        <w:t xml:space="preserve">Қазақстан Республикасы Президенті Қ.К. Тоқаев. Сындарлы қоғамдық диалог – Қазақстанның тұрақтылығы мен өркендеуінің негізі: </w:t>
      </w:r>
      <w:hyperlink r:id="rId91" w:history="1">
        <w:r>
          <w:rPr>
            <w:rStyle w:val="a4"/>
            <w:sz w:val="28"/>
            <w:szCs w:val="28"/>
            <w:lang w:val="kk-KZ"/>
          </w:rPr>
          <w:t>Қазақстан халқына жолдауы // https://adilet.zan.kz/kaz/docs/U1900000152</w:t>
        </w:r>
      </w:hyperlink>
      <w:r>
        <w:rPr>
          <w:rStyle w:val="a4"/>
          <w:sz w:val="28"/>
          <w:szCs w:val="28"/>
          <w:lang w:val="kk-KZ"/>
        </w:rPr>
        <w:t xml:space="preserve">. </w:t>
      </w:r>
      <w:r>
        <w:rPr>
          <w:rFonts w:ascii="Times New Roman" w:hAnsi="Times New Roman"/>
          <w:sz w:val="28"/>
          <w:szCs w:val="28"/>
          <w:lang w:val="kk-KZ"/>
        </w:rPr>
        <w:t>10.03.2021 г.</w:t>
      </w:r>
    </w:p>
    <w:p w14:paraId="70921084"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eastAsia="Times New Roman" w:hAnsi="Times New Roman"/>
          <w:kern w:val="36"/>
          <w:sz w:val="28"/>
          <w:szCs w:val="28"/>
          <w:lang w:val="kk-KZ" w:eastAsia="ru-RU"/>
        </w:rPr>
        <w:t xml:space="preserve">Қазақстан Республикасы Үкіметінің Қаулысы. </w:t>
      </w:r>
      <w:hyperlink r:id="rId92" w:history="1">
        <w:r>
          <w:rPr>
            <w:rStyle w:val="a4"/>
            <w:sz w:val="28"/>
            <w:szCs w:val="28"/>
            <w:lang w:val="kk-KZ"/>
          </w:rPr>
          <w:t xml:space="preserve">Ауыл шаруашылығы өндірісін дамытудың 2000-2002 жылдарға арналған бағдарламасын жүзеге асыру жөніндегі Іс-шаралар жоспарын бекіту туралы: 2000 жылдың 5 ақпанда, </w:t>
        </w:r>
        <w:r>
          <w:rPr>
            <w:rStyle w:val="a4"/>
            <w:sz w:val="28"/>
            <w:szCs w:val="28"/>
            <w:lang w:val="kk-KZ" w:eastAsia="zh-CN"/>
          </w:rPr>
          <w:t>№175</w:t>
        </w:r>
        <w:r>
          <w:rPr>
            <w:rStyle w:val="a4"/>
            <w:sz w:val="28"/>
            <w:szCs w:val="28"/>
            <w:lang w:val="kk-KZ"/>
          </w:rPr>
          <w:t xml:space="preserve"> бекітілген</w:t>
        </w:r>
      </w:hyperlink>
      <w:r>
        <w:rPr>
          <w:rFonts w:ascii="Times New Roman" w:eastAsia="Times New Roman" w:hAnsi="Times New Roman"/>
          <w:kern w:val="36"/>
          <w:sz w:val="28"/>
          <w:szCs w:val="28"/>
          <w:lang w:val="kk-KZ" w:eastAsia="ru-RU"/>
        </w:rPr>
        <w:t xml:space="preserve"> // </w:t>
      </w:r>
      <w:hyperlink r:id="rId93" w:history="1">
        <w:r>
          <w:rPr>
            <w:rStyle w:val="a4"/>
            <w:sz w:val="28"/>
            <w:szCs w:val="28"/>
            <w:lang w:val="kk-KZ"/>
          </w:rPr>
          <w:t>https://adilet.zan.kz/kaz/docs/P000000175_13.03.2021</w:t>
        </w:r>
      </w:hyperlink>
      <w:r>
        <w:rPr>
          <w:rFonts w:ascii="Times New Roman" w:eastAsia="Times New Roman" w:hAnsi="Times New Roman"/>
          <w:kern w:val="36"/>
          <w:sz w:val="28"/>
          <w:szCs w:val="28"/>
          <w:lang w:val="kk-KZ" w:eastAsia="ru-RU"/>
        </w:rPr>
        <w:t xml:space="preserve"> г.</w:t>
      </w:r>
    </w:p>
    <w:p w14:paraId="2E90917D"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eastAsia="Times New Roman" w:hAnsi="Times New Roman"/>
          <w:kern w:val="36"/>
          <w:sz w:val="28"/>
          <w:szCs w:val="28"/>
          <w:lang w:val="kk-KZ" w:eastAsia="ru-RU"/>
        </w:rPr>
        <w:t xml:space="preserve">Қазақстан Республикасы Президентінің Жарлығы. </w:t>
      </w:r>
      <w:hyperlink r:id="rId94" w:history="1">
        <w:r>
          <w:rPr>
            <w:rStyle w:val="a4"/>
            <w:sz w:val="28"/>
            <w:szCs w:val="28"/>
            <w:lang w:val="kk-KZ"/>
          </w:rPr>
          <w:t xml:space="preserve">Қазақстан Республикасының 2003-2005 жылдарға арналған Мемлекеттік аграрлық азық-түлік бағдарламасы туралы:2002 жылдың </w:t>
        </w:r>
        <w:r>
          <w:rPr>
            <w:rStyle w:val="a4"/>
            <w:sz w:val="28"/>
            <w:szCs w:val="28"/>
            <w:lang w:val="kk-KZ" w:eastAsia="zh-CN"/>
          </w:rPr>
          <w:t>5 маусымда, №889</w:t>
        </w:r>
        <w:r>
          <w:rPr>
            <w:rStyle w:val="a4"/>
            <w:sz w:val="28"/>
            <w:szCs w:val="28"/>
            <w:lang w:val="kk-KZ"/>
          </w:rPr>
          <w:t xml:space="preserve"> бекітілген // https://adilet.zan.kz/kaz/docs/U020000889_</w:t>
        </w:r>
      </w:hyperlink>
      <w:r>
        <w:rPr>
          <w:rFonts w:ascii="Times New Roman" w:eastAsia="Times New Roman" w:hAnsi="Times New Roman"/>
          <w:kern w:val="36"/>
          <w:sz w:val="28"/>
          <w:szCs w:val="28"/>
          <w:lang w:val="kk-KZ" w:eastAsia="ru-RU"/>
        </w:rPr>
        <w:t xml:space="preserve"> 13.03.2021 г.</w:t>
      </w:r>
    </w:p>
    <w:p w14:paraId="7B2A33DC" w14:textId="77777777" w:rsidR="002E4E46" w:rsidRDefault="002E4E46" w:rsidP="0097172E">
      <w:pPr>
        <w:pStyle w:val="a5"/>
        <w:numPr>
          <w:ilvl w:val="0"/>
          <w:numId w:val="61"/>
        </w:numPr>
        <w:tabs>
          <w:tab w:val="left" w:pos="0"/>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eastAsia="Times New Roman" w:hAnsi="Times New Roman"/>
          <w:kern w:val="36"/>
          <w:sz w:val="28"/>
          <w:szCs w:val="28"/>
          <w:lang w:val="kk-KZ" w:eastAsia="ru-RU"/>
        </w:rPr>
        <w:t xml:space="preserve">Қазақстан Республикасы Президентінің Жарлығы. </w:t>
      </w:r>
      <w:hyperlink r:id="rId95" w:history="1">
        <w:r>
          <w:rPr>
            <w:rStyle w:val="a4"/>
            <w:sz w:val="28"/>
            <w:szCs w:val="28"/>
            <w:lang w:val="kk-KZ"/>
          </w:rPr>
          <w:t>Қазақстан Республикасының Ауылдық аумақтарын дамытудың 2004-2010 жылдарға арналған мемлекеттiк бағдарламасы туралы: 2003 жылдың 10 шелдесі, №1149 бекітілген //</w:t>
        </w:r>
      </w:hyperlink>
      <w:r>
        <w:rPr>
          <w:rStyle w:val="a4"/>
          <w:sz w:val="28"/>
          <w:szCs w:val="28"/>
          <w:lang w:val="kk-KZ"/>
        </w:rPr>
        <w:t xml:space="preserve"> </w:t>
      </w:r>
      <w:hyperlink r:id="rId96" w:history="1">
        <w:r>
          <w:rPr>
            <w:rStyle w:val="a4"/>
            <w:sz w:val="28"/>
            <w:szCs w:val="28"/>
            <w:lang w:val="kk-KZ"/>
          </w:rPr>
          <w:t>https://adilet.zan.kz/kaz/docs/U030001149_15.03.2021</w:t>
        </w:r>
      </w:hyperlink>
      <w:r>
        <w:rPr>
          <w:rFonts w:ascii="Times New Roman" w:eastAsia="Times New Roman" w:hAnsi="Times New Roman"/>
          <w:kern w:val="36"/>
          <w:sz w:val="28"/>
          <w:szCs w:val="28"/>
          <w:lang w:val="kk-KZ" w:eastAsia="ru-RU"/>
        </w:rPr>
        <w:t xml:space="preserve"> г.</w:t>
      </w:r>
    </w:p>
    <w:p w14:paraId="1D147BC1" w14:textId="77777777" w:rsidR="002E4E46" w:rsidRDefault="002E4E46" w:rsidP="0097172E">
      <w:pPr>
        <w:pStyle w:val="a5"/>
        <w:numPr>
          <w:ilvl w:val="0"/>
          <w:numId w:val="61"/>
        </w:numPr>
        <w:tabs>
          <w:tab w:val="left" w:pos="0"/>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eastAsia="Times New Roman" w:hAnsi="Times New Roman"/>
          <w:kern w:val="36"/>
          <w:sz w:val="28"/>
          <w:szCs w:val="28"/>
          <w:lang w:val="kk-KZ" w:eastAsia="ru-RU"/>
        </w:rPr>
        <w:t xml:space="preserve">Қазақстан Республикасы Үкіметінің Қаулысы. Қазақстан Республикасының агроөнеркәсiптiк кешенiн тұрақты дамытудың 2006-2010 жылдарға арналған тұжырымдамасын iске асыру жөнiндегi 2006-2008 жылдарға арналған бiрiншi кезектегi шаралар бағдарламасын бекiту туралы: 2006 жылдың 6 наурызда, №149 бекітілген // </w:t>
      </w:r>
      <w:hyperlink r:id="rId97" w:history="1">
        <w:r>
          <w:rPr>
            <w:rStyle w:val="a4"/>
            <w:sz w:val="28"/>
            <w:szCs w:val="28"/>
            <w:lang w:val="kk-KZ"/>
          </w:rPr>
          <w:t>https://zakon.uchet.kz/kaz</w:t>
        </w:r>
      </w:hyperlink>
      <w:r>
        <w:rPr>
          <w:rFonts w:ascii="Times New Roman" w:eastAsia="Times New Roman" w:hAnsi="Times New Roman"/>
          <w:kern w:val="36"/>
          <w:sz w:val="28"/>
          <w:szCs w:val="28"/>
          <w:lang w:val="kk-KZ" w:eastAsia="ru-RU"/>
        </w:rPr>
        <w:t>. 16.03.2021 г.</w:t>
      </w:r>
    </w:p>
    <w:p w14:paraId="35DC6644" w14:textId="77777777" w:rsidR="002E4E46" w:rsidRDefault="002E4E46" w:rsidP="0097172E">
      <w:pPr>
        <w:pStyle w:val="a5"/>
        <w:numPr>
          <w:ilvl w:val="0"/>
          <w:numId w:val="61"/>
        </w:numPr>
        <w:tabs>
          <w:tab w:val="left" w:pos="0"/>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eastAsia="Times New Roman" w:hAnsi="Times New Roman"/>
          <w:kern w:val="36"/>
          <w:sz w:val="28"/>
          <w:szCs w:val="28"/>
          <w:lang w:val="kk-KZ" w:eastAsia="ru-RU"/>
        </w:rPr>
        <w:t>Қазақстан Республикасы Үкіметінің Қаулысы. Қазақстан Республикасында агроөнеркәсіптік кешенді дамыту жөніндегі "Агробизнес-2017" бағдарламасын бекіту туралы: 2013 жылдың 18 ақпанда, №151 бекітілген // https://adilet.zan.kz/kaz/docs/P1300000151 20.03.2021 г.</w:t>
      </w:r>
    </w:p>
    <w:p w14:paraId="634C1FA9"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Спатаева С.Б. </w:t>
      </w:r>
      <w:r>
        <w:rPr>
          <w:rFonts w:ascii="Times New Roman" w:hAnsi="Times New Roman"/>
          <w:sz w:val="28"/>
          <w:szCs w:val="28"/>
        </w:rPr>
        <w:t>Аналитические инструменты аудита эффективности бюджетных расходов направленных на развитие АПК в Республике Казахстан // Вестник СамГУПС. - №1 (51), 2021, С. 71-79</w:t>
      </w:r>
    </w:p>
    <w:p w14:paraId="7A6771E1"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 xml:space="preserve">Постановление Правительства Республики Казахстан. </w:t>
      </w:r>
      <w:hyperlink r:id="rId98" w:history="1">
        <w:r>
          <w:rPr>
            <w:rStyle w:val="a4"/>
            <w:sz w:val="28"/>
            <w:szCs w:val="28"/>
          </w:rPr>
          <w:t>Об</w:t>
        </w:r>
        <w:r>
          <w:rPr>
            <w:rStyle w:val="a4"/>
            <w:sz w:val="28"/>
            <w:szCs w:val="28"/>
            <w:lang w:val="kk-KZ"/>
          </w:rPr>
          <w:t> </w:t>
        </w:r>
        <w:r>
          <w:rPr>
            <w:rStyle w:val="a4"/>
            <w:sz w:val="28"/>
            <w:szCs w:val="28"/>
          </w:rPr>
          <w:t>утверждении национального проекта по развитию агропромышленного комплекса Республики Казахстан на 2021-2025 годы</w:t>
        </w:r>
        <w:r>
          <w:rPr>
            <w:rStyle w:val="a4"/>
            <w:sz w:val="28"/>
            <w:szCs w:val="28"/>
            <w:lang w:val="kk-KZ"/>
          </w:rPr>
          <w:t>: утв. 12 октября 2021 года, №732 //</w:t>
        </w:r>
        <w:r>
          <w:rPr>
            <w:rStyle w:val="a4"/>
            <w:sz w:val="28"/>
            <w:szCs w:val="28"/>
          </w:rPr>
          <w:t xml:space="preserve"> https://adilet.zan.kz/rus/docs/P2100000732</w:t>
        </w:r>
        <w:r>
          <w:rPr>
            <w:rStyle w:val="a4"/>
            <w:sz w:val="28"/>
            <w:szCs w:val="28"/>
            <w:lang w:val="kk-KZ"/>
          </w:rPr>
          <w:t>.</w:t>
        </w:r>
      </w:hyperlink>
      <w:r>
        <w:rPr>
          <w:rStyle w:val="a4"/>
          <w:sz w:val="28"/>
          <w:szCs w:val="28"/>
          <w:lang w:val="kk-KZ"/>
        </w:rPr>
        <w:t xml:space="preserve"> 30.03.2021 г.</w:t>
      </w:r>
    </w:p>
    <w:p w14:paraId="6D88BC9F"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2016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31B91194"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2017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23E4314F"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2018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044475AD"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2019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51631662"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2020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615E91B4"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2021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04089A02"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Отчеты о результатах мониторинга реализации бюджетных программ на 1 января 2022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5908FC9E"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Отчеты о результатах мониторинга реализации бюджетных программ на 1 января 2023 года //</w:t>
      </w:r>
      <w:hyperlink w:history="1">
        <w:r>
          <w:rPr>
            <w:rStyle w:val="a4"/>
            <w:sz w:val="28"/>
            <w:szCs w:val="28"/>
            <w:lang w:val="kk-KZ"/>
          </w:rPr>
          <w:t xml:space="preserve"> </w:t>
        </w:r>
        <w:r>
          <w:rPr>
            <w:rStyle w:val="a4"/>
            <w:sz w:val="28"/>
            <w:szCs w:val="28"/>
          </w:rPr>
          <w:t>www.gov.kz</w:t>
        </w:r>
      </w:hyperlink>
      <w:r>
        <w:rPr>
          <w:rStyle w:val="a4"/>
          <w:sz w:val="28"/>
          <w:szCs w:val="28"/>
          <w:lang w:val="kk-KZ"/>
        </w:rPr>
        <w:t>. 25.03.2021г..</w:t>
      </w:r>
    </w:p>
    <w:p w14:paraId="48D01496" w14:textId="77777777" w:rsidR="002E4E46" w:rsidRDefault="002E4E46" w:rsidP="0097172E">
      <w:pPr>
        <w:pStyle w:val="a5"/>
        <w:numPr>
          <w:ilvl w:val="0"/>
          <w:numId w:val="61"/>
        </w:numPr>
        <w:tabs>
          <w:tab w:val="left" w:pos="709"/>
          <w:tab w:val="left" w:pos="1134"/>
          <w:tab w:val="left" w:pos="1605"/>
        </w:tabs>
        <w:spacing w:after="0" w:line="240" w:lineRule="auto"/>
        <w:ind w:left="0" w:firstLine="709"/>
        <w:jc w:val="both"/>
        <w:rPr>
          <w:sz w:val="28"/>
          <w:szCs w:val="28"/>
          <w:lang w:val="kk-KZ"/>
        </w:rPr>
      </w:pPr>
      <w:r>
        <w:rPr>
          <w:rFonts w:ascii="Times New Roman" w:hAnsi="Times New Roman"/>
          <w:sz w:val="28"/>
          <w:szCs w:val="28"/>
          <w:lang w:val="kk-KZ"/>
        </w:rPr>
        <w:t>Отчеты о реализации плана развития Министерства Сельского хоязйства РК на 2020-2024 годы //</w:t>
      </w:r>
      <w:hyperlink w:history="1">
        <w:r>
          <w:rPr>
            <w:rStyle w:val="a4"/>
            <w:sz w:val="28"/>
            <w:szCs w:val="28"/>
            <w:lang w:val="kk-KZ"/>
          </w:rPr>
          <w:t xml:space="preserve"> </w:t>
        </w:r>
        <w:r>
          <w:rPr>
            <w:rStyle w:val="a4"/>
            <w:sz w:val="28"/>
            <w:szCs w:val="28"/>
          </w:rPr>
          <w:t>www.gov.kz</w:t>
        </w:r>
      </w:hyperlink>
      <w:r>
        <w:rPr>
          <w:rStyle w:val="a4"/>
          <w:sz w:val="28"/>
          <w:szCs w:val="28"/>
          <w:lang w:val="kk-KZ"/>
        </w:rPr>
        <w:t>.</w:t>
      </w:r>
      <w:r>
        <w:rPr>
          <w:rStyle w:val="10"/>
          <w:rFonts w:eastAsia="Calibri"/>
          <w:sz w:val="28"/>
          <w:szCs w:val="28"/>
          <w:lang w:val="kk-KZ"/>
        </w:rPr>
        <w:t xml:space="preserve"> </w:t>
      </w:r>
      <w:r>
        <w:rPr>
          <w:rStyle w:val="a4"/>
          <w:sz w:val="28"/>
          <w:szCs w:val="28"/>
          <w:lang w:val="kk-KZ"/>
        </w:rPr>
        <w:t>25.10.2022г.</w:t>
      </w:r>
    </w:p>
    <w:p w14:paraId="71B29A80" w14:textId="77777777" w:rsidR="002E4E46" w:rsidRDefault="002E4E46" w:rsidP="0097172E">
      <w:pPr>
        <w:pStyle w:val="a5"/>
        <w:numPr>
          <w:ilvl w:val="0"/>
          <w:numId w:val="61"/>
        </w:numPr>
        <w:tabs>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Отчет об итогах деятельности МСХ РК за 2021 год //</w:t>
      </w:r>
      <w:hyperlink w:history="1">
        <w:r>
          <w:rPr>
            <w:rStyle w:val="a4"/>
            <w:sz w:val="28"/>
            <w:szCs w:val="28"/>
            <w:lang w:val="kk-KZ"/>
          </w:rPr>
          <w:t xml:space="preserve"> </w:t>
        </w:r>
        <w:r>
          <w:rPr>
            <w:rStyle w:val="a4"/>
            <w:sz w:val="28"/>
            <w:szCs w:val="28"/>
          </w:rPr>
          <w:t>www.gov.kz</w:t>
        </w:r>
      </w:hyperlink>
      <w:r>
        <w:rPr>
          <w:rFonts w:ascii="Times New Roman" w:hAnsi="Times New Roman"/>
          <w:sz w:val="28"/>
          <w:szCs w:val="28"/>
          <w:lang w:val="kk-KZ"/>
        </w:rPr>
        <w:t xml:space="preserve"> </w:t>
      </w:r>
      <w:r>
        <w:rPr>
          <w:rStyle w:val="a4"/>
          <w:sz w:val="28"/>
          <w:szCs w:val="28"/>
          <w:lang w:val="kk-KZ"/>
        </w:rPr>
        <w:t>27.10.2022г.</w:t>
      </w:r>
    </w:p>
    <w:p w14:paraId="6BDE22CC" w14:textId="77777777" w:rsidR="002E4E46" w:rsidRDefault="002E4E46" w:rsidP="0097172E">
      <w:pPr>
        <w:pStyle w:val="a5"/>
        <w:numPr>
          <w:ilvl w:val="0"/>
          <w:numId w:val="61"/>
        </w:numPr>
        <w:tabs>
          <w:tab w:val="left" w:pos="1134"/>
          <w:tab w:val="left" w:pos="1605"/>
        </w:tabs>
        <w:spacing w:after="0" w:line="240" w:lineRule="auto"/>
        <w:ind w:left="0" w:firstLine="709"/>
        <w:jc w:val="both"/>
      </w:pPr>
      <w:r>
        <w:rPr>
          <w:rFonts w:ascii="Times New Roman" w:hAnsi="Times New Roman"/>
          <w:sz w:val="28"/>
          <w:szCs w:val="28"/>
          <w:lang w:val="kk-KZ"/>
        </w:rPr>
        <w:t>Ежегодный отчет Министерства Сельского хозяйства РК по реализации национального проекта по развитию АПК на 2021-2025 годы //</w:t>
      </w:r>
      <w:hyperlink w:history="1">
        <w:r>
          <w:rPr>
            <w:rStyle w:val="a4"/>
            <w:sz w:val="28"/>
            <w:szCs w:val="28"/>
            <w:lang w:val="kk-KZ"/>
          </w:rPr>
          <w:t xml:space="preserve"> </w:t>
        </w:r>
        <w:r>
          <w:rPr>
            <w:rStyle w:val="a4"/>
            <w:sz w:val="28"/>
            <w:szCs w:val="28"/>
          </w:rPr>
          <w:t>www.gov.kz</w:t>
        </w:r>
      </w:hyperlink>
      <w:r>
        <w:rPr>
          <w:rStyle w:val="a4"/>
          <w:sz w:val="28"/>
          <w:szCs w:val="28"/>
          <w:lang w:val="kk-KZ"/>
        </w:rPr>
        <w:t>.</w:t>
      </w:r>
      <w:r>
        <w:rPr>
          <w:rStyle w:val="10"/>
          <w:rFonts w:eastAsia="Calibri"/>
          <w:sz w:val="28"/>
          <w:szCs w:val="28"/>
          <w:lang w:val="kk-KZ"/>
        </w:rPr>
        <w:t xml:space="preserve"> </w:t>
      </w:r>
      <w:r>
        <w:rPr>
          <w:rStyle w:val="a4"/>
          <w:sz w:val="28"/>
          <w:szCs w:val="28"/>
          <w:lang w:val="kk-KZ"/>
        </w:rPr>
        <w:t>29.10.2022г.</w:t>
      </w:r>
    </w:p>
    <w:p w14:paraId="43E9E784" w14:textId="77777777" w:rsidR="002E4E46" w:rsidRDefault="002E4E46" w:rsidP="0097172E">
      <w:pPr>
        <w:pStyle w:val="a5"/>
        <w:numPr>
          <w:ilvl w:val="0"/>
          <w:numId w:val="61"/>
        </w:numPr>
        <w:tabs>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Отчеты о реализации плана развития за 2021-2022 годы //</w:t>
      </w:r>
      <w:hyperlink w:history="1">
        <w:r>
          <w:rPr>
            <w:rStyle w:val="a4"/>
            <w:sz w:val="28"/>
            <w:szCs w:val="28"/>
            <w:lang w:val="kk-KZ"/>
          </w:rPr>
          <w:t xml:space="preserve"> </w:t>
        </w:r>
        <w:r>
          <w:rPr>
            <w:rStyle w:val="a4"/>
            <w:sz w:val="28"/>
            <w:szCs w:val="28"/>
          </w:rPr>
          <w:t>www.gov.kz</w:t>
        </w:r>
      </w:hyperlink>
      <w:r>
        <w:rPr>
          <w:rStyle w:val="a4"/>
          <w:sz w:val="28"/>
          <w:szCs w:val="28"/>
          <w:lang w:val="kk-KZ"/>
        </w:rPr>
        <w:t>.</w:t>
      </w:r>
      <w:r>
        <w:rPr>
          <w:rStyle w:val="10"/>
          <w:rFonts w:eastAsia="Calibri"/>
          <w:sz w:val="28"/>
          <w:szCs w:val="28"/>
          <w:lang w:val="kk-KZ"/>
        </w:rPr>
        <w:t xml:space="preserve"> </w:t>
      </w:r>
      <w:r>
        <w:rPr>
          <w:rStyle w:val="a4"/>
          <w:sz w:val="28"/>
          <w:szCs w:val="28"/>
          <w:lang w:val="kk-KZ"/>
        </w:rPr>
        <w:t>30.10.2022г.</w:t>
      </w:r>
    </w:p>
    <w:p w14:paraId="7F639315" w14:textId="77777777" w:rsidR="002E4E46" w:rsidRDefault="002E4E46" w:rsidP="0097172E">
      <w:pPr>
        <w:pStyle w:val="a5"/>
        <w:numPr>
          <w:ilvl w:val="0"/>
          <w:numId w:val="61"/>
        </w:numPr>
        <w:tabs>
          <w:tab w:val="left" w:pos="1134"/>
          <w:tab w:val="left" w:pos="1605"/>
        </w:tabs>
        <w:spacing w:after="0" w:line="240" w:lineRule="auto"/>
        <w:ind w:left="0" w:firstLine="709"/>
        <w:jc w:val="both"/>
        <w:rPr>
          <w:sz w:val="28"/>
          <w:szCs w:val="28"/>
          <w:lang w:val="kk-KZ"/>
        </w:rPr>
      </w:pPr>
      <w:r>
        <w:rPr>
          <w:rFonts w:ascii="Times New Roman" w:hAnsi="Times New Roman"/>
          <w:sz w:val="28"/>
          <w:szCs w:val="28"/>
          <w:lang w:val="kk-KZ"/>
        </w:rPr>
        <w:t>Отчет о реализации Стратегического плана МСХ РК за 2020 год (с учетом стат.данных) //</w:t>
      </w:r>
      <w:hyperlink w:history="1">
        <w:r>
          <w:rPr>
            <w:rStyle w:val="a4"/>
            <w:sz w:val="28"/>
            <w:szCs w:val="28"/>
            <w:lang w:val="kk-KZ"/>
          </w:rPr>
          <w:t xml:space="preserve"> </w:t>
        </w:r>
        <w:r>
          <w:rPr>
            <w:rStyle w:val="a4"/>
            <w:sz w:val="28"/>
            <w:szCs w:val="28"/>
          </w:rPr>
          <w:t>www.gov.kz</w:t>
        </w:r>
      </w:hyperlink>
      <w:r>
        <w:rPr>
          <w:rStyle w:val="a4"/>
          <w:sz w:val="28"/>
          <w:szCs w:val="28"/>
          <w:lang w:val="kk-KZ"/>
        </w:rPr>
        <w:t>. 16.11.2022г..</w:t>
      </w:r>
    </w:p>
    <w:p w14:paraId="2A0E8E8E"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 о реализации Стратегического плана МСХ РК на 2020-2024 годы //</w:t>
      </w:r>
      <w:hyperlink w:history="1">
        <w:r>
          <w:rPr>
            <w:rStyle w:val="a4"/>
            <w:sz w:val="28"/>
            <w:szCs w:val="28"/>
            <w:lang w:val="kk-KZ"/>
          </w:rPr>
          <w:t xml:space="preserve"> </w:t>
        </w:r>
        <w:r>
          <w:rPr>
            <w:rStyle w:val="a4"/>
            <w:sz w:val="28"/>
            <w:szCs w:val="28"/>
          </w:rPr>
          <w:t>www.gov.kz</w:t>
        </w:r>
      </w:hyperlink>
      <w:r>
        <w:rPr>
          <w:rStyle w:val="a4"/>
          <w:sz w:val="28"/>
          <w:szCs w:val="28"/>
          <w:lang w:val="kk-KZ"/>
        </w:rPr>
        <w:t>. 25.11.2022г.</w:t>
      </w:r>
    </w:p>
    <w:p w14:paraId="0B7FB63B"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 о реализации Стратегического плана МСХ РК за 2019 год (с учетом стат.данных) //</w:t>
      </w:r>
      <w:hyperlink w:history="1">
        <w:r>
          <w:rPr>
            <w:rStyle w:val="a4"/>
            <w:sz w:val="28"/>
            <w:szCs w:val="28"/>
            <w:lang w:val="kk-KZ"/>
          </w:rPr>
          <w:t xml:space="preserve"> </w:t>
        </w:r>
        <w:r>
          <w:rPr>
            <w:rStyle w:val="a4"/>
            <w:sz w:val="28"/>
            <w:szCs w:val="28"/>
          </w:rPr>
          <w:t>www.gov.kz</w:t>
        </w:r>
      </w:hyperlink>
      <w:r>
        <w:rPr>
          <w:rStyle w:val="a4"/>
          <w:sz w:val="28"/>
          <w:szCs w:val="28"/>
          <w:lang w:val="kk-KZ"/>
        </w:rPr>
        <w:t>. 15.12.2022г.</w:t>
      </w:r>
    </w:p>
    <w:p w14:paraId="3D7EA457"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«Аграрлық несиелік корпорациясы» АҚ-ның жылдық есеп мәліметтері // </w:t>
      </w:r>
      <w:hyperlink r:id="rId99" w:history="1">
        <w:r>
          <w:rPr>
            <w:rStyle w:val="a4"/>
            <w:sz w:val="28"/>
            <w:szCs w:val="28"/>
            <w:lang w:val="kk-KZ"/>
          </w:rPr>
          <w:t>Жылдық есеп - Agrocredit</w:t>
        </w:r>
      </w:hyperlink>
      <w:r>
        <w:rPr>
          <w:rFonts w:ascii="Times New Roman" w:hAnsi="Times New Roman"/>
          <w:sz w:val="28"/>
          <w:szCs w:val="28"/>
          <w:lang w:val="kk-KZ"/>
        </w:rPr>
        <w:t>. 20.03.2021 г.</w:t>
      </w:r>
    </w:p>
    <w:p w14:paraId="3E736C35"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lang w:val="en-US"/>
        </w:rPr>
      </w:pPr>
      <w:r>
        <w:rPr>
          <w:rFonts w:ascii="Times New Roman" w:hAnsi="Times New Roman"/>
          <w:kern w:val="36"/>
          <w:sz w:val="28"/>
          <w:szCs w:val="28"/>
          <w:lang w:val="en-US" w:eastAsia="ru-RU"/>
        </w:rPr>
        <w:t>Spatayeva S.B., Karabayev E.B.</w:t>
      </w:r>
      <w:r>
        <w:rPr>
          <w:rFonts w:ascii="Times New Roman" w:hAnsi="Times New Roman"/>
          <w:sz w:val="28"/>
          <w:szCs w:val="28"/>
          <w:lang w:val="en-US"/>
        </w:rPr>
        <w:t>, Nikiforova</w:t>
      </w:r>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E.V. </w:t>
      </w:r>
      <w:r>
        <w:rPr>
          <w:rFonts w:ascii="Times New Roman" w:hAnsi="Times New Roman"/>
          <w:kern w:val="36"/>
          <w:sz w:val="28"/>
          <w:szCs w:val="28"/>
          <w:lang w:val="en-US" w:eastAsia="ru-RU"/>
        </w:rPr>
        <w:t xml:space="preserve">External state audit of the effectiveness of the use of budgetary funds aimed at ensuring food security of the Republic of Kazakhstan // </w:t>
      </w:r>
      <w:r>
        <w:rPr>
          <w:rFonts w:ascii="Times New Roman" w:hAnsi="Times New Roman"/>
          <w:sz w:val="28"/>
          <w:szCs w:val="28"/>
        </w:rPr>
        <w:t>Вестник</w:t>
      </w:r>
      <w:r>
        <w:rPr>
          <w:rFonts w:ascii="Times New Roman" w:hAnsi="Times New Roman"/>
          <w:sz w:val="28"/>
          <w:szCs w:val="28"/>
          <w:lang w:val="en-US"/>
        </w:rPr>
        <w:t xml:space="preserve"> </w:t>
      </w:r>
      <w:r>
        <w:rPr>
          <w:rFonts w:ascii="Times New Roman" w:hAnsi="Times New Roman"/>
          <w:sz w:val="28"/>
          <w:szCs w:val="28"/>
        </w:rPr>
        <w:t>ЕНУ</w:t>
      </w:r>
      <w:r>
        <w:rPr>
          <w:rFonts w:ascii="Times New Roman" w:hAnsi="Times New Roman"/>
          <w:sz w:val="28"/>
          <w:szCs w:val="28"/>
          <w:lang w:val="en-US"/>
        </w:rPr>
        <w:t xml:space="preserve"> </w:t>
      </w:r>
      <w:r>
        <w:rPr>
          <w:rFonts w:ascii="Times New Roman" w:hAnsi="Times New Roman"/>
          <w:sz w:val="28"/>
          <w:szCs w:val="28"/>
        </w:rPr>
        <w:t>имени</w:t>
      </w:r>
      <w:r>
        <w:rPr>
          <w:rFonts w:ascii="Times New Roman" w:hAnsi="Times New Roman"/>
          <w:sz w:val="28"/>
          <w:szCs w:val="28"/>
          <w:lang w:val="en-US"/>
        </w:rPr>
        <w:t xml:space="preserve"> </w:t>
      </w:r>
      <w:r>
        <w:rPr>
          <w:rFonts w:ascii="Times New Roman" w:hAnsi="Times New Roman"/>
          <w:sz w:val="28"/>
          <w:szCs w:val="28"/>
        </w:rPr>
        <w:t>Л</w:t>
      </w:r>
      <w:r>
        <w:rPr>
          <w:rFonts w:ascii="Times New Roman" w:hAnsi="Times New Roman"/>
          <w:sz w:val="28"/>
          <w:szCs w:val="28"/>
          <w:lang w:val="en-US"/>
        </w:rPr>
        <w:t>.</w:t>
      </w:r>
      <w:r>
        <w:rPr>
          <w:rFonts w:ascii="Times New Roman" w:hAnsi="Times New Roman"/>
          <w:sz w:val="28"/>
          <w:szCs w:val="28"/>
        </w:rPr>
        <w:t>Н</w:t>
      </w:r>
      <w:r>
        <w:rPr>
          <w:rFonts w:ascii="Times New Roman" w:hAnsi="Times New Roman"/>
          <w:sz w:val="28"/>
          <w:szCs w:val="28"/>
          <w:lang w:val="en-US"/>
        </w:rPr>
        <w:t xml:space="preserve">. </w:t>
      </w:r>
      <w:r>
        <w:rPr>
          <w:rFonts w:ascii="Times New Roman" w:hAnsi="Times New Roman"/>
          <w:sz w:val="28"/>
          <w:szCs w:val="28"/>
        </w:rPr>
        <w:t>Гумилева</w:t>
      </w:r>
      <w:r>
        <w:rPr>
          <w:rFonts w:ascii="Times New Roman" w:hAnsi="Times New Roman"/>
          <w:sz w:val="28"/>
          <w:szCs w:val="28"/>
          <w:lang w:val="en-US"/>
        </w:rPr>
        <w:t xml:space="preserve">. – 2021. – №4. – </w:t>
      </w:r>
      <w:r>
        <w:rPr>
          <w:rFonts w:ascii="Times New Roman" w:hAnsi="Times New Roman"/>
          <w:sz w:val="28"/>
          <w:szCs w:val="28"/>
        </w:rPr>
        <w:t>С</w:t>
      </w:r>
      <w:r>
        <w:rPr>
          <w:rFonts w:ascii="Times New Roman" w:hAnsi="Times New Roman"/>
          <w:sz w:val="28"/>
          <w:szCs w:val="28"/>
          <w:lang w:val="en-US"/>
        </w:rPr>
        <w:t>. 214-221.</w:t>
      </w:r>
    </w:p>
    <w:p w14:paraId="6D0AF57B"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Market Facilitation Program // https://www.fsa.usda.gov/programs-and-services/market-facilitation-program/index.</w:t>
      </w:r>
      <w:r>
        <w:rPr>
          <w:rStyle w:val="a4"/>
          <w:sz w:val="28"/>
          <w:szCs w:val="28"/>
          <w:lang w:val="kk-KZ"/>
        </w:rPr>
        <w:t xml:space="preserve"> </w:t>
      </w:r>
      <w:r>
        <w:rPr>
          <w:rStyle w:val="a4"/>
          <w:sz w:val="28"/>
          <w:szCs w:val="28"/>
          <w:lang w:val="en-US"/>
        </w:rPr>
        <w:t>02.</w:t>
      </w:r>
      <w:r>
        <w:rPr>
          <w:rFonts w:ascii="Times New Roman" w:hAnsi="Times New Roman"/>
          <w:sz w:val="28"/>
          <w:szCs w:val="28"/>
          <w:lang w:val="en-US"/>
        </w:rPr>
        <w:t>04.2021</w:t>
      </w:r>
      <w:r>
        <w:rPr>
          <w:rFonts w:ascii="Times New Roman" w:hAnsi="Times New Roman"/>
          <w:sz w:val="28"/>
          <w:szCs w:val="28"/>
          <w:lang w:val="kk-KZ"/>
        </w:rPr>
        <w:t>г.</w:t>
      </w:r>
    </w:p>
    <w:p w14:paraId="587873C8"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Қаржылық есептіліктің халықаралық стандарттары // </w:t>
      </w:r>
      <w:hyperlink r:id="rId100" w:history="1">
        <w:r>
          <w:rPr>
            <w:rStyle w:val="a4"/>
            <w:sz w:val="28"/>
            <w:szCs w:val="28"/>
            <w:lang w:val="kk-KZ"/>
          </w:rPr>
          <w:t>https://www.iasonline.org/</w:t>
        </w:r>
      </w:hyperlink>
      <w:r>
        <w:rPr>
          <w:rFonts w:ascii="Times New Roman" w:hAnsi="Times New Roman"/>
          <w:sz w:val="28"/>
          <w:szCs w:val="28"/>
          <w:lang w:val="kk-KZ"/>
        </w:rPr>
        <w:t xml:space="preserve"> 05.04.2021 ж.</w:t>
      </w:r>
    </w:p>
    <w:p w14:paraId="1FFEA27D" w14:textId="77777777" w:rsidR="002E4E46" w:rsidRDefault="002E4E46" w:rsidP="0097172E">
      <w:pPr>
        <w:pStyle w:val="a5"/>
        <w:numPr>
          <w:ilvl w:val="0"/>
          <w:numId w:val="61"/>
        </w:numPr>
        <w:tabs>
          <w:tab w:val="left" w:pos="0"/>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eastAsia="Times New Roman" w:hAnsi="Times New Roman"/>
          <w:kern w:val="36"/>
          <w:sz w:val="28"/>
          <w:szCs w:val="28"/>
          <w:lang w:val="kk-KZ" w:eastAsia="ru-RU"/>
        </w:rPr>
        <w:t>Қазақстан Республикасы Қаржы министрiнiң Бұйрығы. Бюджеттік өтінімді жасау және ұсыну қағидаларын бекіту туралы: 2014 жылдың 24 қарашада, №511 бекітілген // https://adilet.zan.kz/kaz/docs/V14E0010007</w:t>
      </w:r>
      <w:r>
        <w:rPr>
          <w:rFonts w:ascii="Times New Roman" w:eastAsia="Times New Roman" w:hAnsi="Times New Roman"/>
          <w:kern w:val="36"/>
          <w:sz w:val="28"/>
          <w:szCs w:val="28"/>
          <w:highlight w:val="yellow"/>
          <w:lang w:val="kk-KZ" w:eastAsia="ru-RU"/>
        </w:rPr>
        <w:t xml:space="preserve"> </w:t>
      </w:r>
      <w:r>
        <w:rPr>
          <w:rFonts w:ascii="Times New Roman" w:eastAsia="Times New Roman" w:hAnsi="Times New Roman"/>
          <w:kern w:val="36"/>
          <w:sz w:val="28"/>
          <w:szCs w:val="28"/>
          <w:lang w:val="kk-KZ" w:eastAsia="ru-RU"/>
        </w:rPr>
        <w:t>10.04.2021 г.</w:t>
      </w:r>
    </w:p>
    <w:p w14:paraId="06AC5F4B" w14:textId="77777777" w:rsidR="002E4E46" w:rsidRDefault="002E4E46" w:rsidP="0097172E">
      <w:pPr>
        <w:pStyle w:val="a5"/>
        <w:numPr>
          <w:ilvl w:val="0"/>
          <w:numId w:val="61"/>
        </w:numPr>
        <w:tabs>
          <w:tab w:val="left" w:pos="0"/>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Қазақстан Республикасы Ұлттық экономика министрінің Бұйрығы. </w:t>
      </w:r>
      <w:r>
        <w:rPr>
          <w:rFonts w:ascii="Times New Roman" w:eastAsia="Times New Roman" w:hAnsi="Times New Roman"/>
          <w:kern w:val="36"/>
          <w:sz w:val="28"/>
          <w:szCs w:val="28"/>
          <w:lang w:val="kk-KZ" w:eastAsia="ru-RU"/>
        </w:rPr>
        <w:t xml:space="preserve">Бюджеттік бағдарламаларды (кіші бағдарламаларды) әзірлеу және бекіту (қайта бекіту) қағидаларын және олардың мазмұнына қойылатын талаптарды бекіту туралы: </w:t>
      </w:r>
      <w:r>
        <w:rPr>
          <w:rFonts w:ascii="Times New Roman" w:hAnsi="Times New Roman"/>
          <w:sz w:val="28"/>
          <w:szCs w:val="28"/>
          <w:lang w:val="kk-KZ"/>
        </w:rPr>
        <w:t>2014 жылдың 30 желтоқсанда, №195 бекітілген</w:t>
      </w:r>
      <w:r>
        <w:rPr>
          <w:rFonts w:ascii="Times New Roman" w:eastAsia="Times New Roman" w:hAnsi="Times New Roman"/>
          <w:kern w:val="36"/>
          <w:sz w:val="28"/>
          <w:szCs w:val="28"/>
          <w:lang w:val="kk-KZ" w:eastAsia="ru-RU"/>
        </w:rPr>
        <w:t xml:space="preserve"> // </w:t>
      </w:r>
      <w:hyperlink r:id="rId101" w:history="1">
        <w:r>
          <w:rPr>
            <w:rStyle w:val="a4"/>
            <w:sz w:val="28"/>
            <w:szCs w:val="28"/>
            <w:lang w:val="kk-KZ"/>
          </w:rPr>
          <w:t>https://adilet.zan.kz/kaz/docs/V1400010176</w:t>
        </w:r>
      </w:hyperlink>
      <w:r>
        <w:rPr>
          <w:rFonts w:ascii="Times New Roman" w:eastAsia="Times New Roman" w:hAnsi="Times New Roman"/>
          <w:kern w:val="36"/>
          <w:sz w:val="28"/>
          <w:szCs w:val="28"/>
          <w:lang w:val="kk-KZ" w:eastAsia="ru-RU"/>
        </w:rPr>
        <w:t>. 10.04.2021 г.</w:t>
      </w:r>
    </w:p>
    <w:p w14:paraId="1DD07778" w14:textId="77777777" w:rsidR="002E4E46" w:rsidRDefault="0097172E"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hyperlink r:id="rId102" w:history="1">
        <w:r w:rsidR="002E4E46">
          <w:rPr>
            <w:rStyle w:val="a4"/>
            <w:sz w:val="28"/>
            <w:szCs w:val="28"/>
            <w:lang w:val="kk-KZ"/>
          </w:rPr>
          <w:t>«Агроөнеркәсіптік кешен субъектілеріне кредит беру, сондай-ақ ауыл шаруашылығы жануарларын, техникасы мен технологиялық жабдығын сатып алуға лизинг кезінде сыйақы мөлшерлемелерін субсидиялау қағидаларын бекіту туралы» Қазақстан Республикасы Премьер-Министрінің орынбасары – Қазақстан Республикасы Ауыл шаруашылығы министрінің 2018 жылғы 26 қазандағы № 436 бұйрығына өзгерістер енгізу туралы (www.gov.kz)</w:t>
        </w:r>
      </w:hyperlink>
      <w:r w:rsidR="002E4E46">
        <w:rPr>
          <w:rFonts w:ascii="Times New Roman" w:hAnsi="Times New Roman"/>
          <w:sz w:val="28"/>
          <w:szCs w:val="28"/>
          <w:lang w:val="kk-KZ"/>
        </w:rPr>
        <w:t xml:space="preserve"> 12.04.2021 г.</w:t>
      </w:r>
    </w:p>
    <w:p w14:paraId="61840B69" w14:textId="77777777" w:rsidR="002E4E46" w:rsidRDefault="0097172E"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hyperlink r:id="rId103" w:history="1">
        <w:r w:rsidR="002E4E46">
          <w:rPr>
            <w:rStyle w:val="a4"/>
            <w:sz w:val="28"/>
            <w:szCs w:val="28"/>
            <w:lang w:val="kk-KZ"/>
          </w:rPr>
          <w:t>Өсімдік шаруашылығы өнімінің шығымдылығы мен сапасын арттыруды субсидиялау қағидаларын бекіту туралы (www.gov.kz)</w:t>
        </w:r>
      </w:hyperlink>
      <w:r w:rsidR="002E4E46">
        <w:rPr>
          <w:rFonts w:ascii="Times New Roman" w:hAnsi="Times New Roman"/>
          <w:sz w:val="28"/>
          <w:szCs w:val="28"/>
          <w:lang w:val="kk-KZ"/>
        </w:rPr>
        <w:t xml:space="preserve"> 15.04.2021 г.</w:t>
      </w:r>
    </w:p>
    <w:p w14:paraId="21B6ACAA"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 xml:space="preserve">ҚР Ауыл шаруашылығы министрлігінің ішкі аудит департаментінің жағдайлары // </w:t>
      </w:r>
      <w:hyperlink r:id="rId104" w:history="1">
        <w:r>
          <w:rPr>
            <w:rStyle w:val="a4"/>
            <w:sz w:val="28"/>
            <w:szCs w:val="28"/>
            <w:lang w:val="kk-KZ"/>
          </w:rPr>
          <w:t>https://www.gov.kz/memleket/entities/moa/about. 17.04.2021</w:t>
        </w:r>
      </w:hyperlink>
      <w:r>
        <w:rPr>
          <w:rStyle w:val="a4"/>
          <w:sz w:val="28"/>
          <w:szCs w:val="28"/>
          <w:lang w:val="kk-KZ"/>
        </w:rPr>
        <w:t xml:space="preserve"> г.</w:t>
      </w:r>
    </w:p>
    <w:p w14:paraId="780AB059"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Style w:val="a4"/>
          <w:sz w:val="28"/>
          <w:szCs w:val="28"/>
        </w:rPr>
      </w:pPr>
      <w:r>
        <w:rPr>
          <w:rFonts w:ascii="Times New Roman" w:hAnsi="Times New Roman"/>
          <w:color w:val="000000"/>
          <w:sz w:val="28"/>
          <w:szCs w:val="28"/>
          <w:shd w:val="clear" w:color="auto" w:fill="FFFFFF"/>
          <w:lang w:val="kk-KZ"/>
        </w:rPr>
        <w:t xml:space="preserve">«Азық-түлік корпорациясы» ҰК» АҚ-ы // </w:t>
      </w:r>
      <w:hyperlink r:id="rId105" w:history="1">
        <w:r>
          <w:rPr>
            <w:rStyle w:val="a4"/>
            <w:sz w:val="28"/>
            <w:szCs w:val="28"/>
          </w:rPr>
          <w:t>Даму жоспары – АО «НК «Продкорпорация» (fcc.kz)</w:t>
        </w:r>
      </w:hyperlink>
      <w:r>
        <w:rPr>
          <w:rFonts w:ascii="Times New Roman" w:hAnsi="Times New Roman"/>
          <w:sz w:val="28"/>
          <w:szCs w:val="28"/>
          <w:lang w:val="kk-KZ"/>
        </w:rPr>
        <w:t>20.04.2021 ж.</w:t>
      </w:r>
    </w:p>
    <w:p w14:paraId="4D1C482F"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lang w:val="kk-KZ"/>
        </w:rPr>
      </w:pPr>
      <w:r>
        <w:rPr>
          <w:rFonts w:ascii="Times New Roman" w:hAnsi="Times New Roman"/>
          <w:sz w:val="28"/>
          <w:szCs w:val="28"/>
          <w:lang w:val="kk-KZ"/>
        </w:rPr>
        <w:t xml:space="preserve">ҚР Президентінің «Жаңа Қазақстан: жаңару мен жаңғыру жолы» 16.03.2022 жылғы жолдауы // </w:t>
      </w:r>
      <w:hyperlink r:id="rId106" w:history="1">
        <w:r>
          <w:rPr>
            <w:rStyle w:val="a4"/>
            <w:sz w:val="28"/>
            <w:szCs w:val="28"/>
            <w:lang w:val="kk-KZ"/>
          </w:rPr>
          <w:t>Мемлекет басшысы Қасым-Жомарт Тоқаевтың Қазақстан халқына Жолдауы — Қазақстан Республикасы Президентінің ресми сайты (akorda.kz)</w:t>
        </w:r>
      </w:hyperlink>
      <w:r>
        <w:rPr>
          <w:rFonts w:ascii="Times New Roman" w:hAnsi="Times New Roman"/>
          <w:sz w:val="28"/>
          <w:szCs w:val="28"/>
          <w:lang w:val="kk-KZ"/>
        </w:rPr>
        <w:t>. 25.04.2021 г.</w:t>
      </w:r>
    </w:p>
    <w:p w14:paraId="510A04AC"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Мониторинг и оценка сельскохозяйственной политики 2022 год// </w:t>
      </w:r>
      <w:hyperlink r:id="rId107" w:history="1">
        <w:r>
          <w:rPr>
            <w:rStyle w:val="a4"/>
            <w:sz w:val="28"/>
            <w:szCs w:val="28"/>
          </w:rPr>
          <w:t>Мониторинг и оценка сельскохозяйственной политики 2022: реформирование сельскохозяйственной политики для смягчения последствий изменения климата</w:t>
        </w:r>
        <w:r>
          <w:rPr>
            <w:rStyle w:val="a4"/>
            <w:sz w:val="28"/>
            <w:szCs w:val="28"/>
            <w:lang w:val="kk-KZ"/>
          </w:rPr>
          <w:t>.</w:t>
        </w:r>
      </w:hyperlink>
      <w:r>
        <w:rPr>
          <w:rFonts w:ascii="Times New Roman" w:eastAsia="Times New Roman" w:hAnsi="Times New Roman"/>
          <w:kern w:val="36"/>
          <w:sz w:val="28"/>
          <w:szCs w:val="28"/>
          <w:highlight w:val="yellow"/>
          <w:lang w:val="kk-KZ" w:eastAsia="ru-RU"/>
        </w:rPr>
        <w:t xml:space="preserve"> </w:t>
      </w:r>
      <w:r>
        <w:rPr>
          <w:rFonts w:ascii="Times New Roman" w:eastAsia="Times New Roman" w:hAnsi="Times New Roman"/>
          <w:kern w:val="36"/>
          <w:sz w:val="28"/>
          <w:szCs w:val="28"/>
          <w:lang w:val="kk-KZ" w:eastAsia="ru-RU"/>
        </w:rPr>
        <w:t>25.04.2021 г.</w:t>
      </w:r>
    </w:p>
    <w:p w14:paraId="08620CE9" w14:textId="77777777" w:rsidR="002E4E46" w:rsidRDefault="002E4E46"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Қазақстан </w:t>
      </w:r>
      <w:r>
        <w:rPr>
          <w:rFonts w:ascii="Times New Roman" w:hAnsi="Times New Roman"/>
          <w:sz w:val="28"/>
          <w:szCs w:val="28"/>
          <w:lang w:val="kk-KZ"/>
        </w:rPr>
        <w:t>Р</w:t>
      </w:r>
      <w:r>
        <w:rPr>
          <w:rFonts w:ascii="Times New Roman" w:hAnsi="Times New Roman"/>
          <w:sz w:val="28"/>
          <w:szCs w:val="28"/>
        </w:rPr>
        <w:t xml:space="preserve">еспубликасы үкіметінің </w:t>
      </w:r>
      <w:r>
        <w:rPr>
          <w:rFonts w:ascii="Times New Roman" w:hAnsi="Times New Roman"/>
          <w:sz w:val="28"/>
          <w:szCs w:val="28"/>
          <w:lang w:val="kk-KZ"/>
        </w:rPr>
        <w:t>2020-</w:t>
      </w:r>
      <w:r>
        <w:rPr>
          <w:rFonts w:ascii="Times New Roman" w:hAnsi="Times New Roman"/>
          <w:sz w:val="28"/>
          <w:szCs w:val="28"/>
        </w:rPr>
        <w:t xml:space="preserve">2022 жылғы республикалық бюджеттің атқарылуы туралы есебіне қорытынды </w:t>
      </w:r>
      <w:r>
        <w:rPr>
          <w:rFonts w:ascii="Times New Roman" w:hAnsi="Times New Roman"/>
          <w:sz w:val="28"/>
          <w:szCs w:val="28"/>
          <w:lang w:val="kk-KZ"/>
        </w:rPr>
        <w:t>//</w:t>
      </w:r>
      <w:hyperlink w:history="1">
        <w:r>
          <w:rPr>
            <w:rStyle w:val="a4"/>
            <w:sz w:val="28"/>
            <w:szCs w:val="28"/>
          </w:rPr>
          <w:t>ЗАКЛЮЧЕНИЕ К ОТЧЕТУ ПРАВИТЕЛЬСТВА РЕСПУБЛИКИ КАЗАХСТАН ОБ ИСПОЛНЕНИИ РЕСПУБЛИКАНСКОГО БЮДЖЕТА ЗА 2022 ГОД (www.gov.kz)</w:t>
        </w:r>
      </w:hyperlink>
      <w:r>
        <w:rPr>
          <w:rFonts w:ascii="Times New Roman" w:hAnsi="Times New Roman"/>
          <w:sz w:val="28"/>
          <w:szCs w:val="28"/>
          <w:lang w:val="kk-KZ"/>
        </w:rPr>
        <w:t xml:space="preserve"> 30.04.2021 г.</w:t>
      </w:r>
    </w:p>
    <w:p w14:paraId="3495F2A1" w14:textId="23D56588" w:rsidR="002E4E46" w:rsidRPr="009D4A99" w:rsidRDefault="009D4A99" w:rsidP="0097172E">
      <w:pPr>
        <w:pStyle w:val="a5"/>
        <w:numPr>
          <w:ilvl w:val="0"/>
          <w:numId w:val="61"/>
        </w:numPr>
        <w:tabs>
          <w:tab w:val="left" w:pos="710"/>
          <w:tab w:val="left" w:pos="1134"/>
          <w:tab w:val="left" w:pos="1605"/>
        </w:tabs>
        <w:spacing w:after="0" w:line="240" w:lineRule="auto"/>
        <w:ind w:left="0" w:firstLine="709"/>
        <w:jc w:val="both"/>
        <w:rPr>
          <w:rFonts w:ascii="Times New Roman" w:hAnsi="Times New Roman"/>
          <w:lang w:val="en-US"/>
        </w:rPr>
      </w:pPr>
      <w:r>
        <w:rPr>
          <w:rFonts w:ascii="Times New Roman" w:hAnsi="Times New Roman"/>
          <w:sz w:val="28"/>
          <w:szCs w:val="28"/>
          <w:lang w:val="en-US"/>
        </w:rPr>
        <w:t>Laura Alikulova, Saule Spatayeva, Dmitry Pankov, Lyazzat Sembiyeva Performance audit for state programmes in the republic of kazakhstan // Public policy and administration 2021, T. 20, Nr. 5 / 2021, Vol. 20, No. 5, p. 598-609</w:t>
      </w:r>
    </w:p>
    <w:p w14:paraId="7789D5DD"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аудит объектілерінің 2016 жылға арналған тізбесі // https://www.gov.kz/memleket/entities/esep/documents/details/36235?. 30.05.2021г.</w:t>
      </w:r>
    </w:p>
    <w:p w14:paraId="7DDE7525"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08" w:history="1">
        <w:r w:rsidR="002E4E46">
          <w:rPr>
            <w:rStyle w:val="a4"/>
            <w:sz w:val="28"/>
            <w:szCs w:val="28"/>
            <w:lang w:val="kk-KZ"/>
          </w:rPr>
          <w:t xml:space="preserve">Мемлекеттік аудит объектілерінің 2017 жылға арналған тізбесі https://www.gov.kz/memleket/entities/esep/documents/details/36237?30.05.2021г. </w:t>
        </w:r>
      </w:hyperlink>
    </w:p>
    <w:p w14:paraId="5A410201"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Мемлекеттік аудит объектілерінің 2018 жылға арналған тізбесі // https://www.gov.kz/memleket/entities/qyzmet/documents/details/1533?. 30.05.2021г. </w:t>
      </w:r>
    </w:p>
    <w:p w14:paraId="0AF6BA0E"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09" w:history="1">
        <w:r w:rsidR="002E4E46">
          <w:rPr>
            <w:rStyle w:val="a4"/>
            <w:sz w:val="28"/>
            <w:szCs w:val="28"/>
            <w:lang w:val="kk-KZ"/>
          </w:rPr>
          <w:t xml:space="preserve">Мемлекеттік аудит объектілерінің 2019 жылға арналған тізбесі // https://www.gov.kz/memleket/entities/esep/documents/details/8733?. 30.05.2021г. </w:t>
        </w:r>
      </w:hyperlink>
    </w:p>
    <w:p w14:paraId="364C6ED2"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0" w:history="1">
        <w:r w:rsidR="002E4E46">
          <w:rPr>
            <w:rStyle w:val="a4"/>
            <w:sz w:val="28"/>
            <w:szCs w:val="28"/>
            <w:lang w:val="kk-KZ"/>
          </w:rPr>
          <w:t>Мемлекеттік аудит объектілерінің 2020 жылға арналған тізбесі // https://www.gov.kz/memleket/entities/esep/documents/details/58043?.</w:t>
        </w:r>
      </w:hyperlink>
      <w:r w:rsidR="002E4E46">
        <w:rPr>
          <w:rFonts w:ascii="Times New Roman" w:hAnsi="Times New Roman"/>
          <w:sz w:val="28"/>
          <w:szCs w:val="28"/>
          <w:lang w:val="kk-KZ"/>
        </w:rPr>
        <w:t xml:space="preserve"> 30.05.2021г.</w:t>
      </w:r>
    </w:p>
    <w:p w14:paraId="2D444FEC"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1" w:history="1">
        <w:r w:rsidR="002E4E46">
          <w:rPr>
            <w:rStyle w:val="a4"/>
            <w:sz w:val="28"/>
            <w:szCs w:val="28"/>
            <w:lang w:val="kk-KZ"/>
          </w:rPr>
          <w:t xml:space="preserve">Мемлекеттік аудит объектілерінің 2021 жылға арналған тізбесі // https://www.gov.kz/memleket/entities/zhambyl/documents/details. </w:t>
        </w:r>
      </w:hyperlink>
      <w:r w:rsidR="002E4E46">
        <w:rPr>
          <w:rFonts w:ascii="Times New Roman" w:hAnsi="Times New Roman"/>
          <w:sz w:val="28"/>
          <w:szCs w:val="28"/>
          <w:lang w:val="kk-KZ"/>
        </w:rPr>
        <w:t xml:space="preserve"> 30.05.2021г.</w:t>
      </w:r>
    </w:p>
    <w:p w14:paraId="30BADE36"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2" w:history="1">
        <w:r w:rsidR="002E4E46">
          <w:rPr>
            <w:rStyle w:val="a4"/>
            <w:sz w:val="28"/>
            <w:szCs w:val="28"/>
            <w:lang w:val="kk-KZ"/>
          </w:rPr>
          <w:t xml:space="preserve">Перечень </w:t>
        </w:r>
        <w:r w:rsidR="002E4E46">
          <w:rPr>
            <w:rStyle w:val="a4"/>
            <w:sz w:val="28"/>
            <w:szCs w:val="28"/>
          </w:rPr>
          <w:t>объектов государственного аудита Высшей аудиторской палаты на 2022 год // https://www.gov.kz/memleket/entities/esep</w:t>
        </w:r>
        <w:r w:rsidR="002E4E46">
          <w:rPr>
            <w:rStyle w:val="a4"/>
            <w:sz w:val="28"/>
            <w:szCs w:val="28"/>
            <w:lang w:val="kk-KZ"/>
          </w:rPr>
          <w:t>.</w:t>
        </w:r>
      </w:hyperlink>
      <w:r w:rsidR="002E4E46">
        <w:rPr>
          <w:rFonts w:ascii="Times New Roman" w:hAnsi="Times New Roman"/>
          <w:sz w:val="28"/>
          <w:szCs w:val="28"/>
          <w:lang w:val="kk-KZ"/>
        </w:rPr>
        <w:t xml:space="preserve"> 30.05.2021г.</w:t>
      </w:r>
    </w:p>
    <w:p w14:paraId="0BEB906B"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3" w:history="1">
        <w:r w:rsidR="002E4E46">
          <w:rPr>
            <w:rStyle w:val="a4"/>
            <w:sz w:val="28"/>
            <w:szCs w:val="28"/>
            <w:lang w:val="kk-KZ"/>
          </w:rPr>
          <w:t>Перечень объектов государственного аудита Высшей аудиторской палаты на 2023 год // https://www.gov.kz/memleket/entities.</w:t>
        </w:r>
      </w:hyperlink>
      <w:r w:rsidR="002E4E46">
        <w:rPr>
          <w:rStyle w:val="a4"/>
          <w:sz w:val="28"/>
          <w:szCs w:val="28"/>
          <w:lang w:val="kk-KZ"/>
        </w:rPr>
        <w:t xml:space="preserve"> </w:t>
      </w:r>
      <w:r w:rsidR="002E4E46">
        <w:rPr>
          <w:rFonts w:ascii="Times New Roman" w:hAnsi="Times New Roman"/>
          <w:sz w:val="28"/>
          <w:szCs w:val="28"/>
          <w:lang w:val="kk-KZ"/>
        </w:rPr>
        <w:t>30.05.2021г.</w:t>
      </w:r>
    </w:p>
    <w:p w14:paraId="67100155"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Ақмола облысы бойынша аудиторлық есеп </w:t>
      </w:r>
      <w:hyperlink r:id="rId114" w:history="1">
        <w:r>
          <w:rPr>
            <w:rStyle w:val="a4"/>
            <w:sz w:val="28"/>
            <w:szCs w:val="28"/>
          </w:rPr>
          <w:t>Аудиторское заключение №11 от 28.07.2020</w:t>
        </w:r>
        <w:r>
          <w:rPr>
            <w:rStyle w:val="a4"/>
            <w:sz w:val="28"/>
            <w:szCs w:val="28"/>
            <w:lang w:val="kk-KZ"/>
          </w:rPr>
          <w:t xml:space="preserve"> </w:t>
        </w:r>
        <w:r>
          <w:rPr>
            <w:rStyle w:val="a4"/>
            <w:sz w:val="28"/>
            <w:szCs w:val="28"/>
          </w:rPr>
          <w:t xml:space="preserve">г. </w:t>
        </w:r>
        <w:r>
          <w:rPr>
            <w:rStyle w:val="a4"/>
            <w:sz w:val="28"/>
            <w:szCs w:val="28"/>
            <w:lang w:val="kk-KZ"/>
          </w:rPr>
          <w:t xml:space="preserve">// </w:t>
        </w:r>
        <w:r>
          <w:rPr>
            <w:rStyle w:val="a4"/>
            <w:sz w:val="28"/>
            <w:szCs w:val="28"/>
          </w:rPr>
          <w:t>https://www.gov.kz/memleket/entities</w:t>
        </w:r>
        <w:r>
          <w:rPr>
            <w:rStyle w:val="a4"/>
            <w:sz w:val="28"/>
            <w:szCs w:val="28"/>
            <w:lang w:val="kk-KZ"/>
          </w:rPr>
          <w:t>.</w:t>
        </w:r>
      </w:hyperlink>
      <w:r>
        <w:rPr>
          <w:rFonts w:ascii="Times New Roman" w:hAnsi="Times New Roman"/>
          <w:sz w:val="28"/>
          <w:szCs w:val="28"/>
          <w:lang w:val="kk-KZ"/>
        </w:rPr>
        <w:t xml:space="preserve"> </w:t>
      </w:r>
      <w:r>
        <w:rPr>
          <w:rStyle w:val="a4"/>
          <w:sz w:val="28"/>
          <w:szCs w:val="28"/>
          <w:lang w:val="kk-KZ"/>
        </w:rPr>
        <w:t>05.06.2021 г.</w:t>
      </w:r>
    </w:p>
    <w:p w14:paraId="6C0FF703"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№237 //</w:t>
      </w:r>
      <w:hyperlink w:history="1">
        <w:r>
          <w:rPr>
            <w:rStyle w:val="a4"/>
            <w:sz w:val="28"/>
            <w:szCs w:val="28"/>
            <w:lang w:val="kk-KZ"/>
          </w:rPr>
          <w:t xml:space="preserve"> </w:t>
        </w:r>
        <w:r>
          <w:rPr>
            <w:rStyle w:val="a4"/>
            <w:sz w:val="28"/>
            <w:szCs w:val="28"/>
          </w:rPr>
          <w:t>www.gov.kz</w:t>
        </w:r>
      </w:hyperlink>
      <w:r>
        <w:rPr>
          <w:rStyle w:val="a4"/>
          <w:sz w:val="28"/>
          <w:szCs w:val="28"/>
          <w:lang w:val="kk-KZ"/>
        </w:rPr>
        <w:t>. 15.02.2022 г.</w:t>
      </w:r>
    </w:p>
    <w:p w14:paraId="3B8425D3"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№86-Т //</w:t>
      </w:r>
      <w:hyperlink w:history="1">
        <w:r>
          <w:rPr>
            <w:rStyle w:val="a4"/>
            <w:sz w:val="28"/>
            <w:szCs w:val="28"/>
            <w:lang w:val="kk-KZ"/>
          </w:rPr>
          <w:t xml:space="preserve"> </w:t>
        </w:r>
        <w:r>
          <w:rPr>
            <w:rStyle w:val="a4"/>
            <w:sz w:val="28"/>
            <w:szCs w:val="28"/>
          </w:rPr>
          <w:t>www.gov.kz</w:t>
        </w:r>
      </w:hyperlink>
      <w:r>
        <w:rPr>
          <w:rStyle w:val="a4"/>
          <w:sz w:val="28"/>
          <w:szCs w:val="28"/>
          <w:lang w:val="kk-KZ"/>
        </w:rPr>
        <w:t>. 25.02.2022 г.</w:t>
      </w:r>
    </w:p>
    <w:p w14:paraId="57ABF3AE"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№2 от 23.04.2021 год//</w:t>
      </w:r>
      <w:hyperlink w:history="1">
        <w:r>
          <w:rPr>
            <w:rStyle w:val="a4"/>
            <w:sz w:val="28"/>
            <w:szCs w:val="28"/>
            <w:lang w:val="kk-KZ"/>
          </w:rPr>
          <w:t xml:space="preserve"> </w:t>
        </w:r>
        <w:r>
          <w:rPr>
            <w:rStyle w:val="a4"/>
            <w:sz w:val="28"/>
            <w:szCs w:val="28"/>
          </w:rPr>
          <w:t>www.gov.kz</w:t>
        </w:r>
      </w:hyperlink>
      <w:r>
        <w:rPr>
          <w:rStyle w:val="a4"/>
          <w:sz w:val="28"/>
          <w:szCs w:val="28"/>
          <w:lang w:val="kk-KZ"/>
        </w:rPr>
        <w:t>. 05.03.2022г.</w:t>
      </w:r>
    </w:p>
    <w:p w14:paraId="7AB046DB"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Аудиторское заключение №7 от 11 ноября 2022 года </w:t>
      </w:r>
      <w:r>
        <w:rPr>
          <w:rFonts w:ascii="Times New Roman" w:hAnsi="Times New Roman"/>
          <w:sz w:val="28"/>
          <w:szCs w:val="28"/>
          <w:lang w:val="kk-KZ"/>
        </w:rPr>
        <w:t>//</w:t>
      </w:r>
      <w:hyperlink w:history="1">
        <w:r>
          <w:rPr>
            <w:rFonts w:ascii="Times New Roman" w:hAnsi="Times New Roman"/>
            <w:sz w:val="28"/>
            <w:szCs w:val="28"/>
            <w:lang w:val="kk-KZ"/>
          </w:rPr>
          <w:t xml:space="preserve"> </w:t>
        </w:r>
        <w:r>
          <w:rPr>
            <w:rFonts w:ascii="Times New Roman" w:hAnsi="Times New Roman"/>
            <w:sz w:val="28"/>
            <w:szCs w:val="28"/>
          </w:rPr>
          <w:t>www.gov.kz</w:t>
        </w:r>
      </w:hyperlink>
      <w:r>
        <w:rPr>
          <w:rFonts w:ascii="Times New Roman" w:hAnsi="Times New Roman"/>
          <w:sz w:val="28"/>
          <w:szCs w:val="28"/>
          <w:lang w:val="kk-KZ"/>
        </w:rPr>
        <w:t>. 10.03.2022 г.</w:t>
      </w:r>
    </w:p>
    <w:p w14:paraId="579B27EF"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от 22.11.2019 г. ВКО ТИ КВНК МСХ РК //</w:t>
      </w:r>
      <w:hyperlink w:history="1">
        <w:r>
          <w:rPr>
            <w:rStyle w:val="a4"/>
            <w:sz w:val="28"/>
            <w:szCs w:val="28"/>
            <w:lang w:val="kk-KZ"/>
          </w:rPr>
          <w:t xml:space="preserve"> </w:t>
        </w:r>
        <w:r>
          <w:rPr>
            <w:rStyle w:val="a4"/>
            <w:sz w:val="28"/>
            <w:szCs w:val="28"/>
          </w:rPr>
          <w:t>www.gov.kz</w:t>
        </w:r>
      </w:hyperlink>
      <w:r>
        <w:rPr>
          <w:rStyle w:val="a4"/>
          <w:sz w:val="28"/>
          <w:szCs w:val="28"/>
          <w:lang w:val="kk-KZ"/>
        </w:rPr>
        <w:t>. 15.03.2022 г..</w:t>
      </w:r>
    </w:p>
    <w:p w14:paraId="7657D6B6"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08.11.2019 г. №121 //</w:t>
      </w:r>
      <w:hyperlink w:history="1">
        <w:r>
          <w:rPr>
            <w:rStyle w:val="a4"/>
            <w:sz w:val="28"/>
            <w:szCs w:val="28"/>
            <w:lang w:val="kk-KZ"/>
          </w:rPr>
          <w:t xml:space="preserve"> </w:t>
        </w:r>
        <w:r>
          <w:rPr>
            <w:rStyle w:val="a4"/>
            <w:sz w:val="28"/>
            <w:szCs w:val="28"/>
          </w:rPr>
          <w:t>www.gov.kz</w:t>
        </w:r>
      </w:hyperlink>
      <w:r>
        <w:rPr>
          <w:rStyle w:val="a4"/>
          <w:sz w:val="28"/>
          <w:szCs w:val="28"/>
          <w:lang w:val="kk-KZ"/>
        </w:rPr>
        <w:t>. .17.03.2022г.</w:t>
      </w:r>
    </w:p>
    <w:p w14:paraId="22D4EA9F"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08.11.2019 г. Актюбинская ОТИ КВКН МСХ РК //</w:t>
      </w:r>
      <w:hyperlink w:history="1">
        <w:r>
          <w:rPr>
            <w:rStyle w:val="a4"/>
            <w:sz w:val="28"/>
            <w:szCs w:val="28"/>
            <w:lang w:val="kk-KZ"/>
          </w:rPr>
          <w:t xml:space="preserve"> </w:t>
        </w:r>
        <w:r>
          <w:rPr>
            <w:rStyle w:val="a4"/>
            <w:sz w:val="28"/>
            <w:szCs w:val="28"/>
          </w:rPr>
          <w:t>www.gov.kz</w:t>
        </w:r>
      </w:hyperlink>
      <w:r>
        <w:rPr>
          <w:rStyle w:val="a4"/>
          <w:sz w:val="28"/>
          <w:szCs w:val="28"/>
          <w:lang w:val="kk-KZ"/>
        </w:rPr>
        <w:t>.20.03.2022 г.</w:t>
      </w:r>
    </w:p>
    <w:p w14:paraId="5D399BD1"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Отчет о результатах внутреннего аудита (Туркистанская ОТИ, КВНК) //</w:t>
      </w:r>
      <w:hyperlink w:history="1">
        <w:r>
          <w:rPr>
            <w:rStyle w:val="a4"/>
            <w:sz w:val="28"/>
            <w:szCs w:val="28"/>
            <w:lang w:val="kk-KZ"/>
          </w:rPr>
          <w:t xml:space="preserve"> </w:t>
        </w:r>
        <w:r>
          <w:rPr>
            <w:rStyle w:val="a4"/>
            <w:sz w:val="28"/>
            <w:szCs w:val="28"/>
          </w:rPr>
          <w:t>www.gov.kz</w:t>
        </w:r>
      </w:hyperlink>
      <w:r>
        <w:rPr>
          <w:rStyle w:val="a4"/>
          <w:sz w:val="28"/>
          <w:szCs w:val="28"/>
          <w:lang w:val="kk-KZ"/>
        </w:rPr>
        <w:t>. 22.03.2022 г.</w:t>
      </w:r>
    </w:p>
    <w:p w14:paraId="061B9AC3"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20.03.2019 год //</w:t>
      </w:r>
      <w:hyperlink w:history="1">
        <w:r>
          <w:rPr>
            <w:rStyle w:val="a4"/>
            <w:sz w:val="28"/>
            <w:szCs w:val="28"/>
            <w:lang w:val="kk-KZ"/>
          </w:rPr>
          <w:t xml:space="preserve"> </w:t>
        </w:r>
        <w:r>
          <w:rPr>
            <w:rStyle w:val="a4"/>
            <w:sz w:val="28"/>
            <w:szCs w:val="28"/>
          </w:rPr>
          <w:t>www.gov.kz</w:t>
        </w:r>
      </w:hyperlink>
      <w:r>
        <w:rPr>
          <w:rStyle w:val="a4"/>
          <w:sz w:val="28"/>
          <w:szCs w:val="28"/>
          <w:lang w:val="kk-KZ"/>
        </w:rPr>
        <w:t>.25.03.2022 г.</w:t>
      </w:r>
    </w:p>
    <w:p w14:paraId="6C0CEBA7"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Аудиторский отчет №180 от 07.03.2019 г. //</w:t>
      </w:r>
      <w:hyperlink w:history="1">
        <w:r>
          <w:rPr>
            <w:rStyle w:val="a4"/>
            <w:sz w:val="28"/>
            <w:szCs w:val="28"/>
            <w:lang w:val="kk-KZ"/>
          </w:rPr>
          <w:t xml:space="preserve"> </w:t>
        </w:r>
        <w:r>
          <w:rPr>
            <w:rStyle w:val="a4"/>
            <w:sz w:val="28"/>
            <w:szCs w:val="28"/>
          </w:rPr>
          <w:t>www.gov.kz</w:t>
        </w:r>
      </w:hyperlink>
      <w:r>
        <w:rPr>
          <w:rStyle w:val="a4"/>
          <w:sz w:val="28"/>
          <w:szCs w:val="28"/>
          <w:lang w:val="kk-KZ"/>
        </w:rPr>
        <w:t>. 27.03.2022г.</w:t>
      </w:r>
    </w:p>
    <w:p w14:paraId="46B94414"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2019-2021 жылдар кезеңінде Қазақстан Республикасының Ұлттық қорынан бөлінген нысаналы трансферттердің мақсатына сай және тиімді пайдаланылуына жүргізілген аудиттің нәтижелері бойынша аудиторлық қорытынды // https://www.gov.kz/memleket/entities/minfin/documents.15.07.2022 г.</w:t>
      </w:r>
    </w:p>
    <w:p w14:paraId="4C758802"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w:history="1">
        <w:r w:rsidR="002E4E46">
          <w:rPr>
            <w:rStyle w:val="a4"/>
            <w:sz w:val="28"/>
            <w:szCs w:val="28"/>
            <w:lang w:val="kk-KZ"/>
          </w:rPr>
          <w:t xml:space="preserve">«Түркістан облысына бөлінген республикалық бюджет қаражатының пайдалануына мемлекеттік аудит жүргізу» аудиторлық іс-шарасының нәтижелері бойынша аудиторлық қорытынды // https://www.gov.kz/memleket/ entities/esep/documents/details/270415?lang=ru&amp;ysclid. 25.07.2022г. </w:t>
        </w:r>
      </w:hyperlink>
    </w:p>
    <w:p w14:paraId="53EF9F46"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5" w:history="1">
        <w:r w:rsidR="002E4E46">
          <w:rPr>
            <w:rStyle w:val="a4"/>
            <w:sz w:val="28"/>
            <w:szCs w:val="28"/>
            <w:lang w:val="kk-KZ"/>
          </w:rPr>
          <w:t xml:space="preserve">Атырау облысына бөлінген бюджет қаражатының және мемлекет активтерінің пайдаланылу тиімділігіне жүргізілген мемлекеттік аудиттің нәтижелері бойынша аудиторлық қорытынды // https://www.gov.kz/ memleket/entities/esep/documents/details/249733?lang=kk&amp;ysclid. 30.07.2022 г. </w:t>
        </w:r>
      </w:hyperlink>
    </w:p>
    <w:p w14:paraId="2ABE2582"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6" w:history="1">
        <w:r w:rsidR="002E4E46">
          <w:rPr>
            <w:rStyle w:val="a4"/>
            <w:sz w:val="28"/>
            <w:szCs w:val="28"/>
            <w:lang w:val="kk-KZ"/>
          </w:rPr>
          <w:t>Батыс Қазақстан облысына бөлінген бюджет қаражатының және мемлекет активтерінің пайдаланылу тиімділігіне жүргізілген мемлекеттік аудиттің қорытындылары туралы // https://www.gov.kz/memleket.</w:t>
        </w:r>
      </w:hyperlink>
      <w:r w:rsidR="002E4E46">
        <w:rPr>
          <w:rStyle w:val="a4"/>
          <w:sz w:val="28"/>
          <w:szCs w:val="28"/>
          <w:lang w:val="kk-KZ"/>
        </w:rPr>
        <w:t xml:space="preserve"> 05.08.2022 г.</w:t>
      </w:r>
    </w:p>
    <w:p w14:paraId="5BB1C757"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w:history="1">
        <w:r w:rsidR="002E4E46">
          <w:rPr>
            <w:rStyle w:val="a4"/>
            <w:sz w:val="28"/>
            <w:szCs w:val="28"/>
            <w:lang w:val="kk-KZ"/>
          </w:rPr>
          <w:t xml:space="preserve">«Қызылорда облысына бөлінген бюджет қаражатының және мемлекет активтерінің пайдаланылу тиімділігіне мемлекеттік аудит жүргізу» аудиторлық іс-шарасының нәтижесі бойынша аудиторлық қорытынды // https://www.gov.kz/memleket/entities/esep/documents/details. </w:t>
        </w:r>
      </w:hyperlink>
      <w:r w:rsidR="002E4E46">
        <w:rPr>
          <w:rStyle w:val="a4"/>
          <w:sz w:val="28"/>
          <w:szCs w:val="28"/>
          <w:lang w:val="kk-KZ"/>
        </w:rPr>
        <w:t>10.08.2022 г.</w:t>
      </w:r>
    </w:p>
    <w:p w14:paraId="4E3929A6"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7" w:history="1">
        <w:r w:rsidR="002E4E46">
          <w:rPr>
            <w:rStyle w:val="a4"/>
            <w:sz w:val="28"/>
            <w:szCs w:val="28"/>
            <w:lang w:val="kk-KZ"/>
          </w:rPr>
          <w:t xml:space="preserve">Павлодар облысына бөлінген республикалық бюджет қаражатының пайдаланылу тиімділігіне жүргізілген мемлекеттік аудиттің нәтижелері бойынша аудиторлық қорытынды // https://www.gov.kz/memleket.15.08.2022 г. </w:t>
        </w:r>
      </w:hyperlink>
    </w:p>
    <w:p w14:paraId="01FFA55E"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hyperlink r:id="rId118" w:history="1">
        <w:r w:rsidR="002E4E46">
          <w:rPr>
            <w:rStyle w:val="a4"/>
            <w:sz w:val="28"/>
            <w:szCs w:val="28"/>
            <w:lang w:val="kk-KZ"/>
          </w:rPr>
          <w:t xml:space="preserve">Шымкент қ. бойынша республикалық бюджет қаражатының пайдаланылу тиімділігіне мемлекеттік аудит жүргізу, сондай-ақ стратегиялық бағдарламалық құжаттарда көзделген мақсаттар мен міндеттердің іске асырылуын бағалау: аудиторлық іс-шарасының нәтижелері бойынша аудиторлық қорытынды // https://www.gov.kz/memleket/. 20.08.2022 г. </w:t>
        </w:r>
      </w:hyperlink>
    </w:p>
    <w:p w14:paraId="4777B561"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Алматы қаласы бойынша аудиторлық есеп </w:t>
      </w:r>
      <w:hyperlink w:history="1">
        <w:r>
          <w:rPr>
            <w:rStyle w:val="a4"/>
            <w:sz w:val="28"/>
            <w:szCs w:val="28"/>
          </w:rPr>
          <w:t>Аудиторский отчет https://online.zakon.kz/Document/?doc_id=37640447</w:t>
        </w:r>
      </w:hyperlink>
      <w:r>
        <w:rPr>
          <w:rStyle w:val="a4"/>
          <w:sz w:val="28"/>
          <w:szCs w:val="28"/>
          <w:lang w:val="kk-KZ"/>
        </w:rPr>
        <w:t>. 25.08.2022 г.</w:t>
      </w:r>
    </w:p>
    <w:p w14:paraId="567626DA" w14:textId="77777777" w:rsidR="002E4E46" w:rsidRDefault="002E4E46" w:rsidP="0097172E">
      <w:pPr>
        <w:pStyle w:val="a5"/>
        <w:numPr>
          <w:ilvl w:val="0"/>
          <w:numId w:val="61"/>
        </w:numPr>
        <w:tabs>
          <w:tab w:val="left" w:pos="1134"/>
          <w:tab w:val="left" w:pos="1605"/>
        </w:tabs>
        <w:spacing w:after="0" w:line="240" w:lineRule="auto"/>
        <w:ind w:left="0" w:firstLine="709"/>
        <w:jc w:val="both"/>
        <w:rPr>
          <w:rStyle w:val="a4"/>
          <w:color w:val="auto"/>
          <w:u w:val="none"/>
        </w:rPr>
      </w:pPr>
      <w:r>
        <w:rPr>
          <w:rFonts w:ascii="Times New Roman" w:hAnsi="Times New Roman"/>
          <w:sz w:val="28"/>
          <w:szCs w:val="28"/>
          <w:lang w:val="kk-KZ"/>
        </w:rPr>
        <w:t xml:space="preserve">Қостанай облысы бойынша аудиторлық есеп </w:t>
      </w:r>
      <w:hyperlink r:id="rId119" w:history="1">
        <w:r>
          <w:rPr>
            <w:rStyle w:val="a4"/>
            <w:sz w:val="28"/>
            <w:szCs w:val="28"/>
            <w:lang w:val="kk-KZ"/>
          </w:rPr>
          <w:t>аудиторлық қорытынды // https://www.gov.kz/memleket/entities/kostanai-altynsarin-audany.</w:t>
        </w:r>
      </w:hyperlink>
      <w:r>
        <w:rPr>
          <w:rStyle w:val="a4"/>
          <w:sz w:val="28"/>
          <w:szCs w:val="28"/>
          <w:lang w:val="kk-KZ"/>
        </w:rPr>
        <w:t>. 30.08.2022 г.</w:t>
      </w:r>
    </w:p>
    <w:p w14:paraId="0DBD5729" w14:textId="77777777" w:rsidR="002E4E46" w:rsidRDefault="002E4E46" w:rsidP="0097172E">
      <w:pPr>
        <w:pStyle w:val="a5"/>
        <w:numPr>
          <w:ilvl w:val="0"/>
          <w:numId w:val="61"/>
        </w:numPr>
        <w:tabs>
          <w:tab w:val="left" w:pos="1134"/>
          <w:tab w:val="left" w:pos="1605"/>
        </w:tabs>
        <w:spacing w:after="0" w:line="240" w:lineRule="auto"/>
        <w:ind w:left="0" w:firstLine="709"/>
        <w:jc w:val="both"/>
        <w:rPr>
          <w:sz w:val="28"/>
          <w:szCs w:val="28"/>
          <w:lang w:val="kk-KZ"/>
        </w:rPr>
      </w:pPr>
      <w:r>
        <w:rPr>
          <w:rFonts w:ascii="Times New Roman" w:hAnsi="Times New Roman"/>
          <w:sz w:val="28"/>
          <w:szCs w:val="28"/>
        </w:rPr>
        <w:t>Итоговый рейтинг оценки деятельности</w:t>
      </w:r>
      <w:r>
        <w:rPr>
          <w:rFonts w:ascii="Times New Roman" w:hAnsi="Times New Roman"/>
          <w:sz w:val="28"/>
          <w:szCs w:val="28"/>
          <w:lang w:val="kk-KZ"/>
        </w:rPr>
        <w:t xml:space="preserve"> </w:t>
      </w:r>
      <w:r>
        <w:rPr>
          <w:rFonts w:ascii="Times New Roman" w:hAnsi="Times New Roman"/>
          <w:sz w:val="28"/>
          <w:szCs w:val="28"/>
        </w:rPr>
        <w:t>органов государственного</w:t>
      </w:r>
      <w:r>
        <w:rPr>
          <w:rFonts w:ascii="Times New Roman" w:hAnsi="Times New Roman"/>
          <w:sz w:val="28"/>
          <w:szCs w:val="28"/>
          <w:lang w:val="kk-KZ"/>
        </w:rPr>
        <w:t xml:space="preserve"> </w:t>
      </w:r>
      <w:r>
        <w:rPr>
          <w:rFonts w:ascii="Times New Roman" w:hAnsi="Times New Roman"/>
          <w:sz w:val="28"/>
          <w:szCs w:val="28"/>
        </w:rPr>
        <w:t>аудита и финансового контроля</w:t>
      </w:r>
      <w:r>
        <w:rPr>
          <w:rFonts w:ascii="Times New Roman" w:hAnsi="Times New Roman"/>
          <w:sz w:val="28"/>
          <w:szCs w:val="28"/>
          <w:lang w:val="kk-KZ"/>
        </w:rPr>
        <w:t xml:space="preserve"> </w:t>
      </w:r>
      <w:r>
        <w:rPr>
          <w:rFonts w:ascii="Times New Roman" w:hAnsi="Times New Roman"/>
          <w:sz w:val="28"/>
          <w:szCs w:val="28"/>
        </w:rPr>
        <w:t>за 202</w:t>
      </w:r>
      <w:r>
        <w:rPr>
          <w:rFonts w:ascii="Times New Roman" w:hAnsi="Times New Roman"/>
          <w:sz w:val="28"/>
          <w:szCs w:val="28"/>
          <w:lang w:val="kk-KZ"/>
        </w:rPr>
        <w:t>1</w:t>
      </w:r>
      <w:r>
        <w:rPr>
          <w:rFonts w:ascii="Times New Roman" w:hAnsi="Times New Roman"/>
          <w:sz w:val="28"/>
          <w:szCs w:val="28"/>
        </w:rPr>
        <w:t xml:space="preserve"> год</w:t>
      </w:r>
      <w:r>
        <w:rPr>
          <w:rFonts w:ascii="Times New Roman" w:hAnsi="Times New Roman"/>
          <w:sz w:val="28"/>
          <w:szCs w:val="28"/>
          <w:lang w:val="kk-KZ"/>
        </w:rPr>
        <w:t xml:space="preserve"> </w:t>
      </w:r>
      <w:r>
        <w:rPr>
          <w:rFonts w:ascii="Times New Roman" w:hAnsi="Times New Roman"/>
          <w:sz w:val="28"/>
          <w:szCs w:val="28"/>
        </w:rPr>
        <w:t xml:space="preserve">// </w:t>
      </w:r>
      <w:hyperlink r:id="rId120" w:history="1">
        <w:r>
          <w:rPr>
            <w:rStyle w:val="a4"/>
            <w:sz w:val="28"/>
            <w:szCs w:val="28"/>
          </w:rPr>
          <w:t>Итоговый рейтинг оценки деятельности органов государственного аудита и финансового контроля за 2021 год (www.gov.kz)</w:t>
        </w:r>
      </w:hyperlink>
      <w:r>
        <w:rPr>
          <w:rFonts w:ascii="Times New Roman" w:hAnsi="Times New Roman"/>
          <w:sz w:val="28"/>
          <w:szCs w:val="28"/>
        </w:rPr>
        <w:t xml:space="preserve"> 30.09.2022 </w:t>
      </w:r>
      <w:r>
        <w:rPr>
          <w:rFonts w:ascii="Times New Roman" w:hAnsi="Times New Roman"/>
          <w:sz w:val="28"/>
          <w:szCs w:val="28"/>
          <w:lang w:val="kk-KZ"/>
        </w:rPr>
        <w:t>г.</w:t>
      </w:r>
    </w:p>
    <w:p w14:paraId="33C56AD4"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Итоговый рейтинг оценки деятельности</w:t>
      </w:r>
      <w:r>
        <w:rPr>
          <w:rFonts w:ascii="Times New Roman" w:hAnsi="Times New Roman"/>
          <w:sz w:val="28"/>
          <w:szCs w:val="28"/>
          <w:lang w:val="kk-KZ"/>
        </w:rPr>
        <w:t xml:space="preserve"> </w:t>
      </w:r>
      <w:r>
        <w:rPr>
          <w:rFonts w:ascii="Times New Roman" w:hAnsi="Times New Roman"/>
          <w:sz w:val="28"/>
          <w:szCs w:val="28"/>
        </w:rPr>
        <w:t>органов государственного</w:t>
      </w:r>
      <w:r>
        <w:rPr>
          <w:rFonts w:ascii="Times New Roman" w:hAnsi="Times New Roman"/>
          <w:sz w:val="28"/>
          <w:szCs w:val="28"/>
          <w:lang w:val="kk-KZ"/>
        </w:rPr>
        <w:t xml:space="preserve"> </w:t>
      </w:r>
      <w:r>
        <w:rPr>
          <w:rFonts w:ascii="Times New Roman" w:hAnsi="Times New Roman"/>
          <w:sz w:val="28"/>
          <w:szCs w:val="28"/>
        </w:rPr>
        <w:t>аудита и финансового контроля</w:t>
      </w:r>
      <w:r>
        <w:rPr>
          <w:rFonts w:ascii="Times New Roman" w:hAnsi="Times New Roman"/>
          <w:sz w:val="28"/>
          <w:szCs w:val="28"/>
          <w:lang w:val="kk-KZ"/>
        </w:rPr>
        <w:t xml:space="preserve"> </w:t>
      </w:r>
      <w:r>
        <w:rPr>
          <w:rFonts w:ascii="Times New Roman" w:hAnsi="Times New Roman"/>
          <w:sz w:val="28"/>
          <w:szCs w:val="28"/>
        </w:rPr>
        <w:t>за 2022 год</w:t>
      </w:r>
      <w:r>
        <w:rPr>
          <w:rFonts w:ascii="Times New Roman" w:hAnsi="Times New Roman"/>
          <w:sz w:val="28"/>
          <w:szCs w:val="28"/>
          <w:lang w:val="kk-KZ"/>
        </w:rPr>
        <w:t xml:space="preserve"> // </w:t>
      </w:r>
      <w:hyperlink r:id="rId121" w:history="1">
        <w:r>
          <w:rPr>
            <w:rStyle w:val="a4"/>
            <w:sz w:val="28"/>
            <w:szCs w:val="28"/>
          </w:rPr>
          <w:t>Итоговый рейтинг оценки деятельности органов государственного аудита и финансового контроля за 2022 год (www.gov.kz)</w:t>
        </w:r>
      </w:hyperlink>
      <w:r>
        <w:rPr>
          <w:rFonts w:ascii="Times New Roman" w:hAnsi="Times New Roman"/>
          <w:sz w:val="28"/>
          <w:szCs w:val="28"/>
          <w:lang w:val="kk-KZ"/>
        </w:rPr>
        <w:t xml:space="preserve"> 05.10.2022 г.</w:t>
      </w:r>
    </w:p>
    <w:p w14:paraId="37A023ED" w14:textId="77777777" w:rsidR="002E4E46" w:rsidRDefault="0097172E" w:rsidP="0097172E">
      <w:pPr>
        <w:pStyle w:val="a5"/>
        <w:numPr>
          <w:ilvl w:val="0"/>
          <w:numId w:val="61"/>
        </w:numPr>
        <w:tabs>
          <w:tab w:val="left" w:pos="1134"/>
          <w:tab w:val="left" w:pos="1605"/>
        </w:tabs>
        <w:spacing w:after="0" w:line="240" w:lineRule="auto"/>
        <w:ind w:left="0" w:firstLine="709"/>
        <w:jc w:val="both"/>
        <w:rPr>
          <w:rStyle w:val="a4"/>
          <w:color w:val="auto"/>
          <w:u w:val="none"/>
        </w:rPr>
      </w:pPr>
      <w:hyperlink r:id="rId122" w:history="1">
        <w:r w:rsidR="002E4E46">
          <w:rPr>
            <w:rStyle w:val="a4"/>
            <w:sz w:val="28"/>
            <w:szCs w:val="28"/>
          </w:rPr>
          <w:t>Приказ Председателя Счетного комитета по контролю за исполнением республиканского бюджета. Об утверждении Классификатора нарушений, выявляемых на объектах государственного аудита и финансового контроля: утв. 25 ноября 2022 года, №158-н/қ // https://online.zakon.kz</w:t>
        </w:r>
        <w:r w:rsidR="002E4E46">
          <w:rPr>
            <w:rStyle w:val="a4"/>
            <w:sz w:val="28"/>
            <w:szCs w:val="28"/>
            <w:lang w:val="kk-KZ"/>
          </w:rPr>
          <w:t xml:space="preserve"> </w:t>
        </w:r>
        <w:r w:rsidR="002E4E46">
          <w:rPr>
            <w:rStyle w:val="a4"/>
            <w:sz w:val="28"/>
            <w:szCs w:val="28"/>
          </w:rPr>
          <w:t>/Document/?doc_id=37022725</w:t>
        </w:r>
      </w:hyperlink>
      <w:r w:rsidR="002E4E46">
        <w:rPr>
          <w:rFonts w:ascii="Times New Roman" w:hAnsi="Times New Roman"/>
          <w:sz w:val="28"/>
          <w:szCs w:val="28"/>
          <w:lang w:val="kk-KZ"/>
        </w:rPr>
        <w:t xml:space="preserve">. </w:t>
      </w:r>
      <w:r w:rsidR="002E4E46">
        <w:rPr>
          <w:rStyle w:val="a4"/>
          <w:sz w:val="28"/>
          <w:szCs w:val="28"/>
          <w:lang w:val="kk-KZ"/>
        </w:rPr>
        <w:t>10.10.2022 г.</w:t>
      </w:r>
    </w:p>
    <w:p w14:paraId="158F1DEE" w14:textId="598DEAE6" w:rsidR="002E4E46" w:rsidRDefault="009D4A99" w:rsidP="0097172E">
      <w:pPr>
        <w:pStyle w:val="a5"/>
        <w:numPr>
          <w:ilvl w:val="0"/>
          <w:numId w:val="61"/>
        </w:numPr>
        <w:tabs>
          <w:tab w:val="left" w:pos="1134"/>
          <w:tab w:val="left" w:pos="1605"/>
        </w:tabs>
        <w:spacing w:after="0" w:line="240" w:lineRule="auto"/>
        <w:ind w:left="0" w:firstLine="709"/>
        <w:jc w:val="both"/>
        <w:rPr>
          <w:lang w:val="en-US"/>
        </w:rPr>
      </w:pPr>
      <w:r>
        <w:rPr>
          <w:rFonts w:ascii="Times New Roman" w:hAnsi="Times New Roman"/>
          <w:bCs/>
          <w:sz w:val="28"/>
          <w:szCs w:val="28"/>
          <w:lang w:val="kk-KZ"/>
        </w:rPr>
        <w:t>Спатаева С.Б.,</w:t>
      </w:r>
      <w:r>
        <w:rPr>
          <w:rFonts w:ascii="Times New Roman" w:hAnsi="Times New Roman"/>
          <w:sz w:val="28"/>
          <w:szCs w:val="28"/>
          <w:lang w:val="kk-KZ"/>
        </w:rPr>
        <w:t xml:space="preserve"> Бейсенова Л. З., Нурмухаметов Н. Н. Issues of implementation of the republican budget policy of Kazakhstan// Вестник ЕНУ имени Л.Н.Гумилева.  Экономическая серия. №4. 2019. – С. 162-177.</w:t>
      </w:r>
    </w:p>
    <w:p w14:paraId="2E7BFD57" w14:textId="77777777" w:rsidR="002E4E46" w:rsidRDefault="002E4E46" w:rsidP="0097172E">
      <w:pPr>
        <w:pStyle w:val="a5"/>
        <w:numPr>
          <w:ilvl w:val="0"/>
          <w:numId w:val="61"/>
        </w:numPr>
        <w:tabs>
          <w:tab w:val="left" w:pos="1134"/>
          <w:tab w:val="left" w:pos="1605"/>
        </w:tabs>
        <w:spacing w:after="0" w:line="240" w:lineRule="auto"/>
        <w:ind w:left="0" w:firstLine="709"/>
        <w:jc w:val="both"/>
        <w:rPr>
          <w:rFonts w:ascii="Times New Roman" w:hAnsi="Times New Roman"/>
        </w:rPr>
      </w:pPr>
      <w:r>
        <w:rPr>
          <w:rFonts w:ascii="Times New Roman" w:hAnsi="Times New Roman"/>
          <w:sz w:val="28"/>
          <w:szCs w:val="28"/>
          <w:lang w:val="kk-KZ"/>
        </w:rPr>
        <w:t xml:space="preserve">Положение о Департаменте международного сотрудничества и привлечения инвестиций Министерства сельского хозяйства РК. Приказ Министра сельского хозяйства РК №365 от 07.12.2021 год // </w:t>
      </w:r>
      <w:hyperlink w:history="1">
        <w:r>
          <w:rPr>
            <w:rStyle w:val="a4"/>
            <w:sz w:val="28"/>
            <w:szCs w:val="28"/>
          </w:rPr>
          <w:t>GOV.KZ (www.gov.kz)</w:t>
        </w:r>
      </w:hyperlink>
    </w:p>
    <w:p w14:paraId="65B2D030" w14:textId="77777777" w:rsidR="002E4E46" w:rsidRDefault="0097172E" w:rsidP="0097172E">
      <w:pPr>
        <w:pStyle w:val="a5"/>
        <w:numPr>
          <w:ilvl w:val="0"/>
          <w:numId w:val="61"/>
        </w:numPr>
        <w:tabs>
          <w:tab w:val="left" w:pos="1134"/>
          <w:tab w:val="left" w:pos="1605"/>
        </w:tabs>
        <w:spacing w:after="0" w:line="240" w:lineRule="auto"/>
        <w:ind w:left="0" w:firstLine="709"/>
        <w:jc w:val="both"/>
        <w:rPr>
          <w:rFonts w:ascii="Times New Roman" w:hAnsi="Times New Roman"/>
        </w:rPr>
      </w:pPr>
      <w:hyperlink r:id="rId123" w:history="1">
        <w:r w:rsidR="002E4E46">
          <w:rPr>
            <w:rStyle w:val="a4"/>
            <w:sz w:val="28"/>
            <w:szCs w:val="28"/>
          </w:rPr>
          <w:t>Рейтинг стран по уровню</w:t>
        </w:r>
        <w:r w:rsidR="002E4E46">
          <w:rPr>
            <w:rStyle w:val="a4"/>
            <w:sz w:val="28"/>
            <w:szCs w:val="28"/>
            <w:lang w:val="kk-KZ"/>
          </w:rPr>
          <w:t xml:space="preserve"> </w:t>
        </w:r>
        <w:r w:rsidR="002E4E46">
          <w:rPr>
            <w:rStyle w:val="a4"/>
            <w:sz w:val="28"/>
            <w:szCs w:val="28"/>
          </w:rPr>
          <w:t xml:space="preserve">продовольственной безопасности </w:t>
        </w:r>
        <w:r w:rsidR="002E4E46">
          <w:rPr>
            <w:rStyle w:val="a4"/>
            <w:sz w:val="28"/>
            <w:szCs w:val="28"/>
            <w:lang w:val="kk-KZ"/>
          </w:rPr>
          <w:t xml:space="preserve">// </w:t>
        </w:r>
        <w:r w:rsidR="002E4E46">
          <w:rPr>
            <w:rStyle w:val="a4"/>
            <w:sz w:val="28"/>
            <w:szCs w:val="28"/>
          </w:rPr>
          <w:t>nonews.co</w:t>
        </w:r>
      </w:hyperlink>
      <w:r w:rsidR="002E4E46">
        <w:rPr>
          <w:rStyle w:val="a4"/>
          <w:sz w:val="28"/>
          <w:szCs w:val="28"/>
          <w:lang w:val="kk-KZ"/>
        </w:rPr>
        <w:t>. 15.11.2022г.</w:t>
      </w:r>
    </w:p>
    <w:p w14:paraId="17E9BC9F" w14:textId="77777777" w:rsidR="002E4E46" w:rsidRDefault="002E4E46" w:rsidP="0097172E">
      <w:pPr>
        <w:pStyle w:val="a5"/>
        <w:numPr>
          <w:ilvl w:val="0"/>
          <w:numId w:val="61"/>
        </w:numPr>
        <w:tabs>
          <w:tab w:val="left" w:pos="709"/>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Евразийская экономическая политика. Обзор мирового опыта предоставления государственной поддержки сельского хозяйства </w:t>
      </w:r>
      <w:r>
        <w:rPr>
          <w:rStyle w:val="a4"/>
          <w:sz w:val="28"/>
          <w:szCs w:val="28"/>
          <w:lang w:val="kk-KZ"/>
        </w:rPr>
        <w:t>25.10.2022г.</w:t>
      </w:r>
    </w:p>
    <w:p w14:paraId="7CF5EAE9" w14:textId="77777777" w:rsidR="002E4E46" w:rsidRDefault="002E4E46" w:rsidP="0097172E">
      <w:pPr>
        <w:pStyle w:val="a5"/>
        <w:numPr>
          <w:ilvl w:val="0"/>
          <w:numId w:val="61"/>
        </w:numPr>
        <w:tabs>
          <w:tab w:val="left" w:pos="709"/>
          <w:tab w:val="left" w:pos="1134"/>
          <w:tab w:val="left" w:pos="1605"/>
        </w:tabs>
        <w:spacing w:after="0" w:line="240" w:lineRule="auto"/>
        <w:ind w:left="0" w:firstLine="709"/>
        <w:jc w:val="both"/>
        <w:rPr>
          <w:rFonts w:ascii="Times New Roman" w:hAnsi="Times New Roman"/>
          <w:sz w:val="28"/>
          <w:szCs w:val="28"/>
          <w:lang w:val="kk-KZ"/>
        </w:rPr>
      </w:pPr>
      <w:r>
        <w:rPr>
          <w:rFonts w:ascii="Times New Roman" w:hAnsi="Times New Roman"/>
          <w:bCs/>
          <w:sz w:val="28"/>
          <w:szCs w:val="28"/>
        </w:rPr>
        <w:t>Спатаева С.Б.,</w:t>
      </w:r>
      <w:r>
        <w:rPr>
          <w:rFonts w:ascii="Times New Roman" w:hAnsi="Times New Roman"/>
          <w:b/>
          <w:sz w:val="28"/>
          <w:szCs w:val="28"/>
        </w:rPr>
        <w:t xml:space="preserve"> </w:t>
      </w:r>
      <w:r>
        <w:rPr>
          <w:rFonts w:ascii="Times New Roman" w:hAnsi="Times New Roman"/>
          <w:sz w:val="28"/>
          <w:szCs w:val="28"/>
        </w:rPr>
        <w:t>Бейсенова Л.З., Никифорова Е.В., Жұматаева Б.Ә. Теоретические аспекты управления рисками в аудите и расходования бюджетных средств в Республике Казахстан // Журнал «Государственный аудит» РГП на ПХВ «Центр исследования финансовых нарушений». №2 (47) 2020. – С. 47-54</w:t>
      </w:r>
    </w:p>
    <w:p w14:paraId="0141F3F8" w14:textId="77777777" w:rsidR="002E4E46" w:rsidRDefault="002E4E46" w:rsidP="002E4E46">
      <w:pPr>
        <w:tabs>
          <w:tab w:val="left" w:pos="1134"/>
        </w:tabs>
        <w:rPr>
          <w:rFonts w:ascii="Times New Roman" w:hAnsi="Times New Roman" w:cs="Times New Roman"/>
        </w:rPr>
      </w:pPr>
    </w:p>
    <w:p w14:paraId="1D54B752" w14:textId="4200C15E" w:rsidR="006B6907" w:rsidRPr="00964C74" w:rsidRDefault="006B6907" w:rsidP="002E4E46">
      <w:pPr>
        <w:pStyle w:val="a5"/>
        <w:tabs>
          <w:tab w:val="left" w:pos="1276"/>
          <w:tab w:val="left" w:pos="1605"/>
        </w:tabs>
        <w:spacing w:after="0" w:line="240" w:lineRule="auto"/>
        <w:ind w:left="709"/>
        <w:jc w:val="both"/>
      </w:pPr>
    </w:p>
    <w:p w14:paraId="3A327C44" w14:textId="77777777" w:rsidR="006B6907" w:rsidRPr="00964C74" w:rsidRDefault="006B6907" w:rsidP="006B6907">
      <w:pPr>
        <w:tabs>
          <w:tab w:val="left" w:pos="1134"/>
          <w:tab w:val="left" w:pos="1276"/>
          <w:tab w:val="left" w:pos="1605"/>
        </w:tabs>
        <w:spacing w:after="0" w:line="240" w:lineRule="auto"/>
        <w:jc w:val="both"/>
        <w:rPr>
          <w:rFonts w:ascii="Times New Roman" w:hAnsi="Times New Roman"/>
          <w:sz w:val="28"/>
          <w:szCs w:val="28"/>
          <w:lang w:val="kk-KZ"/>
        </w:rPr>
      </w:pPr>
    </w:p>
    <w:p w14:paraId="7FF3ED2C" w14:textId="77777777" w:rsidR="006B6907" w:rsidRPr="00964C74" w:rsidRDefault="006B6907"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2C69A09B" w14:textId="77777777" w:rsidR="00B54645" w:rsidRPr="00964C74" w:rsidRDefault="00B54645"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B670AE6" w14:textId="77777777" w:rsidR="00010EEC" w:rsidRPr="00964C74" w:rsidRDefault="00010EEC"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51EDE992" w14:textId="77777777" w:rsidR="00010EEC" w:rsidRDefault="00010EEC"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71D982A3" w14:textId="77777777" w:rsidR="00010EEC" w:rsidRDefault="00010EEC" w:rsidP="00457CE9">
      <w:pPr>
        <w:tabs>
          <w:tab w:val="left" w:pos="851"/>
          <w:tab w:val="left" w:pos="1605"/>
        </w:tabs>
        <w:spacing w:after="0" w:line="240" w:lineRule="auto"/>
        <w:ind w:firstLine="709"/>
        <w:jc w:val="both"/>
        <w:rPr>
          <w:rFonts w:ascii="Times New Roman" w:hAnsi="Times New Roman" w:cs="Times New Roman"/>
          <w:sz w:val="28"/>
          <w:szCs w:val="28"/>
          <w:lang w:val="kk-KZ"/>
        </w:rPr>
      </w:pPr>
    </w:p>
    <w:p w14:paraId="6FCCD983" w14:textId="77777777" w:rsidR="00094181" w:rsidRPr="00457CE9" w:rsidRDefault="00094181" w:rsidP="00477C06">
      <w:pPr>
        <w:spacing w:after="0" w:line="240" w:lineRule="auto"/>
        <w:ind w:firstLine="709"/>
        <w:jc w:val="right"/>
        <w:rPr>
          <w:rFonts w:ascii="Times New Roman" w:eastAsia="Times New Roman" w:hAnsi="Times New Roman" w:cs="Times New Roman"/>
          <w:kern w:val="36"/>
          <w:sz w:val="28"/>
          <w:szCs w:val="28"/>
          <w:lang w:val="kk-KZ" w:eastAsia="ru-RU"/>
        </w:rPr>
      </w:pPr>
    </w:p>
    <w:p w14:paraId="707639DD" w14:textId="77777777" w:rsidR="0038501D" w:rsidRPr="00457CE9" w:rsidRDefault="0038501D" w:rsidP="00477C06">
      <w:pPr>
        <w:spacing w:after="0" w:line="240" w:lineRule="auto"/>
        <w:ind w:firstLine="709"/>
        <w:jc w:val="right"/>
        <w:rPr>
          <w:rFonts w:ascii="Times New Roman" w:eastAsia="Times New Roman" w:hAnsi="Times New Roman" w:cs="Times New Roman"/>
          <w:kern w:val="36"/>
          <w:sz w:val="28"/>
          <w:szCs w:val="28"/>
          <w:lang w:val="kk-KZ" w:eastAsia="ru-RU"/>
        </w:rPr>
      </w:pPr>
    </w:p>
    <w:p w14:paraId="2F5AEB15" w14:textId="77777777" w:rsidR="00D148D9" w:rsidRPr="00457CE9" w:rsidRDefault="00D148D9" w:rsidP="00477C06">
      <w:pPr>
        <w:spacing w:after="0" w:line="240" w:lineRule="auto"/>
        <w:ind w:firstLine="709"/>
        <w:jc w:val="right"/>
        <w:rPr>
          <w:rFonts w:ascii="Times New Roman" w:eastAsia="Times New Roman" w:hAnsi="Times New Roman" w:cs="Times New Roman"/>
          <w:kern w:val="36"/>
          <w:sz w:val="28"/>
          <w:szCs w:val="28"/>
          <w:lang w:val="kk-KZ" w:eastAsia="ru-RU"/>
        </w:rPr>
      </w:pPr>
    </w:p>
    <w:p w14:paraId="709ECACD" w14:textId="77777777" w:rsidR="00D148D9" w:rsidRPr="00457CE9" w:rsidRDefault="00D148D9" w:rsidP="00477C06">
      <w:pPr>
        <w:spacing w:after="0" w:line="240" w:lineRule="auto"/>
        <w:ind w:firstLine="709"/>
        <w:jc w:val="right"/>
        <w:rPr>
          <w:rFonts w:ascii="Times New Roman" w:eastAsia="Times New Roman" w:hAnsi="Times New Roman" w:cs="Times New Roman"/>
          <w:kern w:val="36"/>
          <w:sz w:val="28"/>
          <w:szCs w:val="28"/>
          <w:lang w:val="kk-KZ" w:eastAsia="ru-RU"/>
        </w:rPr>
      </w:pPr>
    </w:p>
    <w:p w14:paraId="4F7FDF0F" w14:textId="77777777" w:rsidR="00D05956" w:rsidRDefault="00D05956" w:rsidP="00457CE9">
      <w:pPr>
        <w:spacing w:after="0" w:line="240" w:lineRule="auto"/>
        <w:ind w:firstLine="567"/>
        <w:jc w:val="right"/>
        <w:rPr>
          <w:rFonts w:ascii="Times New Roman" w:eastAsia="Times New Roman" w:hAnsi="Times New Roman" w:cs="Times New Roman"/>
          <w:kern w:val="36"/>
          <w:sz w:val="28"/>
          <w:szCs w:val="28"/>
          <w:lang w:val="kk-KZ" w:eastAsia="ru-RU"/>
        </w:rPr>
        <w:sectPr w:rsidR="00D05956" w:rsidSect="00D03D0E">
          <w:pgSz w:w="11906" w:h="16838" w:code="9"/>
          <w:pgMar w:top="1134" w:right="567" w:bottom="1134" w:left="1701" w:header="709" w:footer="709" w:gutter="0"/>
          <w:cols w:space="708"/>
          <w:docGrid w:linePitch="360"/>
        </w:sectPr>
      </w:pPr>
    </w:p>
    <w:p w14:paraId="00B61E13" w14:textId="77777777" w:rsidR="001D7D7A" w:rsidRDefault="001D7D7A" w:rsidP="00D05956">
      <w:pPr>
        <w:spacing w:after="0" w:line="240" w:lineRule="auto"/>
        <w:jc w:val="center"/>
        <w:rPr>
          <w:rFonts w:ascii="Times New Roman" w:eastAsia="Times New Roman" w:hAnsi="Times New Roman" w:cs="Times New Roman"/>
          <w:b/>
          <w:bCs/>
          <w:kern w:val="36"/>
          <w:sz w:val="28"/>
          <w:szCs w:val="28"/>
          <w:lang w:val="kk-KZ" w:eastAsia="ru-RU"/>
        </w:rPr>
      </w:pPr>
      <w:r w:rsidRPr="00645B0F">
        <w:rPr>
          <w:rFonts w:ascii="Times New Roman" w:eastAsia="Times New Roman" w:hAnsi="Times New Roman" w:cs="Times New Roman"/>
          <w:b/>
          <w:bCs/>
          <w:kern w:val="36"/>
          <w:sz w:val="28"/>
          <w:szCs w:val="28"/>
          <w:lang w:val="kk-KZ" w:eastAsia="ru-RU"/>
        </w:rPr>
        <w:t xml:space="preserve">ҚОСЫМША </w:t>
      </w:r>
      <w:r>
        <w:rPr>
          <w:rFonts w:ascii="Times New Roman" w:eastAsia="Times New Roman" w:hAnsi="Times New Roman" w:cs="Times New Roman"/>
          <w:b/>
          <w:bCs/>
          <w:kern w:val="36"/>
          <w:sz w:val="28"/>
          <w:szCs w:val="28"/>
          <w:lang w:val="kk-KZ" w:eastAsia="ru-RU"/>
        </w:rPr>
        <w:t>А</w:t>
      </w:r>
    </w:p>
    <w:p w14:paraId="20240151" w14:textId="62B89944" w:rsidR="00D05956" w:rsidRPr="00825059" w:rsidRDefault="00D05956" w:rsidP="001D7D7A">
      <w:pPr>
        <w:spacing w:after="0" w:line="240" w:lineRule="auto"/>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Кесте А.1 – </w:t>
      </w:r>
      <w:r w:rsidR="001D7D7A" w:rsidRPr="00E27BED">
        <w:rPr>
          <w:rFonts w:ascii="Times New Roman" w:eastAsia="Times New Roman" w:hAnsi="Times New Roman" w:cs="Times New Roman"/>
          <w:kern w:val="36"/>
          <w:sz w:val="28"/>
          <w:szCs w:val="28"/>
          <w:lang w:val="kk-KZ" w:eastAsia="ru-RU"/>
        </w:rPr>
        <w:t>2021-2025 жж. еңбек өнімділігін 2,5 есе ұлғайту міндетін іске асыруға арналған нәтижелі көрсеткіштер мен іс-шаралар</w:t>
      </w:r>
    </w:p>
    <w:tbl>
      <w:tblPr>
        <w:tblStyle w:val="a3"/>
        <w:tblW w:w="14927" w:type="dxa"/>
        <w:jc w:val="center"/>
        <w:tblLook w:val="04A0" w:firstRow="1" w:lastRow="0" w:firstColumn="1" w:lastColumn="0" w:noHBand="0" w:noVBand="1"/>
      </w:tblPr>
      <w:tblGrid>
        <w:gridCol w:w="6676"/>
        <w:gridCol w:w="1133"/>
        <w:gridCol w:w="1126"/>
        <w:gridCol w:w="996"/>
        <w:gridCol w:w="1446"/>
        <w:gridCol w:w="1117"/>
        <w:gridCol w:w="1237"/>
        <w:gridCol w:w="1196"/>
      </w:tblGrid>
      <w:tr w:rsidR="00825059" w:rsidRPr="00D05956" w14:paraId="03713A26" w14:textId="540A3BC2" w:rsidTr="00825059">
        <w:trPr>
          <w:jc w:val="center"/>
        </w:trPr>
        <w:tc>
          <w:tcPr>
            <w:tcW w:w="6676" w:type="dxa"/>
            <w:tcBorders>
              <w:top w:val="single" w:sz="4" w:space="0" w:color="auto"/>
              <w:left w:val="single" w:sz="4" w:space="0" w:color="auto"/>
              <w:bottom w:val="single" w:sz="4" w:space="0" w:color="auto"/>
              <w:right w:val="single" w:sz="4" w:space="0" w:color="auto"/>
            </w:tcBorders>
            <w:vAlign w:val="center"/>
            <w:hideMark/>
          </w:tcPr>
          <w:p w14:paraId="207F4983"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Нысаналы индикаторлар</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E33F471" w14:textId="77777777" w:rsidR="00825059" w:rsidRPr="00D05956" w:rsidRDefault="00825059" w:rsidP="00D05956">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20</w:t>
            </w:r>
            <w:r w:rsidRPr="00D05956">
              <w:rPr>
                <w:rFonts w:ascii="Times New Roman" w:eastAsia="Times New Roman" w:hAnsi="Times New Roman" w:cs="Times New Roman"/>
                <w:kern w:val="36"/>
                <w:sz w:val="24"/>
                <w:szCs w:val="24"/>
                <w:lang w:val="kk-KZ" w:eastAsia="ru-RU"/>
              </w:rPr>
              <w:t>21</w:t>
            </w:r>
            <w:r w:rsidRPr="00D05956">
              <w:rPr>
                <w:rFonts w:ascii="Times New Roman" w:eastAsia="Times New Roman" w:hAnsi="Times New Roman" w:cs="Times New Roman"/>
                <w:kern w:val="36"/>
                <w:sz w:val="24"/>
                <w:szCs w:val="24"/>
                <w:lang w:eastAsia="ru-RU"/>
              </w:rPr>
              <w:t xml:space="preserve"> жыл</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A356253"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2022 жыл</w:t>
            </w:r>
          </w:p>
        </w:tc>
        <w:tc>
          <w:tcPr>
            <w:tcW w:w="996" w:type="dxa"/>
            <w:tcBorders>
              <w:top w:val="single" w:sz="4" w:space="0" w:color="auto"/>
              <w:left w:val="single" w:sz="4" w:space="0" w:color="auto"/>
              <w:bottom w:val="single" w:sz="4" w:space="0" w:color="auto"/>
              <w:right w:val="single" w:sz="4" w:space="0" w:color="auto"/>
            </w:tcBorders>
            <w:vAlign w:val="center"/>
            <w:hideMark/>
          </w:tcPr>
          <w:p w14:paraId="2D09EABD"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2023 жыл</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07F0D4E"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2024 жыл</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52E4F76"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2025 жыл</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CAB51E2" w14:textId="38896AF0"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Жиыны</w:t>
            </w:r>
          </w:p>
        </w:tc>
        <w:tc>
          <w:tcPr>
            <w:tcW w:w="1196" w:type="dxa"/>
            <w:tcBorders>
              <w:top w:val="single" w:sz="4" w:space="0" w:color="auto"/>
              <w:left w:val="single" w:sz="4" w:space="0" w:color="auto"/>
              <w:bottom w:val="single" w:sz="4" w:space="0" w:color="auto"/>
              <w:right w:val="single" w:sz="4" w:space="0" w:color="auto"/>
            </w:tcBorders>
            <w:vAlign w:val="center"/>
          </w:tcPr>
          <w:p w14:paraId="27A35493" w14:textId="1AF0D9A2" w:rsidR="00825059" w:rsidRPr="00825059" w:rsidRDefault="00825059" w:rsidP="00825059">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val="kk-KZ" w:eastAsia="ru-RU"/>
              </w:rPr>
              <w:t xml:space="preserve">Құрылы мы, </w:t>
            </w:r>
            <w:r>
              <w:rPr>
                <w:rFonts w:ascii="Times New Roman" w:eastAsia="Times New Roman" w:hAnsi="Times New Roman" w:cs="Times New Roman"/>
                <w:kern w:val="36"/>
                <w:sz w:val="24"/>
                <w:szCs w:val="24"/>
                <w:lang w:eastAsia="ru-RU"/>
              </w:rPr>
              <w:t>%</w:t>
            </w:r>
          </w:p>
        </w:tc>
      </w:tr>
      <w:tr w:rsidR="00825059" w:rsidRPr="00D05956" w14:paraId="7322AA89" w14:textId="3FF04FBD"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9D07EA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33" w:type="dxa"/>
            <w:tcBorders>
              <w:top w:val="single" w:sz="4" w:space="0" w:color="auto"/>
              <w:left w:val="single" w:sz="4" w:space="0" w:color="auto"/>
              <w:bottom w:val="single" w:sz="4" w:space="0" w:color="auto"/>
              <w:right w:val="single" w:sz="4" w:space="0" w:color="auto"/>
            </w:tcBorders>
            <w:hideMark/>
          </w:tcPr>
          <w:p w14:paraId="3E968A28" w14:textId="77777777" w:rsidR="00825059" w:rsidRPr="00D05956" w:rsidRDefault="00825059" w:rsidP="001D7D7A">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2</w:t>
            </w:r>
          </w:p>
        </w:tc>
        <w:tc>
          <w:tcPr>
            <w:tcW w:w="1126" w:type="dxa"/>
            <w:tcBorders>
              <w:top w:val="single" w:sz="4" w:space="0" w:color="auto"/>
              <w:left w:val="single" w:sz="4" w:space="0" w:color="auto"/>
              <w:bottom w:val="single" w:sz="4" w:space="0" w:color="auto"/>
              <w:right w:val="single" w:sz="4" w:space="0" w:color="auto"/>
            </w:tcBorders>
            <w:hideMark/>
          </w:tcPr>
          <w:p w14:paraId="303EE5B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3</w:t>
            </w:r>
          </w:p>
        </w:tc>
        <w:tc>
          <w:tcPr>
            <w:tcW w:w="996" w:type="dxa"/>
            <w:tcBorders>
              <w:top w:val="single" w:sz="4" w:space="0" w:color="auto"/>
              <w:left w:val="single" w:sz="4" w:space="0" w:color="auto"/>
              <w:bottom w:val="single" w:sz="4" w:space="0" w:color="auto"/>
              <w:right w:val="single" w:sz="4" w:space="0" w:color="auto"/>
            </w:tcBorders>
            <w:hideMark/>
          </w:tcPr>
          <w:p w14:paraId="77FE83E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4</w:t>
            </w:r>
          </w:p>
        </w:tc>
        <w:tc>
          <w:tcPr>
            <w:tcW w:w="1446" w:type="dxa"/>
            <w:tcBorders>
              <w:top w:val="single" w:sz="4" w:space="0" w:color="auto"/>
              <w:left w:val="single" w:sz="4" w:space="0" w:color="auto"/>
              <w:bottom w:val="single" w:sz="4" w:space="0" w:color="auto"/>
              <w:right w:val="single" w:sz="4" w:space="0" w:color="auto"/>
            </w:tcBorders>
            <w:hideMark/>
          </w:tcPr>
          <w:p w14:paraId="7A161AA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5</w:t>
            </w:r>
          </w:p>
        </w:tc>
        <w:tc>
          <w:tcPr>
            <w:tcW w:w="1117" w:type="dxa"/>
            <w:tcBorders>
              <w:top w:val="single" w:sz="4" w:space="0" w:color="auto"/>
              <w:left w:val="single" w:sz="4" w:space="0" w:color="auto"/>
              <w:bottom w:val="single" w:sz="4" w:space="0" w:color="auto"/>
              <w:right w:val="single" w:sz="4" w:space="0" w:color="auto"/>
            </w:tcBorders>
            <w:hideMark/>
          </w:tcPr>
          <w:p w14:paraId="3D08DF9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6</w:t>
            </w:r>
          </w:p>
        </w:tc>
        <w:tc>
          <w:tcPr>
            <w:tcW w:w="1237" w:type="dxa"/>
            <w:tcBorders>
              <w:top w:val="single" w:sz="4" w:space="0" w:color="auto"/>
              <w:left w:val="single" w:sz="4" w:space="0" w:color="auto"/>
              <w:bottom w:val="single" w:sz="4" w:space="0" w:color="auto"/>
              <w:right w:val="single" w:sz="4" w:space="0" w:color="auto"/>
            </w:tcBorders>
            <w:hideMark/>
          </w:tcPr>
          <w:p w14:paraId="18759D5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7</w:t>
            </w:r>
          </w:p>
        </w:tc>
        <w:tc>
          <w:tcPr>
            <w:tcW w:w="1196" w:type="dxa"/>
            <w:tcBorders>
              <w:top w:val="single" w:sz="4" w:space="0" w:color="auto"/>
              <w:left w:val="single" w:sz="4" w:space="0" w:color="auto"/>
              <w:bottom w:val="single" w:sz="4" w:space="0" w:color="auto"/>
              <w:right w:val="single" w:sz="4" w:space="0" w:color="auto"/>
            </w:tcBorders>
            <w:vAlign w:val="center"/>
          </w:tcPr>
          <w:p w14:paraId="012FD251" w14:textId="0875F33F" w:rsidR="00825059" w:rsidRPr="00D05956" w:rsidRDefault="00CA2955"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825059" w:rsidRPr="00825059" w14:paraId="7F02A163"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tcPr>
          <w:p w14:paraId="6882AEEE" w14:textId="04104142" w:rsidR="00825059" w:rsidRPr="00825059" w:rsidRDefault="00825059" w:rsidP="00825059">
            <w:pP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1-міндет. Еңбек өнімділігін 2,5 есе ұлғайту, млн. теңге</w:t>
            </w:r>
          </w:p>
        </w:tc>
        <w:tc>
          <w:tcPr>
            <w:tcW w:w="1133" w:type="dxa"/>
            <w:tcBorders>
              <w:top w:val="single" w:sz="4" w:space="0" w:color="auto"/>
              <w:left w:val="single" w:sz="4" w:space="0" w:color="auto"/>
              <w:bottom w:val="single" w:sz="4" w:space="0" w:color="auto"/>
              <w:right w:val="single" w:sz="4" w:space="0" w:color="auto"/>
            </w:tcBorders>
          </w:tcPr>
          <w:p w14:paraId="787DD0ED" w14:textId="77777777" w:rsidR="00825059" w:rsidRPr="00825059" w:rsidRDefault="00825059" w:rsidP="001D7D7A">
            <w:pPr>
              <w:jc w:val="center"/>
              <w:rPr>
                <w:rFonts w:ascii="Times New Roman" w:eastAsia="Times New Roman" w:hAnsi="Times New Roman" w:cs="Times New Roman"/>
                <w:kern w:val="36"/>
                <w:sz w:val="24"/>
                <w:szCs w:val="24"/>
                <w:lang w:val="kk-KZ" w:eastAsia="ru-RU"/>
              </w:rPr>
            </w:pPr>
          </w:p>
        </w:tc>
        <w:tc>
          <w:tcPr>
            <w:tcW w:w="1126" w:type="dxa"/>
            <w:tcBorders>
              <w:top w:val="single" w:sz="4" w:space="0" w:color="auto"/>
              <w:left w:val="single" w:sz="4" w:space="0" w:color="auto"/>
              <w:bottom w:val="single" w:sz="4" w:space="0" w:color="auto"/>
              <w:right w:val="single" w:sz="4" w:space="0" w:color="auto"/>
            </w:tcBorders>
          </w:tcPr>
          <w:p w14:paraId="0DC5069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996" w:type="dxa"/>
            <w:tcBorders>
              <w:top w:val="single" w:sz="4" w:space="0" w:color="auto"/>
              <w:left w:val="single" w:sz="4" w:space="0" w:color="auto"/>
              <w:bottom w:val="single" w:sz="4" w:space="0" w:color="auto"/>
              <w:right w:val="single" w:sz="4" w:space="0" w:color="auto"/>
            </w:tcBorders>
          </w:tcPr>
          <w:p w14:paraId="5A9A974F"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446" w:type="dxa"/>
            <w:tcBorders>
              <w:top w:val="single" w:sz="4" w:space="0" w:color="auto"/>
              <w:left w:val="single" w:sz="4" w:space="0" w:color="auto"/>
              <w:bottom w:val="single" w:sz="4" w:space="0" w:color="auto"/>
              <w:right w:val="single" w:sz="4" w:space="0" w:color="auto"/>
            </w:tcBorders>
          </w:tcPr>
          <w:p w14:paraId="77ABA45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117" w:type="dxa"/>
            <w:tcBorders>
              <w:top w:val="single" w:sz="4" w:space="0" w:color="auto"/>
              <w:left w:val="single" w:sz="4" w:space="0" w:color="auto"/>
              <w:bottom w:val="single" w:sz="4" w:space="0" w:color="auto"/>
              <w:right w:val="single" w:sz="4" w:space="0" w:color="auto"/>
            </w:tcBorders>
          </w:tcPr>
          <w:p w14:paraId="0ECC740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237" w:type="dxa"/>
            <w:tcBorders>
              <w:top w:val="single" w:sz="4" w:space="0" w:color="auto"/>
              <w:left w:val="single" w:sz="4" w:space="0" w:color="auto"/>
              <w:bottom w:val="single" w:sz="4" w:space="0" w:color="auto"/>
              <w:right w:val="single" w:sz="4" w:space="0" w:color="auto"/>
            </w:tcBorders>
          </w:tcPr>
          <w:p w14:paraId="548AE81C" w14:textId="2300FB49" w:rsidR="00825059" w:rsidRPr="00D05956" w:rsidRDefault="00825059" w:rsidP="001D7D7A">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1170568,6</w:t>
            </w:r>
          </w:p>
        </w:tc>
        <w:tc>
          <w:tcPr>
            <w:tcW w:w="1196" w:type="dxa"/>
            <w:tcBorders>
              <w:top w:val="single" w:sz="4" w:space="0" w:color="auto"/>
              <w:left w:val="single" w:sz="4" w:space="0" w:color="auto"/>
              <w:bottom w:val="single" w:sz="4" w:space="0" w:color="auto"/>
              <w:right w:val="single" w:sz="4" w:space="0" w:color="auto"/>
            </w:tcBorders>
            <w:vAlign w:val="center"/>
          </w:tcPr>
          <w:p w14:paraId="6FF75847" w14:textId="1B196122" w:rsidR="00825059" w:rsidRPr="00D05956"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100,0</w:t>
            </w:r>
          </w:p>
        </w:tc>
      </w:tr>
      <w:tr w:rsidR="00825059" w:rsidRPr="00D05956" w14:paraId="66850DA4" w14:textId="22A419EF"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3F53AFD"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825059">
              <w:rPr>
                <w:rFonts w:ascii="Times New Roman" w:eastAsia="Times New Roman" w:hAnsi="Times New Roman" w:cs="Times New Roman"/>
                <w:kern w:val="36"/>
                <w:sz w:val="24"/>
                <w:szCs w:val="24"/>
                <w:lang w:val="kk-KZ" w:eastAsia="ru-RU"/>
              </w:rPr>
              <w:t>1-</w:t>
            </w:r>
            <w:r w:rsidRPr="00D05956">
              <w:rPr>
                <w:rFonts w:ascii="Times New Roman" w:eastAsia="Times New Roman" w:hAnsi="Times New Roman" w:cs="Times New Roman"/>
                <w:kern w:val="36"/>
                <w:sz w:val="24"/>
                <w:szCs w:val="24"/>
                <w:lang w:val="kk-KZ" w:eastAsia="ru-RU"/>
              </w:rPr>
              <w:t>көрсеткіш. Субсидия көлемін өсіру есебінен ауыл шаруашылығы техникасын сатып алуды 1,5 есеге ұлғайту,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1E4C112"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FCF9C1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115</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A4F6C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125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59CF07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0C1BE79"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150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3B51F77" w14:textId="25643312" w:rsidR="00825059" w:rsidRPr="00825059" w:rsidRDefault="00825059" w:rsidP="001D7D7A">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156650,0</w:t>
            </w:r>
          </w:p>
        </w:tc>
        <w:tc>
          <w:tcPr>
            <w:tcW w:w="1196" w:type="dxa"/>
            <w:tcBorders>
              <w:top w:val="single" w:sz="4" w:space="0" w:color="auto"/>
              <w:left w:val="single" w:sz="4" w:space="0" w:color="auto"/>
              <w:bottom w:val="single" w:sz="4" w:space="0" w:color="auto"/>
              <w:right w:val="single" w:sz="4" w:space="0" w:color="auto"/>
            </w:tcBorders>
            <w:vAlign w:val="center"/>
          </w:tcPr>
          <w:p w14:paraId="0C83BB9F" w14:textId="748E3F54"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13,38</w:t>
            </w:r>
          </w:p>
        </w:tc>
      </w:tr>
      <w:tr w:rsidR="00825059" w:rsidRPr="00D05956" w14:paraId="6FB28758" w14:textId="34C180EA"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9693E9F"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 xml:space="preserve">1-іс-шара. Кейіннен лизингке беру үшін техника, азық дайындайтын техника және мобильді жүйелер сатып алуды қаржыландыру мақсатында кейіннен «ҚазАгроҚаржы» АҚ-ның жарғылық капиталын ұлғайта отырып, «Бәйтерек» ұлттық басқарушы холдингі» АҚ-ның жарғылық капиталын ұлғайту, </w:t>
            </w:r>
            <w:r w:rsidRPr="00D05956">
              <w:rPr>
                <w:rFonts w:ascii="Times New Roman" w:eastAsia="Times New Roman" w:hAnsi="Times New Roman" w:cs="Times New Roman"/>
                <w:kern w:val="36"/>
                <w:sz w:val="24"/>
                <w:szCs w:val="24"/>
                <w:lang w:val="kk-KZ" w:eastAsia="ru-RU"/>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941EC5"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E6D5092"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52B8C52F" w14:textId="77777777" w:rsidR="00825059" w:rsidRPr="00D05956" w:rsidRDefault="00825059" w:rsidP="001D7D7A">
            <w:pPr>
              <w:pStyle w:val="TableParagraph"/>
              <w:jc w:val="center"/>
              <w:rPr>
                <w:sz w:val="24"/>
                <w:szCs w:val="24"/>
                <w:lang w:val="en-US"/>
              </w:rPr>
            </w:pPr>
            <w:r w:rsidRPr="00D05956">
              <w:rPr>
                <w:sz w:val="24"/>
                <w:szCs w:val="24"/>
                <w:lang w:val="en-US"/>
              </w:rPr>
              <w:t>20000,0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571753E" w14:textId="77777777" w:rsidR="00825059" w:rsidRPr="00D05956" w:rsidRDefault="00825059" w:rsidP="001D7D7A">
            <w:pPr>
              <w:pStyle w:val="TableParagraph"/>
              <w:jc w:val="center"/>
              <w:rPr>
                <w:sz w:val="24"/>
                <w:szCs w:val="24"/>
                <w:lang w:val="en-US"/>
              </w:rPr>
            </w:pPr>
            <w:r w:rsidRPr="00D05956">
              <w:rPr>
                <w:sz w:val="24"/>
                <w:szCs w:val="24"/>
                <w:lang w:val="en-US"/>
              </w:rPr>
              <w:t>29700,0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CAB84D8" w14:textId="77777777" w:rsidR="00825059" w:rsidRPr="00D05956" w:rsidRDefault="00825059" w:rsidP="001D7D7A">
            <w:pPr>
              <w:pStyle w:val="TableParagraph"/>
              <w:jc w:val="center"/>
              <w:rPr>
                <w:sz w:val="24"/>
                <w:szCs w:val="24"/>
                <w:lang w:val="en-US"/>
              </w:rPr>
            </w:pPr>
            <w:r w:rsidRPr="00D05956">
              <w:rPr>
                <w:sz w:val="24"/>
                <w:szCs w:val="24"/>
                <w:lang w:val="en-US"/>
              </w:rPr>
              <w:t>29700,0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B142A9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79400,0</w:t>
            </w:r>
          </w:p>
        </w:tc>
        <w:tc>
          <w:tcPr>
            <w:tcW w:w="1196" w:type="dxa"/>
            <w:tcBorders>
              <w:top w:val="single" w:sz="4" w:space="0" w:color="auto"/>
              <w:left w:val="single" w:sz="4" w:space="0" w:color="auto"/>
              <w:bottom w:val="single" w:sz="4" w:space="0" w:color="auto"/>
              <w:right w:val="single" w:sz="4" w:space="0" w:color="auto"/>
            </w:tcBorders>
            <w:vAlign w:val="center"/>
          </w:tcPr>
          <w:p w14:paraId="464C97CC" w14:textId="77777777" w:rsidR="00825059" w:rsidRDefault="00825059" w:rsidP="00825059">
            <w:pPr>
              <w:jc w:val="center"/>
              <w:rPr>
                <w:rFonts w:ascii="Times New Roman" w:eastAsia="Times New Roman" w:hAnsi="Times New Roman" w:cs="Times New Roman"/>
                <w:kern w:val="36"/>
                <w:sz w:val="24"/>
                <w:szCs w:val="24"/>
                <w:lang w:eastAsia="ru-RU"/>
              </w:rPr>
            </w:pPr>
          </w:p>
          <w:p w14:paraId="400E8DE3" w14:textId="09660D0B"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p w14:paraId="7E7B7166" w14:textId="77777777" w:rsidR="00825059" w:rsidRPr="00D05956" w:rsidRDefault="00825059" w:rsidP="00825059">
            <w:pPr>
              <w:jc w:val="center"/>
              <w:rPr>
                <w:rFonts w:ascii="Times New Roman" w:eastAsia="Times New Roman" w:hAnsi="Times New Roman" w:cs="Times New Roman"/>
                <w:kern w:val="36"/>
                <w:sz w:val="24"/>
                <w:szCs w:val="24"/>
                <w:lang w:eastAsia="ru-RU"/>
              </w:rPr>
            </w:pPr>
          </w:p>
        </w:tc>
      </w:tr>
      <w:tr w:rsidR="00825059" w:rsidRPr="00D05956" w14:paraId="622C8050" w14:textId="60BA5D30"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EFF266B"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lang w:val="kk-KZ"/>
              </w:rPr>
              <w:t xml:space="preserve">- </w:t>
            </w:r>
            <w:r w:rsidRPr="00D05956">
              <w:rPr>
                <w:rFonts w:ascii="Times New Roman" w:hAnsi="Times New Roman" w:cs="Times New Roman"/>
                <w:color w:val="000000"/>
                <w:spacing w:val="2"/>
                <w:sz w:val="24"/>
                <w:szCs w:val="24"/>
                <w:bdr w:val="none" w:sz="0" w:space="0" w:color="auto" w:frame="1"/>
              </w:rPr>
              <w:t>ауыл шаруашылығы техникасын сатып алу, бірлік</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D719C7C"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A8CEAB5"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6B14FB4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2808</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EF94869"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3500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C5BA7A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3500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33BA4C2"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9808</w:t>
            </w:r>
          </w:p>
        </w:tc>
        <w:tc>
          <w:tcPr>
            <w:tcW w:w="1196" w:type="dxa"/>
            <w:tcBorders>
              <w:top w:val="single" w:sz="4" w:space="0" w:color="auto"/>
              <w:left w:val="single" w:sz="4" w:space="0" w:color="auto"/>
              <w:bottom w:val="single" w:sz="4" w:space="0" w:color="auto"/>
              <w:right w:val="single" w:sz="4" w:space="0" w:color="auto"/>
            </w:tcBorders>
            <w:vAlign w:val="center"/>
          </w:tcPr>
          <w:p w14:paraId="6895D7B9" w14:textId="2B0F0EBA"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2374CF5E" w14:textId="5781B384"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60437519" w14:textId="77777777" w:rsidR="00825059" w:rsidRPr="00D05956" w:rsidRDefault="00825059" w:rsidP="001D7D7A">
            <w:pPr>
              <w:rPr>
                <w:rFonts w:ascii="Times New Roman" w:hAnsi="Times New Roman" w:cs="Times New Roman"/>
                <w:kern w:val="36"/>
                <w:sz w:val="24"/>
                <w:szCs w:val="24"/>
                <w:lang w:val="kk-KZ"/>
              </w:rPr>
            </w:pPr>
            <w:r w:rsidRPr="00D05956">
              <w:rPr>
                <w:rFonts w:ascii="Times New Roman" w:hAnsi="Times New Roman" w:cs="Times New Roman"/>
                <w:color w:val="000000"/>
                <w:spacing w:val="2"/>
                <w:sz w:val="24"/>
                <w:szCs w:val="24"/>
                <w:shd w:val="clear" w:color="auto" w:fill="FFFFFF"/>
                <w:lang w:val="kk-KZ"/>
              </w:rPr>
              <w:t xml:space="preserve">2-іс-шара. АӨК субъектілерінің ирригациялық жүйелерді сатып алуы және оларды орнату жөніндегі дайындық жұмыстарын қаржыландыру үшін кейіннен «ҚазАгроҚаржы» АҚ-ның жарғылық капиталын ұлғайта отырып, «Бәйтерек» ұлттық басқарушы холдингі» АҚ-ның жарғылық капиталын ұлғайту және өңірлер әкімдіктері мен және уәкілетті қаржы институттарының бюджеттік кредитін қамтамасыз ету,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6F01979"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40E052F"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78E9A7D3" w14:textId="77777777" w:rsidR="00825059" w:rsidRPr="00D05956" w:rsidRDefault="00825059" w:rsidP="001D7D7A">
            <w:pPr>
              <w:pStyle w:val="TableParagraph"/>
              <w:jc w:val="center"/>
              <w:rPr>
                <w:sz w:val="24"/>
                <w:szCs w:val="24"/>
                <w:lang w:val="en-US"/>
              </w:rPr>
            </w:pPr>
            <w:r w:rsidRPr="00D05956">
              <w:rPr>
                <w:sz w:val="24"/>
                <w:szCs w:val="24"/>
                <w:lang w:val="en-US"/>
              </w:rPr>
              <w:t>25750,0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6D83BFE" w14:textId="77777777" w:rsidR="00825059" w:rsidRPr="00D05956" w:rsidRDefault="00825059" w:rsidP="001D7D7A">
            <w:pPr>
              <w:pStyle w:val="TableParagraph"/>
              <w:jc w:val="center"/>
              <w:rPr>
                <w:sz w:val="24"/>
                <w:szCs w:val="24"/>
                <w:lang w:val="en-US"/>
              </w:rPr>
            </w:pPr>
            <w:r w:rsidRPr="00D05956">
              <w:rPr>
                <w:sz w:val="24"/>
                <w:szCs w:val="24"/>
                <w:lang w:val="en-US"/>
              </w:rPr>
              <w:t>25750,0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0826028" w14:textId="77777777" w:rsidR="00825059" w:rsidRPr="00D05956" w:rsidRDefault="00825059" w:rsidP="001D7D7A">
            <w:pPr>
              <w:pStyle w:val="TableParagraph"/>
              <w:jc w:val="center"/>
              <w:rPr>
                <w:sz w:val="24"/>
                <w:szCs w:val="24"/>
                <w:lang w:val="en-US"/>
              </w:rPr>
            </w:pPr>
            <w:r w:rsidRPr="00D05956">
              <w:rPr>
                <w:sz w:val="24"/>
                <w:szCs w:val="24"/>
                <w:lang w:val="en-US"/>
              </w:rPr>
              <w:t>25750,0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4AFB30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77250,0</w:t>
            </w:r>
          </w:p>
        </w:tc>
        <w:tc>
          <w:tcPr>
            <w:tcW w:w="1196" w:type="dxa"/>
            <w:tcBorders>
              <w:top w:val="single" w:sz="4" w:space="0" w:color="auto"/>
              <w:left w:val="single" w:sz="4" w:space="0" w:color="auto"/>
              <w:bottom w:val="single" w:sz="4" w:space="0" w:color="auto"/>
              <w:right w:val="single" w:sz="4" w:space="0" w:color="auto"/>
            </w:tcBorders>
            <w:vAlign w:val="center"/>
          </w:tcPr>
          <w:p w14:paraId="25D0AA98" w14:textId="7BB4C418"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75C318C5" w14:textId="512D4250"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344143A"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shd w:val="clear" w:color="auto" w:fill="FFFFFF"/>
                <w:lang w:val="kk-KZ"/>
              </w:rPr>
              <w:t>- сатып алынатын жаңбырлатып суару машиналарының саны, бірлік</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C8CF0E"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3BC520F" w14:textId="77777777" w:rsidR="00825059" w:rsidRPr="00D05956" w:rsidRDefault="00825059" w:rsidP="001D7D7A">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A4DA9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325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162EE9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325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B66A8A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61248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975</w:t>
            </w:r>
          </w:p>
        </w:tc>
        <w:tc>
          <w:tcPr>
            <w:tcW w:w="1196" w:type="dxa"/>
            <w:tcBorders>
              <w:top w:val="single" w:sz="4" w:space="0" w:color="auto"/>
              <w:left w:val="single" w:sz="4" w:space="0" w:color="auto"/>
              <w:bottom w:val="single" w:sz="4" w:space="0" w:color="auto"/>
              <w:right w:val="single" w:sz="4" w:space="0" w:color="auto"/>
            </w:tcBorders>
            <w:vAlign w:val="center"/>
          </w:tcPr>
          <w:p w14:paraId="5055E0A3" w14:textId="60D3B458"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41E7EC2E" w14:textId="0997A46F"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89A3394"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kern w:val="36"/>
                <w:sz w:val="24"/>
                <w:szCs w:val="24"/>
                <w:lang w:val="kk-KZ"/>
              </w:rPr>
              <w:t>2-көрсеткіш. Су үнемдеу технологиялары (тамшылатып суару, жаңбырлатып суару) қолданылатын жерлер алаңы, мың га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EB991E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230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01F1C4B"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265</w:t>
            </w:r>
          </w:p>
        </w:tc>
        <w:tc>
          <w:tcPr>
            <w:tcW w:w="996" w:type="dxa"/>
            <w:tcBorders>
              <w:top w:val="single" w:sz="4" w:space="0" w:color="auto"/>
              <w:left w:val="single" w:sz="4" w:space="0" w:color="auto"/>
              <w:bottom w:val="single" w:sz="4" w:space="0" w:color="auto"/>
              <w:right w:val="single" w:sz="4" w:space="0" w:color="auto"/>
            </w:tcBorders>
            <w:vAlign w:val="center"/>
            <w:hideMark/>
          </w:tcPr>
          <w:p w14:paraId="648D26C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614E58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373</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AB71C7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450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CC4E6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1618</w:t>
            </w:r>
          </w:p>
        </w:tc>
        <w:tc>
          <w:tcPr>
            <w:tcW w:w="1196" w:type="dxa"/>
            <w:tcBorders>
              <w:top w:val="single" w:sz="4" w:space="0" w:color="auto"/>
              <w:left w:val="single" w:sz="4" w:space="0" w:color="auto"/>
              <w:bottom w:val="single" w:sz="4" w:space="0" w:color="auto"/>
              <w:right w:val="single" w:sz="4" w:space="0" w:color="auto"/>
            </w:tcBorders>
            <w:vAlign w:val="center"/>
          </w:tcPr>
          <w:p w14:paraId="198BFA49" w14:textId="34BA75E7"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58C57F07" w14:textId="2A0D92B2"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795C6DBC"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1-іс-шара. Су беру жөніндегі көрсетілетін қызметтер құнын субсидиялау, млн. теңге</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EABB02" w14:textId="77777777" w:rsidR="00825059" w:rsidRPr="00D05956" w:rsidRDefault="00825059" w:rsidP="001D7D7A">
            <w:pPr>
              <w:pStyle w:val="TableParagraph"/>
              <w:jc w:val="center"/>
              <w:rPr>
                <w:sz w:val="24"/>
                <w:szCs w:val="24"/>
                <w:lang w:val="en-US"/>
              </w:rPr>
            </w:pPr>
            <w:r w:rsidRPr="00D05956">
              <w:rPr>
                <w:sz w:val="24"/>
                <w:szCs w:val="24"/>
                <w:lang w:val="en-US"/>
              </w:rPr>
              <w:t>3175</w:t>
            </w:r>
            <w:r w:rsidRPr="00D05956">
              <w:rPr>
                <w:sz w:val="24"/>
                <w:szCs w:val="24"/>
                <w:lang w:val="kk-KZ"/>
              </w:rPr>
              <w:t>,</w:t>
            </w:r>
            <w:r w:rsidRPr="00D05956">
              <w:rPr>
                <w:sz w:val="24"/>
                <w:szCs w:val="24"/>
                <w:lang w:val="en-US"/>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D15235A" w14:textId="77777777" w:rsidR="00825059" w:rsidRPr="00D05956" w:rsidRDefault="00825059" w:rsidP="001D7D7A">
            <w:pPr>
              <w:pStyle w:val="TableParagraph"/>
              <w:jc w:val="center"/>
              <w:rPr>
                <w:sz w:val="24"/>
                <w:szCs w:val="24"/>
                <w:lang w:val="en-US"/>
              </w:rPr>
            </w:pPr>
            <w:r w:rsidRPr="00D05956">
              <w:rPr>
                <w:sz w:val="24"/>
                <w:szCs w:val="24"/>
                <w:lang w:val="en-US"/>
              </w:rPr>
              <w:t>3233</w:t>
            </w:r>
            <w:r w:rsidRPr="00D05956">
              <w:rPr>
                <w:sz w:val="24"/>
                <w:szCs w:val="24"/>
                <w:lang w:val="kk-KZ"/>
              </w:rPr>
              <w:t>,</w:t>
            </w:r>
            <w:r w:rsidRPr="00D05956">
              <w:rPr>
                <w:sz w:val="24"/>
                <w:szCs w:val="24"/>
                <w:lang w:val="en-US"/>
              </w:rPr>
              <w:t>9</w:t>
            </w:r>
          </w:p>
        </w:tc>
        <w:tc>
          <w:tcPr>
            <w:tcW w:w="996" w:type="dxa"/>
            <w:tcBorders>
              <w:top w:val="single" w:sz="4" w:space="0" w:color="auto"/>
              <w:left w:val="single" w:sz="4" w:space="0" w:color="auto"/>
              <w:bottom w:val="single" w:sz="4" w:space="0" w:color="auto"/>
              <w:right w:val="single" w:sz="4" w:space="0" w:color="auto"/>
            </w:tcBorders>
            <w:vAlign w:val="center"/>
            <w:hideMark/>
          </w:tcPr>
          <w:p w14:paraId="5EFA158D" w14:textId="77777777" w:rsidR="00825059" w:rsidRPr="00D05956" w:rsidRDefault="00825059" w:rsidP="001D7D7A">
            <w:pPr>
              <w:pStyle w:val="TableParagraph"/>
              <w:jc w:val="center"/>
              <w:rPr>
                <w:sz w:val="24"/>
                <w:szCs w:val="24"/>
                <w:lang w:val="kk-KZ"/>
              </w:rPr>
            </w:pPr>
            <w:r w:rsidRPr="00D05956">
              <w:rPr>
                <w:sz w:val="24"/>
                <w:szCs w:val="24"/>
                <w:lang w:val="en-US"/>
              </w:rPr>
              <w:t>3232</w:t>
            </w:r>
            <w:r w:rsidRPr="00D05956">
              <w:rPr>
                <w:sz w:val="24"/>
                <w:szCs w:val="24"/>
                <w:lang w:val="kk-KZ"/>
              </w:rPr>
              <w:t>,3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B19A49B" w14:textId="77777777" w:rsidR="00825059" w:rsidRPr="00D05956" w:rsidRDefault="00825059" w:rsidP="001D7D7A">
            <w:pPr>
              <w:pStyle w:val="TableParagraph"/>
              <w:jc w:val="center"/>
              <w:rPr>
                <w:sz w:val="24"/>
                <w:szCs w:val="24"/>
                <w:lang w:val="kk-KZ"/>
              </w:rPr>
            </w:pPr>
            <w:r w:rsidRPr="00D05956">
              <w:rPr>
                <w:sz w:val="24"/>
                <w:szCs w:val="24"/>
                <w:lang w:val="en-US"/>
              </w:rPr>
              <w:t>3334</w:t>
            </w:r>
            <w:r w:rsidRPr="00D05956">
              <w:rPr>
                <w:sz w:val="24"/>
                <w:szCs w:val="24"/>
                <w:lang w:val="kk-KZ"/>
              </w:rPr>
              <w:t>,1</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1CC94BD" w14:textId="77777777" w:rsidR="00825059" w:rsidRPr="00D05956" w:rsidRDefault="00825059" w:rsidP="001D7D7A">
            <w:pPr>
              <w:pStyle w:val="TableParagraph"/>
              <w:jc w:val="center"/>
              <w:rPr>
                <w:sz w:val="24"/>
                <w:szCs w:val="24"/>
                <w:lang w:val="kk-KZ"/>
              </w:rPr>
            </w:pPr>
            <w:r w:rsidRPr="00D05956">
              <w:rPr>
                <w:sz w:val="24"/>
                <w:szCs w:val="24"/>
                <w:lang w:val="en-US"/>
              </w:rPr>
              <w:t>3449</w:t>
            </w:r>
            <w:r w:rsidRPr="00D05956">
              <w:rPr>
                <w:sz w:val="24"/>
                <w:szCs w:val="24"/>
                <w:lang w:val="kk-KZ"/>
              </w:rPr>
              <w:t>,2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0730CF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eastAsia="ru-RU"/>
              </w:rPr>
              <w:t>16425,0</w:t>
            </w:r>
          </w:p>
        </w:tc>
        <w:tc>
          <w:tcPr>
            <w:tcW w:w="1196" w:type="dxa"/>
            <w:tcBorders>
              <w:top w:val="single" w:sz="4" w:space="0" w:color="auto"/>
              <w:left w:val="single" w:sz="4" w:space="0" w:color="auto"/>
              <w:bottom w:val="single" w:sz="4" w:space="0" w:color="auto"/>
              <w:right w:val="single" w:sz="4" w:space="0" w:color="auto"/>
            </w:tcBorders>
            <w:vAlign w:val="center"/>
          </w:tcPr>
          <w:p w14:paraId="65C177C6" w14:textId="03F3F96C" w:rsidR="00825059" w:rsidRPr="00825059" w:rsidRDefault="00825059" w:rsidP="00825059">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1,40</w:t>
            </w:r>
          </w:p>
        </w:tc>
      </w:tr>
      <w:tr w:rsidR="00825059" w:rsidRPr="00D05956" w14:paraId="24341F77" w14:textId="4A1CE136"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BA70FD4" w14:textId="77777777" w:rsidR="00825059" w:rsidRPr="00D05956" w:rsidRDefault="00825059" w:rsidP="001D7D7A">
            <w:pPr>
              <w:tabs>
                <w:tab w:val="left" w:pos="122"/>
              </w:tabs>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shd w:val="clear" w:color="auto" w:fill="FFFFFF"/>
                <w:lang w:val="kk-KZ"/>
              </w:rPr>
              <w:t>- субсидияланған судың көлемі, млн м</w:t>
            </w:r>
            <w:r w:rsidRPr="00D05956">
              <w:rPr>
                <w:rFonts w:ascii="Times New Roman" w:hAnsi="Times New Roman" w:cs="Times New Roman"/>
                <w:color w:val="000000"/>
                <w:spacing w:val="2"/>
                <w:sz w:val="24"/>
                <w:szCs w:val="24"/>
                <w:bdr w:val="none" w:sz="0" w:space="0" w:color="auto" w:frame="1"/>
                <w:shd w:val="clear" w:color="auto" w:fill="FFFFFF"/>
                <w:vertAlign w:val="superscript"/>
                <w:lang w:val="kk-KZ"/>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317069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3737,7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565A3A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3924,2</w:t>
            </w:r>
          </w:p>
        </w:tc>
        <w:tc>
          <w:tcPr>
            <w:tcW w:w="996" w:type="dxa"/>
            <w:tcBorders>
              <w:top w:val="single" w:sz="4" w:space="0" w:color="auto"/>
              <w:left w:val="single" w:sz="4" w:space="0" w:color="auto"/>
              <w:bottom w:val="single" w:sz="4" w:space="0" w:color="auto"/>
              <w:right w:val="single" w:sz="4" w:space="0" w:color="auto"/>
            </w:tcBorders>
            <w:vAlign w:val="center"/>
            <w:hideMark/>
          </w:tcPr>
          <w:p w14:paraId="0743353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3921,2</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85DAE7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4120,7</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CFACE2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4326,7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C31CC9"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20030,5</w:t>
            </w:r>
          </w:p>
        </w:tc>
        <w:tc>
          <w:tcPr>
            <w:tcW w:w="1196" w:type="dxa"/>
            <w:tcBorders>
              <w:top w:val="single" w:sz="4" w:space="0" w:color="auto"/>
              <w:left w:val="single" w:sz="4" w:space="0" w:color="auto"/>
              <w:bottom w:val="single" w:sz="4" w:space="0" w:color="auto"/>
              <w:right w:val="single" w:sz="4" w:space="0" w:color="auto"/>
            </w:tcBorders>
            <w:vAlign w:val="center"/>
          </w:tcPr>
          <w:p w14:paraId="50F8BF3D" w14:textId="5EDCA217"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5C1D59A7"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tcPr>
          <w:p w14:paraId="33E52AF0" w14:textId="3FE60063" w:rsidR="00825059" w:rsidRPr="00D05956" w:rsidRDefault="00825059" w:rsidP="00825059">
            <w:pPr>
              <w:tabs>
                <w:tab w:val="left" w:pos="122"/>
              </w:tabs>
              <w:rPr>
                <w:rFonts w:ascii="Times New Roman" w:hAnsi="Times New Roman" w:cs="Times New Roman"/>
                <w:color w:val="000000"/>
                <w:spacing w:val="2"/>
                <w:sz w:val="24"/>
                <w:szCs w:val="24"/>
                <w:bdr w:val="none" w:sz="0" w:space="0" w:color="auto" w:frame="1"/>
                <w:shd w:val="clear" w:color="auto" w:fill="FFFFFF"/>
                <w:lang w:val="kk-KZ"/>
              </w:rPr>
            </w:pPr>
            <w:r w:rsidRPr="00D05956">
              <w:rPr>
                <w:rFonts w:ascii="Times New Roman" w:hAnsi="Times New Roman" w:cs="Times New Roman"/>
                <w:color w:val="000000"/>
                <w:spacing w:val="2"/>
                <w:sz w:val="24"/>
                <w:szCs w:val="24"/>
                <w:shd w:val="clear" w:color="auto" w:fill="FFFFFF"/>
                <w:lang w:val="kk-KZ"/>
              </w:rPr>
              <w:t>3-көрсеткіш. Субсидиялау көлемін өсіру есебінен жоғары сапалы тұқымдарды 1,2 есе ұлғайту, %</w:t>
            </w:r>
          </w:p>
        </w:tc>
        <w:tc>
          <w:tcPr>
            <w:tcW w:w="1133" w:type="dxa"/>
            <w:tcBorders>
              <w:top w:val="single" w:sz="4" w:space="0" w:color="auto"/>
              <w:left w:val="single" w:sz="4" w:space="0" w:color="auto"/>
              <w:bottom w:val="single" w:sz="4" w:space="0" w:color="auto"/>
              <w:right w:val="single" w:sz="4" w:space="0" w:color="auto"/>
            </w:tcBorders>
            <w:vAlign w:val="center"/>
          </w:tcPr>
          <w:p w14:paraId="79AD0CE1" w14:textId="75A99A5F" w:rsidR="00825059" w:rsidRPr="00D05956" w:rsidRDefault="00825059" w:rsidP="00825059">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115</w:t>
            </w:r>
          </w:p>
        </w:tc>
        <w:tc>
          <w:tcPr>
            <w:tcW w:w="1126" w:type="dxa"/>
            <w:tcBorders>
              <w:top w:val="single" w:sz="4" w:space="0" w:color="auto"/>
              <w:left w:val="single" w:sz="4" w:space="0" w:color="auto"/>
              <w:bottom w:val="single" w:sz="4" w:space="0" w:color="auto"/>
              <w:right w:val="single" w:sz="4" w:space="0" w:color="auto"/>
            </w:tcBorders>
            <w:vAlign w:val="center"/>
          </w:tcPr>
          <w:p w14:paraId="7ED40FD1" w14:textId="06942880" w:rsidR="00825059" w:rsidRPr="00D05956" w:rsidRDefault="00825059" w:rsidP="00825059">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118</w:t>
            </w:r>
          </w:p>
        </w:tc>
        <w:tc>
          <w:tcPr>
            <w:tcW w:w="996" w:type="dxa"/>
            <w:tcBorders>
              <w:top w:val="single" w:sz="4" w:space="0" w:color="auto"/>
              <w:left w:val="single" w:sz="4" w:space="0" w:color="auto"/>
              <w:bottom w:val="single" w:sz="4" w:space="0" w:color="auto"/>
              <w:right w:val="single" w:sz="4" w:space="0" w:color="auto"/>
            </w:tcBorders>
            <w:vAlign w:val="center"/>
          </w:tcPr>
          <w:p w14:paraId="286FBD56" w14:textId="7CE25EE2" w:rsidR="00825059" w:rsidRPr="00D05956" w:rsidRDefault="00825059" w:rsidP="00825059">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114</w:t>
            </w:r>
          </w:p>
        </w:tc>
        <w:tc>
          <w:tcPr>
            <w:tcW w:w="1446" w:type="dxa"/>
            <w:tcBorders>
              <w:top w:val="single" w:sz="4" w:space="0" w:color="auto"/>
              <w:left w:val="single" w:sz="4" w:space="0" w:color="auto"/>
              <w:bottom w:val="single" w:sz="4" w:space="0" w:color="auto"/>
              <w:right w:val="single" w:sz="4" w:space="0" w:color="auto"/>
            </w:tcBorders>
            <w:vAlign w:val="center"/>
          </w:tcPr>
          <w:p w14:paraId="61BF622F" w14:textId="135F00A3" w:rsidR="00825059" w:rsidRPr="00D05956" w:rsidRDefault="00825059" w:rsidP="00825059">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117</w:t>
            </w:r>
          </w:p>
        </w:tc>
        <w:tc>
          <w:tcPr>
            <w:tcW w:w="1117" w:type="dxa"/>
            <w:tcBorders>
              <w:top w:val="single" w:sz="4" w:space="0" w:color="auto"/>
              <w:left w:val="single" w:sz="4" w:space="0" w:color="auto"/>
              <w:bottom w:val="single" w:sz="4" w:space="0" w:color="auto"/>
              <w:right w:val="single" w:sz="4" w:space="0" w:color="auto"/>
            </w:tcBorders>
            <w:vAlign w:val="center"/>
          </w:tcPr>
          <w:p w14:paraId="06268C08" w14:textId="3EA81C7F" w:rsidR="00825059" w:rsidRPr="00D05956" w:rsidRDefault="00825059" w:rsidP="00825059">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120</w:t>
            </w:r>
          </w:p>
        </w:tc>
        <w:tc>
          <w:tcPr>
            <w:tcW w:w="1237" w:type="dxa"/>
            <w:tcBorders>
              <w:top w:val="single" w:sz="4" w:space="0" w:color="auto"/>
              <w:left w:val="single" w:sz="4" w:space="0" w:color="auto"/>
              <w:bottom w:val="single" w:sz="4" w:space="0" w:color="auto"/>
              <w:right w:val="single" w:sz="4" w:space="0" w:color="auto"/>
            </w:tcBorders>
            <w:vAlign w:val="center"/>
          </w:tcPr>
          <w:p w14:paraId="0FD6B20D" w14:textId="5259FF37" w:rsidR="00825059" w:rsidRPr="00D05956" w:rsidRDefault="00825059" w:rsidP="00825059">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120</w:t>
            </w:r>
          </w:p>
        </w:tc>
        <w:tc>
          <w:tcPr>
            <w:tcW w:w="1196" w:type="dxa"/>
            <w:tcBorders>
              <w:top w:val="single" w:sz="4" w:space="0" w:color="auto"/>
              <w:left w:val="single" w:sz="4" w:space="0" w:color="auto"/>
              <w:bottom w:val="single" w:sz="4" w:space="0" w:color="auto"/>
              <w:right w:val="single" w:sz="4" w:space="0" w:color="auto"/>
            </w:tcBorders>
            <w:vAlign w:val="center"/>
          </w:tcPr>
          <w:p w14:paraId="3A795778" w14:textId="61A0BAF8" w:rsid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14:paraId="198A0B31" w14:textId="77777777" w:rsidTr="00825059">
        <w:trPr>
          <w:jc w:val="center"/>
        </w:trPr>
        <w:tc>
          <w:tcPr>
            <w:tcW w:w="13731" w:type="dxa"/>
            <w:gridSpan w:val="7"/>
            <w:tcBorders>
              <w:top w:val="nil"/>
              <w:left w:val="nil"/>
              <w:bottom w:val="single" w:sz="4" w:space="0" w:color="auto"/>
              <w:right w:val="nil"/>
            </w:tcBorders>
          </w:tcPr>
          <w:p w14:paraId="4D6715E8" w14:textId="70C104D8" w:rsidR="00825059" w:rsidRPr="00825059" w:rsidRDefault="00825059" w:rsidP="00825059">
            <w:pPr>
              <w:pStyle w:val="TableParagraph"/>
              <w:ind w:hanging="111"/>
              <w:rPr>
                <w:sz w:val="28"/>
                <w:szCs w:val="28"/>
                <w:lang w:val="kk-KZ"/>
              </w:rPr>
            </w:pPr>
            <w:r>
              <w:rPr>
                <w:sz w:val="28"/>
                <w:szCs w:val="28"/>
                <w:lang w:val="kk-KZ"/>
              </w:rPr>
              <w:t>А.1-кестенің жалғасы</w:t>
            </w:r>
          </w:p>
        </w:tc>
        <w:tc>
          <w:tcPr>
            <w:tcW w:w="1196" w:type="dxa"/>
            <w:tcBorders>
              <w:top w:val="nil"/>
              <w:left w:val="nil"/>
              <w:bottom w:val="single" w:sz="4" w:space="0" w:color="auto"/>
              <w:right w:val="nil"/>
            </w:tcBorders>
            <w:vAlign w:val="center"/>
          </w:tcPr>
          <w:p w14:paraId="06C047AA" w14:textId="77777777" w:rsidR="00825059" w:rsidRDefault="00825059" w:rsidP="00825059">
            <w:pPr>
              <w:pStyle w:val="TableParagraph"/>
              <w:ind w:hanging="111"/>
              <w:jc w:val="center"/>
              <w:rPr>
                <w:sz w:val="28"/>
                <w:szCs w:val="28"/>
                <w:lang w:val="kk-KZ"/>
              </w:rPr>
            </w:pPr>
          </w:p>
        </w:tc>
      </w:tr>
      <w:tr w:rsidR="00825059" w14:paraId="35AD3E41"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FDC26BF" w14:textId="77777777" w:rsidR="00825059" w:rsidRDefault="00825059" w:rsidP="00825059">
            <w:pPr>
              <w:tabs>
                <w:tab w:val="left" w:pos="122"/>
              </w:tabs>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BC76653" w14:textId="77777777" w:rsidR="00825059" w:rsidRDefault="00825059" w:rsidP="00825059">
            <w:pPr>
              <w:pStyle w:val="TableParagraph"/>
              <w:jc w:val="center"/>
              <w:rPr>
                <w:sz w:val="24"/>
                <w:szCs w:val="24"/>
                <w:lang w:val="kk-KZ"/>
              </w:rPr>
            </w:pPr>
            <w:r>
              <w:rPr>
                <w:sz w:val="24"/>
                <w:szCs w:val="24"/>
                <w:lang w:val="kk-KZ"/>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BAD3812" w14:textId="77777777" w:rsidR="00825059" w:rsidRDefault="00825059" w:rsidP="00825059">
            <w:pPr>
              <w:pStyle w:val="TableParagraph"/>
              <w:jc w:val="center"/>
              <w:rPr>
                <w:sz w:val="24"/>
                <w:szCs w:val="24"/>
                <w:lang w:val="kk-KZ"/>
              </w:rPr>
            </w:pPr>
            <w:r>
              <w:rPr>
                <w:sz w:val="24"/>
                <w:szCs w:val="24"/>
                <w:lang w:val="kk-KZ"/>
              </w:rPr>
              <w:t>3</w:t>
            </w:r>
          </w:p>
        </w:tc>
        <w:tc>
          <w:tcPr>
            <w:tcW w:w="996" w:type="dxa"/>
            <w:tcBorders>
              <w:top w:val="single" w:sz="4" w:space="0" w:color="auto"/>
              <w:left w:val="single" w:sz="4" w:space="0" w:color="auto"/>
              <w:bottom w:val="single" w:sz="4" w:space="0" w:color="auto"/>
              <w:right w:val="single" w:sz="4" w:space="0" w:color="auto"/>
            </w:tcBorders>
            <w:vAlign w:val="center"/>
            <w:hideMark/>
          </w:tcPr>
          <w:p w14:paraId="4F4CF40A" w14:textId="77777777" w:rsidR="00825059" w:rsidRDefault="00825059" w:rsidP="00825059">
            <w:pPr>
              <w:pStyle w:val="TableParagraph"/>
              <w:jc w:val="center"/>
              <w:rPr>
                <w:sz w:val="24"/>
                <w:szCs w:val="24"/>
                <w:lang w:val="kk-KZ"/>
              </w:rPr>
            </w:pPr>
            <w:r>
              <w:rPr>
                <w:sz w:val="24"/>
                <w:szCs w:val="24"/>
                <w:lang w:val="kk-KZ"/>
              </w:rPr>
              <w:t>4</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63AF3E1" w14:textId="77777777" w:rsidR="00825059" w:rsidRDefault="00825059" w:rsidP="00825059">
            <w:pPr>
              <w:pStyle w:val="TableParagraph"/>
              <w:jc w:val="center"/>
              <w:rPr>
                <w:sz w:val="24"/>
                <w:szCs w:val="24"/>
                <w:lang w:val="kk-KZ"/>
              </w:rPr>
            </w:pPr>
            <w:r>
              <w:rPr>
                <w:sz w:val="24"/>
                <w:szCs w:val="24"/>
                <w:lang w:val="kk-KZ"/>
              </w:rPr>
              <w:t>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EAAED2F" w14:textId="77777777" w:rsidR="00825059" w:rsidRDefault="00825059" w:rsidP="00825059">
            <w:pPr>
              <w:pStyle w:val="TableParagraph"/>
              <w:jc w:val="center"/>
              <w:rPr>
                <w:sz w:val="24"/>
                <w:szCs w:val="24"/>
                <w:lang w:val="kk-KZ"/>
              </w:rPr>
            </w:pPr>
            <w:r>
              <w:rPr>
                <w:sz w:val="24"/>
                <w:szCs w:val="24"/>
                <w:lang w:val="kk-KZ"/>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E59F3DF" w14:textId="77777777" w:rsidR="00825059" w:rsidRDefault="00825059" w:rsidP="00825059">
            <w:pPr>
              <w:pStyle w:val="TableParagraph"/>
              <w:jc w:val="center"/>
              <w:rPr>
                <w:sz w:val="24"/>
                <w:szCs w:val="24"/>
                <w:lang w:val="kk-KZ"/>
              </w:rPr>
            </w:pPr>
            <w:r>
              <w:rPr>
                <w:sz w:val="24"/>
                <w:szCs w:val="24"/>
                <w:lang w:val="kk-KZ"/>
              </w:rPr>
              <w:t>7</w:t>
            </w:r>
          </w:p>
        </w:tc>
        <w:tc>
          <w:tcPr>
            <w:tcW w:w="1196" w:type="dxa"/>
            <w:tcBorders>
              <w:top w:val="single" w:sz="4" w:space="0" w:color="auto"/>
              <w:left w:val="single" w:sz="4" w:space="0" w:color="auto"/>
              <w:bottom w:val="single" w:sz="4" w:space="0" w:color="auto"/>
              <w:right w:val="single" w:sz="4" w:space="0" w:color="auto"/>
            </w:tcBorders>
            <w:vAlign w:val="center"/>
          </w:tcPr>
          <w:p w14:paraId="0BED9D03" w14:textId="77777777" w:rsidR="00825059" w:rsidRDefault="00825059" w:rsidP="00825059">
            <w:pPr>
              <w:pStyle w:val="TableParagraph"/>
              <w:jc w:val="center"/>
              <w:rPr>
                <w:sz w:val="24"/>
                <w:szCs w:val="24"/>
                <w:lang w:val="kk-KZ"/>
              </w:rPr>
            </w:pPr>
          </w:p>
        </w:tc>
      </w:tr>
      <w:tr w:rsidR="00825059" w:rsidRPr="00D05956" w14:paraId="19562095" w14:textId="5C893961" w:rsidTr="00825059">
        <w:trPr>
          <w:jc w:val="center"/>
        </w:trPr>
        <w:tc>
          <w:tcPr>
            <w:tcW w:w="6676" w:type="dxa"/>
            <w:tcBorders>
              <w:top w:val="single" w:sz="4" w:space="0" w:color="auto"/>
              <w:left w:val="single" w:sz="4" w:space="0" w:color="auto"/>
              <w:bottom w:val="nil"/>
              <w:right w:val="single" w:sz="4" w:space="0" w:color="auto"/>
            </w:tcBorders>
            <w:hideMark/>
          </w:tcPr>
          <w:p w14:paraId="707A824C" w14:textId="77777777" w:rsidR="00825059" w:rsidRPr="00D05956" w:rsidRDefault="00825059" w:rsidP="00825059">
            <w:pPr>
              <w:tabs>
                <w:tab w:val="left" w:pos="122"/>
              </w:tabs>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 xml:space="preserve">1-іс-шара. Тұқым шаруашылығын субсидиялау – жиыны, </w:t>
            </w:r>
            <w:r w:rsidRPr="00D05956">
              <w:rPr>
                <w:rFonts w:ascii="Times New Roman" w:hAnsi="Times New Roman" w:cs="Times New Roman"/>
                <w:kern w:val="36"/>
                <w:sz w:val="24"/>
                <w:szCs w:val="24"/>
                <w:lang w:val="kk-KZ"/>
              </w:rPr>
              <w:t>млн. тг</w:t>
            </w:r>
            <w:r w:rsidRPr="00D05956">
              <w:rPr>
                <w:rFonts w:ascii="Times New Roman" w:hAnsi="Times New Roman" w:cs="Times New Roman"/>
                <w:color w:val="000000"/>
                <w:spacing w:val="2"/>
                <w:sz w:val="24"/>
                <w:szCs w:val="24"/>
                <w:shd w:val="clear" w:color="auto" w:fill="FFFFFF"/>
                <w:lang w:val="kk-KZ"/>
              </w:rPr>
              <w:t xml:space="preserve">, </w:t>
            </w:r>
            <w:r w:rsidRPr="00D05956">
              <w:rPr>
                <w:rFonts w:ascii="Times New Roman" w:hAnsi="Times New Roman" w:cs="Times New Roman"/>
                <w:color w:val="FF0000"/>
                <w:spacing w:val="2"/>
                <w:sz w:val="24"/>
                <w:szCs w:val="24"/>
                <w:shd w:val="clear" w:color="auto" w:fill="FFFFFF"/>
                <w:lang w:val="kk-KZ"/>
              </w:rPr>
              <w:t>оның ішінде:</w:t>
            </w:r>
          </w:p>
        </w:tc>
        <w:tc>
          <w:tcPr>
            <w:tcW w:w="1133" w:type="dxa"/>
            <w:tcBorders>
              <w:top w:val="single" w:sz="4" w:space="0" w:color="auto"/>
              <w:left w:val="single" w:sz="4" w:space="0" w:color="auto"/>
              <w:bottom w:val="nil"/>
              <w:right w:val="single" w:sz="4" w:space="0" w:color="auto"/>
            </w:tcBorders>
            <w:vAlign w:val="center"/>
            <w:hideMark/>
          </w:tcPr>
          <w:p w14:paraId="26E598CC" w14:textId="77777777" w:rsidR="00825059" w:rsidRPr="00D05956" w:rsidRDefault="00825059" w:rsidP="00825059">
            <w:pPr>
              <w:pStyle w:val="TableParagraph"/>
              <w:jc w:val="center"/>
              <w:rPr>
                <w:sz w:val="24"/>
                <w:szCs w:val="24"/>
                <w:lang w:val="kk-KZ"/>
              </w:rPr>
            </w:pPr>
            <w:r w:rsidRPr="00D05956">
              <w:rPr>
                <w:sz w:val="24"/>
                <w:szCs w:val="24"/>
                <w:lang w:val="en-US"/>
              </w:rPr>
              <w:t>15321</w:t>
            </w:r>
            <w:r w:rsidRPr="00D05956">
              <w:rPr>
                <w:sz w:val="24"/>
                <w:szCs w:val="24"/>
                <w:lang w:val="kk-KZ"/>
              </w:rPr>
              <w:t>,2</w:t>
            </w:r>
          </w:p>
        </w:tc>
        <w:tc>
          <w:tcPr>
            <w:tcW w:w="1126" w:type="dxa"/>
            <w:tcBorders>
              <w:top w:val="single" w:sz="4" w:space="0" w:color="auto"/>
              <w:left w:val="single" w:sz="4" w:space="0" w:color="auto"/>
              <w:bottom w:val="nil"/>
              <w:right w:val="single" w:sz="4" w:space="0" w:color="auto"/>
            </w:tcBorders>
            <w:vAlign w:val="center"/>
            <w:hideMark/>
          </w:tcPr>
          <w:p w14:paraId="512385D4" w14:textId="77777777" w:rsidR="00825059" w:rsidRPr="00D05956" w:rsidRDefault="00825059" w:rsidP="00825059">
            <w:pPr>
              <w:pStyle w:val="TableParagraph"/>
              <w:jc w:val="center"/>
              <w:rPr>
                <w:sz w:val="24"/>
                <w:szCs w:val="24"/>
                <w:lang w:val="kk-KZ"/>
              </w:rPr>
            </w:pPr>
            <w:r w:rsidRPr="00D05956">
              <w:rPr>
                <w:sz w:val="24"/>
                <w:szCs w:val="24"/>
                <w:lang w:val="en-US"/>
              </w:rPr>
              <w:t>12636</w:t>
            </w:r>
            <w:r w:rsidRPr="00D05956">
              <w:rPr>
                <w:sz w:val="24"/>
                <w:szCs w:val="24"/>
                <w:lang w:val="kk-KZ"/>
              </w:rPr>
              <w:t>,5</w:t>
            </w:r>
          </w:p>
        </w:tc>
        <w:tc>
          <w:tcPr>
            <w:tcW w:w="996" w:type="dxa"/>
            <w:tcBorders>
              <w:top w:val="single" w:sz="4" w:space="0" w:color="auto"/>
              <w:left w:val="single" w:sz="4" w:space="0" w:color="auto"/>
              <w:bottom w:val="nil"/>
              <w:right w:val="single" w:sz="4" w:space="0" w:color="auto"/>
            </w:tcBorders>
            <w:vAlign w:val="center"/>
            <w:hideMark/>
          </w:tcPr>
          <w:p w14:paraId="5AD1E6F0" w14:textId="77777777" w:rsidR="00825059" w:rsidRPr="00D05956" w:rsidRDefault="00825059" w:rsidP="00825059">
            <w:pPr>
              <w:pStyle w:val="TableParagraph"/>
              <w:jc w:val="center"/>
              <w:rPr>
                <w:sz w:val="24"/>
                <w:szCs w:val="24"/>
                <w:lang w:val="kk-KZ"/>
              </w:rPr>
            </w:pPr>
            <w:r w:rsidRPr="00D05956">
              <w:rPr>
                <w:sz w:val="24"/>
                <w:szCs w:val="24"/>
                <w:lang w:val="en-US"/>
              </w:rPr>
              <w:t>19025</w:t>
            </w:r>
            <w:r w:rsidRPr="00D05956">
              <w:rPr>
                <w:sz w:val="24"/>
                <w:szCs w:val="24"/>
                <w:lang w:val="kk-KZ"/>
              </w:rPr>
              <w:t>,8</w:t>
            </w:r>
          </w:p>
        </w:tc>
        <w:tc>
          <w:tcPr>
            <w:tcW w:w="1446" w:type="dxa"/>
            <w:tcBorders>
              <w:top w:val="single" w:sz="4" w:space="0" w:color="auto"/>
              <w:left w:val="single" w:sz="4" w:space="0" w:color="auto"/>
              <w:bottom w:val="nil"/>
              <w:right w:val="single" w:sz="4" w:space="0" w:color="auto"/>
            </w:tcBorders>
            <w:vAlign w:val="center"/>
            <w:hideMark/>
          </w:tcPr>
          <w:p w14:paraId="4195659F" w14:textId="77777777" w:rsidR="00825059" w:rsidRPr="00D05956" w:rsidRDefault="00825059" w:rsidP="00825059">
            <w:pPr>
              <w:pStyle w:val="TableParagraph"/>
              <w:jc w:val="center"/>
              <w:rPr>
                <w:sz w:val="24"/>
                <w:szCs w:val="24"/>
                <w:lang w:val="kk-KZ"/>
              </w:rPr>
            </w:pPr>
            <w:r w:rsidRPr="00D05956">
              <w:rPr>
                <w:sz w:val="24"/>
                <w:szCs w:val="24"/>
                <w:lang w:val="en-US"/>
              </w:rPr>
              <w:t>19770</w:t>
            </w:r>
            <w:r w:rsidRPr="00D05956">
              <w:rPr>
                <w:sz w:val="24"/>
                <w:szCs w:val="24"/>
                <w:lang w:val="kk-KZ"/>
              </w:rPr>
              <w:t>,1</w:t>
            </w:r>
          </w:p>
        </w:tc>
        <w:tc>
          <w:tcPr>
            <w:tcW w:w="1117" w:type="dxa"/>
            <w:tcBorders>
              <w:top w:val="single" w:sz="4" w:space="0" w:color="auto"/>
              <w:left w:val="single" w:sz="4" w:space="0" w:color="auto"/>
              <w:bottom w:val="nil"/>
              <w:right w:val="single" w:sz="4" w:space="0" w:color="auto"/>
            </w:tcBorders>
            <w:vAlign w:val="center"/>
            <w:hideMark/>
          </w:tcPr>
          <w:p w14:paraId="1B6855D6" w14:textId="77777777" w:rsidR="00825059" w:rsidRPr="00D05956" w:rsidRDefault="00825059" w:rsidP="00825059">
            <w:pPr>
              <w:pStyle w:val="TableParagraph"/>
              <w:jc w:val="center"/>
              <w:rPr>
                <w:sz w:val="24"/>
                <w:szCs w:val="24"/>
                <w:lang w:val="kk-KZ"/>
              </w:rPr>
            </w:pPr>
            <w:r w:rsidRPr="00D05956">
              <w:rPr>
                <w:sz w:val="24"/>
                <w:szCs w:val="24"/>
                <w:lang w:val="en-US"/>
              </w:rPr>
              <w:t>20499</w:t>
            </w:r>
            <w:r w:rsidRPr="00D05956">
              <w:rPr>
                <w:sz w:val="24"/>
                <w:szCs w:val="24"/>
                <w:lang w:val="kk-KZ"/>
              </w:rPr>
              <w:t>,3</w:t>
            </w:r>
          </w:p>
        </w:tc>
        <w:tc>
          <w:tcPr>
            <w:tcW w:w="1237" w:type="dxa"/>
            <w:tcBorders>
              <w:top w:val="single" w:sz="4" w:space="0" w:color="auto"/>
              <w:left w:val="single" w:sz="4" w:space="0" w:color="auto"/>
              <w:bottom w:val="nil"/>
              <w:right w:val="single" w:sz="4" w:space="0" w:color="auto"/>
            </w:tcBorders>
            <w:vAlign w:val="center"/>
            <w:hideMark/>
          </w:tcPr>
          <w:p w14:paraId="0CB1BAC0"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eastAsia="ru-RU"/>
              </w:rPr>
              <w:t>87252,9</w:t>
            </w:r>
          </w:p>
        </w:tc>
        <w:tc>
          <w:tcPr>
            <w:tcW w:w="1196" w:type="dxa"/>
            <w:tcBorders>
              <w:top w:val="single" w:sz="4" w:space="0" w:color="auto"/>
              <w:left w:val="single" w:sz="4" w:space="0" w:color="auto"/>
              <w:bottom w:val="nil"/>
              <w:right w:val="single" w:sz="4" w:space="0" w:color="auto"/>
            </w:tcBorders>
            <w:vAlign w:val="center"/>
          </w:tcPr>
          <w:p w14:paraId="176B21D2" w14:textId="73F70B53" w:rsidR="00825059" w:rsidRPr="00825059" w:rsidRDefault="00825059" w:rsidP="00825059">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7,45</w:t>
            </w:r>
          </w:p>
        </w:tc>
      </w:tr>
      <w:tr w:rsidR="00825059" w:rsidRPr="00D05956" w14:paraId="03369849" w14:textId="66B5E96E"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82CBCE3"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жергілікті бюджет, млн.тг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7571241" w14:textId="77777777" w:rsidR="00825059" w:rsidRPr="00D05956" w:rsidRDefault="00825059" w:rsidP="00825059">
            <w:pPr>
              <w:pStyle w:val="TableParagraph"/>
              <w:jc w:val="center"/>
              <w:rPr>
                <w:sz w:val="24"/>
                <w:szCs w:val="24"/>
                <w:lang w:val="kk-KZ"/>
              </w:rPr>
            </w:pPr>
            <w:r w:rsidRPr="00D05956">
              <w:rPr>
                <w:sz w:val="24"/>
                <w:szCs w:val="24"/>
                <w:lang w:val="en-US"/>
              </w:rPr>
              <w:t>11021</w:t>
            </w:r>
            <w:r w:rsidRPr="00D05956">
              <w:rPr>
                <w:sz w:val="24"/>
                <w:szCs w:val="24"/>
                <w:lang w:val="kk-KZ"/>
              </w:rPr>
              <w:t>,0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2640D86" w14:textId="77777777" w:rsidR="00825059" w:rsidRPr="00D05956" w:rsidRDefault="00825059" w:rsidP="00825059">
            <w:pPr>
              <w:pStyle w:val="TableParagraph"/>
              <w:jc w:val="center"/>
              <w:rPr>
                <w:sz w:val="24"/>
                <w:szCs w:val="24"/>
                <w:lang w:val="kk-KZ"/>
              </w:rPr>
            </w:pPr>
            <w:r w:rsidRPr="00D05956">
              <w:rPr>
                <w:sz w:val="24"/>
                <w:szCs w:val="24"/>
                <w:lang w:val="en-US"/>
              </w:rPr>
              <w:t>12636</w:t>
            </w:r>
            <w:r w:rsidRPr="00D05956">
              <w:rPr>
                <w:sz w:val="24"/>
                <w:szCs w:val="24"/>
                <w:lang w:val="kk-KZ"/>
              </w:rPr>
              <w:t>,5</w:t>
            </w:r>
          </w:p>
        </w:tc>
        <w:tc>
          <w:tcPr>
            <w:tcW w:w="996" w:type="dxa"/>
            <w:tcBorders>
              <w:top w:val="single" w:sz="4" w:space="0" w:color="auto"/>
              <w:left w:val="single" w:sz="4" w:space="0" w:color="auto"/>
              <w:bottom w:val="single" w:sz="4" w:space="0" w:color="auto"/>
              <w:right w:val="single" w:sz="4" w:space="0" w:color="auto"/>
            </w:tcBorders>
            <w:vAlign w:val="center"/>
            <w:hideMark/>
          </w:tcPr>
          <w:p w14:paraId="43679337" w14:textId="77777777" w:rsidR="00825059" w:rsidRPr="00D05956" w:rsidRDefault="00825059" w:rsidP="00825059">
            <w:pPr>
              <w:pStyle w:val="TableParagraph"/>
              <w:jc w:val="center"/>
              <w:rPr>
                <w:sz w:val="24"/>
                <w:szCs w:val="24"/>
                <w:lang w:val="kk-KZ"/>
              </w:rPr>
            </w:pPr>
            <w:r w:rsidRPr="00D05956">
              <w:rPr>
                <w:sz w:val="24"/>
                <w:szCs w:val="24"/>
                <w:lang w:val="en-US"/>
              </w:rPr>
              <w:t>13025</w:t>
            </w:r>
            <w:r w:rsidRPr="00D05956">
              <w:rPr>
                <w:sz w:val="24"/>
                <w:szCs w:val="24"/>
                <w:lang w:val="kk-KZ"/>
              </w:rPr>
              <w:t>,6</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7876E08" w14:textId="77777777" w:rsidR="00825059" w:rsidRPr="00D05956" w:rsidRDefault="00825059" w:rsidP="00825059">
            <w:pPr>
              <w:pStyle w:val="TableParagraph"/>
              <w:jc w:val="center"/>
              <w:rPr>
                <w:sz w:val="24"/>
                <w:szCs w:val="24"/>
                <w:lang w:val="en-US"/>
              </w:rPr>
            </w:pPr>
            <w:r w:rsidRPr="00D05956">
              <w:rPr>
                <w:sz w:val="24"/>
                <w:szCs w:val="24"/>
                <w:lang w:val="en-US"/>
              </w:rPr>
              <w:t>13770,0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1952CEF" w14:textId="77777777" w:rsidR="00825059" w:rsidRPr="00D05956" w:rsidRDefault="00825059" w:rsidP="00825059">
            <w:pPr>
              <w:pStyle w:val="TableParagraph"/>
              <w:jc w:val="center"/>
              <w:rPr>
                <w:sz w:val="24"/>
                <w:szCs w:val="24"/>
                <w:lang w:val="kk-KZ"/>
              </w:rPr>
            </w:pPr>
            <w:r w:rsidRPr="00D05956">
              <w:rPr>
                <w:sz w:val="24"/>
                <w:szCs w:val="24"/>
                <w:lang w:val="en-US"/>
              </w:rPr>
              <w:t>14499</w:t>
            </w:r>
            <w:r w:rsidRPr="00D05956">
              <w:rPr>
                <w:sz w:val="24"/>
                <w:szCs w:val="24"/>
                <w:lang w:val="kk-KZ"/>
              </w:rPr>
              <w:t>,0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E9823F" w14:textId="77777777" w:rsidR="00825059" w:rsidRPr="00D05956" w:rsidRDefault="00825059" w:rsidP="00825059">
            <w:pPr>
              <w:pStyle w:val="TableParagraph"/>
              <w:jc w:val="center"/>
              <w:rPr>
                <w:sz w:val="24"/>
                <w:szCs w:val="24"/>
                <w:lang w:val="en-US"/>
              </w:rPr>
            </w:pPr>
            <w:r w:rsidRPr="00D05956">
              <w:rPr>
                <w:sz w:val="24"/>
                <w:szCs w:val="24"/>
                <w:lang w:val="en-US"/>
              </w:rPr>
              <w:t>64952</w:t>
            </w:r>
            <w:r w:rsidRPr="00D05956">
              <w:rPr>
                <w:sz w:val="24"/>
                <w:szCs w:val="24"/>
                <w:lang w:val="kk-KZ"/>
              </w:rPr>
              <w:t>,</w:t>
            </w:r>
            <w:r w:rsidRPr="00D05956">
              <w:rPr>
                <w:sz w:val="24"/>
                <w:szCs w:val="24"/>
                <w:lang w:val="en-US"/>
              </w:rPr>
              <w:t>9</w:t>
            </w:r>
          </w:p>
        </w:tc>
        <w:tc>
          <w:tcPr>
            <w:tcW w:w="1196" w:type="dxa"/>
            <w:tcBorders>
              <w:top w:val="single" w:sz="4" w:space="0" w:color="auto"/>
              <w:left w:val="single" w:sz="4" w:space="0" w:color="auto"/>
              <w:bottom w:val="single" w:sz="4" w:space="0" w:color="auto"/>
              <w:right w:val="single" w:sz="4" w:space="0" w:color="auto"/>
            </w:tcBorders>
            <w:vAlign w:val="center"/>
          </w:tcPr>
          <w:p w14:paraId="6BC91625" w14:textId="26BCF766" w:rsidR="00825059" w:rsidRPr="00825059" w:rsidRDefault="00825059" w:rsidP="00825059">
            <w:pPr>
              <w:pStyle w:val="TableParagraph"/>
              <w:jc w:val="center"/>
              <w:rPr>
                <w:sz w:val="24"/>
                <w:szCs w:val="24"/>
                <w:lang w:val="kk-KZ"/>
              </w:rPr>
            </w:pPr>
            <w:r>
              <w:rPr>
                <w:sz w:val="24"/>
                <w:szCs w:val="24"/>
                <w:lang w:val="kk-KZ"/>
              </w:rPr>
              <w:t>-</w:t>
            </w:r>
          </w:p>
        </w:tc>
      </w:tr>
      <w:tr w:rsidR="00825059" w:rsidRPr="00D05956" w14:paraId="4AA0031D" w14:textId="1C638CF1"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607CE37D"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-республикалық бюджет, млн.тг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2300A61" w14:textId="77777777" w:rsidR="00825059" w:rsidRPr="00D05956" w:rsidRDefault="00825059" w:rsidP="00825059">
            <w:pPr>
              <w:pStyle w:val="TableParagraph"/>
              <w:jc w:val="center"/>
              <w:rPr>
                <w:sz w:val="24"/>
                <w:szCs w:val="24"/>
                <w:lang w:val="en-US"/>
              </w:rPr>
            </w:pPr>
            <w:r w:rsidRPr="00D05956">
              <w:rPr>
                <w:sz w:val="24"/>
                <w:szCs w:val="24"/>
                <w:lang w:val="en-US"/>
              </w:rPr>
              <w:t>4300,0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80AFF28" w14:textId="77777777" w:rsidR="00825059" w:rsidRPr="00D05956" w:rsidRDefault="00825059" w:rsidP="00825059">
            <w:pPr>
              <w:pStyle w:val="TableParagraph"/>
              <w:jc w:val="center"/>
              <w:rPr>
                <w:sz w:val="24"/>
                <w:szCs w:val="24"/>
                <w:lang w:val="kk-KZ"/>
              </w:rPr>
            </w:pPr>
            <w:r w:rsidRPr="00D05956">
              <w:rPr>
                <w:sz w:val="24"/>
                <w:szCs w:val="24"/>
                <w:lang w:val="kk-KZ"/>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58EB8C27" w14:textId="77777777" w:rsidR="00825059" w:rsidRPr="00D05956" w:rsidRDefault="00825059" w:rsidP="00825059">
            <w:pPr>
              <w:pStyle w:val="TableParagraph"/>
              <w:jc w:val="center"/>
              <w:rPr>
                <w:sz w:val="24"/>
                <w:szCs w:val="24"/>
                <w:lang w:val="en-US"/>
              </w:rPr>
            </w:pPr>
            <w:r w:rsidRPr="00D05956">
              <w:rPr>
                <w:sz w:val="24"/>
                <w:szCs w:val="24"/>
                <w:lang w:val="en-US"/>
              </w:rPr>
              <w:t>6000,0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F6CA04A" w14:textId="77777777" w:rsidR="00825059" w:rsidRPr="00D05956" w:rsidRDefault="00825059" w:rsidP="00825059">
            <w:pPr>
              <w:pStyle w:val="TableParagraph"/>
              <w:jc w:val="center"/>
              <w:rPr>
                <w:sz w:val="24"/>
                <w:szCs w:val="24"/>
                <w:lang w:val="en-US"/>
              </w:rPr>
            </w:pPr>
            <w:r w:rsidRPr="00D05956">
              <w:rPr>
                <w:sz w:val="24"/>
                <w:szCs w:val="24"/>
                <w:lang w:val="en-US"/>
              </w:rPr>
              <w:t>6000,0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54E14D7" w14:textId="77777777" w:rsidR="00825059" w:rsidRPr="00D05956" w:rsidRDefault="00825059" w:rsidP="00825059">
            <w:pPr>
              <w:pStyle w:val="TableParagraph"/>
              <w:jc w:val="center"/>
              <w:rPr>
                <w:sz w:val="24"/>
                <w:szCs w:val="24"/>
                <w:lang w:val="en-US"/>
              </w:rPr>
            </w:pPr>
            <w:r w:rsidRPr="00D05956">
              <w:rPr>
                <w:sz w:val="24"/>
                <w:szCs w:val="24"/>
                <w:lang w:val="en-US"/>
              </w:rPr>
              <w:t>6000,0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F8273C3" w14:textId="77777777" w:rsidR="00825059" w:rsidRPr="00D05956" w:rsidRDefault="00825059" w:rsidP="00825059">
            <w:pPr>
              <w:pStyle w:val="TableParagraph"/>
              <w:jc w:val="center"/>
              <w:rPr>
                <w:sz w:val="24"/>
                <w:szCs w:val="24"/>
                <w:lang w:val="en-US"/>
              </w:rPr>
            </w:pPr>
            <w:r w:rsidRPr="00D05956">
              <w:rPr>
                <w:sz w:val="24"/>
                <w:szCs w:val="24"/>
                <w:lang w:val="en-US"/>
              </w:rPr>
              <w:t>22300,0</w:t>
            </w:r>
          </w:p>
        </w:tc>
        <w:tc>
          <w:tcPr>
            <w:tcW w:w="1196" w:type="dxa"/>
            <w:tcBorders>
              <w:top w:val="single" w:sz="4" w:space="0" w:color="auto"/>
              <w:left w:val="single" w:sz="4" w:space="0" w:color="auto"/>
              <w:bottom w:val="single" w:sz="4" w:space="0" w:color="auto"/>
              <w:right w:val="single" w:sz="4" w:space="0" w:color="auto"/>
            </w:tcBorders>
            <w:vAlign w:val="center"/>
          </w:tcPr>
          <w:p w14:paraId="3222CB00" w14:textId="3A6BCEE9" w:rsidR="00825059" w:rsidRPr="00825059" w:rsidRDefault="00825059" w:rsidP="00825059">
            <w:pPr>
              <w:pStyle w:val="TableParagraph"/>
              <w:jc w:val="center"/>
              <w:rPr>
                <w:sz w:val="24"/>
                <w:szCs w:val="24"/>
                <w:lang w:val="kk-KZ"/>
              </w:rPr>
            </w:pPr>
            <w:r>
              <w:rPr>
                <w:sz w:val="24"/>
                <w:szCs w:val="24"/>
                <w:lang w:val="kk-KZ"/>
              </w:rPr>
              <w:t>-</w:t>
            </w:r>
          </w:p>
        </w:tc>
      </w:tr>
      <w:tr w:rsidR="00825059" w:rsidRPr="00D05956" w14:paraId="2308B86D" w14:textId="7BD2837B"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77A4525D" w14:textId="77777777" w:rsidR="00825059" w:rsidRPr="00D05956" w:rsidRDefault="00825059" w:rsidP="00825059">
            <w:pPr>
              <w:tabs>
                <w:tab w:val="left" w:pos="122"/>
              </w:tabs>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shd w:val="clear" w:color="auto" w:fill="FFFFFF"/>
                <w:lang w:val="kk-KZ"/>
              </w:rPr>
              <w:t>- субсидияланған тұқымдардың саны, мың тонна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F8AA06"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156,2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F9FAC20"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131,4</w:t>
            </w:r>
          </w:p>
        </w:tc>
        <w:tc>
          <w:tcPr>
            <w:tcW w:w="996" w:type="dxa"/>
            <w:tcBorders>
              <w:top w:val="single" w:sz="4" w:space="0" w:color="auto"/>
              <w:left w:val="single" w:sz="4" w:space="0" w:color="auto"/>
              <w:bottom w:val="single" w:sz="4" w:space="0" w:color="auto"/>
              <w:right w:val="single" w:sz="4" w:space="0" w:color="auto"/>
            </w:tcBorders>
            <w:vAlign w:val="center"/>
            <w:hideMark/>
          </w:tcPr>
          <w:p w14:paraId="0B9B42E3"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202,1</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61AA39"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206,0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3CC298B"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209,2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A62955C"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904,9</w:t>
            </w:r>
          </w:p>
        </w:tc>
        <w:tc>
          <w:tcPr>
            <w:tcW w:w="1196" w:type="dxa"/>
            <w:tcBorders>
              <w:top w:val="single" w:sz="4" w:space="0" w:color="auto"/>
              <w:left w:val="single" w:sz="4" w:space="0" w:color="auto"/>
              <w:bottom w:val="single" w:sz="4" w:space="0" w:color="auto"/>
              <w:right w:val="single" w:sz="4" w:space="0" w:color="auto"/>
            </w:tcBorders>
            <w:vAlign w:val="center"/>
          </w:tcPr>
          <w:p w14:paraId="560B06A2" w14:textId="54ED85BA"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2B1EC660" w14:textId="000A65EC"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097E473" w14:textId="77777777" w:rsidR="00825059" w:rsidRPr="00D05956" w:rsidRDefault="00825059" w:rsidP="00825059">
            <w:pPr>
              <w:tabs>
                <w:tab w:val="left" w:pos="122"/>
              </w:tabs>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lang w:val="kk-KZ"/>
              </w:rPr>
              <w:t>- субсидияланған тұқымдардың саны, егістік бірлік, мың дана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23C1C0"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164,0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CCCE8DF"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172,8</w:t>
            </w:r>
          </w:p>
        </w:tc>
        <w:tc>
          <w:tcPr>
            <w:tcW w:w="996" w:type="dxa"/>
            <w:tcBorders>
              <w:top w:val="single" w:sz="4" w:space="0" w:color="auto"/>
              <w:left w:val="single" w:sz="4" w:space="0" w:color="auto"/>
              <w:bottom w:val="single" w:sz="4" w:space="0" w:color="auto"/>
              <w:right w:val="single" w:sz="4" w:space="0" w:color="auto"/>
            </w:tcBorders>
            <w:vAlign w:val="center"/>
            <w:hideMark/>
          </w:tcPr>
          <w:p w14:paraId="1C0E9219"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177,8</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6078FD0"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194,1</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B250A63"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207,4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70C3A20"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916,1</w:t>
            </w:r>
          </w:p>
        </w:tc>
        <w:tc>
          <w:tcPr>
            <w:tcW w:w="1196" w:type="dxa"/>
            <w:tcBorders>
              <w:top w:val="single" w:sz="4" w:space="0" w:color="auto"/>
              <w:left w:val="single" w:sz="4" w:space="0" w:color="auto"/>
              <w:bottom w:val="single" w:sz="4" w:space="0" w:color="auto"/>
              <w:right w:val="single" w:sz="4" w:space="0" w:color="auto"/>
            </w:tcBorders>
            <w:vAlign w:val="center"/>
          </w:tcPr>
          <w:p w14:paraId="29F4C5E2" w14:textId="37301C8B"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18BE3009" w14:textId="2E583CF4"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6AD282A" w14:textId="77777777" w:rsidR="00825059" w:rsidRPr="00D05956" w:rsidRDefault="00825059" w:rsidP="00825059">
            <w:pPr>
              <w:tabs>
                <w:tab w:val="left" w:pos="122"/>
              </w:tabs>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shd w:val="clear" w:color="auto" w:fill="FFFFFF"/>
                <w:lang w:val="kk-KZ"/>
              </w:rPr>
              <w:t>- субсидияланған көшеттердің саны, мың дана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BEAC48D"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5701,6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8832147"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4379,4</w:t>
            </w:r>
          </w:p>
        </w:tc>
        <w:tc>
          <w:tcPr>
            <w:tcW w:w="996" w:type="dxa"/>
            <w:tcBorders>
              <w:top w:val="single" w:sz="4" w:space="0" w:color="auto"/>
              <w:left w:val="single" w:sz="4" w:space="0" w:color="auto"/>
              <w:bottom w:val="single" w:sz="4" w:space="0" w:color="auto"/>
              <w:right w:val="single" w:sz="4" w:space="0" w:color="auto"/>
            </w:tcBorders>
            <w:vAlign w:val="center"/>
            <w:hideMark/>
          </w:tcPr>
          <w:p w14:paraId="29A06248"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4669,7</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8E7348F"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5191,7</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8D8019B"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5693,7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1C25EDF"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eastAsia="ru-RU"/>
              </w:rPr>
              <w:t>25636,1</w:t>
            </w:r>
          </w:p>
        </w:tc>
        <w:tc>
          <w:tcPr>
            <w:tcW w:w="1196" w:type="dxa"/>
            <w:tcBorders>
              <w:top w:val="single" w:sz="4" w:space="0" w:color="auto"/>
              <w:left w:val="single" w:sz="4" w:space="0" w:color="auto"/>
              <w:bottom w:val="single" w:sz="4" w:space="0" w:color="auto"/>
              <w:right w:val="single" w:sz="4" w:space="0" w:color="auto"/>
            </w:tcBorders>
            <w:vAlign w:val="center"/>
          </w:tcPr>
          <w:p w14:paraId="0A27398E" w14:textId="4BC3D085"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18C3AFA7" w14:textId="1DD7B90E"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3458464" w14:textId="77777777" w:rsidR="00825059" w:rsidRPr="00D05956" w:rsidRDefault="00825059" w:rsidP="00825059">
            <w:pPr>
              <w:tabs>
                <w:tab w:val="left" w:pos="122"/>
              </w:tabs>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4-көрсеткіш. Субсидиялау көлемін өсіру есебінен минералды тыңайтқыштарды 1,4 есе ұлғайту</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CF4C6DF"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102,1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57E2AFC"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99,8</w:t>
            </w:r>
          </w:p>
        </w:tc>
        <w:tc>
          <w:tcPr>
            <w:tcW w:w="996" w:type="dxa"/>
            <w:tcBorders>
              <w:top w:val="single" w:sz="4" w:space="0" w:color="auto"/>
              <w:left w:val="single" w:sz="4" w:space="0" w:color="auto"/>
              <w:bottom w:val="single" w:sz="4" w:space="0" w:color="auto"/>
              <w:right w:val="single" w:sz="4" w:space="0" w:color="auto"/>
            </w:tcBorders>
            <w:vAlign w:val="center"/>
            <w:hideMark/>
          </w:tcPr>
          <w:p w14:paraId="1443D473"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125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939FD86"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0BFA492"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140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31932EF"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eastAsia="ru-RU"/>
              </w:rPr>
              <w:t>176177,3</w:t>
            </w:r>
          </w:p>
        </w:tc>
        <w:tc>
          <w:tcPr>
            <w:tcW w:w="1196" w:type="dxa"/>
            <w:tcBorders>
              <w:top w:val="single" w:sz="4" w:space="0" w:color="auto"/>
              <w:left w:val="single" w:sz="4" w:space="0" w:color="auto"/>
              <w:bottom w:val="single" w:sz="4" w:space="0" w:color="auto"/>
              <w:right w:val="single" w:sz="4" w:space="0" w:color="auto"/>
            </w:tcBorders>
            <w:vAlign w:val="center"/>
          </w:tcPr>
          <w:p w14:paraId="77E317F6" w14:textId="095C238A" w:rsidR="00825059" w:rsidRPr="00825059" w:rsidRDefault="00825059" w:rsidP="00825059">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15,05</w:t>
            </w:r>
          </w:p>
        </w:tc>
      </w:tr>
      <w:tr w:rsidR="00825059" w:rsidRPr="00D05956" w14:paraId="3E798336" w14:textId="5E1B3C50"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6364F52"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1-іс-шара. Тыңайтқыштарды субсидиялау,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8DB25E" w14:textId="77777777" w:rsidR="00825059" w:rsidRPr="00D05956" w:rsidRDefault="00825059" w:rsidP="00825059">
            <w:pPr>
              <w:pStyle w:val="TableParagraph"/>
              <w:jc w:val="center"/>
              <w:rPr>
                <w:sz w:val="24"/>
                <w:szCs w:val="24"/>
                <w:lang w:val="en-US"/>
              </w:rPr>
            </w:pPr>
            <w:r w:rsidRPr="00D05956">
              <w:rPr>
                <w:sz w:val="24"/>
                <w:szCs w:val="24"/>
                <w:lang w:val="en-US"/>
              </w:rPr>
              <w:t>27834,0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3006EC1" w14:textId="77777777" w:rsidR="00825059" w:rsidRPr="00D05956" w:rsidRDefault="00825059" w:rsidP="00825059">
            <w:pPr>
              <w:pStyle w:val="TableParagraph"/>
              <w:jc w:val="center"/>
              <w:rPr>
                <w:sz w:val="24"/>
                <w:szCs w:val="24"/>
                <w:lang w:val="kk-KZ"/>
              </w:rPr>
            </w:pPr>
            <w:r w:rsidRPr="00D05956">
              <w:rPr>
                <w:sz w:val="24"/>
                <w:szCs w:val="24"/>
                <w:lang w:val="en-US"/>
              </w:rPr>
              <w:t>27038,</w:t>
            </w:r>
            <w:r w:rsidRPr="00D05956">
              <w:rPr>
                <w:sz w:val="24"/>
                <w:szCs w:val="24"/>
                <w:lang w:val="kk-KZ"/>
              </w:rPr>
              <w:t>4</w:t>
            </w:r>
          </w:p>
        </w:tc>
        <w:tc>
          <w:tcPr>
            <w:tcW w:w="996" w:type="dxa"/>
            <w:tcBorders>
              <w:top w:val="single" w:sz="4" w:space="0" w:color="auto"/>
              <w:left w:val="single" w:sz="4" w:space="0" w:color="auto"/>
              <w:bottom w:val="single" w:sz="4" w:space="0" w:color="auto"/>
              <w:right w:val="single" w:sz="4" w:space="0" w:color="auto"/>
            </w:tcBorders>
            <w:vAlign w:val="center"/>
            <w:hideMark/>
          </w:tcPr>
          <w:p w14:paraId="32A5BB34" w14:textId="77777777" w:rsidR="00825059" w:rsidRPr="00D05956" w:rsidRDefault="00825059" w:rsidP="00825059">
            <w:pPr>
              <w:pStyle w:val="TableParagraph"/>
              <w:jc w:val="center"/>
              <w:rPr>
                <w:sz w:val="24"/>
                <w:szCs w:val="24"/>
                <w:lang w:val="kk-KZ"/>
              </w:rPr>
            </w:pPr>
            <w:r w:rsidRPr="00D05956">
              <w:rPr>
                <w:sz w:val="24"/>
                <w:szCs w:val="24"/>
                <w:lang w:val="en-US"/>
              </w:rPr>
              <w:t>38654</w:t>
            </w:r>
            <w:r w:rsidRPr="00D05956">
              <w:rPr>
                <w:sz w:val="24"/>
                <w:szCs w:val="24"/>
                <w:lang w:val="kk-KZ"/>
              </w:rPr>
              <w:t>,7</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B0B929C" w14:textId="77777777" w:rsidR="00825059" w:rsidRPr="00D05956" w:rsidRDefault="00825059" w:rsidP="00825059">
            <w:pPr>
              <w:pStyle w:val="TableParagraph"/>
              <w:jc w:val="center"/>
              <w:rPr>
                <w:sz w:val="24"/>
                <w:szCs w:val="24"/>
                <w:lang w:val="kk-KZ"/>
              </w:rPr>
            </w:pPr>
            <w:r w:rsidRPr="00D05956">
              <w:rPr>
                <w:sz w:val="24"/>
                <w:szCs w:val="24"/>
                <w:lang w:val="en-US"/>
              </w:rPr>
              <w:t>40397</w:t>
            </w:r>
            <w:r w:rsidRPr="00D05956">
              <w:rPr>
                <w:sz w:val="24"/>
                <w:szCs w:val="24"/>
                <w:lang w:val="kk-KZ"/>
              </w:rPr>
              <w:t>,9</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604208C" w14:textId="77777777" w:rsidR="00825059" w:rsidRPr="00D05956" w:rsidRDefault="00825059" w:rsidP="00825059">
            <w:pPr>
              <w:pStyle w:val="TableParagraph"/>
              <w:jc w:val="center"/>
              <w:rPr>
                <w:sz w:val="24"/>
                <w:szCs w:val="24"/>
                <w:lang w:val="en-US"/>
              </w:rPr>
            </w:pPr>
            <w:r w:rsidRPr="00D05956">
              <w:rPr>
                <w:sz w:val="24"/>
                <w:szCs w:val="24"/>
                <w:lang w:val="en-US"/>
              </w:rPr>
              <w:t>41259</w:t>
            </w:r>
            <w:r w:rsidRPr="00D05956">
              <w:rPr>
                <w:sz w:val="24"/>
                <w:szCs w:val="24"/>
                <w:lang w:val="kk-KZ"/>
              </w:rPr>
              <w:t>,</w:t>
            </w:r>
            <w:r w:rsidRPr="00D05956">
              <w:rPr>
                <w:sz w:val="24"/>
                <w:szCs w:val="24"/>
                <w:lang w:val="en-US"/>
              </w:rPr>
              <w:t>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7616558" w14:textId="77777777" w:rsidR="00825059" w:rsidRPr="00D05956" w:rsidRDefault="00825059" w:rsidP="00825059">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175184,7</w:t>
            </w:r>
          </w:p>
        </w:tc>
        <w:tc>
          <w:tcPr>
            <w:tcW w:w="1196" w:type="dxa"/>
            <w:tcBorders>
              <w:top w:val="single" w:sz="4" w:space="0" w:color="auto"/>
              <w:left w:val="single" w:sz="4" w:space="0" w:color="auto"/>
              <w:bottom w:val="single" w:sz="4" w:space="0" w:color="auto"/>
              <w:right w:val="single" w:sz="4" w:space="0" w:color="auto"/>
            </w:tcBorders>
            <w:vAlign w:val="center"/>
          </w:tcPr>
          <w:p w14:paraId="55E5C452" w14:textId="2ECC0CFF"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53ECDA9E" w14:textId="6AA94FE8"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6AB88D4"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жергілікті бюджет, млн.тг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DAD2188" w14:textId="77777777" w:rsidR="00825059" w:rsidRPr="00D05956" w:rsidRDefault="00825059" w:rsidP="00825059">
            <w:pPr>
              <w:pStyle w:val="TableParagraph"/>
              <w:jc w:val="center"/>
              <w:rPr>
                <w:sz w:val="24"/>
                <w:szCs w:val="24"/>
                <w:lang w:val="en-US"/>
              </w:rPr>
            </w:pPr>
            <w:r w:rsidRPr="00D05956">
              <w:rPr>
                <w:sz w:val="24"/>
                <w:szCs w:val="24"/>
                <w:lang w:val="en-US"/>
              </w:rPr>
              <w:t>23354,0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5EC2331" w14:textId="77777777" w:rsidR="00825059" w:rsidRPr="00D05956" w:rsidRDefault="00825059" w:rsidP="00825059">
            <w:pPr>
              <w:pStyle w:val="TableParagraph"/>
              <w:jc w:val="center"/>
              <w:rPr>
                <w:sz w:val="24"/>
                <w:szCs w:val="24"/>
                <w:lang w:val="kk-KZ"/>
              </w:rPr>
            </w:pPr>
            <w:r w:rsidRPr="00D05956">
              <w:rPr>
                <w:sz w:val="24"/>
                <w:szCs w:val="24"/>
                <w:lang w:val="en-US"/>
              </w:rPr>
              <w:t>27038</w:t>
            </w:r>
            <w:r w:rsidRPr="00D05956">
              <w:rPr>
                <w:sz w:val="24"/>
                <w:szCs w:val="24"/>
                <w:lang w:val="kk-KZ"/>
              </w:rPr>
              <w:t>,4</w:t>
            </w:r>
          </w:p>
        </w:tc>
        <w:tc>
          <w:tcPr>
            <w:tcW w:w="996" w:type="dxa"/>
            <w:tcBorders>
              <w:top w:val="single" w:sz="4" w:space="0" w:color="auto"/>
              <w:left w:val="single" w:sz="4" w:space="0" w:color="auto"/>
              <w:bottom w:val="single" w:sz="4" w:space="0" w:color="auto"/>
              <w:right w:val="single" w:sz="4" w:space="0" w:color="auto"/>
            </w:tcBorders>
            <w:vAlign w:val="center"/>
            <w:hideMark/>
          </w:tcPr>
          <w:p w14:paraId="0F0EDEE7" w14:textId="77777777" w:rsidR="00825059" w:rsidRPr="00D05956" w:rsidRDefault="00825059" w:rsidP="00825059">
            <w:pPr>
              <w:pStyle w:val="TableParagraph"/>
              <w:jc w:val="center"/>
              <w:rPr>
                <w:sz w:val="24"/>
                <w:szCs w:val="24"/>
                <w:lang w:val="en-US"/>
              </w:rPr>
            </w:pPr>
            <w:r w:rsidRPr="00D05956">
              <w:rPr>
                <w:sz w:val="24"/>
                <w:szCs w:val="24"/>
                <w:lang w:val="en-US"/>
              </w:rPr>
              <w:t>27963</w:t>
            </w:r>
            <w:r w:rsidRPr="00D05956">
              <w:rPr>
                <w:sz w:val="24"/>
                <w:szCs w:val="24"/>
                <w:lang w:val="kk-KZ"/>
              </w:rPr>
              <w:t>,</w:t>
            </w:r>
            <w:r w:rsidRPr="00D05956">
              <w:rPr>
                <w:sz w:val="24"/>
                <w:szCs w:val="24"/>
                <w:lang w:val="en-US"/>
              </w:rPr>
              <w:t>7</w:t>
            </w:r>
          </w:p>
        </w:tc>
        <w:tc>
          <w:tcPr>
            <w:tcW w:w="1446" w:type="dxa"/>
            <w:tcBorders>
              <w:top w:val="single" w:sz="4" w:space="0" w:color="auto"/>
              <w:left w:val="single" w:sz="4" w:space="0" w:color="auto"/>
              <w:bottom w:val="single" w:sz="4" w:space="0" w:color="auto"/>
              <w:right w:val="single" w:sz="4" w:space="0" w:color="auto"/>
            </w:tcBorders>
            <w:vAlign w:val="center"/>
            <w:hideMark/>
          </w:tcPr>
          <w:p w14:paraId="4889FE10" w14:textId="77777777" w:rsidR="00825059" w:rsidRPr="00D05956" w:rsidRDefault="00825059" w:rsidP="00825059">
            <w:pPr>
              <w:pStyle w:val="TableParagraph"/>
              <w:jc w:val="center"/>
              <w:rPr>
                <w:sz w:val="24"/>
                <w:szCs w:val="24"/>
                <w:lang w:val="en-US"/>
              </w:rPr>
            </w:pPr>
            <w:r w:rsidRPr="00D05956">
              <w:rPr>
                <w:sz w:val="24"/>
                <w:szCs w:val="24"/>
                <w:lang w:val="en-US"/>
              </w:rPr>
              <w:t>29397</w:t>
            </w:r>
            <w:r w:rsidRPr="00D05956">
              <w:rPr>
                <w:sz w:val="24"/>
                <w:szCs w:val="24"/>
                <w:lang w:val="kk-KZ"/>
              </w:rPr>
              <w:t>,</w:t>
            </w:r>
            <w:r w:rsidRPr="00D05956">
              <w:rPr>
                <w:sz w:val="24"/>
                <w:szCs w:val="24"/>
                <w:lang w:val="en-US"/>
              </w:rPr>
              <w:t>9</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0E483DA" w14:textId="77777777" w:rsidR="00825059" w:rsidRPr="00D05956" w:rsidRDefault="00825059" w:rsidP="00825059">
            <w:pPr>
              <w:pStyle w:val="TableParagraph"/>
              <w:jc w:val="center"/>
              <w:rPr>
                <w:sz w:val="24"/>
                <w:szCs w:val="24"/>
                <w:lang w:val="en-US"/>
              </w:rPr>
            </w:pPr>
            <w:r w:rsidRPr="00D05956">
              <w:rPr>
                <w:sz w:val="24"/>
                <w:szCs w:val="24"/>
                <w:lang w:val="en-US"/>
              </w:rPr>
              <w:t>30259</w:t>
            </w:r>
            <w:r w:rsidRPr="00D05956">
              <w:rPr>
                <w:sz w:val="24"/>
                <w:szCs w:val="24"/>
                <w:lang w:val="kk-KZ"/>
              </w:rPr>
              <w:t>,</w:t>
            </w:r>
            <w:r w:rsidRPr="00D05956">
              <w:rPr>
                <w:sz w:val="24"/>
                <w:szCs w:val="24"/>
                <w:lang w:val="en-US"/>
              </w:rPr>
              <w:t>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9A32C73" w14:textId="77777777" w:rsidR="00825059" w:rsidRPr="00D05956" w:rsidRDefault="00825059" w:rsidP="00825059">
            <w:pPr>
              <w:pStyle w:val="TableParagraph"/>
              <w:jc w:val="center"/>
              <w:rPr>
                <w:sz w:val="24"/>
                <w:szCs w:val="24"/>
                <w:lang w:val="kk-KZ"/>
              </w:rPr>
            </w:pPr>
            <w:r w:rsidRPr="00D05956">
              <w:rPr>
                <w:sz w:val="24"/>
                <w:szCs w:val="24"/>
                <w:lang w:val="en-US"/>
              </w:rPr>
              <w:t>138013,</w:t>
            </w:r>
            <w:r w:rsidRPr="00D05956">
              <w:rPr>
                <w:sz w:val="24"/>
                <w:szCs w:val="24"/>
                <w:lang w:val="kk-KZ"/>
              </w:rPr>
              <w:t>7</w:t>
            </w:r>
          </w:p>
        </w:tc>
        <w:tc>
          <w:tcPr>
            <w:tcW w:w="1196" w:type="dxa"/>
            <w:tcBorders>
              <w:top w:val="single" w:sz="4" w:space="0" w:color="auto"/>
              <w:left w:val="single" w:sz="4" w:space="0" w:color="auto"/>
              <w:bottom w:val="single" w:sz="4" w:space="0" w:color="auto"/>
              <w:right w:val="single" w:sz="4" w:space="0" w:color="auto"/>
            </w:tcBorders>
            <w:vAlign w:val="center"/>
          </w:tcPr>
          <w:p w14:paraId="7C6B7A7A" w14:textId="651B5E63" w:rsidR="00825059" w:rsidRPr="00825059" w:rsidRDefault="00825059" w:rsidP="00825059">
            <w:pPr>
              <w:pStyle w:val="TableParagraph"/>
              <w:jc w:val="center"/>
              <w:rPr>
                <w:sz w:val="24"/>
                <w:szCs w:val="24"/>
                <w:lang w:val="kk-KZ"/>
              </w:rPr>
            </w:pPr>
            <w:r>
              <w:rPr>
                <w:sz w:val="24"/>
                <w:szCs w:val="24"/>
                <w:lang w:val="kk-KZ"/>
              </w:rPr>
              <w:t>-</w:t>
            </w:r>
          </w:p>
        </w:tc>
      </w:tr>
      <w:tr w:rsidR="00825059" w:rsidRPr="00D05956" w14:paraId="24934930" w14:textId="42469C8C"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408BCAFF"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-ағымдағы мақсатты трансферттер (РБ-тен бекітілген)</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DF76C2E" w14:textId="77777777" w:rsidR="00825059" w:rsidRPr="00D05956" w:rsidRDefault="00825059" w:rsidP="00825059">
            <w:pPr>
              <w:pStyle w:val="TableParagraph"/>
              <w:jc w:val="center"/>
              <w:rPr>
                <w:sz w:val="24"/>
                <w:szCs w:val="24"/>
                <w:lang w:val="en-US"/>
              </w:rPr>
            </w:pPr>
            <w:r w:rsidRPr="00D05956">
              <w:rPr>
                <w:sz w:val="24"/>
                <w:szCs w:val="24"/>
                <w:lang w:val="en-US"/>
              </w:rPr>
              <w:t>4480,0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7FE0EDB" w14:textId="77777777" w:rsidR="00825059" w:rsidRPr="00D05956" w:rsidRDefault="00825059" w:rsidP="00825059">
            <w:pPr>
              <w:pStyle w:val="TableParagraph"/>
              <w:jc w:val="center"/>
              <w:rPr>
                <w:sz w:val="24"/>
                <w:szCs w:val="24"/>
                <w:lang w:val="en-US"/>
              </w:rPr>
            </w:pPr>
            <w:r w:rsidRPr="00D05956">
              <w:rPr>
                <w:sz w:val="24"/>
                <w:szCs w:val="24"/>
                <w:lang w:val="en-US"/>
              </w:rPr>
              <w:t>0,0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88CC1D9" w14:textId="77777777" w:rsidR="00825059" w:rsidRPr="00D05956" w:rsidRDefault="00825059" w:rsidP="00825059">
            <w:pPr>
              <w:pStyle w:val="TableParagraph"/>
              <w:jc w:val="center"/>
              <w:rPr>
                <w:sz w:val="24"/>
                <w:szCs w:val="24"/>
                <w:lang w:val="en-US"/>
              </w:rPr>
            </w:pPr>
            <w:r w:rsidRPr="00D05956">
              <w:rPr>
                <w:sz w:val="24"/>
                <w:szCs w:val="24"/>
                <w:lang w:val="en-US"/>
              </w:rPr>
              <w:t>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AF576F4" w14:textId="77777777" w:rsidR="00825059" w:rsidRPr="00D05956" w:rsidRDefault="00825059" w:rsidP="00825059">
            <w:pPr>
              <w:pStyle w:val="TableParagraph"/>
              <w:jc w:val="center"/>
              <w:rPr>
                <w:sz w:val="24"/>
                <w:szCs w:val="24"/>
                <w:lang w:val="en-US"/>
              </w:rPr>
            </w:pPr>
            <w:r w:rsidRPr="00D05956">
              <w:rPr>
                <w:sz w:val="24"/>
                <w:szCs w:val="24"/>
                <w:lang w:val="en-US"/>
              </w:rPr>
              <w:t>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5E12F4E" w14:textId="77777777" w:rsidR="00825059" w:rsidRPr="00D05956" w:rsidRDefault="00825059" w:rsidP="00825059">
            <w:pPr>
              <w:pStyle w:val="TableParagraph"/>
              <w:jc w:val="center"/>
              <w:rPr>
                <w:sz w:val="24"/>
                <w:szCs w:val="24"/>
                <w:lang w:val="en-US"/>
              </w:rPr>
            </w:pPr>
            <w:r w:rsidRPr="00D05956">
              <w:rPr>
                <w:sz w:val="24"/>
                <w:szCs w:val="24"/>
                <w:lang w:val="en-US"/>
              </w:rPr>
              <w:t>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AE093CF" w14:textId="77777777" w:rsidR="00825059" w:rsidRPr="00D05956" w:rsidRDefault="00825059" w:rsidP="00825059">
            <w:pPr>
              <w:pStyle w:val="TableParagraph"/>
              <w:jc w:val="center"/>
              <w:rPr>
                <w:sz w:val="24"/>
                <w:szCs w:val="24"/>
                <w:lang w:val="en-US"/>
              </w:rPr>
            </w:pPr>
            <w:r w:rsidRPr="00D05956">
              <w:rPr>
                <w:sz w:val="24"/>
                <w:szCs w:val="24"/>
                <w:lang w:val="en-US"/>
              </w:rPr>
              <w:t>4480,0</w:t>
            </w:r>
          </w:p>
        </w:tc>
        <w:tc>
          <w:tcPr>
            <w:tcW w:w="1196" w:type="dxa"/>
            <w:tcBorders>
              <w:top w:val="single" w:sz="4" w:space="0" w:color="auto"/>
              <w:left w:val="single" w:sz="4" w:space="0" w:color="auto"/>
              <w:bottom w:val="single" w:sz="4" w:space="0" w:color="auto"/>
              <w:right w:val="single" w:sz="4" w:space="0" w:color="auto"/>
            </w:tcBorders>
            <w:vAlign w:val="center"/>
          </w:tcPr>
          <w:p w14:paraId="29F07503" w14:textId="6600EE4E" w:rsidR="00825059" w:rsidRPr="00825059" w:rsidRDefault="00825059" w:rsidP="00825059">
            <w:pPr>
              <w:pStyle w:val="TableParagraph"/>
              <w:jc w:val="center"/>
              <w:rPr>
                <w:sz w:val="24"/>
                <w:szCs w:val="24"/>
                <w:lang w:val="kk-KZ"/>
              </w:rPr>
            </w:pPr>
            <w:r>
              <w:rPr>
                <w:sz w:val="24"/>
                <w:szCs w:val="24"/>
                <w:lang w:val="kk-KZ"/>
              </w:rPr>
              <w:t>-</w:t>
            </w:r>
          </w:p>
        </w:tc>
      </w:tr>
      <w:tr w:rsidR="00825059" w:rsidRPr="00D05956" w14:paraId="4079F439" w14:textId="08C5B8E1"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416B79E0"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-ағымдағы мақсатты трансферттер (РБ-тен қосымша)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32F4C22" w14:textId="77777777" w:rsidR="00825059" w:rsidRPr="00D05956" w:rsidRDefault="00825059" w:rsidP="00825059">
            <w:pPr>
              <w:pStyle w:val="TableParagraph"/>
              <w:jc w:val="center"/>
              <w:rPr>
                <w:sz w:val="24"/>
                <w:szCs w:val="24"/>
                <w:lang w:val="kk-KZ"/>
              </w:rPr>
            </w:pPr>
            <w:r w:rsidRPr="00D05956">
              <w:rPr>
                <w:sz w:val="24"/>
                <w:szCs w:val="24"/>
                <w:lang w:val="kk-K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888924F" w14:textId="77777777" w:rsidR="00825059" w:rsidRPr="00D05956" w:rsidRDefault="00825059" w:rsidP="00825059">
            <w:pPr>
              <w:pStyle w:val="TableParagraph"/>
              <w:jc w:val="center"/>
              <w:rPr>
                <w:sz w:val="24"/>
                <w:szCs w:val="24"/>
                <w:lang w:val="kk-KZ"/>
              </w:rPr>
            </w:pPr>
            <w:r w:rsidRPr="00D05956">
              <w:rPr>
                <w:sz w:val="24"/>
                <w:szCs w:val="24"/>
                <w:lang w:val="kk-KZ"/>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0A61D85D" w14:textId="77777777" w:rsidR="00825059" w:rsidRPr="00D05956" w:rsidRDefault="00825059" w:rsidP="00825059">
            <w:pPr>
              <w:pStyle w:val="TableParagraph"/>
              <w:jc w:val="center"/>
              <w:rPr>
                <w:sz w:val="24"/>
                <w:szCs w:val="24"/>
                <w:lang w:val="en-US"/>
              </w:rPr>
            </w:pPr>
            <w:r w:rsidRPr="00D05956">
              <w:rPr>
                <w:sz w:val="24"/>
                <w:szCs w:val="24"/>
                <w:lang w:val="en-US"/>
              </w:rPr>
              <w:t>10691,0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6B61E55" w14:textId="77777777" w:rsidR="00825059" w:rsidRPr="00D05956" w:rsidRDefault="00825059" w:rsidP="00825059">
            <w:pPr>
              <w:pStyle w:val="TableParagraph"/>
              <w:jc w:val="center"/>
              <w:rPr>
                <w:sz w:val="24"/>
                <w:szCs w:val="24"/>
                <w:lang w:val="en-US"/>
              </w:rPr>
            </w:pPr>
            <w:r w:rsidRPr="00D05956">
              <w:rPr>
                <w:sz w:val="24"/>
                <w:szCs w:val="24"/>
                <w:lang w:val="en-US"/>
              </w:rPr>
              <w:t>11000,0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3B685B5" w14:textId="77777777" w:rsidR="00825059" w:rsidRPr="00D05956" w:rsidRDefault="00825059" w:rsidP="00825059">
            <w:pPr>
              <w:pStyle w:val="TableParagraph"/>
              <w:jc w:val="center"/>
              <w:rPr>
                <w:sz w:val="24"/>
                <w:szCs w:val="24"/>
                <w:lang w:val="en-US"/>
              </w:rPr>
            </w:pPr>
            <w:r w:rsidRPr="00D05956">
              <w:rPr>
                <w:sz w:val="24"/>
                <w:szCs w:val="24"/>
                <w:lang w:val="en-US"/>
              </w:rPr>
              <w:t>11000,0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3460FF" w14:textId="77777777" w:rsidR="00825059" w:rsidRPr="00D05956" w:rsidRDefault="00825059" w:rsidP="00825059">
            <w:pPr>
              <w:pStyle w:val="TableParagraph"/>
              <w:jc w:val="center"/>
              <w:rPr>
                <w:sz w:val="24"/>
                <w:szCs w:val="24"/>
                <w:lang w:val="en-US"/>
              </w:rPr>
            </w:pPr>
            <w:r w:rsidRPr="00D05956">
              <w:rPr>
                <w:sz w:val="24"/>
                <w:szCs w:val="24"/>
                <w:lang w:val="en-US"/>
              </w:rPr>
              <w:t>32691,0</w:t>
            </w:r>
          </w:p>
        </w:tc>
        <w:tc>
          <w:tcPr>
            <w:tcW w:w="1196" w:type="dxa"/>
            <w:tcBorders>
              <w:top w:val="single" w:sz="4" w:space="0" w:color="auto"/>
              <w:left w:val="single" w:sz="4" w:space="0" w:color="auto"/>
              <w:bottom w:val="single" w:sz="4" w:space="0" w:color="auto"/>
              <w:right w:val="single" w:sz="4" w:space="0" w:color="auto"/>
            </w:tcBorders>
            <w:vAlign w:val="center"/>
          </w:tcPr>
          <w:p w14:paraId="2452397A" w14:textId="4CC30738" w:rsidR="00825059" w:rsidRPr="00825059" w:rsidRDefault="00825059" w:rsidP="00825059">
            <w:pPr>
              <w:pStyle w:val="TableParagraph"/>
              <w:jc w:val="center"/>
              <w:rPr>
                <w:sz w:val="24"/>
                <w:szCs w:val="24"/>
                <w:lang w:val="kk-KZ"/>
              </w:rPr>
            </w:pPr>
            <w:r>
              <w:rPr>
                <w:sz w:val="24"/>
                <w:szCs w:val="24"/>
                <w:lang w:val="kk-KZ"/>
              </w:rPr>
              <w:t>-</w:t>
            </w:r>
          </w:p>
        </w:tc>
      </w:tr>
      <w:tr w:rsidR="00825059" w:rsidRPr="00D05956" w14:paraId="037D2340" w14:textId="0173B778"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19B0387" w14:textId="77777777" w:rsidR="00825059" w:rsidRPr="00D05956" w:rsidRDefault="00825059" w:rsidP="00825059">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субсидияланған минералды тыңайтқыштар көлемі, мың тонна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2E31D32"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544,2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DE3E81E"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532,0</w:t>
            </w:r>
          </w:p>
        </w:tc>
        <w:tc>
          <w:tcPr>
            <w:tcW w:w="996" w:type="dxa"/>
            <w:tcBorders>
              <w:top w:val="single" w:sz="4" w:space="0" w:color="auto"/>
              <w:left w:val="single" w:sz="4" w:space="0" w:color="auto"/>
              <w:bottom w:val="single" w:sz="4" w:space="0" w:color="auto"/>
              <w:right w:val="single" w:sz="4" w:space="0" w:color="auto"/>
            </w:tcBorders>
            <w:vAlign w:val="center"/>
            <w:hideMark/>
          </w:tcPr>
          <w:p w14:paraId="5B4CC8BF"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722,3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BBE3F59"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748,4</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C910BC1" w14:textId="77777777" w:rsidR="00825059" w:rsidRPr="00D05956" w:rsidRDefault="00825059" w:rsidP="00825059">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763,1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37CBD76" w14:textId="77777777" w:rsidR="00825059" w:rsidRPr="00D05956" w:rsidRDefault="00825059" w:rsidP="00825059">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3310</w:t>
            </w:r>
          </w:p>
        </w:tc>
        <w:tc>
          <w:tcPr>
            <w:tcW w:w="1196" w:type="dxa"/>
            <w:tcBorders>
              <w:top w:val="single" w:sz="4" w:space="0" w:color="auto"/>
              <w:left w:val="single" w:sz="4" w:space="0" w:color="auto"/>
              <w:bottom w:val="single" w:sz="4" w:space="0" w:color="auto"/>
              <w:right w:val="single" w:sz="4" w:space="0" w:color="auto"/>
            </w:tcBorders>
            <w:vAlign w:val="center"/>
          </w:tcPr>
          <w:p w14:paraId="4F522845" w14:textId="70F8C3DC" w:rsidR="00825059" w:rsidRPr="00825059" w:rsidRDefault="00825059" w:rsidP="00825059">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1D3C57A6" w14:textId="1DDFC951"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72BDF762"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2-іс-шара. Агрохимиялық қызметтің республикалық ғылыми-әдістемелік орталығы қызметін жетілдіру және оның материалдық-техникалық базасын жетілдіру,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CC86016"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92</w:t>
            </w:r>
            <w:r w:rsidRPr="00D05956">
              <w:rPr>
                <w:rFonts w:ascii="Times New Roman" w:hAnsi="Times New Roman" w:cs="Times New Roman"/>
                <w:sz w:val="24"/>
                <w:szCs w:val="24"/>
                <w:lang w:val="kk-KZ"/>
              </w:rPr>
              <w:t>,6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E1B2501"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0,0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2675853"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1B45480"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300,0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E1A7F00"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300,0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9870E4D"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992,6</w:t>
            </w:r>
          </w:p>
        </w:tc>
        <w:tc>
          <w:tcPr>
            <w:tcW w:w="1196" w:type="dxa"/>
            <w:tcBorders>
              <w:top w:val="single" w:sz="4" w:space="0" w:color="auto"/>
              <w:left w:val="single" w:sz="4" w:space="0" w:color="auto"/>
              <w:bottom w:val="single" w:sz="4" w:space="0" w:color="auto"/>
              <w:right w:val="single" w:sz="4" w:space="0" w:color="auto"/>
            </w:tcBorders>
            <w:vAlign w:val="center"/>
          </w:tcPr>
          <w:p w14:paraId="2D3AFD19" w14:textId="127ECAEE" w:rsidR="00825059" w:rsidRPr="00825059" w:rsidRDefault="00825059" w:rsidP="00825059">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7EFDDCB3" w14:textId="4B0C654C"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EFB2D35"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агрохимиялық зерттеумен қамтылған егістік жерлердің ауданы, млн га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02230B"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E074033"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2736D140"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D064D4D"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5D086FE"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BD7C06C"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11,4</w:t>
            </w:r>
          </w:p>
        </w:tc>
        <w:tc>
          <w:tcPr>
            <w:tcW w:w="1196" w:type="dxa"/>
            <w:tcBorders>
              <w:top w:val="single" w:sz="4" w:space="0" w:color="auto"/>
              <w:left w:val="single" w:sz="4" w:space="0" w:color="auto"/>
              <w:bottom w:val="single" w:sz="4" w:space="0" w:color="auto"/>
              <w:right w:val="single" w:sz="4" w:space="0" w:color="auto"/>
            </w:tcBorders>
            <w:vAlign w:val="center"/>
          </w:tcPr>
          <w:p w14:paraId="3596FDCF" w14:textId="253BD79E" w:rsidR="00825059" w:rsidRPr="00825059" w:rsidRDefault="00825059" w:rsidP="00825059">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5962B34F" w14:textId="7C93C8EF"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6C08CDB0"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5-көрсеткіш. Егістікті (сүрі жерлерді) тиімді өңдеуге арналған өсімдіктерді қорғау құралдарын сатып алу шығындарының 50 %-ын субсидиялау, млн га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8C7D326" w14:textId="77777777" w:rsidR="00825059" w:rsidRPr="00D05956" w:rsidRDefault="00825059" w:rsidP="00825059">
            <w:pPr>
              <w:pStyle w:val="TableParagraph"/>
              <w:spacing w:line="228" w:lineRule="auto"/>
              <w:jc w:val="center"/>
              <w:rPr>
                <w:sz w:val="24"/>
                <w:szCs w:val="24"/>
                <w:lang w:val="kk-KZ"/>
              </w:rPr>
            </w:pPr>
            <w:r w:rsidRPr="00D05956">
              <w:rPr>
                <w:w w:val="99"/>
                <w:sz w:val="24"/>
                <w:szCs w:val="24"/>
                <w:lang w:val="en-US"/>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4FC162D"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2,5</w:t>
            </w:r>
          </w:p>
        </w:tc>
        <w:tc>
          <w:tcPr>
            <w:tcW w:w="996" w:type="dxa"/>
            <w:tcBorders>
              <w:top w:val="single" w:sz="4" w:space="0" w:color="auto"/>
              <w:left w:val="single" w:sz="4" w:space="0" w:color="auto"/>
              <w:bottom w:val="single" w:sz="4" w:space="0" w:color="auto"/>
              <w:right w:val="single" w:sz="4" w:space="0" w:color="auto"/>
            </w:tcBorders>
            <w:vAlign w:val="center"/>
            <w:hideMark/>
          </w:tcPr>
          <w:p w14:paraId="25EB66C2" w14:textId="77777777" w:rsidR="00825059" w:rsidRPr="00D05956" w:rsidRDefault="00825059" w:rsidP="00825059">
            <w:pPr>
              <w:pStyle w:val="TableParagraph"/>
              <w:spacing w:line="228" w:lineRule="auto"/>
              <w:jc w:val="center"/>
              <w:rPr>
                <w:sz w:val="24"/>
                <w:szCs w:val="24"/>
                <w:lang w:val="kk-KZ"/>
              </w:rPr>
            </w:pPr>
            <w:r w:rsidRPr="00D05956">
              <w:rPr>
                <w:w w:val="99"/>
                <w:sz w:val="24"/>
                <w:szCs w:val="24"/>
                <w:lang w:val="en-US"/>
              </w:rPr>
              <w:t>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2D1F2F9" w14:textId="77777777" w:rsidR="00825059" w:rsidRPr="00D05956" w:rsidRDefault="00825059" w:rsidP="00825059">
            <w:pPr>
              <w:pStyle w:val="TableParagraph"/>
              <w:spacing w:line="228" w:lineRule="auto"/>
              <w:jc w:val="center"/>
              <w:rPr>
                <w:sz w:val="24"/>
                <w:szCs w:val="24"/>
                <w:lang w:val="kk-KZ"/>
              </w:rPr>
            </w:pPr>
            <w:r w:rsidRPr="00D05956">
              <w:rPr>
                <w:w w:val="99"/>
                <w:sz w:val="24"/>
                <w:szCs w:val="24"/>
                <w:lang w:val="en-US"/>
              </w:rPr>
              <w:t>4</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B6313C5" w14:textId="77777777" w:rsidR="00825059" w:rsidRPr="00D05956" w:rsidRDefault="00825059" w:rsidP="00825059">
            <w:pPr>
              <w:pStyle w:val="TableParagraph"/>
              <w:spacing w:line="228" w:lineRule="auto"/>
              <w:jc w:val="center"/>
              <w:rPr>
                <w:sz w:val="24"/>
                <w:szCs w:val="24"/>
                <w:lang w:val="kk-KZ"/>
              </w:rPr>
            </w:pPr>
            <w:r w:rsidRPr="00D05956">
              <w:rPr>
                <w:w w:val="99"/>
                <w:sz w:val="24"/>
                <w:szCs w:val="24"/>
                <w:lang w:val="en-US"/>
              </w:rPr>
              <w:t>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2FA5A31" w14:textId="77777777" w:rsidR="00825059" w:rsidRPr="00D05956" w:rsidRDefault="00825059" w:rsidP="00825059">
            <w:pPr>
              <w:pStyle w:val="TableParagraph"/>
              <w:spacing w:line="228" w:lineRule="auto"/>
              <w:jc w:val="center"/>
              <w:rPr>
                <w:sz w:val="24"/>
                <w:szCs w:val="24"/>
                <w:lang w:val="kk-KZ"/>
              </w:rPr>
            </w:pPr>
            <w:r w:rsidRPr="00D05956">
              <w:rPr>
                <w:kern w:val="36"/>
                <w:sz w:val="24"/>
                <w:szCs w:val="24"/>
                <w:lang w:eastAsia="ru-RU"/>
              </w:rPr>
              <w:t>15,5</w:t>
            </w:r>
          </w:p>
        </w:tc>
        <w:tc>
          <w:tcPr>
            <w:tcW w:w="1196" w:type="dxa"/>
            <w:tcBorders>
              <w:top w:val="single" w:sz="4" w:space="0" w:color="auto"/>
              <w:left w:val="single" w:sz="4" w:space="0" w:color="auto"/>
              <w:bottom w:val="single" w:sz="4" w:space="0" w:color="auto"/>
              <w:right w:val="single" w:sz="4" w:space="0" w:color="auto"/>
            </w:tcBorders>
            <w:vAlign w:val="center"/>
          </w:tcPr>
          <w:p w14:paraId="4C9077C1" w14:textId="316D25C3" w:rsidR="00825059" w:rsidRPr="00825059" w:rsidRDefault="00825059" w:rsidP="00825059">
            <w:pPr>
              <w:pStyle w:val="TableParagraph"/>
              <w:spacing w:line="228" w:lineRule="auto"/>
              <w:jc w:val="center"/>
              <w:rPr>
                <w:kern w:val="36"/>
                <w:sz w:val="24"/>
                <w:szCs w:val="24"/>
                <w:lang w:val="kk-KZ" w:eastAsia="ru-RU"/>
              </w:rPr>
            </w:pPr>
            <w:r>
              <w:rPr>
                <w:kern w:val="36"/>
                <w:sz w:val="24"/>
                <w:szCs w:val="24"/>
                <w:lang w:val="kk-KZ" w:eastAsia="ru-RU"/>
              </w:rPr>
              <w:t>-</w:t>
            </w:r>
          </w:p>
        </w:tc>
      </w:tr>
      <w:tr w:rsidR="00825059" w:rsidRPr="00D05956" w14:paraId="4D25C262" w14:textId="5D4EF590"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3A85CFAB"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ӨҚҚ-ны, оның ішінде сүрі жерлерді өңдеуге арналған ӨҚҚ-ны субсидиялау, млн. теңге</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A7CA82A"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32351</w:t>
            </w:r>
            <w:r w:rsidRPr="00D05956">
              <w:rPr>
                <w:sz w:val="24"/>
                <w:szCs w:val="24"/>
                <w:lang w:val="kk-KZ"/>
              </w:rPr>
              <w:t>,8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B4C3351"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31367</w:t>
            </w:r>
            <w:r w:rsidRPr="00D05956">
              <w:rPr>
                <w:sz w:val="24"/>
                <w:szCs w:val="24"/>
                <w:lang w:val="kk-KZ"/>
              </w:rPr>
              <w:t>,6</w:t>
            </w:r>
          </w:p>
        </w:tc>
        <w:tc>
          <w:tcPr>
            <w:tcW w:w="996" w:type="dxa"/>
            <w:tcBorders>
              <w:top w:val="single" w:sz="4" w:space="0" w:color="auto"/>
              <w:left w:val="single" w:sz="4" w:space="0" w:color="auto"/>
              <w:bottom w:val="single" w:sz="4" w:space="0" w:color="auto"/>
              <w:right w:val="single" w:sz="4" w:space="0" w:color="auto"/>
            </w:tcBorders>
            <w:vAlign w:val="center"/>
            <w:hideMark/>
          </w:tcPr>
          <w:p w14:paraId="15597F06"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30393</w:t>
            </w:r>
            <w:r w:rsidRPr="00D05956">
              <w:rPr>
                <w:sz w:val="24"/>
                <w:szCs w:val="24"/>
                <w:lang w:val="kk-KZ"/>
              </w:rPr>
              <w:t>,3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56ABF6E"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46445</w:t>
            </w:r>
            <w:r w:rsidRPr="00D05956">
              <w:rPr>
                <w:sz w:val="24"/>
                <w:szCs w:val="24"/>
                <w:lang w:val="kk-KZ"/>
              </w:rPr>
              <w:t>,</w:t>
            </w:r>
            <w:r w:rsidRPr="00D05956">
              <w:rPr>
                <w:sz w:val="24"/>
                <w:szCs w:val="24"/>
                <w:lang w:val="en-US"/>
              </w:rPr>
              <w:t>6</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B3EA5EC"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48022</w:t>
            </w:r>
            <w:r w:rsidRPr="00D05956">
              <w:rPr>
                <w:sz w:val="24"/>
                <w:szCs w:val="24"/>
                <w:lang w:val="kk-KZ"/>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D7002BB" w14:textId="77777777" w:rsidR="00825059" w:rsidRPr="00D05956" w:rsidRDefault="00825059" w:rsidP="00825059">
            <w:pPr>
              <w:pStyle w:val="TableParagraph"/>
              <w:spacing w:line="228" w:lineRule="auto"/>
              <w:jc w:val="center"/>
              <w:rPr>
                <w:sz w:val="24"/>
                <w:szCs w:val="24"/>
                <w:lang w:val="en-US"/>
              </w:rPr>
            </w:pPr>
            <w:r w:rsidRPr="00D05956">
              <w:rPr>
                <w:color w:val="FF0000"/>
                <w:kern w:val="36"/>
                <w:sz w:val="24"/>
                <w:szCs w:val="24"/>
                <w:lang w:eastAsia="ru-RU"/>
              </w:rPr>
              <w:t>188580,9</w:t>
            </w:r>
          </w:p>
        </w:tc>
        <w:tc>
          <w:tcPr>
            <w:tcW w:w="1196" w:type="dxa"/>
            <w:tcBorders>
              <w:top w:val="single" w:sz="4" w:space="0" w:color="auto"/>
              <w:left w:val="single" w:sz="4" w:space="0" w:color="auto"/>
              <w:bottom w:val="single" w:sz="4" w:space="0" w:color="auto"/>
              <w:right w:val="single" w:sz="4" w:space="0" w:color="auto"/>
            </w:tcBorders>
            <w:vAlign w:val="center"/>
          </w:tcPr>
          <w:p w14:paraId="392F75F9" w14:textId="1FAF8259" w:rsidR="00825059" w:rsidRPr="00825059" w:rsidRDefault="00825059" w:rsidP="00825059">
            <w:pPr>
              <w:pStyle w:val="TableParagraph"/>
              <w:spacing w:line="228" w:lineRule="auto"/>
              <w:jc w:val="center"/>
              <w:rPr>
                <w:color w:val="FF0000"/>
                <w:kern w:val="36"/>
                <w:sz w:val="24"/>
                <w:szCs w:val="24"/>
                <w:lang w:val="kk-KZ" w:eastAsia="ru-RU"/>
              </w:rPr>
            </w:pPr>
            <w:r>
              <w:rPr>
                <w:color w:val="FF0000"/>
                <w:kern w:val="36"/>
                <w:sz w:val="24"/>
                <w:szCs w:val="24"/>
                <w:lang w:val="kk-KZ" w:eastAsia="ru-RU"/>
              </w:rPr>
              <w:t>16,11</w:t>
            </w:r>
          </w:p>
        </w:tc>
      </w:tr>
      <w:tr w:rsidR="00825059" w:rsidRPr="00D05956" w14:paraId="6A4D070E" w14:textId="6CCD9112"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3C9F0C95"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жергілікті бюджет, млн.тг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CB287F2"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30302</w:t>
            </w:r>
            <w:r w:rsidRPr="00D05956">
              <w:rPr>
                <w:sz w:val="24"/>
                <w:szCs w:val="24"/>
                <w:lang w:val="kk-KZ"/>
              </w:rPr>
              <w:t>,</w:t>
            </w:r>
            <w:r w:rsidRPr="00D05956">
              <w:rPr>
                <w:sz w:val="24"/>
                <w:szCs w:val="24"/>
                <w:lang w:val="en-US"/>
              </w:rPr>
              <w:t>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8162442"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29318</w:t>
            </w:r>
            <w:r w:rsidRPr="00D05956">
              <w:rPr>
                <w:sz w:val="24"/>
                <w:szCs w:val="24"/>
                <w:lang w:val="kk-KZ"/>
              </w:rPr>
              <w:t>,7</w:t>
            </w:r>
          </w:p>
        </w:tc>
        <w:tc>
          <w:tcPr>
            <w:tcW w:w="996" w:type="dxa"/>
            <w:tcBorders>
              <w:top w:val="single" w:sz="4" w:space="0" w:color="auto"/>
              <w:left w:val="single" w:sz="4" w:space="0" w:color="auto"/>
              <w:bottom w:val="single" w:sz="4" w:space="0" w:color="auto"/>
              <w:right w:val="single" w:sz="4" w:space="0" w:color="auto"/>
            </w:tcBorders>
            <w:vAlign w:val="center"/>
            <w:hideMark/>
          </w:tcPr>
          <w:p w14:paraId="7479CD8B"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30393</w:t>
            </w:r>
            <w:r w:rsidRPr="00D05956">
              <w:rPr>
                <w:sz w:val="24"/>
                <w:szCs w:val="24"/>
                <w:lang w:val="kk-KZ"/>
              </w:rPr>
              <w:t>,</w:t>
            </w:r>
            <w:r w:rsidRPr="00D05956">
              <w:rPr>
                <w:sz w:val="24"/>
                <w:szCs w:val="24"/>
                <w:lang w:val="en-US"/>
              </w:rPr>
              <w:t>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FCF37F7"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3213</w:t>
            </w:r>
            <w:r w:rsidRPr="00D05956">
              <w:rPr>
                <w:sz w:val="24"/>
                <w:szCs w:val="24"/>
                <w:lang w:val="kk-KZ"/>
              </w:rPr>
              <w:t>8,5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BA30347"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33456</w:t>
            </w:r>
            <w:r w:rsidRPr="00D05956">
              <w:rPr>
                <w:sz w:val="24"/>
                <w:szCs w:val="24"/>
                <w:lang w:val="kk-KZ"/>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C1A112"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155610</w:t>
            </w:r>
            <w:r w:rsidRPr="00D05956">
              <w:rPr>
                <w:sz w:val="24"/>
                <w:szCs w:val="24"/>
                <w:lang w:val="kk-KZ"/>
              </w:rPr>
              <w:t>,1</w:t>
            </w:r>
          </w:p>
        </w:tc>
        <w:tc>
          <w:tcPr>
            <w:tcW w:w="1196" w:type="dxa"/>
            <w:tcBorders>
              <w:top w:val="single" w:sz="4" w:space="0" w:color="auto"/>
              <w:left w:val="single" w:sz="4" w:space="0" w:color="auto"/>
              <w:bottom w:val="single" w:sz="4" w:space="0" w:color="auto"/>
              <w:right w:val="single" w:sz="4" w:space="0" w:color="auto"/>
            </w:tcBorders>
            <w:vAlign w:val="center"/>
          </w:tcPr>
          <w:p w14:paraId="2543418C" w14:textId="2B285CFC" w:rsidR="00825059" w:rsidRPr="00825059" w:rsidRDefault="00825059" w:rsidP="00825059">
            <w:pPr>
              <w:pStyle w:val="TableParagraph"/>
              <w:spacing w:line="228" w:lineRule="auto"/>
              <w:jc w:val="center"/>
              <w:rPr>
                <w:sz w:val="24"/>
                <w:szCs w:val="24"/>
                <w:lang w:val="kk-KZ"/>
              </w:rPr>
            </w:pPr>
            <w:r>
              <w:rPr>
                <w:sz w:val="24"/>
                <w:szCs w:val="24"/>
                <w:lang w:val="kk-KZ"/>
              </w:rPr>
              <w:t>-</w:t>
            </w:r>
          </w:p>
        </w:tc>
      </w:tr>
      <w:tr w:rsidR="00825059" w:rsidRPr="00D05956" w14:paraId="56E0AEB2" w14:textId="203661D1"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81483EC"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-ағымдағы мақсатты трансферттер (РБ-тен бекітілген)</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15B46D"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2048</w:t>
            </w:r>
            <w:r w:rsidRPr="00D05956">
              <w:rPr>
                <w:sz w:val="24"/>
                <w:szCs w:val="24"/>
                <w:lang w:val="kk-KZ"/>
              </w:rPr>
              <w:t>,9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9B77C35"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2048</w:t>
            </w:r>
            <w:r w:rsidRPr="00D05956">
              <w:rPr>
                <w:sz w:val="24"/>
                <w:szCs w:val="24"/>
                <w:lang w:val="kk-KZ"/>
              </w:rPr>
              <w:t>,</w:t>
            </w:r>
            <w:r w:rsidRPr="00D05956">
              <w:rPr>
                <w:sz w:val="24"/>
                <w:szCs w:val="24"/>
                <w:lang w:val="en-US"/>
              </w:rPr>
              <w:t>9</w:t>
            </w:r>
          </w:p>
        </w:tc>
        <w:tc>
          <w:tcPr>
            <w:tcW w:w="996" w:type="dxa"/>
            <w:tcBorders>
              <w:top w:val="single" w:sz="4" w:space="0" w:color="auto"/>
              <w:left w:val="single" w:sz="4" w:space="0" w:color="auto"/>
              <w:bottom w:val="single" w:sz="4" w:space="0" w:color="auto"/>
              <w:right w:val="single" w:sz="4" w:space="0" w:color="auto"/>
            </w:tcBorders>
            <w:vAlign w:val="center"/>
            <w:hideMark/>
          </w:tcPr>
          <w:p w14:paraId="0F24E974"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61CC5B5"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8D97DEE"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en-US"/>
              </w:rPr>
              <w:t>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AC0F0BE"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4097</w:t>
            </w:r>
            <w:r w:rsidRPr="00D05956">
              <w:rPr>
                <w:sz w:val="24"/>
                <w:szCs w:val="24"/>
                <w:lang w:val="kk-KZ"/>
              </w:rPr>
              <w:t>,</w:t>
            </w:r>
            <w:r w:rsidRPr="00D05956">
              <w:rPr>
                <w:sz w:val="24"/>
                <w:szCs w:val="24"/>
                <w:lang w:val="en-US"/>
              </w:rPr>
              <w:t>8</w:t>
            </w:r>
          </w:p>
        </w:tc>
        <w:tc>
          <w:tcPr>
            <w:tcW w:w="1196" w:type="dxa"/>
            <w:tcBorders>
              <w:top w:val="single" w:sz="4" w:space="0" w:color="auto"/>
              <w:left w:val="single" w:sz="4" w:space="0" w:color="auto"/>
              <w:bottom w:val="single" w:sz="4" w:space="0" w:color="auto"/>
              <w:right w:val="single" w:sz="4" w:space="0" w:color="auto"/>
            </w:tcBorders>
            <w:vAlign w:val="center"/>
          </w:tcPr>
          <w:p w14:paraId="61534D1D" w14:textId="4684026B" w:rsidR="00825059" w:rsidRPr="00825059" w:rsidRDefault="00825059" w:rsidP="00825059">
            <w:pPr>
              <w:pStyle w:val="TableParagraph"/>
              <w:spacing w:line="228" w:lineRule="auto"/>
              <w:jc w:val="center"/>
              <w:rPr>
                <w:sz w:val="24"/>
                <w:szCs w:val="24"/>
                <w:lang w:val="kk-KZ"/>
              </w:rPr>
            </w:pPr>
            <w:r>
              <w:rPr>
                <w:sz w:val="24"/>
                <w:szCs w:val="24"/>
                <w:lang w:val="kk-KZ"/>
              </w:rPr>
              <w:t>-</w:t>
            </w:r>
          </w:p>
        </w:tc>
      </w:tr>
      <w:tr w:rsidR="00825059" w:rsidRPr="00D05956" w14:paraId="6DC5A937" w14:textId="53C24898"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049ABE4E"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-ағымдағы мақсатты трансферттер (РБ-тен қосымша)</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F836F6F"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kk-K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056B889"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kk-KZ"/>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09F236FD" w14:textId="77777777" w:rsidR="00825059" w:rsidRPr="00D05956" w:rsidRDefault="00825059" w:rsidP="00825059">
            <w:pPr>
              <w:pStyle w:val="TableParagraph"/>
              <w:spacing w:line="228" w:lineRule="auto"/>
              <w:jc w:val="center"/>
              <w:rPr>
                <w:sz w:val="24"/>
                <w:szCs w:val="24"/>
                <w:lang w:val="kk-KZ"/>
              </w:rPr>
            </w:pPr>
            <w:r w:rsidRPr="00D05956">
              <w:rPr>
                <w:sz w:val="24"/>
                <w:szCs w:val="24"/>
                <w:lang w:val="kk-KZ"/>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C344BDF"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14307,0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D4F7A2F"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14566,0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0F448D" w14:textId="77777777" w:rsidR="00825059" w:rsidRPr="00D05956" w:rsidRDefault="00825059" w:rsidP="00825059">
            <w:pPr>
              <w:pStyle w:val="TableParagraph"/>
              <w:spacing w:line="228" w:lineRule="auto"/>
              <w:jc w:val="center"/>
              <w:rPr>
                <w:sz w:val="24"/>
                <w:szCs w:val="24"/>
                <w:lang w:val="en-US"/>
              </w:rPr>
            </w:pPr>
            <w:r w:rsidRPr="00D05956">
              <w:rPr>
                <w:sz w:val="24"/>
                <w:szCs w:val="24"/>
                <w:lang w:val="en-US"/>
              </w:rPr>
              <w:t>28873,0</w:t>
            </w:r>
          </w:p>
        </w:tc>
        <w:tc>
          <w:tcPr>
            <w:tcW w:w="1196" w:type="dxa"/>
            <w:tcBorders>
              <w:top w:val="single" w:sz="4" w:space="0" w:color="auto"/>
              <w:left w:val="single" w:sz="4" w:space="0" w:color="auto"/>
              <w:bottom w:val="single" w:sz="4" w:space="0" w:color="auto"/>
              <w:right w:val="single" w:sz="4" w:space="0" w:color="auto"/>
            </w:tcBorders>
            <w:vAlign w:val="center"/>
          </w:tcPr>
          <w:p w14:paraId="5F67E11C" w14:textId="515D98AA" w:rsidR="00825059" w:rsidRPr="00825059" w:rsidRDefault="00825059" w:rsidP="00825059">
            <w:pPr>
              <w:pStyle w:val="TableParagraph"/>
              <w:spacing w:line="228" w:lineRule="auto"/>
              <w:jc w:val="center"/>
              <w:rPr>
                <w:sz w:val="24"/>
                <w:szCs w:val="24"/>
                <w:lang w:val="kk-KZ"/>
              </w:rPr>
            </w:pPr>
            <w:r>
              <w:rPr>
                <w:sz w:val="24"/>
                <w:szCs w:val="24"/>
                <w:lang w:val="kk-KZ"/>
              </w:rPr>
              <w:t>-</w:t>
            </w:r>
          </w:p>
        </w:tc>
      </w:tr>
      <w:tr w:rsidR="00825059" w:rsidRPr="00D05956" w14:paraId="26A1A976" w14:textId="2F33CC9C"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2F99492" w14:textId="77777777" w:rsidR="00825059" w:rsidRPr="00D05956" w:rsidRDefault="00825059" w:rsidP="00825059">
            <w:pPr>
              <w:tabs>
                <w:tab w:val="left" w:pos="122"/>
              </w:tabs>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субсидияланған ӨҚҚ көлемі, мың литр</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BC58CF7"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13745,0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4BDB718"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13151,0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D260BFB"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13174,0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7A66431"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18586,0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55E74A2"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19434,0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3AD339C" w14:textId="77777777" w:rsidR="00825059" w:rsidRPr="00D05956" w:rsidRDefault="00825059" w:rsidP="00825059">
            <w:pPr>
              <w:spacing w:line="228" w:lineRule="auto"/>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78090,0</w:t>
            </w:r>
          </w:p>
        </w:tc>
        <w:tc>
          <w:tcPr>
            <w:tcW w:w="1196" w:type="dxa"/>
            <w:tcBorders>
              <w:top w:val="single" w:sz="4" w:space="0" w:color="auto"/>
              <w:left w:val="single" w:sz="4" w:space="0" w:color="auto"/>
              <w:bottom w:val="single" w:sz="4" w:space="0" w:color="auto"/>
              <w:right w:val="single" w:sz="4" w:space="0" w:color="auto"/>
            </w:tcBorders>
            <w:vAlign w:val="center"/>
          </w:tcPr>
          <w:p w14:paraId="713D438D" w14:textId="0EB68AC7" w:rsidR="00825059" w:rsidRPr="00825059" w:rsidRDefault="00825059" w:rsidP="00825059">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0D58048A"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tcPr>
          <w:p w14:paraId="2C8DA147" w14:textId="40A7F97B" w:rsidR="00C14AB8" w:rsidRPr="00D05956" w:rsidRDefault="00C14AB8" w:rsidP="00C14AB8">
            <w:pPr>
              <w:tabs>
                <w:tab w:val="left" w:pos="122"/>
              </w:tabs>
              <w:spacing w:line="228" w:lineRule="auto"/>
              <w:rPr>
                <w:rFonts w:ascii="Times New Roman" w:hAnsi="Times New Roman" w:cs="Times New Roman"/>
                <w:color w:val="000000"/>
                <w:spacing w:val="2"/>
                <w:sz w:val="24"/>
                <w:szCs w:val="24"/>
                <w:bdr w:val="none" w:sz="0" w:space="0" w:color="auto" w:frame="1"/>
                <w:shd w:val="clear" w:color="auto" w:fill="FFFFFF"/>
                <w:lang w:val="kk-KZ"/>
              </w:rPr>
            </w:pPr>
            <w:r w:rsidRPr="00D05956">
              <w:rPr>
                <w:rFonts w:ascii="Times New Roman" w:hAnsi="Times New Roman" w:cs="Times New Roman"/>
                <w:color w:val="000000"/>
                <w:spacing w:val="2"/>
                <w:sz w:val="24"/>
                <w:szCs w:val="24"/>
                <w:shd w:val="clear" w:color="auto" w:fill="FFFFFF"/>
                <w:lang w:val="kk-KZ"/>
              </w:rPr>
              <w:t>6-көрсеткіш. ІҚМ-нің орташа тірідей салмағы, кг</w:t>
            </w:r>
          </w:p>
        </w:tc>
        <w:tc>
          <w:tcPr>
            <w:tcW w:w="1133" w:type="dxa"/>
            <w:tcBorders>
              <w:top w:val="single" w:sz="4" w:space="0" w:color="auto"/>
              <w:left w:val="single" w:sz="4" w:space="0" w:color="auto"/>
              <w:bottom w:val="single" w:sz="4" w:space="0" w:color="auto"/>
              <w:right w:val="single" w:sz="4" w:space="0" w:color="auto"/>
            </w:tcBorders>
            <w:vAlign w:val="center"/>
          </w:tcPr>
          <w:p w14:paraId="5070E93F" w14:textId="071AC372" w:rsidR="00C14AB8" w:rsidRPr="00D05956" w:rsidRDefault="00C14AB8" w:rsidP="00C14AB8">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380</w:t>
            </w:r>
          </w:p>
        </w:tc>
        <w:tc>
          <w:tcPr>
            <w:tcW w:w="1126" w:type="dxa"/>
            <w:tcBorders>
              <w:top w:val="single" w:sz="4" w:space="0" w:color="auto"/>
              <w:left w:val="single" w:sz="4" w:space="0" w:color="auto"/>
              <w:bottom w:val="single" w:sz="4" w:space="0" w:color="auto"/>
              <w:right w:val="single" w:sz="4" w:space="0" w:color="auto"/>
            </w:tcBorders>
            <w:vAlign w:val="center"/>
          </w:tcPr>
          <w:p w14:paraId="16B10888" w14:textId="28C8A523" w:rsidR="00C14AB8" w:rsidRPr="00D05956" w:rsidRDefault="00C14AB8" w:rsidP="00C14AB8">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385</w:t>
            </w:r>
          </w:p>
        </w:tc>
        <w:tc>
          <w:tcPr>
            <w:tcW w:w="996" w:type="dxa"/>
            <w:tcBorders>
              <w:top w:val="single" w:sz="4" w:space="0" w:color="auto"/>
              <w:left w:val="single" w:sz="4" w:space="0" w:color="auto"/>
              <w:bottom w:val="single" w:sz="4" w:space="0" w:color="auto"/>
              <w:right w:val="single" w:sz="4" w:space="0" w:color="auto"/>
            </w:tcBorders>
            <w:vAlign w:val="center"/>
          </w:tcPr>
          <w:p w14:paraId="20A0F970" w14:textId="3473F673" w:rsidR="00C14AB8" w:rsidRPr="00D05956" w:rsidRDefault="00C14AB8" w:rsidP="00C14AB8">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390</w:t>
            </w:r>
          </w:p>
        </w:tc>
        <w:tc>
          <w:tcPr>
            <w:tcW w:w="1446" w:type="dxa"/>
            <w:tcBorders>
              <w:top w:val="single" w:sz="4" w:space="0" w:color="auto"/>
              <w:left w:val="single" w:sz="4" w:space="0" w:color="auto"/>
              <w:bottom w:val="single" w:sz="4" w:space="0" w:color="auto"/>
              <w:right w:val="single" w:sz="4" w:space="0" w:color="auto"/>
            </w:tcBorders>
            <w:vAlign w:val="center"/>
          </w:tcPr>
          <w:p w14:paraId="5A8E01B9" w14:textId="5FC25F3C" w:rsidR="00C14AB8" w:rsidRPr="00D05956" w:rsidRDefault="00C14AB8" w:rsidP="00C14AB8">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394</w:t>
            </w:r>
          </w:p>
        </w:tc>
        <w:tc>
          <w:tcPr>
            <w:tcW w:w="1117" w:type="dxa"/>
            <w:tcBorders>
              <w:top w:val="single" w:sz="4" w:space="0" w:color="auto"/>
              <w:left w:val="single" w:sz="4" w:space="0" w:color="auto"/>
              <w:bottom w:val="single" w:sz="4" w:space="0" w:color="auto"/>
              <w:right w:val="single" w:sz="4" w:space="0" w:color="auto"/>
            </w:tcBorders>
            <w:vAlign w:val="center"/>
          </w:tcPr>
          <w:p w14:paraId="14E4ED5A" w14:textId="3ECC693F" w:rsidR="00C14AB8" w:rsidRPr="00D05956" w:rsidRDefault="00C14AB8" w:rsidP="00C14AB8">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400</w:t>
            </w:r>
          </w:p>
        </w:tc>
        <w:tc>
          <w:tcPr>
            <w:tcW w:w="1237" w:type="dxa"/>
            <w:tcBorders>
              <w:top w:val="single" w:sz="4" w:space="0" w:color="auto"/>
              <w:left w:val="single" w:sz="4" w:space="0" w:color="auto"/>
              <w:bottom w:val="single" w:sz="4" w:space="0" w:color="auto"/>
              <w:right w:val="single" w:sz="4" w:space="0" w:color="auto"/>
            </w:tcBorders>
            <w:vAlign w:val="center"/>
          </w:tcPr>
          <w:p w14:paraId="2D7252B0" w14:textId="42EE77AB" w:rsidR="00C14AB8" w:rsidRPr="00D05956" w:rsidRDefault="00C14AB8" w:rsidP="00C14AB8">
            <w:pPr>
              <w:spacing w:line="228" w:lineRule="auto"/>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400</w:t>
            </w:r>
          </w:p>
        </w:tc>
        <w:tc>
          <w:tcPr>
            <w:tcW w:w="1196" w:type="dxa"/>
            <w:tcBorders>
              <w:top w:val="single" w:sz="4" w:space="0" w:color="auto"/>
              <w:left w:val="single" w:sz="4" w:space="0" w:color="auto"/>
              <w:bottom w:val="single" w:sz="4" w:space="0" w:color="auto"/>
              <w:right w:val="single" w:sz="4" w:space="0" w:color="auto"/>
            </w:tcBorders>
            <w:vAlign w:val="center"/>
          </w:tcPr>
          <w:p w14:paraId="15DAFE3C" w14:textId="5171B688" w:rsidR="00C14AB8" w:rsidRDefault="00C14AB8" w:rsidP="00C14AB8">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14:paraId="248EC62C" w14:textId="77777777" w:rsidTr="00825059">
        <w:trPr>
          <w:jc w:val="center"/>
        </w:trPr>
        <w:tc>
          <w:tcPr>
            <w:tcW w:w="13731" w:type="dxa"/>
            <w:gridSpan w:val="7"/>
            <w:tcBorders>
              <w:top w:val="nil"/>
              <w:left w:val="nil"/>
              <w:bottom w:val="single" w:sz="4" w:space="0" w:color="auto"/>
              <w:right w:val="nil"/>
            </w:tcBorders>
          </w:tcPr>
          <w:p w14:paraId="1C01A100" w14:textId="6D4728C3" w:rsidR="00C14AB8" w:rsidRPr="00825059" w:rsidRDefault="00C14AB8" w:rsidP="00C14AB8">
            <w:pPr>
              <w:pStyle w:val="TableParagraph"/>
              <w:ind w:hanging="111"/>
              <w:rPr>
                <w:sz w:val="28"/>
                <w:szCs w:val="28"/>
                <w:lang w:val="kk-KZ"/>
              </w:rPr>
            </w:pPr>
            <w:r>
              <w:rPr>
                <w:sz w:val="28"/>
                <w:szCs w:val="28"/>
                <w:lang w:val="kk-KZ"/>
              </w:rPr>
              <w:t>А.1-кестенің жалғасы</w:t>
            </w:r>
          </w:p>
        </w:tc>
        <w:tc>
          <w:tcPr>
            <w:tcW w:w="1196" w:type="dxa"/>
            <w:tcBorders>
              <w:top w:val="nil"/>
              <w:left w:val="nil"/>
              <w:bottom w:val="single" w:sz="4" w:space="0" w:color="auto"/>
              <w:right w:val="nil"/>
            </w:tcBorders>
            <w:vAlign w:val="center"/>
          </w:tcPr>
          <w:p w14:paraId="058A453C" w14:textId="77777777" w:rsidR="00C14AB8" w:rsidRDefault="00C14AB8" w:rsidP="00C14AB8">
            <w:pPr>
              <w:pStyle w:val="TableParagraph"/>
              <w:ind w:hanging="111"/>
              <w:jc w:val="center"/>
              <w:rPr>
                <w:sz w:val="28"/>
                <w:szCs w:val="28"/>
                <w:lang w:val="kk-KZ"/>
              </w:rPr>
            </w:pPr>
          </w:p>
        </w:tc>
      </w:tr>
      <w:tr w:rsidR="00C14AB8" w14:paraId="375449A7"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4554261" w14:textId="77777777" w:rsidR="00C14AB8" w:rsidRDefault="00C14AB8" w:rsidP="00C14AB8">
            <w:pPr>
              <w:tabs>
                <w:tab w:val="left" w:pos="122"/>
              </w:tabs>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5E04627" w14:textId="77777777" w:rsidR="00C14AB8" w:rsidRDefault="00C14AB8" w:rsidP="00C14AB8">
            <w:pPr>
              <w:pStyle w:val="TableParagraph"/>
              <w:jc w:val="center"/>
              <w:rPr>
                <w:sz w:val="24"/>
                <w:szCs w:val="24"/>
                <w:lang w:val="kk-KZ"/>
              </w:rPr>
            </w:pPr>
            <w:r>
              <w:rPr>
                <w:sz w:val="24"/>
                <w:szCs w:val="24"/>
                <w:lang w:val="kk-KZ"/>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7F00183" w14:textId="77777777" w:rsidR="00C14AB8" w:rsidRDefault="00C14AB8" w:rsidP="00C14AB8">
            <w:pPr>
              <w:pStyle w:val="TableParagraph"/>
              <w:jc w:val="center"/>
              <w:rPr>
                <w:sz w:val="24"/>
                <w:szCs w:val="24"/>
                <w:lang w:val="kk-KZ"/>
              </w:rPr>
            </w:pPr>
            <w:r>
              <w:rPr>
                <w:sz w:val="24"/>
                <w:szCs w:val="24"/>
                <w:lang w:val="kk-KZ"/>
              </w:rPr>
              <w:t>3</w:t>
            </w:r>
          </w:p>
        </w:tc>
        <w:tc>
          <w:tcPr>
            <w:tcW w:w="996" w:type="dxa"/>
            <w:tcBorders>
              <w:top w:val="single" w:sz="4" w:space="0" w:color="auto"/>
              <w:left w:val="single" w:sz="4" w:space="0" w:color="auto"/>
              <w:bottom w:val="single" w:sz="4" w:space="0" w:color="auto"/>
              <w:right w:val="single" w:sz="4" w:space="0" w:color="auto"/>
            </w:tcBorders>
            <w:vAlign w:val="center"/>
            <w:hideMark/>
          </w:tcPr>
          <w:p w14:paraId="3D76D309" w14:textId="77777777" w:rsidR="00C14AB8" w:rsidRDefault="00C14AB8" w:rsidP="00C14AB8">
            <w:pPr>
              <w:pStyle w:val="TableParagraph"/>
              <w:jc w:val="center"/>
              <w:rPr>
                <w:sz w:val="24"/>
                <w:szCs w:val="24"/>
                <w:lang w:val="kk-KZ"/>
              </w:rPr>
            </w:pPr>
            <w:r>
              <w:rPr>
                <w:sz w:val="24"/>
                <w:szCs w:val="24"/>
                <w:lang w:val="kk-KZ"/>
              </w:rPr>
              <w:t>4</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28ACEF3" w14:textId="77777777" w:rsidR="00C14AB8" w:rsidRDefault="00C14AB8" w:rsidP="00C14AB8">
            <w:pPr>
              <w:pStyle w:val="TableParagraph"/>
              <w:jc w:val="center"/>
              <w:rPr>
                <w:sz w:val="24"/>
                <w:szCs w:val="24"/>
                <w:lang w:val="kk-KZ"/>
              </w:rPr>
            </w:pPr>
            <w:r>
              <w:rPr>
                <w:sz w:val="24"/>
                <w:szCs w:val="24"/>
                <w:lang w:val="kk-KZ"/>
              </w:rPr>
              <w:t>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231E91C" w14:textId="77777777" w:rsidR="00C14AB8" w:rsidRDefault="00C14AB8" w:rsidP="00C14AB8">
            <w:pPr>
              <w:pStyle w:val="TableParagraph"/>
              <w:jc w:val="center"/>
              <w:rPr>
                <w:sz w:val="24"/>
                <w:szCs w:val="24"/>
                <w:lang w:val="kk-KZ"/>
              </w:rPr>
            </w:pPr>
            <w:r>
              <w:rPr>
                <w:sz w:val="24"/>
                <w:szCs w:val="24"/>
                <w:lang w:val="kk-KZ"/>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FC8D725" w14:textId="77777777" w:rsidR="00C14AB8" w:rsidRDefault="00C14AB8" w:rsidP="00C14AB8">
            <w:pPr>
              <w:pStyle w:val="TableParagraph"/>
              <w:jc w:val="center"/>
              <w:rPr>
                <w:sz w:val="24"/>
                <w:szCs w:val="24"/>
                <w:lang w:val="kk-KZ"/>
              </w:rPr>
            </w:pPr>
            <w:r>
              <w:rPr>
                <w:sz w:val="24"/>
                <w:szCs w:val="24"/>
                <w:lang w:val="kk-KZ"/>
              </w:rPr>
              <w:t>7</w:t>
            </w:r>
          </w:p>
        </w:tc>
        <w:tc>
          <w:tcPr>
            <w:tcW w:w="1196" w:type="dxa"/>
            <w:tcBorders>
              <w:top w:val="single" w:sz="4" w:space="0" w:color="auto"/>
              <w:left w:val="single" w:sz="4" w:space="0" w:color="auto"/>
              <w:bottom w:val="single" w:sz="4" w:space="0" w:color="auto"/>
              <w:right w:val="single" w:sz="4" w:space="0" w:color="auto"/>
            </w:tcBorders>
            <w:vAlign w:val="center"/>
          </w:tcPr>
          <w:p w14:paraId="56F2AFEF" w14:textId="77777777" w:rsidR="00C14AB8" w:rsidRDefault="00C14AB8" w:rsidP="00C14AB8">
            <w:pPr>
              <w:pStyle w:val="TableParagraph"/>
              <w:jc w:val="center"/>
              <w:rPr>
                <w:sz w:val="24"/>
                <w:szCs w:val="24"/>
                <w:lang w:val="kk-KZ"/>
              </w:rPr>
            </w:pPr>
          </w:p>
        </w:tc>
      </w:tr>
      <w:tr w:rsidR="00C14AB8" w:rsidRPr="00D05956" w14:paraId="6724AAFB" w14:textId="2786E0BB"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3D4814E8" w14:textId="77777777" w:rsidR="00C14AB8" w:rsidRPr="00D05956" w:rsidRDefault="00C14AB8" w:rsidP="00C14AB8">
            <w:pPr>
              <w:tabs>
                <w:tab w:val="left" w:pos="122"/>
              </w:tabs>
              <w:spacing w:line="228" w:lineRule="auto"/>
              <w:rPr>
                <w:rFonts w:ascii="Times New Roman" w:hAnsi="Times New Roman" w:cs="Times New Roman"/>
                <w:color w:val="000000"/>
                <w:spacing w:val="2"/>
                <w:sz w:val="24"/>
                <w:szCs w:val="24"/>
                <w:bdr w:val="none" w:sz="0" w:space="0" w:color="auto" w:frame="1"/>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1-іс-шара. Жасыл өсу қағидаттарына сәйкес орнықты өсу негізінде мал шаруашылығын дамытуды субсидиялау, оның ішінде етті мал шаруашылығындағы селекциялық және асыл тұқымдық жұмыс,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156D17D" w14:textId="77777777" w:rsidR="00C14AB8" w:rsidRPr="00D05956" w:rsidRDefault="00C14AB8" w:rsidP="00C14AB8">
            <w:pPr>
              <w:pStyle w:val="TableParagraph"/>
              <w:spacing w:line="228" w:lineRule="auto"/>
              <w:jc w:val="center"/>
              <w:rPr>
                <w:sz w:val="24"/>
                <w:szCs w:val="24"/>
                <w:lang w:val="en-US"/>
              </w:rPr>
            </w:pPr>
            <w:r w:rsidRPr="00D05956">
              <w:rPr>
                <w:sz w:val="24"/>
                <w:szCs w:val="24"/>
                <w:lang w:val="en-US"/>
              </w:rPr>
              <w:t>96351</w:t>
            </w:r>
            <w:r w:rsidRPr="00D05956">
              <w:rPr>
                <w:sz w:val="24"/>
                <w:szCs w:val="24"/>
                <w:lang w:val="kk-KZ"/>
              </w:rPr>
              <w:t>,</w:t>
            </w:r>
            <w:r w:rsidRPr="00D05956">
              <w:rPr>
                <w:sz w:val="24"/>
                <w:szCs w:val="24"/>
                <w:lang w:val="en-US"/>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AAF6DA5" w14:textId="77777777" w:rsidR="00C14AB8" w:rsidRPr="00D05956" w:rsidRDefault="00C14AB8" w:rsidP="00C14AB8">
            <w:pPr>
              <w:pStyle w:val="TableParagraph"/>
              <w:spacing w:line="228" w:lineRule="auto"/>
              <w:jc w:val="center"/>
              <w:rPr>
                <w:sz w:val="24"/>
                <w:szCs w:val="24"/>
                <w:lang w:val="kk-KZ"/>
              </w:rPr>
            </w:pPr>
            <w:r w:rsidRPr="00D05956">
              <w:rPr>
                <w:sz w:val="24"/>
                <w:szCs w:val="24"/>
                <w:lang w:val="en-US"/>
              </w:rPr>
              <w:t>94084</w:t>
            </w:r>
            <w:r w:rsidRPr="00D05956">
              <w:rPr>
                <w:sz w:val="24"/>
                <w:szCs w:val="24"/>
                <w:lang w:val="kk-KZ"/>
              </w:rPr>
              <w:t>,1</w:t>
            </w:r>
          </w:p>
        </w:tc>
        <w:tc>
          <w:tcPr>
            <w:tcW w:w="996" w:type="dxa"/>
            <w:tcBorders>
              <w:top w:val="single" w:sz="4" w:space="0" w:color="auto"/>
              <w:left w:val="single" w:sz="4" w:space="0" w:color="auto"/>
              <w:bottom w:val="single" w:sz="4" w:space="0" w:color="auto"/>
              <w:right w:val="single" w:sz="4" w:space="0" w:color="auto"/>
            </w:tcBorders>
            <w:vAlign w:val="center"/>
            <w:hideMark/>
          </w:tcPr>
          <w:p w14:paraId="470E267D" w14:textId="77777777" w:rsidR="00C14AB8" w:rsidRPr="00D05956" w:rsidRDefault="00C14AB8" w:rsidP="00C14AB8">
            <w:pPr>
              <w:pStyle w:val="TableParagraph"/>
              <w:spacing w:line="228" w:lineRule="auto"/>
              <w:jc w:val="center"/>
              <w:rPr>
                <w:sz w:val="24"/>
                <w:szCs w:val="24"/>
                <w:lang w:val="kk-KZ"/>
              </w:rPr>
            </w:pPr>
            <w:r w:rsidRPr="00D05956">
              <w:rPr>
                <w:sz w:val="24"/>
                <w:szCs w:val="24"/>
                <w:lang w:val="en-US"/>
              </w:rPr>
              <w:t>97503</w:t>
            </w:r>
            <w:r w:rsidRPr="00D05956">
              <w:rPr>
                <w:sz w:val="24"/>
                <w:szCs w:val="24"/>
                <w:lang w:val="kk-KZ"/>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4E75132" w14:textId="77777777" w:rsidR="00C14AB8" w:rsidRPr="00D05956" w:rsidRDefault="00C14AB8" w:rsidP="00C14AB8">
            <w:pPr>
              <w:pStyle w:val="TableParagraph"/>
              <w:spacing w:line="228" w:lineRule="auto"/>
              <w:jc w:val="center"/>
              <w:rPr>
                <w:sz w:val="24"/>
                <w:szCs w:val="24"/>
                <w:lang w:val="kk-KZ"/>
              </w:rPr>
            </w:pPr>
            <w:r w:rsidRPr="00D05956">
              <w:rPr>
                <w:sz w:val="24"/>
                <w:szCs w:val="24"/>
                <w:lang w:val="en-US"/>
              </w:rPr>
              <w:t>101403</w:t>
            </w:r>
            <w:r w:rsidRPr="00D05956">
              <w:rPr>
                <w:sz w:val="24"/>
                <w:szCs w:val="24"/>
                <w:lang w:val="kk-KZ"/>
              </w:rPr>
              <w:t>,1</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9229F17" w14:textId="77777777" w:rsidR="00C14AB8" w:rsidRPr="00D05956" w:rsidRDefault="00C14AB8" w:rsidP="00C14AB8">
            <w:pPr>
              <w:pStyle w:val="TableParagraph"/>
              <w:spacing w:line="228" w:lineRule="auto"/>
              <w:jc w:val="center"/>
              <w:rPr>
                <w:sz w:val="24"/>
                <w:szCs w:val="24"/>
                <w:lang w:val="en-US"/>
              </w:rPr>
            </w:pPr>
            <w:r w:rsidRPr="00D05956">
              <w:rPr>
                <w:sz w:val="24"/>
                <w:szCs w:val="24"/>
                <w:lang w:val="en-US"/>
              </w:rPr>
              <w:t>105459</w:t>
            </w:r>
            <w:r w:rsidRPr="00D05956">
              <w:rPr>
                <w:sz w:val="24"/>
                <w:szCs w:val="24"/>
                <w:lang w:val="kk-KZ"/>
              </w:rPr>
              <w:t>,</w:t>
            </w:r>
            <w:r w:rsidRPr="00D05956">
              <w:rPr>
                <w:sz w:val="24"/>
                <w:szCs w:val="24"/>
                <w:lang w:val="en-US"/>
              </w:rPr>
              <w:t>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03E0A7A" w14:textId="77777777" w:rsidR="00C14AB8" w:rsidRPr="00D05956" w:rsidRDefault="00C14AB8" w:rsidP="00C14AB8">
            <w:pPr>
              <w:spacing w:line="228" w:lineRule="auto"/>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color w:val="FF0000"/>
                <w:kern w:val="36"/>
                <w:sz w:val="24"/>
                <w:szCs w:val="24"/>
                <w:lang w:eastAsia="ru-RU"/>
              </w:rPr>
              <w:t>494800,8</w:t>
            </w:r>
          </w:p>
        </w:tc>
        <w:tc>
          <w:tcPr>
            <w:tcW w:w="1196" w:type="dxa"/>
            <w:tcBorders>
              <w:top w:val="single" w:sz="4" w:space="0" w:color="auto"/>
              <w:left w:val="single" w:sz="4" w:space="0" w:color="auto"/>
              <w:bottom w:val="single" w:sz="4" w:space="0" w:color="auto"/>
              <w:right w:val="single" w:sz="4" w:space="0" w:color="auto"/>
            </w:tcBorders>
            <w:vAlign w:val="center"/>
          </w:tcPr>
          <w:p w14:paraId="7C68362E" w14:textId="37D4C7DF" w:rsidR="00C14AB8" w:rsidRPr="00825059" w:rsidRDefault="00C14AB8" w:rsidP="00C14AB8">
            <w:pPr>
              <w:spacing w:line="228" w:lineRule="auto"/>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42,27</w:t>
            </w:r>
          </w:p>
        </w:tc>
      </w:tr>
      <w:tr w:rsidR="00C14AB8" w:rsidRPr="00D05956" w14:paraId="50903BCB" w14:textId="44F37128" w:rsidTr="00825059">
        <w:trPr>
          <w:jc w:val="center"/>
        </w:trPr>
        <w:tc>
          <w:tcPr>
            <w:tcW w:w="6676" w:type="dxa"/>
            <w:tcBorders>
              <w:top w:val="single" w:sz="4" w:space="0" w:color="auto"/>
              <w:left w:val="single" w:sz="4" w:space="0" w:color="auto"/>
              <w:bottom w:val="nil"/>
              <w:right w:val="single" w:sz="4" w:space="0" w:color="auto"/>
            </w:tcBorders>
            <w:hideMark/>
          </w:tcPr>
          <w:p w14:paraId="04C05606"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бір сауын сиырға орташа сүт сауу, кг</w:t>
            </w:r>
          </w:p>
        </w:tc>
        <w:tc>
          <w:tcPr>
            <w:tcW w:w="1133" w:type="dxa"/>
            <w:tcBorders>
              <w:top w:val="single" w:sz="4" w:space="0" w:color="auto"/>
              <w:left w:val="single" w:sz="4" w:space="0" w:color="auto"/>
              <w:bottom w:val="nil"/>
              <w:right w:val="single" w:sz="4" w:space="0" w:color="auto"/>
            </w:tcBorders>
            <w:vAlign w:val="center"/>
            <w:hideMark/>
          </w:tcPr>
          <w:p w14:paraId="61B0E930"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2374,0</w:t>
            </w:r>
          </w:p>
        </w:tc>
        <w:tc>
          <w:tcPr>
            <w:tcW w:w="1126" w:type="dxa"/>
            <w:tcBorders>
              <w:top w:val="single" w:sz="4" w:space="0" w:color="auto"/>
              <w:left w:val="single" w:sz="4" w:space="0" w:color="auto"/>
              <w:bottom w:val="nil"/>
              <w:right w:val="single" w:sz="4" w:space="0" w:color="auto"/>
            </w:tcBorders>
            <w:vAlign w:val="center"/>
            <w:hideMark/>
          </w:tcPr>
          <w:p w14:paraId="5AEEBB71"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2384,0</w:t>
            </w:r>
          </w:p>
        </w:tc>
        <w:tc>
          <w:tcPr>
            <w:tcW w:w="996" w:type="dxa"/>
            <w:tcBorders>
              <w:top w:val="single" w:sz="4" w:space="0" w:color="auto"/>
              <w:left w:val="single" w:sz="4" w:space="0" w:color="auto"/>
              <w:bottom w:val="nil"/>
              <w:right w:val="single" w:sz="4" w:space="0" w:color="auto"/>
            </w:tcBorders>
            <w:vAlign w:val="center"/>
            <w:hideMark/>
          </w:tcPr>
          <w:p w14:paraId="1399B233"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2394,0</w:t>
            </w:r>
          </w:p>
        </w:tc>
        <w:tc>
          <w:tcPr>
            <w:tcW w:w="1446" w:type="dxa"/>
            <w:tcBorders>
              <w:top w:val="single" w:sz="4" w:space="0" w:color="auto"/>
              <w:left w:val="single" w:sz="4" w:space="0" w:color="auto"/>
              <w:bottom w:val="nil"/>
              <w:right w:val="single" w:sz="4" w:space="0" w:color="auto"/>
            </w:tcBorders>
            <w:vAlign w:val="center"/>
            <w:hideMark/>
          </w:tcPr>
          <w:p w14:paraId="0A560155"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2405,0</w:t>
            </w:r>
          </w:p>
        </w:tc>
        <w:tc>
          <w:tcPr>
            <w:tcW w:w="1117" w:type="dxa"/>
            <w:tcBorders>
              <w:top w:val="single" w:sz="4" w:space="0" w:color="auto"/>
              <w:left w:val="single" w:sz="4" w:space="0" w:color="auto"/>
              <w:bottom w:val="nil"/>
              <w:right w:val="single" w:sz="4" w:space="0" w:color="auto"/>
            </w:tcBorders>
            <w:vAlign w:val="center"/>
            <w:hideMark/>
          </w:tcPr>
          <w:p w14:paraId="207DD334"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2415,0</w:t>
            </w:r>
          </w:p>
        </w:tc>
        <w:tc>
          <w:tcPr>
            <w:tcW w:w="1237" w:type="dxa"/>
            <w:tcBorders>
              <w:top w:val="single" w:sz="4" w:space="0" w:color="auto"/>
              <w:left w:val="single" w:sz="4" w:space="0" w:color="auto"/>
              <w:bottom w:val="nil"/>
              <w:right w:val="single" w:sz="4" w:space="0" w:color="auto"/>
            </w:tcBorders>
            <w:vAlign w:val="center"/>
            <w:hideMark/>
          </w:tcPr>
          <w:p w14:paraId="161C23A5"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2415,0</w:t>
            </w:r>
          </w:p>
        </w:tc>
        <w:tc>
          <w:tcPr>
            <w:tcW w:w="1196" w:type="dxa"/>
            <w:tcBorders>
              <w:top w:val="single" w:sz="4" w:space="0" w:color="auto"/>
              <w:left w:val="single" w:sz="4" w:space="0" w:color="auto"/>
              <w:bottom w:val="nil"/>
              <w:right w:val="single" w:sz="4" w:space="0" w:color="auto"/>
            </w:tcBorders>
            <w:vAlign w:val="center"/>
          </w:tcPr>
          <w:p w14:paraId="4A48DB7B" w14:textId="7D3C0D97" w:rsidR="00C14AB8" w:rsidRPr="00825059"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06D9E484" w14:textId="5C21924D"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4852C631"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жергілікті бюджет, млн.тг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A8A31C6" w14:textId="77777777" w:rsidR="00C14AB8" w:rsidRPr="00D05956" w:rsidRDefault="00C14AB8" w:rsidP="00C14AB8">
            <w:pPr>
              <w:pStyle w:val="TableParagraph"/>
              <w:jc w:val="center"/>
              <w:rPr>
                <w:sz w:val="24"/>
                <w:szCs w:val="24"/>
                <w:lang w:val="kk-KZ"/>
              </w:rPr>
            </w:pPr>
            <w:r w:rsidRPr="00D05956">
              <w:rPr>
                <w:sz w:val="24"/>
                <w:szCs w:val="24"/>
                <w:lang w:val="en-US"/>
              </w:rPr>
              <w:t>96351</w:t>
            </w:r>
            <w:r w:rsidRPr="00D05956">
              <w:rPr>
                <w:sz w:val="24"/>
                <w:szCs w:val="24"/>
                <w:lang w:val="kk-KZ"/>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2A448F5" w14:textId="77777777" w:rsidR="00C14AB8" w:rsidRPr="00D05956" w:rsidRDefault="00C14AB8" w:rsidP="00C14AB8">
            <w:pPr>
              <w:pStyle w:val="TableParagraph"/>
              <w:jc w:val="center"/>
              <w:rPr>
                <w:sz w:val="24"/>
                <w:szCs w:val="24"/>
                <w:lang w:val="kk-KZ"/>
              </w:rPr>
            </w:pPr>
            <w:r w:rsidRPr="00D05956">
              <w:rPr>
                <w:sz w:val="24"/>
                <w:szCs w:val="24"/>
                <w:lang w:val="en-US"/>
              </w:rPr>
              <w:t>89250</w:t>
            </w:r>
            <w:r w:rsidRPr="00D05956">
              <w:rPr>
                <w:sz w:val="24"/>
                <w:szCs w:val="24"/>
                <w:lang w:val="kk-KZ"/>
              </w:rPr>
              <w:t>,0</w:t>
            </w:r>
          </w:p>
        </w:tc>
        <w:tc>
          <w:tcPr>
            <w:tcW w:w="996" w:type="dxa"/>
            <w:tcBorders>
              <w:top w:val="single" w:sz="4" w:space="0" w:color="auto"/>
              <w:left w:val="single" w:sz="4" w:space="0" w:color="auto"/>
              <w:bottom w:val="single" w:sz="4" w:space="0" w:color="auto"/>
              <w:right w:val="single" w:sz="4" w:space="0" w:color="auto"/>
            </w:tcBorders>
            <w:vAlign w:val="center"/>
            <w:hideMark/>
          </w:tcPr>
          <w:p w14:paraId="438F922E" w14:textId="77777777" w:rsidR="00C14AB8" w:rsidRPr="00D05956" w:rsidRDefault="00C14AB8" w:rsidP="00C14AB8">
            <w:pPr>
              <w:pStyle w:val="TableParagraph"/>
              <w:jc w:val="center"/>
              <w:rPr>
                <w:sz w:val="24"/>
                <w:szCs w:val="24"/>
                <w:lang w:val="en-US"/>
              </w:rPr>
            </w:pPr>
            <w:r w:rsidRPr="00D05956">
              <w:rPr>
                <w:sz w:val="24"/>
                <w:szCs w:val="24"/>
                <w:lang w:val="en-US"/>
              </w:rPr>
              <w:t>91801</w:t>
            </w:r>
            <w:r w:rsidRPr="00D05956">
              <w:rPr>
                <w:sz w:val="24"/>
                <w:szCs w:val="24"/>
                <w:lang w:val="kk-KZ"/>
              </w:rPr>
              <w:t>,</w:t>
            </w:r>
            <w:r w:rsidRPr="00D05956">
              <w:rPr>
                <w:sz w:val="24"/>
                <w:szCs w:val="24"/>
                <w:lang w:val="en-US"/>
              </w:rPr>
              <w:t>9</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5E7CADF" w14:textId="77777777" w:rsidR="00C14AB8" w:rsidRPr="00D05956" w:rsidRDefault="00C14AB8" w:rsidP="00C14AB8">
            <w:pPr>
              <w:pStyle w:val="TableParagraph"/>
              <w:jc w:val="center"/>
              <w:rPr>
                <w:sz w:val="24"/>
                <w:szCs w:val="24"/>
                <w:lang w:val="en-US"/>
              </w:rPr>
            </w:pPr>
            <w:r w:rsidRPr="00D05956">
              <w:rPr>
                <w:sz w:val="24"/>
                <w:szCs w:val="24"/>
                <w:lang w:val="en-US"/>
              </w:rPr>
              <w:t>94814,4</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85EB6E2" w14:textId="77777777" w:rsidR="00C14AB8" w:rsidRPr="00D05956" w:rsidRDefault="00C14AB8" w:rsidP="00C14AB8">
            <w:pPr>
              <w:pStyle w:val="TableParagraph"/>
              <w:jc w:val="center"/>
              <w:rPr>
                <w:sz w:val="24"/>
                <w:szCs w:val="24"/>
                <w:lang w:val="en-US"/>
              </w:rPr>
            </w:pPr>
            <w:r w:rsidRPr="00D05956">
              <w:rPr>
                <w:sz w:val="24"/>
                <w:szCs w:val="24"/>
                <w:lang w:val="en-US"/>
              </w:rPr>
              <w:t>97992</w:t>
            </w:r>
            <w:r w:rsidRPr="00D05956">
              <w:rPr>
                <w:sz w:val="24"/>
                <w:szCs w:val="24"/>
                <w:lang w:val="kk-KZ"/>
              </w:rPr>
              <w:t>,</w:t>
            </w:r>
            <w:r w:rsidRPr="00D05956">
              <w:rPr>
                <w:sz w:val="24"/>
                <w:szCs w:val="24"/>
                <w:lang w:val="en-US"/>
              </w:rPr>
              <w:t>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49AEF44" w14:textId="77777777" w:rsidR="00C14AB8" w:rsidRPr="00D05956" w:rsidRDefault="00C14AB8" w:rsidP="00C14AB8">
            <w:pPr>
              <w:pStyle w:val="TableParagraph"/>
              <w:jc w:val="center"/>
              <w:rPr>
                <w:sz w:val="24"/>
                <w:szCs w:val="24"/>
                <w:lang w:val="en-US"/>
              </w:rPr>
            </w:pPr>
            <w:r w:rsidRPr="00D05956">
              <w:rPr>
                <w:sz w:val="24"/>
                <w:szCs w:val="24"/>
                <w:lang w:val="en-US"/>
              </w:rPr>
              <w:t>470209</w:t>
            </w:r>
            <w:r w:rsidRPr="00D05956">
              <w:rPr>
                <w:sz w:val="24"/>
                <w:szCs w:val="24"/>
                <w:lang w:val="kk-KZ"/>
              </w:rPr>
              <w:t>,</w:t>
            </w:r>
            <w:r w:rsidRPr="00D05956">
              <w:rPr>
                <w:sz w:val="24"/>
                <w:szCs w:val="24"/>
                <w:lang w:val="en-US"/>
              </w:rPr>
              <w:t>7</w:t>
            </w:r>
          </w:p>
        </w:tc>
        <w:tc>
          <w:tcPr>
            <w:tcW w:w="1196" w:type="dxa"/>
            <w:tcBorders>
              <w:top w:val="single" w:sz="4" w:space="0" w:color="auto"/>
              <w:left w:val="single" w:sz="4" w:space="0" w:color="auto"/>
              <w:bottom w:val="single" w:sz="4" w:space="0" w:color="auto"/>
              <w:right w:val="single" w:sz="4" w:space="0" w:color="auto"/>
            </w:tcBorders>
            <w:vAlign w:val="center"/>
          </w:tcPr>
          <w:p w14:paraId="0EF68A4A" w14:textId="03E26766" w:rsidR="00C14AB8" w:rsidRPr="00825059" w:rsidRDefault="00C14AB8" w:rsidP="00C14AB8">
            <w:pPr>
              <w:pStyle w:val="TableParagraph"/>
              <w:jc w:val="center"/>
              <w:rPr>
                <w:sz w:val="24"/>
                <w:szCs w:val="24"/>
                <w:lang w:val="kk-KZ"/>
              </w:rPr>
            </w:pPr>
            <w:r>
              <w:rPr>
                <w:sz w:val="24"/>
                <w:szCs w:val="24"/>
                <w:lang w:val="kk-KZ"/>
              </w:rPr>
              <w:t>-</w:t>
            </w:r>
          </w:p>
        </w:tc>
      </w:tr>
      <w:tr w:rsidR="00C14AB8" w:rsidRPr="00D05956" w14:paraId="440EDC1E" w14:textId="2323E518"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70204323"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 Үлгілік жобалардың негізінде 150 бастан басталатын тауарлы сүт фермаларын салуды субсидиялауды қосу</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0BC95D8"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DCD4A2B"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47A3577F"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06070FC"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EDB692F"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5F10A7"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Талап е</w:t>
            </w:r>
            <w:r w:rsidRPr="00D05956">
              <w:rPr>
                <w:rFonts w:ascii="Times New Roman" w:eastAsia="Times New Roman" w:hAnsi="Times New Roman" w:cs="Times New Roman"/>
                <w:kern w:val="36"/>
                <w:sz w:val="24"/>
                <w:szCs w:val="24"/>
                <w:lang w:val="kk-KZ" w:eastAsia="ru-RU"/>
              </w:rPr>
              <w:t>тілмейді</w:t>
            </w:r>
          </w:p>
        </w:tc>
        <w:tc>
          <w:tcPr>
            <w:tcW w:w="1196" w:type="dxa"/>
            <w:tcBorders>
              <w:top w:val="single" w:sz="4" w:space="0" w:color="auto"/>
              <w:left w:val="single" w:sz="4" w:space="0" w:color="auto"/>
              <w:bottom w:val="single" w:sz="4" w:space="0" w:color="auto"/>
              <w:right w:val="single" w:sz="4" w:space="0" w:color="auto"/>
            </w:tcBorders>
            <w:vAlign w:val="center"/>
          </w:tcPr>
          <w:p w14:paraId="331883A4" w14:textId="1FA56C2E" w:rsidR="00C14AB8" w:rsidRPr="00825059"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69A99170" w14:textId="4E7EEDB7"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091F31B6"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Инвестициялық салымдар кезінде агроөнеркәсіптік кешен субъектісі шеккен шығыстардың бір бөлігін өтеу бойынша субсидиялау қағидаларына өзгерістер енгізу</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C2B92F"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546FE0B"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996" w:type="dxa"/>
            <w:tcBorders>
              <w:top w:val="single" w:sz="4" w:space="0" w:color="auto"/>
              <w:left w:val="single" w:sz="4" w:space="0" w:color="auto"/>
              <w:bottom w:val="single" w:sz="4" w:space="0" w:color="auto"/>
              <w:right w:val="single" w:sz="4" w:space="0" w:color="auto"/>
            </w:tcBorders>
            <w:vAlign w:val="center"/>
            <w:hideMark/>
          </w:tcPr>
          <w:p w14:paraId="2F8CA7CA"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420DC846"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5C901BE"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B54A779"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1</w:t>
            </w:r>
          </w:p>
        </w:tc>
        <w:tc>
          <w:tcPr>
            <w:tcW w:w="1196" w:type="dxa"/>
            <w:tcBorders>
              <w:top w:val="single" w:sz="4" w:space="0" w:color="auto"/>
              <w:left w:val="single" w:sz="4" w:space="0" w:color="auto"/>
              <w:bottom w:val="single" w:sz="4" w:space="0" w:color="auto"/>
              <w:right w:val="single" w:sz="4" w:space="0" w:color="auto"/>
            </w:tcBorders>
            <w:vAlign w:val="center"/>
          </w:tcPr>
          <w:p w14:paraId="767255BA" w14:textId="2833D610"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17F8F658" w14:textId="1B4FAF04"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93D76A4"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3-іс-шара. Селекцияның тиімді әдістерін енгізу, фермерлік шаруашылықтарда жылқы шаруашылығы мен түйе шаруашылығындағы селекциялық және асыл тұқымдық жұмыстарға ынталандыру,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5FD3C35"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EFB93CC" w14:textId="77777777" w:rsidR="00C14AB8" w:rsidRPr="00D05956" w:rsidRDefault="00C14AB8" w:rsidP="00C14AB8">
            <w:pPr>
              <w:pStyle w:val="TableParagraph"/>
              <w:jc w:val="center"/>
              <w:rPr>
                <w:sz w:val="24"/>
                <w:szCs w:val="24"/>
                <w:lang w:val="en-US"/>
              </w:rPr>
            </w:pPr>
            <w:r w:rsidRPr="00D05956">
              <w:rPr>
                <w:sz w:val="24"/>
                <w:szCs w:val="24"/>
                <w:lang w:val="en-US"/>
              </w:rPr>
              <w:t>4834,0</w:t>
            </w:r>
          </w:p>
        </w:tc>
        <w:tc>
          <w:tcPr>
            <w:tcW w:w="996" w:type="dxa"/>
            <w:tcBorders>
              <w:top w:val="single" w:sz="4" w:space="0" w:color="auto"/>
              <w:left w:val="single" w:sz="4" w:space="0" w:color="auto"/>
              <w:bottom w:val="single" w:sz="4" w:space="0" w:color="auto"/>
              <w:right w:val="single" w:sz="4" w:space="0" w:color="auto"/>
            </w:tcBorders>
            <w:vAlign w:val="center"/>
            <w:hideMark/>
          </w:tcPr>
          <w:p w14:paraId="2461CB15" w14:textId="77777777" w:rsidR="00C14AB8" w:rsidRPr="00D05956" w:rsidRDefault="00C14AB8" w:rsidP="00C14AB8">
            <w:pPr>
              <w:pStyle w:val="TableParagraph"/>
              <w:jc w:val="center"/>
              <w:rPr>
                <w:sz w:val="24"/>
                <w:szCs w:val="24"/>
                <w:lang w:val="en-US"/>
              </w:rPr>
            </w:pPr>
            <w:r w:rsidRPr="00D05956">
              <w:rPr>
                <w:sz w:val="24"/>
                <w:szCs w:val="24"/>
                <w:lang w:val="en-US"/>
              </w:rPr>
              <w:t>5701,0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6B8B387" w14:textId="77777777" w:rsidR="00C14AB8" w:rsidRPr="00D05956" w:rsidRDefault="00C14AB8" w:rsidP="00C14AB8">
            <w:pPr>
              <w:pStyle w:val="TableParagraph"/>
              <w:jc w:val="center"/>
              <w:rPr>
                <w:sz w:val="24"/>
                <w:szCs w:val="24"/>
                <w:lang w:val="kk-KZ"/>
              </w:rPr>
            </w:pPr>
            <w:r w:rsidRPr="00D05956">
              <w:rPr>
                <w:sz w:val="24"/>
                <w:szCs w:val="24"/>
                <w:lang w:val="en-US"/>
              </w:rPr>
              <w:t>6588</w:t>
            </w:r>
            <w:r w:rsidRPr="00D05956">
              <w:rPr>
                <w:sz w:val="24"/>
                <w:szCs w:val="24"/>
                <w:lang w:val="kk-KZ"/>
              </w:rPr>
              <w:t>,7</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6CC2627" w14:textId="77777777" w:rsidR="00C14AB8" w:rsidRPr="00D05956" w:rsidRDefault="00C14AB8" w:rsidP="00C14AB8">
            <w:pPr>
              <w:pStyle w:val="TableParagraph"/>
              <w:jc w:val="center"/>
              <w:rPr>
                <w:sz w:val="24"/>
                <w:szCs w:val="24"/>
                <w:lang w:val="kk-KZ"/>
              </w:rPr>
            </w:pPr>
            <w:r w:rsidRPr="00D05956">
              <w:rPr>
                <w:sz w:val="24"/>
                <w:szCs w:val="24"/>
                <w:lang w:val="en-US"/>
              </w:rPr>
              <w:t>7467</w:t>
            </w:r>
            <w:r w:rsidRPr="00D05956">
              <w:rPr>
                <w:sz w:val="24"/>
                <w:szCs w:val="24"/>
                <w:lang w:val="kk-KZ"/>
              </w:rPr>
              <w:t>,2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0E04D0E"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24591,1</w:t>
            </w:r>
          </w:p>
        </w:tc>
        <w:tc>
          <w:tcPr>
            <w:tcW w:w="1196" w:type="dxa"/>
            <w:tcBorders>
              <w:top w:val="single" w:sz="4" w:space="0" w:color="auto"/>
              <w:left w:val="single" w:sz="4" w:space="0" w:color="auto"/>
              <w:bottom w:val="single" w:sz="4" w:space="0" w:color="auto"/>
              <w:right w:val="single" w:sz="4" w:space="0" w:color="auto"/>
            </w:tcBorders>
            <w:vAlign w:val="center"/>
          </w:tcPr>
          <w:p w14:paraId="5AF9FC66" w14:textId="67A7E3E0"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021DB9BF" w14:textId="4354CDFD" w:rsidTr="00825059">
        <w:trPr>
          <w:trHeight w:val="293"/>
          <w:jc w:val="center"/>
        </w:trPr>
        <w:tc>
          <w:tcPr>
            <w:tcW w:w="6676" w:type="dxa"/>
            <w:tcBorders>
              <w:top w:val="single" w:sz="4" w:space="0" w:color="auto"/>
              <w:left w:val="single" w:sz="4" w:space="0" w:color="auto"/>
              <w:bottom w:val="single" w:sz="4" w:space="0" w:color="auto"/>
              <w:right w:val="single" w:sz="4" w:space="0" w:color="auto"/>
            </w:tcBorders>
            <w:hideMark/>
          </w:tcPr>
          <w:p w14:paraId="450F42CB"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тұқымдық түрлендірумен қамтылған аналық жылқы басының үлесі,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58241C1"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1218B6A"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29,3</w:t>
            </w:r>
          </w:p>
        </w:tc>
        <w:tc>
          <w:tcPr>
            <w:tcW w:w="996" w:type="dxa"/>
            <w:tcBorders>
              <w:top w:val="single" w:sz="4" w:space="0" w:color="auto"/>
              <w:left w:val="single" w:sz="4" w:space="0" w:color="auto"/>
              <w:bottom w:val="single" w:sz="4" w:space="0" w:color="auto"/>
              <w:right w:val="single" w:sz="4" w:space="0" w:color="auto"/>
            </w:tcBorders>
            <w:vAlign w:val="center"/>
            <w:hideMark/>
          </w:tcPr>
          <w:p w14:paraId="1EEE368E"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31,7</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3AF9F48"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33,5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37E61BF"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34,7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278DF5C"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34,7</w:t>
            </w:r>
          </w:p>
        </w:tc>
        <w:tc>
          <w:tcPr>
            <w:tcW w:w="1196" w:type="dxa"/>
            <w:tcBorders>
              <w:top w:val="single" w:sz="4" w:space="0" w:color="auto"/>
              <w:left w:val="single" w:sz="4" w:space="0" w:color="auto"/>
              <w:bottom w:val="single" w:sz="4" w:space="0" w:color="auto"/>
              <w:right w:val="single" w:sz="4" w:space="0" w:color="auto"/>
            </w:tcBorders>
            <w:vAlign w:val="center"/>
          </w:tcPr>
          <w:p w14:paraId="276F4332" w14:textId="2EDDEDD4"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423F7C46" w14:textId="7271984C" w:rsidTr="00825059">
        <w:trPr>
          <w:trHeight w:val="283"/>
          <w:jc w:val="center"/>
        </w:trPr>
        <w:tc>
          <w:tcPr>
            <w:tcW w:w="6676" w:type="dxa"/>
            <w:tcBorders>
              <w:top w:val="single" w:sz="4" w:space="0" w:color="auto"/>
              <w:left w:val="single" w:sz="4" w:space="0" w:color="auto"/>
              <w:bottom w:val="single" w:sz="4" w:space="0" w:color="auto"/>
              <w:right w:val="single" w:sz="4" w:space="0" w:color="auto"/>
            </w:tcBorders>
            <w:hideMark/>
          </w:tcPr>
          <w:p w14:paraId="496B8863"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тұқымдық түрлендірумен қамтылған аналық түйе басының үлесі,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D5C1A0E"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1605EA2"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23,9</w:t>
            </w:r>
          </w:p>
        </w:tc>
        <w:tc>
          <w:tcPr>
            <w:tcW w:w="996" w:type="dxa"/>
            <w:tcBorders>
              <w:top w:val="single" w:sz="4" w:space="0" w:color="auto"/>
              <w:left w:val="single" w:sz="4" w:space="0" w:color="auto"/>
              <w:bottom w:val="single" w:sz="4" w:space="0" w:color="auto"/>
              <w:right w:val="single" w:sz="4" w:space="0" w:color="auto"/>
            </w:tcBorders>
            <w:vAlign w:val="center"/>
            <w:hideMark/>
          </w:tcPr>
          <w:p w14:paraId="391B34A2"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3BF0523"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2350B33"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7FB6431"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24,1</w:t>
            </w:r>
          </w:p>
        </w:tc>
        <w:tc>
          <w:tcPr>
            <w:tcW w:w="1196" w:type="dxa"/>
            <w:tcBorders>
              <w:top w:val="single" w:sz="4" w:space="0" w:color="auto"/>
              <w:left w:val="single" w:sz="4" w:space="0" w:color="auto"/>
              <w:bottom w:val="single" w:sz="4" w:space="0" w:color="auto"/>
              <w:right w:val="single" w:sz="4" w:space="0" w:color="auto"/>
            </w:tcBorders>
            <w:vAlign w:val="center"/>
          </w:tcPr>
          <w:p w14:paraId="0AEC9239" w14:textId="12F9B59C"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0BB1459A" w14:textId="30B25CDD"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88F666B"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4-іс-шара. «Азық-түлік келісімшарт корпорациясы» АҚ-ның жемдік астықты құс шаруашылығы, мал шаруашылығы кәсіпорындарына және балық шаруашылығы субъектілеріне өткізуі</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058DA4E"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BBBCE74"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6EEC3C76"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7D87286"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5AE8207"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2BF306A"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96" w:type="dxa"/>
            <w:tcBorders>
              <w:top w:val="single" w:sz="4" w:space="0" w:color="auto"/>
              <w:left w:val="single" w:sz="4" w:space="0" w:color="auto"/>
              <w:bottom w:val="single" w:sz="4" w:space="0" w:color="auto"/>
              <w:right w:val="single" w:sz="4" w:space="0" w:color="auto"/>
            </w:tcBorders>
            <w:vAlign w:val="center"/>
          </w:tcPr>
          <w:p w14:paraId="45A1610D" w14:textId="10B8E21D"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0A1E4245" w14:textId="5B151699" w:rsidTr="00825059">
        <w:trPr>
          <w:trHeight w:val="58"/>
          <w:jc w:val="center"/>
        </w:trPr>
        <w:tc>
          <w:tcPr>
            <w:tcW w:w="6676" w:type="dxa"/>
            <w:tcBorders>
              <w:top w:val="single" w:sz="4" w:space="0" w:color="auto"/>
              <w:left w:val="single" w:sz="4" w:space="0" w:color="auto"/>
              <w:bottom w:val="single" w:sz="4" w:space="0" w:color="auto"/>
              <w:right w:val="single" w:sz="4" w:space="0" w:color="auto"/>
            </w:tcBorders>
            <w:hideMark/>
          </w:tcPr>
          <w:p w14:paraId="2AC7D86C"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іске асыру көлемі, мың теңге</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FC678E8"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C1935AD"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100</w:t>
            </w:r>
          </w:p>
        </w:tc>
        <w:tc>
          <w:tcPr>
            <w:tcW w:w="996" w:type="dxa"/>
            <w:tcBorders>
              <w:top w:val="single" w:sz="4" w:space="0" w:color="auto"/>
              <w:left w:val="single" w:sz="4" w:space="0" w:color="auto"/>
              <w:bottom w:val="single" w:sz="4" w:space="0" w:color="auto"/>
              <w:right w:val="single" w:sz="4" w:space="0" w:color="auto"/>
            </w:tcBorders>
            <w:vAlign w:val="center"/>
            <w:hideMark/>
          </w:tcPr>
          <w:p w14:paraId="3E2CD5B6"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90F72DE"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120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0B6A0FD"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94AEACB"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550</w:t>
            </w:r>
          </w:p>
        </w:tc>
        <w:tc>
          <w:tcPr>
            <w:tcW w:w="1196" w:type="dxa"/>
            <w:tcBorders>
              <w:top w:val="single" w:sz="4" w:space="0" w:color="auto"/>
              <w:left w:val="single" w:sz="4" w:space="0" w:color="auto"/>
              <w:bottom w:val="single" w:sz="4" w:space="0" w:color="auto"/>
              <w:right w:val="single" w:sz="4" w:space="0" w:color="auto"/>
            </w:tcBorders>
            <w:vAlign w:val="center"/>
          </w:tcPr>
          <w:p w14:paraId="5310D47B" w14:textId="1FC72E1B"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22DE9E1E" w14:textId="47B457E9"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45E10059"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7-көрсеткіш. АӨК-ге енгізілген аяқталған ғылыми әзірлемелердің үлесі</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3D72169"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F299322"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11,5</w:t>
            </w:r>
          </w:p>
        </w:tc>
        <w:tc>
          <w:tcPr>
            <w:tcW w:w="996" w:type="dxa"/>
            <w:tcBorders>
              <w:top w:val="single" w:sz="4" w:space="0" w:color="auto"/>
              <w:left w:val="single" w:sz="4" w:space="0" w:color="auto"/>
              <w:bottom w:val="single" w:sz="4" w:space="0" w:color="auto"/>
              <w:right w:val="single" w:sz="4" w:space="0" w:color="auto"/>
            </w:tcBorders>
            <w:vAlign w:val="center"/>
            <w:hideMark/>
          </w:tcPr>
          <w:p w14:paraId="08FE5EF7"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14,5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18DD484"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17</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91E9AED"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62A612D"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20</w:t>
            </w:r>
          </w:p>
        </w:tc>
        <w:tc>
          <w:tcPr>
            <w:tcW w:w="1196" w:type="dxa"/>
            <w:tcBorders>
              <w:top w:val="single" w:sz="4" w:space="0" w:color="auto"/>
              <w:left w:val="single" w:sz="4" w:space="0" w:color="auto"/>
              <w:bottom w:val="single" w:sz="4" w:space="0" w:color="auto"/>
              <w:right w:val="single" w:sz="4" w:space="0" w:color="auto"/>
            </w:tcBorders>
            <w:vAlign w:val="center"/>
          </w:tcPr>
          <w:p w14:paraId="6C9D6EB1" w14:textId="374084CC"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351616CA"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tcPr>
          <w:p w14:paraId="75E6BBB4" w14:textId="5FEC9C59"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ҚР агроөнеркәсіптік кешеніне кешенді талдау жүргізу, перспективаларын бағалау және дамуын болжау үшін «ҰАҒБО» КеАҚ базасында ҚР АШМ-нің ахуалдық-</w:t>
            </w:r>
          </w:p>
        </w:tc>
        <w:tc>
          <w:tcPr>
            <w:tcW w:w="1133" w:type="dxa"/>
            <w:tcBorders>
              <w:top w:val="single" w:sz="4" w:space="0" w:color="auto"/>
              <w:left w:val="single" w:sz="4" w:space="0" w:color="auto"/>
              <w:bottom w:val="single" w:sz="4" w:space="0" w:color="auto"/>
              <w:right w:val="single" w:sz="4" w:space="0" w:color="auto"/>
            </w:tcBorders>
            <w:vAlign w:val="center"/>
          </w:tcPr>
          <w:p w14:paraId="2FBBD14B" w14:textId="4B8E72F2" w:rsidR="00C14AB8" w:rsidRPr="00D05956" w:rsidRDefault="00C14AB8" w:rsidP="00C14AB8">
            <w:pPr>
              <w:jc w:val="center"/>
              <w:rPr>
                <w:rFonts w:ascii="Times New Roman" w:hAnsi="Times New Roman" w:cs="Times New Roman"/>
                <w:sz w:val="24"/>
                <w:szCs w:val="24"/>
                <w:lang w:val="en-US"/>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tcPr>
          <w:p w14:paraId="5358E91C" w14:textId="32DC8A74" w:rsidR="00C14AB8" w:rsidRPr="00D05956" w:rsidRDefault="00C14AB8" w:rsidP="00C14AB8">
            <w:pPr>
              <w:jc w:val="center"/>
              <w:rPr>
                <w:rFonts w:ascii="Times New Roman" w:hAnsi="Times New Roman" w:cs="Times New Roman"/>
                <w:sz w:val="24"/>
                <w:szCs w:val="24"/>
                <w:lang w:val="en-US"/>
              </w:rPr>
            </w:pPr>
            <w:r w:rsidRPr="00D05956">
              <w:rPr>
                <w:sz w:val="24"/>
                <w:szCs w:val="24"/>
                <w:lang w:val="en-US"/>
              </w:rPr>
              <w:t>350,0</w:t>
            </w:r>
          </w:p>
        </w:tc>
        <w:tc>
          <w:tcPr>
            <w:tcW w:w="996" w:type="dxa"/>
            <w:tcBorders>
              <w:top w:val="single" w:sz="4" w:space="0" w:color="auto"/>
              <w:left w:val="single" w:sz="4" w:space="0" w:color="auto"/>
              <w:bottom w:val="single" w:sz="4" w:space="0" w:color="auto"/>
              <w:right w:val="single" w:sz="4" w:space="0" w:color="auto"/>
            </w:tcBorders>
            <w:vAlign w:val="center"/>
          </w:tcPr>
          <w:p w14:paraId="14F3C039" w14:textId="51B84421" w:rsidR="00C14AB8" w:rsidRPr="00D05956" w:rsidRDefault="00C14AB8" w:rsidP="00C14AB8">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350,0</w:t>
            </w:r>
          </w:p>
        </w:tc>
        <w:tc>
          <w:tcPr>
            <w:tcW w:w="1446" w:type="dxa"/>
            <w:tcBorders>
              <w:top w:val="single" w:sz="4" w:space="0" w:color="auto"/>
              <w:left w:val="single" w:sz="4" w:space="0" w:color="auto"/>
              <w:bottom w:val="single" w:sz="4" w:space="0" w:color="auto"/>
              <w:right w:val="single" w:sz="4" w:space="0" w:color="auto"/>
            </w:tcBorders>
            <w:vAlign w:val="center"/>
          </w:tcPr>
          <w:p w14:paraId="66221782" w14:textId="251A847A" w:rsidR="00C14AB8" w:rsidRPr="00D05956" w:rsidRDefault="00C14AB8" w:rsidP="00C14AB8">
            <w:pPr>
              <w:jc w:val="center"/>
              <w:rPr>
                <w:rFonts w:ascii="Times New Roman" w:hAnsi="Times New Roman" w:cs="Times New Roman"/>
                <w:sz w:val="24"/>
                <w:szCs w:val="24"/>
                <w:lang w:val="en-US"/>
              </w:rPr>
            </w:pPr>
            <w:r w:rsidRPr="00D05956">
              <w:rPr>
                <w:sz w:val="24"/>
                <w:szCs w:val="24"/>
                <w:lang w:val="en-US"/>
              </w:rPr>
              <w:t>350,0</w:t>
            </w:r>
          </w:p>
        </w:tc>
        <w:tc>
          <w:tcPr>
            <w:tcW w:w="1117" w:type="dxa"/>
            <w:tcBorders>
              <w:top w:val="single" w:sz="4" w:space="0" w:color="auto"/>
              <w:left w:val="single" w:sz="4" w:space="0" w:color="auto"/>
              <w:bottom w:val="single" w:sz="4" w:space="0" w:color="auto"/>
              <w:right w:val="single" w:sz="4" w:space="0" w:color="auto"/>
            </w:tcBorders>
            <w:vAlign w:val="center"/>
          </w:tcPr>
          <w:p w14:paraId="44ECB709" w14:textId="0558F1AC" w:rsidR="00C14AB8" w:rsidRPr="00D05956" w:rsidRDefault="00C14AB8" w:rsidP="00C14AB8">
            <w:pPr>
              <w:jc w:val="center"/>
              <w:rPr>
                <w:rFonts w:ascii="Times New Roman" w:hAnsi="Times New Roman" w:cs="Times New Roman"/>
                <w:sz w:val="24"/>
                <w:szCs w:val="24"/>
                <w:lang w:val="en-US"/>
              </w:rPr>
            </w:pPr>
            <w:r w:rsidRPr="00D05956">
              <w:rPr>
                <w:sz w:val="24"/>
                <w:szCs w:val="24"/>
                <w:lang w:val="en-US"/>
              </w:rPr>
              <w:t>350,0</w:t>
            </w:r>
          </w:p>
        </w:tc>
        <w:tc>
          <w:tcPr>
            <w:tcW w:w="1237" w:type="dxa"/>
            <w:tcBorders>
              <w:top w:val="single" w:sz="4" w:space="0" w:color="auto"/>
              <w:left w:val="single" w:sz="4" w:space="0" w:color="auto"/>
              <w:bottom w:val="single" w:sz="4" w:space="0" w:color="auto"/>
              <w:right w:val="single" w:sz="4" w:space="0" w:color="auto"/>
            </w:tcBorders>
            <w:vAlign w:val="center"/>
          </w:tcPr>
          <w:p w14:paraId="4836A1D2" w14:textId="403C138C"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1400,0</w:t>
            </w:r>
          </w:p>
        </w:tc>
        <w:tc>
          <w:tcPr>
            <w:tcW w:w="1196" w:type="dxa"/>
            <w:tcBorders>
              <w:top w:val="single" w:sz="4" w:space="0" w:color="auto"/>
              <w:left w:val="single" w:sz="4" w:space="0" w:color="auto"/>
              <w:bottom w:val="single" w:sz="4" w:space="0" w:color="auto"/>
              <w:right w:val="single" w:sz="4" w:space="0" w:color="auto"/>
            </w:tcBorders>
            <w:vAlign w:val="center"/>
          </w:tcPr>
          <w:p w14:paraId="72EACF0D" w14:textId="5BC6C750" w:rsidR="00C14AB8"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color w:val="FF0000"/>
                <w:kern w:val="36"/>
                <w:sz w:val="24"/>
                <w:szCs w:val="24"/>
                <w:lang w:val="kk-KZ" w:eastAsia="ru-RU"/>
              </w:rPr>
              <w:t>0,12</w:t>
            </w:r>
          </w:p>
        </w:tc>
      </w:tr>
      <w:tr w:rsidR="00C14AB8" w14:paraId="76967C17" w14:textId="77777777" w:rsidTr="00825059">
        <w:trPr>
          <w:jc w:val="center"/>
        </w:trPr>
        <w:tc>
          <w:tcPr>
            <w:tcW w:w="13731" w:type="dxa"/>
            <w:gridSpan w:val="7"/>
            <w:tcBorders>
              <w:top w:val="nil"/>
              <w:left w:val="nil"/>
              <w:bottom w:val="single" w:sz="4" w:space="0" w:color="auto"/>
              <w:right w:val="nil"/>
            </w:tcBorders>
          </w:tcPr>
          <w:p w14:paraId="7F7F6452" w14:textId="6862614C" w:rsidR="00C14AB8" w:rsidRPr="00825059" w:rsidRDefault="00C14AB8" w:rsidP="00C14AB8">
            <w:pPr>
              <w:pStyle w:val="TableParagraph"/>
              <w:ind w:hanging="111"/>
              <w:rPr>
                <w:sz w:val="28"/>
                <w:szCs w:val="28"/>
                <w:lang w:val="kk-KZ"/>
              </w:rPr>
            </w:pPr>
            <w:r>
              <w:rPr>
                <w:sz w:val="28"/>
                <w:szCs w:val="28"/>
                <w:lang w:val="kk-KZ"/>
              </w:rPr>
              <w:t>А.1-кестенің жалғасы</w:t>
            </w:r>
          </w:p>
        </w:tc>
        <w:tc>
          <w:tcPr>
            <w:tcW w:w="1196" w:type="dxa"/>
            <w:tcBorders>
              <w:top w:val="nil"/>
              <w:left w:val="nil"/>
              <w:bottom w:val="single" w:sz="4" w:space="0" w:color="auto"/>
              <w:right w:val="nil"/>
            </w:tcBorders>
            <w:vAlign w:val="center"/>
          </w:tcPr>
          <w:p w14:paraId="5538941A" w14:textId="77777777" w:rsidR="00C14AB8" w:rsidRDefault="00C14AB8" w:rsidP="00C14AB8">
            <w:pPr>
              <w:pStyle w:val="TableParagraph"/>
              <w:ind w:hanging="111"/>
              <w:jc w:val="center"/>
              <w:rPr>
                <w:sz w:val="28"/>
                <w:szCs w:val="28"/>
                <w:lang w:val="kk-KZ"/>
              </w:rPr>
            </w:pPr>
          </w:p>
        </w:tc>
      </w:tr>
      <w:tr w:rsidR="00C14AB8" w14:paraId="73257386" w14:textId="77777777"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0623659C" w14:textId="77777777" w:rsidR="00C14AB8" w:rsidRDefault="00C14AB8" w:rsidP="00C14AB8">
            <w:pPr>
              <w:tabs>
                <w:tab w:val="left" w:pos="122"/>
              </w:tabs>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6FDD0D7" w14:textId="77777777" w:rsidR="00C14AB8" w:rsidRDefault="00C14AB8" w:rsidP="00C14AB8">
            <w:pPr>
              <w:pStyle w:val="TableParagraph"/>
              <w:jc w:val="center"/>
              <w:rPr>
                <w:sz w:val="24"/>
                <w:szCs w:val="24"/>
                <w:lang w:val="kk-KZ"/>
              </w:rPr>
            </w:pPr>
            <w:r>
              <w:rPr>
                <w:sz w:val="24"/>
                <w:szCs w:val="24"/>
                <w:lang w:val="kk-KZ"/>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241804E" w14:textId="77777777" w:rsidR="00C14AB8" w:rsidRDefault="00C14AB8" w:rsidP="00C14AB8">
            <w:pPr>
              <w:pStyle w:val="TableParagraph"/>
              <w:jc w:val="center"/>
              <w:rPr>
                <w:sz w:val="24"/>
                <w:szCs w:val="24"/>
                <w:lang w:val="kk-KZ"/>
              </w:rPr>
            </w:pPr>
            <w:r>
              <w:rPr>
                <w:sz w:val="24"/>
                <w:szCs w:val="24"/>
                <w:lang w:val="kk-KZ"/>
              </w:rPr>
              <w:t>3</w:t>
            </w:r>
          </w:p>
        </w:tc>
        <w:tc>
          <w:tcPr>
            <w:tcW w:w="996" w:type="dxa"/>
            <w:tcBorders>
              <w:top w:val="single" w:sz="4" w:space="0" w:color="auto"/>
              <w:left w:val="single" w:sz="4" w:space="0" w:color="auto"/>
              <w:bottom w:val="single" w:sz="4" w:space="0" w:color="auto"/>
              <w:right w:val="single" w:sz="4" w:space="0" w:color="auto"/>
            </w:tcBorders>
            <w:vAlign w:val="center"/>
            <w:hideMark/>
          </w:tcPr>
          <w:p w14:paraId="45E3ECA7" w14:textId="77777777" w:rsidR="00C14AB8" w:rsidRDefault="00C14AB8" w:rsidP="00C14AB8">
            <w:pPr>
              <w:pStyle w:val="TableParagraph"/>
              <w:jc w:val="center"/>
              <w:rPr>
                <w:sz w:val="24"/>
                <w:szCs w:val="24"/>
                <w:lang w:val="kk-KZ"/>
              </w:rPr>
            </w:pPr>
            <w:r>
              <w:rPr>
                <w:sz w:val="24"/>
                <w:szCs w:val="24"/>
                <w:lang w:val="kk-KZ"/>
              </w:rPr>
              <w:t>4</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3FAA4F9" w14:textId="77777777" w:rsidR="00C14AB8" w:rsidRDefault="00C14AB8" w:rsidP="00C14AB8">
            <w:pPr>
              <w:pStyle w:val="TableParagraph"/>
              <w:jc w:val="center"/>
              <w:rPr>
                <w:sz w:val="24"/>
                <w:szCs w:val="24"/>
                <w:lang w:val="kk-KZ"/>
              </w:rPr>
            </w:pPr>
            <w:r>
              <w:rPr>
                <w:sz w:val="24"/>
                <w:szCs w:val="24"/>
                <w:lang w:val="kk-KZ"/>
              </w:rPr>
              <w:t>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197CA49" w14:textId="77777777" w:rsidR="00C14AB8" w:rsidRDefault="00C14AB8" w:rsidP="00C14AB8">
            <w:pPr>
              <w:pStyle w:val="TableParagraph"/>
              <w:jc w:val="center"/>
              <w:rPr>
                <w:sz w:val="24"/>
                <w:szCs w:val="24"/>
                <w:lang w:val="kk-KZ"/>
              </w:rPr>
            </w:pPr>
            <w:r>
              <w:rPr>
                <w:sz w:val="24"/>
                <w:szCs w:val="24"/>
                <w:lang w:val="kk-KZ"/>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382697" w14:textId="77777777" w:rsidR="00C14AB8" w:rsidRDefault="00C14AB8" w:rsidP="00C14AB8">
            <w:pPr>
              <w:pStyle w:val="TableParagraph"/>
              <w:jc w:val="center"/>
              <w:rPr>
                <w:sz w:val="24"/>
                <w:szCs w:val="24"/>
                <w:lang w:val="kk-KZ"/>
              </w:rPr>
            </w:pPr>
            <w:r>
              <w:rPr>
                <w:sz w:val="24"/>
                <w:szCs w:val="24"/>
                <w:lang w:val="kk-KZ"/>
              </w:rPr>
              <w:t>7</w:t>
            </w:r>
          </w:p>
        </w:tc>
        <w:tc>
          <w:tcPr>
            <w:tcW w:w="1196" w:type="dxa"/>
            <w:tcBorders>
              <w:top w:val="single" w:sz="4" w:space="0" w:color="auto"/>
              <w:left w:val="single" w:sz="4" w:space="0" w:color="auto"/>
              <w:bottom w:val="single" w:sz="4" w:space="0" w:color="auto"/>
              <w:right w:val="single" w:sz="4" w:space="0" w:color="auto"/>
            </w:tcBorders>
            <w:vAlign w:val="center"/>
          </w:tcPr>
          <w:p w14:paraId="502D410D" w14:textId="77777777" w:rsidR="00C14AB8" w:rsidRDefault="00C14AB8" w:rsidP="00C14AB8">
            <w:pPr>
              <w:pStyle w:val="TableParagraph"/>
              <w:jc w:val="center"/>
              <w:rPr>
                <w:sz w:val="24"/>
                <w:szCs w:val="24"/>
                <w:lang w:val="kk-KZ"/>
              </w:rPr>
            </w:pPr>
          </w:p>
        </w:tc>
      </w:tr>
      <w:tr w:rsidR="00C14AB8" w:rsidRPr="00D05956" w14:paraId="494E131A" w14:textId="6EAC6F77" w:rsidTr="00825059">
        <w:trPr>
          <w:trHeight w:val="231"/>
          <w:jc w:val="center"/>
        </w:trPr>
        <w:tc>
          <w:tcPr>
            <w:tcW w:w="6676" w:type="dxa"/>
            <w:tcBorders>
              <w:top w:val="single" w:sz="4" w:space="0" w:color="auto"/>
              <w:left w:val="single" w:sz="4" w:space="0" w:color="auto"/>
              <w:bottom w:val="single" w:sz="4" w:space="0" w:color="auto"/>
              <w:right w:val="single" w:sz="4" w:space="0" w:color="auto"/>
            </w:tcBorders>
            <w:hideMark/>
          </w:tcPr>
          <w:p w14:paraId="5164A32A" w14:textId="3E15CE9C"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талдамалық орталығын құру және оның жұмыс істеуі,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tcPr>
          <w:p w14:paraId="1CD459ED" w14:textId="0192F70A" w:rsidR="00C14AB8" w:rsidRPr="00825059" w:rsidRDefault="00C14AB8" w:rsidP="00C14AB8">
            <w:pPr>
              <w:jc w:val="center"/>
              <w:rPr>
                <w:rFonts w:ascii="Times New Roman" w:eastAsia="Times New Roman" w:hAnsi="Times New Roman" w:cs="Times New Roman"/>
                <w:kern w:val="36"/>
                <w:sz w:val="24"/>
                <w:szCs w:val="24"/>
                <w:lang w:eastAsia="ru-RU"/>
              </w:rPr>
            </w:pPr>
          </w:p>
        </w:tc>
        <w:tc>
          <w:tcPr>
            <w:tcW w:w="1126" w:type="dxa"/>
            <w:tcBorders>
              <w:top w:val="single" w:sz="4" w:space="0" w:color="auto"/>
              <w:left w:val="single" w:sz="4" w:space="0" w:color="auto"/>
              <w:bottom w:val="single" w:sz="4" w:space="0" w:color="auto"/>
              <w:right w:val="single" w:sz="4" w:space="0" w:color="auto"/>
            </w:tcBorders>
            <w:vAlign w:val="center"/>
          </w:tcPr>
          <w:p w14:paraId="198AA082" w14:textId="29BE38BA" w:rsidR="00C14AB8" w:rsidRPr="00825059" w:rsidRDefault="00C14AB8" w:rsidP="00C14AB8">
            <w:pPr>
              <w:pStyle w:val="TableParagraph"/>
              <w:jc w:val="center"/>
              <w:rPr>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763C52AC" w14:textId="4C5D1367" w:rsidR="00C14AB8" w:rsidRPr="00D05956" w:rsidRDefault="00C14AB8" w:rsidP="00C14AB8">
            <w:pPr>
              <w:jc w:val="center"/>
              <w:rPr>
                <w:rFonts w:ascii="Times New Roman" w:eastAsia="Times New Roman" w:hAnsi="Times New Roman" w:cs="Times New Roman"/>
                <w:kern w:val="36"/>
                <w:sz w:val="24"/>
                <w:szCs w:val="24"/>
                <w:lang w:val="kk-KZ" w:eastAsia="ru-RU"/>
              </w:rPr>
            </w:pPr>
          </w:p>
        </w:tc>
        <w:tc>
          <w:tcPr>
            <w:tcW w:w="1446" w:type="dxa"/>
            <w:tcBorders>
              <w:top w:val="single" w:sz="4" w:space="0" w:color="auto"/>
              <w:left w:val="single" w:sz="4" w:space="0" w:color="auto"/>
              <w:bottom w:val="single" w:sz="4" w:space="0" w:color="auto"/>
              <w:right w:val="single" w:sz="4" w:space="0" w:color="auto"/>
            </w:tcBorders>
            <w:vAlign w:val="center"/>
          </w:tcPr>
          <w:p w14:paraId="033C7A36" w14:textId="3967560D" w:rsidR="00C14AB8" w:rsidRPr="00825059" w:rsidRDefault="00C14AB8" w:rsidP="00C14AB8">
            <w:pPr>
              <w:pStyle w:val="TableParagraph"/>
              <w:jc w:val="center"/>
              <w:rPr>
                <w:sz w:val="24"/>
                <w:szCs w:val="24"/>
              </w:rPr>
            </w:pPr>
          </w:p>
        </w:tc>
        <w:tc>
          <w:tcPr>
            <w:tcW w:w="1117" w:type="dxa"/>
            <w:tcBorders>
              <w:top w:val="single" w:sz="4" w:space="0" w:color="auto"/>
              <w:left w:val="single" w:sz="4" w:space="0" w:color="auto"/>
              <w:bottom w:val="single" w:sz="4" w:space="0" w:color="auto"/>
              <w:right w:val="single" w:sz="4" w:space="0" w:color="auto"/>
            </w:tcBorders>
            <w:vAlign w:val="center"/>
          </w:tcPr>
          <w:p w14:paraId="4229287B" w14:textId="057A2197" w:rsidR="00C14AB8" w:rsidRPr="00825059" w:rsidRDefault="00C14AB8" w:rsidP="00C14AB8">
            <w:pPr>
              <w:pStyle w:val="TableParagraph"/>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14:paraId="4002DFBC" w14:textId="4D926D5B" w:rsidR="00C14AB8" w:rsidRPr="00D05956" w:rsidRDefault="00C14AB8" w:rsidP="00C14AB8">
            <w:pPr>
              <w:jc w:val="center"/>
              <w:rPr>
                <w:rFonts w:ascii="Times New Roman" w:eastAsia="Times New Roman" w:hAnsi="Times New Roman" w:cs="Times New Roman"/>
                <w:kern w:val="36"/>
                <w:sz w:val="24"/>
                <w:szCs w:val="24"/>
                <w:lang w:eastAsia="ru-RU"/>
              </w:rPr>
            </w:pPr>
          </w:p>
        </w:tc>
        <w:tc>
          <w:tcPr>
            <w:tcW w:w="1196" w:type="dxa"/>
            <w:tcBorders>
              <w:top w:val="single" w:sz="4" w:space="0" w:color="auto"/>
              <w:left w:val="single" w:sz="4" w:space="0" w:color="auto"/>
              <w:bottom w:val="single" w:sz="4" w:space="0" w:color="auto"/>
              <w:right w:val="single" w:sz="4" w:space="0" w:color="auto"/>
            </w:tcBorders>
            <w:vAlign w:val="center"/>
          </w:tcPr>
          <w:p w14:paraId="683D091C" w14:textId="039D88B6" w:rsidR="00C14AB8" w:rsidRPr="00D05956" w:rsidRDefault="00C14AB8" w:rsidP="00C14AB8">
            <w:pPr>
              <w:jc w:val="center"/>
              <w:rPr>
                <w:rFonts w:ascii="Times New Roman" w:eastAsia="Times New Roman" w:hAnsi="Times New Roman" w:cs="Times New Roman"/>
                <w:color w:val="FF0000"/>
                <w:kern w:val="36"/>
                <w:sz w:val="24"/>
                <w:szCs w:val="24"/>
                <w:lang w:val="kk-KZ" w:eastAsia="ru-RU"/>
              </w:rPr>
            </w:pPr>
          </w:p>
        </w:tc>
      </w:tr>
      <w:tr w:rsidR="00C14AB8" w:rsidRPr="00D05956" w14:paraId="72426E8B" w14:textId="08937222" w:rsidTr="00825059">
        <w:trPr>
          <w:trHeight w:val="97"/>
          <w:jc w:val="center"/>
        </w:trPr>
        <w:tc>
          <w:tcPr>
            <w:tcW w:w="6676" w:type="dxa"/>
            <w:tcBorders>
              <w:top w:val="single" w:sz="4" w:space="0" w:color="auto"/>
              <w:left w:val="single" w:sz="4" w:space="0" w:color="auto"/>
              <w:bottom w:val="single" w:sz="4" w:space="0" w:color="auto"/>
              <w:right w:val="single" w:sz="4" w:space="0" w:color="auto"/>
            </w:tcBorders>
            <w:hideMark/>
          </w:tcPr>
          <w:p w14:paraId="533FA42F"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rPr>
              <w:t>- орталық құру, бірлік</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B8A93D0"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E556C41"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996" w:type="dxa"/>
            <w:tcBorders>
              <w:top w:val="single" w:sz="4" w:space="0" w:color="auto"/>
              <w:left w:val="single" w:sz="4" w:space="0" w:color="auto"/>
              <w:bottom w:val="single" w:sz="4" w:space="0" w:color="auto"/>
              <w:right w:val="single" w:sz="4" w:space="0" w:color="auto"/>
            </w:tcBorders>
            <w:vAlign w:val="center"/>
            <w:hideMark/>
          </w:tcPr>
          <w:p w14:paraId="4E26BD59"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F3AE0F7"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0D53135"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CD910D"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1</w:t>
            </w:r>
          </w:p>
        </w:tc>
        <w:tc>
          <w:tcPr>
            <w:tcW w:w="1196" w:type="dxa"/>
            <w:tcBorders>
              <w:top w:val="single" w:sz="4" w:space="0" w:color="auto"/>
              <w:left w:val="single" w:sz="4" w:space="0" w:color="auto"/>
              <w:bottom w:val="single" w:sz="4" w:space="0" w:color="auto"/>
              <w:right w:val="single" w:sz="4" w:space="0" w:color="auto"/>
            </w:tcBorders>
            <w:vAlign w:val="center"/>
          </w:tcPr>
          <w:p w14:paraId="1B8E389A" w14:textId="25783F39"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599DC6C4" w14:textId="3A1E32E7" w:rsidTr="00825059">
        <w:trPr>
          <w:trHeight w:val="1960"/>
          <w:jc w:val="center"/>
        </w:trPr>
        <w:tc>
          <w:tcPr>
            <w:tcW w:w="6676" w:type="dxa"/>
            <w:tcBorders>
              <w:top w:val="single" w:sz="4" w:space="0" w:color="auto"/>
              <w:left w:val="single" w:sz="4" w:space="0" w:color="auto"/>
              <w:bottom w:val="single" w:sz="4" w:space="0" w:color="auto"/>
              <w:right w:val="single" w:sz="4" w:space="0" w:color="auto"/>
            </w:tcBorders>
            <w:hideMark/>
          </w:tcPr>
          <w:p w14:paraId="7997CDFE"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2-іс-шара. Конкурстық негізде және конкурстан тыс рәсімдер арқылы бағдарламалық-нысаналы қаржыландыру, ғылыми ұжымдарды қаржыландыруға, ғылыми әзірлемелерді коммерцияландыруды қаржыландыруға және агротехнологиялар трансфертіне баса назар аудара отырып, салалық гранттық қаржыландыру жолымен АӨК-дегі стратегиялық міндеттерді шешу үшін ғылыми зерттеулерді қаржыландыру арқылы аграрлық ғылымды дамыту, ҒЗҰ-ны жаңғырту,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FC68115" w14:textId="77777777" w:rsidR="00C14AB8" w:rsidRPr="00D05956" w:rsidRDefault="00C14AB8" w:rsidP="00C14AB8">
            <w:pPr>
              <w:pStyle w:val="TableParagraph"/>
              <w:jc w:val="center"/>
              <w:rPr>
                <w:sz w:val="24"/>
                <w:szCs w:val="24"/>
                <w:lang w:val="en-US"/>
              </w:rPr>
            </w:pPr>
            <w:r w:rsidRPr="00D05956">
              <w:rPr>
                <w:sz w:val="24"/>
                <w:szCs w:val="24"/>
                <w:lang w:val="en-US"/>
              </w:rPr>
              <w:t>8048</w:t>
            </w:r>
            <w:r w:rsidRPr="00D05956">
              <w:rPr>
                <w:sz w:val="24"/>
                <w:szCs w:val="24"/>
              </w:rPr>
              <w:t>,</w:t>
            </w:r>
            <w:r w:rsidRPr="00D05956">
              <w:rPr>
                <w:sz w:val="24"/>
                <w:szCs w:val="24"/>
                <w:lang w:val="en-US"/>
              </w:rPr>
              <w:t>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D52ED8E" w14:textId="77777777" w:rsidR="00C14AB8" w:rsidRPr="00D05956" w:rsidRDefault="00C14AB8" w:rsidP="00C14AB8">
            <w:pPr>
              <w:pStyle w:val="TableParagraph"/>
              <w:jc w:val="center"/>
              <w:rPr>
                <w:sz w:val="24"/>
                <w:szCs w:val="24"/>
                <w:lang w:val="en-US"/>
              </w:rPr>
            </w:pPr>
            <w:r w:rsidRPr="00D05956">
              <w:rPr>
                <w:sz w:val="24"/>
                <w:szCs w:val="24"/>
                <w:lang w:val="en-US"/>
              </w:rPr>
              <w:t>4500,0</w:t>
            </w:r>
          </w:p>
        </w:tc>
        <w:tc>
          <w:tcPr>
            <w:tcW w:w="996" w:type="dxa"/>
            <w:tcBorders>
              <w:top w:val="single" w:sz="4" w:space="0" w:color="auto"/>
              <w:left w:val="single" w:sz="4" w:space="0" w:color="auto"/>
              <w:bottom w:val="single" w:sz="4" w:space="0" w:color="auto"/>
              <w:right w:val="single" w:sz="4" w:space="0" w:color="auto"/>
            </w:tcBorders>
            <w:vAlign w:val="center"/>
            <w:hideMark/>
          </w:tcPr>
          <w:p w14:paraId="41701BC8" w14:textId="77777777" w:rsidR="00C14AB8" w:rsidRPr="00D05956" w:rsidRDefault="00C14AB8" w:rsidP="00C14AB8">
            <w:pPr>
              <w:pStyle w:val="TableParagraph"/>
              <w:jc w:val="center"/>
              <w:rPr>
                <w:sz w:val="24"/>
                <w:szCs w:val="24"/>
                <w:lang w:val="en-US"/>
              </w:rPr>
            </w:pPr>
            <w:r w:rsidRPr="00D05956">
              <w:rPr>
                <w:sz w:val="24"/>
                <w:szCs w:val="24"/>
                <w:lang w:val="en-US"/>
              </w:rPr>
              <w:t>9500,0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4E68E2B" w14:textId="77777777" w:rsidR="00C14AB8" w:rsidRPr="00D05956" w:rsidRDefault="00C14AB8" w:rsidP="00C14AB8">
            <w:pPr>
              <w:pStyle w:val="TableParagraph"/>
              <w:jc w:val="center"/>
              <w:rPr>
                <w:sz w:val="24"/>
                <w:szCs w:val="24"/>
                <w:lang w:val="en-US"/>
              </w:rPr>
            </w:pPr>
            <w:r w:rsidRPr="00D05956">
              <w:rPr>
                <w:sz w:val="24"/>
                <w:szCs w:val="24"/>
                <w:lang w:val="en-US"/>
              </w:rPr>
              <w:t>11900,0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BE8B82D" w14:textId="77777777" w:rsidR="00C14AB8" w:rsidRPr="00D05956" w:rsidRDefault="00C14AB8" w:rsidP="00C14AB8">
            <w:pPr>
              <w:pStyle w:val="TableParagraph"/>
              <w:jc w:val="center"/>
              <w:rPr>
                <w:sz w:val="24"/>
                <w:szCs w:val="24"/>
                <w:lang w:val="en-US"/>
              </w:rPr>
            </w:pPr>
            <w:r w:rsidRPr="00D05956">
              <w:rPr>
                <w:sz w:val="24"/>
                <w:szCs w:val="24"/>
                <w:lang w:val="en-US"/>
              </w:rPr>
              <w:t>13500,0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EE64CC"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color w:val="FF0000"/>
                <w:kern w:val="36"/>
                <w:sz w:val="24"/>
                <w:szCs w:val="24"/>
                <w:lang w:val="kk-KZ" w:eastAsia="ru-RU"/>
              </w:rPr>
              <w:t>47448,5</w:t>
            </w:r>
          </w:p>
        </w:tc>
        <w:tc>
          <w:tcPr>
            <w:tcW w:w="1196" w:type="dxa"/>
            <w:tcBorders>
              <w:top w:val="single" w:sz="4" w:space="0" w:color="auto"/>
              <w:left w:val="single" w:sz="4" w:space="0" w:color="auto"/>
              <w:bottom w:val="single" w:sz="4" w:space="0" w:color="auto"/>
              <w:right w:val="single" w:sz="4" w:space="0" w:color="auto"/>
            </w:tcBorders>
            <w:vAlign w:val="center"/>
          </w:tcPr>
          <w:p w14:paraId="3393A248" w14:textId="2ED847BB" w:rsidR="00C14AB8" w:rsidRPr="00D05956" w:rsidRDefault="00C14AB8" w:rsidP="00C14AB8">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4,05</w:t>
            </w:r>
          </w:p>
        </w:tc>
      </w:tr>
      <w:tr w:rsidR="00C14AB8" w:rsidRPr="00D05956" w14:paraId="35B633DA" w14:textId="41C5803E" w:rsidTr="00825059">
        <w:trPr>
          <w:jc w:val="center"/>
        </w:trPr>
        <w:tc>
          <w:tcPr>
            <w:tcW w:w="6676" w:type="dxa"/>
            <w:tcBorders>
              <w:top w:val="single" w:sz="4" w:space="0" w:color="auto"/>
              <w:left w:val="single" w:sz="4" w:space="0" w:color="auto"/>
              <w:bottom w:val="nil"/>
              <w:right w:val="single" w:sz="4" w:space="0" w:color="auto"/>
            </w:tcBorders>
            <w:hideMark/>
          </w:tcPr>
          <w:p w14:paraId="14DF332F"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өткізілген ғылыми-техникалық бағдарламалар саны, бірлік</w:t>
            </w:r>
          </w:p>
        </w:tc>
        <w:tc>
          <w:tcPr>
            <w:tcW w:w="1133" w:type="dxa"/>
            <w:tcBorders>
              <w:top w:val="single" w:sz="4" w:space="0" w:color="auto"/>
              <w:left w:val="single" w:sz="4" w:space="0" w:color="auto"/>
              <w:bottom w:val="nil"/>
              <w:right w:val="single" w:sz="4" w:space="0" w:color="auto"/>
            </w:tcBorders>
            <w:vAlign w:val="center"/>
            <w:hideMark/>
          </w:tcPr>
          <w:p w14:paraId="51BB4DB7"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31</w:t>
            </w:r>
          </w:p>
        </w:tc>
        <w:tc>
          <w:tcPr>
            <w:tcW w:w="1126" w:type="dxa"/>
            <w:tcBorders>
              <w:top w:val="single" w:sz="4" w:space="0" w:color="auto"/>
              <w:left w:val="single" w:sz="4" w:space="0" w:color="auto"/>
              <w:bottom w:val="nil"/>
              <w:right w:val="single" w:sz="4" w:space="0" w:color="auto"/>
            </w:tcBorders>
            <w:vAlign w:val="center"/>
            <w:hideMark/>
          </w:tcPr>
          <w:p w14:paraId="19A155CD"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nil"/>
              <w:right w:val="single" w:sz="4" w:space="0" w:color="auto"/>
            </w:tcBorders>
            <w:vAlign w:val="center"/>
            <w:hideMark/>
          </w:tcPr>
          <w:p w14:paraId="5D6557A9"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nil"/>
              <w:right w:val="single" w:sz="4" w:space="0" w:color="auto"/>
            </w:tcBorders>
            <w:vAlign w:val="center"/>
            <w:hideMark/>
          </w:tcPr>
          <w:p w14:paraId="13E0E575"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31</w:t>
            </w:r>
          </w:p>
        </w:tc>
        <w:tc>
          <w:tcPr>
            <w:tcW w:w="1117" w:type="dxa"/>
            <w:tcBorders>
              <w:top w:val="single" w:sz="4" w:space="0" w:color="auto"/>
              <w:left w:val="single" w:sz="4" w:space="0" w:color="auto"/>
              <w:bottom w:val="nil"/>
              <w:right w:val="single" w:sz="4" w:space="0" w:color="auto"/>
            </w:tcBorders>
            <w:vAlign w:val="center"/>
            <w:hideMark/>
          </w:tcPr>
          <w:p w14:paraId="35CF8508"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237" w:type="dxa"/>
            <w:tcBorders>
              <w:top w:val="single" w:sz="4" w:space="0" w:color="auto"/>
              <w:left w:val="single" w:sz="4" w:space="0" w:color="auto"/>
              <w:bottom w:val="nil"/>
              <w:right w:val="single" w:sz="4" w:space="0" w:color="auto"/>
            </w:tcBorders>
            <w:vAlign w:val="center"/>
            <w:hideMark/>
          </w:tcPr>
          <w:p w14:paraId="752F6157"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62</w:t>
            </w:r>
          </w:p>
        </w:tc>
        <w:tc>
          <w:tcPr>
            <w:tcW w:w="1196" w:type="dxa"/>
            <w:tcBorders>
              <w:top w:val="single" w:sz="4" w:space="0" w:color="auto"/>
              <w:left w:val="single" w:sz="4" w:space="0" w:color="auto"/>
              <w:bottom w:val="nil"/>
              <w:right w:val="single" w:sz="4" w:space="0" w:color="auto"/>
            </w:tcBorders>
            <w:vAlign w:val="center"/>
          </w:tcPr>
          <w:p w14:paraId="50D5AD6E" w14:textId="3A44A90D"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2334B121" w14:textId="24650AC9"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29F00598"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3-іс-шара. ЖОО, ҒЗИ, тәжірибелік шаруашылықтар, колледждер мен агроқұрылымдар базасында жұмыс істеп тұрған білім тарату орталықтары желісін кеңейту, </w:t>
            </w:r>
            <w:r w:rsidRPr="00D05956">
              <w:rPr>
                <w:rFonts w:ascii="Times New Roman" w:hAnsi="Times New Roman" w:cs="Times New Roman"/>
                <w:kern w:val="36"/>
                <w:sz w:val="24"/>
                <w:szCs w:val="24"/>
                <w:lang w:val="kk-KZ"/>
              </w:rPr>
              <w:t>млн. тг</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813520F" w14:textId="77777777" w:rsidR="00C14AB8" w:rsidRPr="00D05956" w:rsidRDefault="00C14AB8" w:rsidP="00C14AB8">
            <w:pPr>
              <w:pStyle w:val="TableParagraph"/>
              <w:jc w:val="center"/>
              <w:rPr>
                <w:sz w:val="24"/>
                <w:szCs w:val="24"/>
              </w:rPr>
            </w:pPr>
            <w:r w:rsidRPr="00D05956">
              <w:rPr>
                <w:sz w:val="24"/>
                <w:szCs w:val="24"/>
                <w:lang w:val="en-US"/>
              </w:rPr>
              <w:t>366</w:t>
            </w:r>
            <w:r w:rsidRPr="00D05956">
              <w:rPr>
                <w:sz w:val="24"/>
                <w:szCs w:val="24"/>
              </w:rPr>
              <w:t>,6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8401259"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366</w:t>
            </w:r>
            <w:r w:rsidRPr="00D05956">
              <w:rPr>
                <w:rFonts w:ascii="Times New Roman" w:hAnsi="Times New Roman" w:cs="Times New Roman"/>
                <w:sz w:val="24"/>
                <w:szCs w:val="24"/>
              </w:rPr>
              <w:t>,6</w:t>
            </w:r>
          </w:p>
        </w:tc>
        <w:tc>
          <w:tcPr>
            <w:tcW w:w="996" w:type="dxa"/>
            <w:tcBorders>
              <w:top w:val="single" w:sz="4" w:space="0" w:color="auto"/>
              <w:left w:val="single" w:sz="4" w:space="0" w:color="auto"/>
              <w:bottom w:val="single" w:sz="4" w:space="0" w:color="auto"/>
              <w:right w:val="single" w:sz="4" w:space="0" w:color="auto"/>
            </w:tcBorders>
            <w:vAlign w:val="center"/>
            <w:hideMark/>
          </w:tcPr>
          <w:p w14:paraId="6D0C8E69"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366</w:t>
            </w:r>
            <w:r w:rsidRPr="00D05956">
              <w:rPr>
                <w:rFonts w:ascii="Times New Roman" w:hAnsi="Times New Roman" w:cs="Times New Roman"/>
                <w:sz w:val="24"/>
                <w:szCs w:val="24"/>
              </w:rPr>
              <w:t>,6</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5C0472F"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366</w:t>
            </w:r>
            <w:r w:rsidRPr="00D05956">
              <w:rPr>
                <w:rFonts w:ascii="Times New Roman" w:hAnsi="Times New Roman" w:cs="Times New Roman"/>
                <w:sz w:val="24"/>
                <w:szCs w:val="24"/>
              </w:rPr>
              <w:t>,6</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C77A547"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366</w:t>
            </w:r>
            <w:r w:rsidRPr="00D05956">
              <w:rPr>
                <w:rFonts w:ascii="Times New Roman" w:hAnsi="Times New Roman" w:cs="Times New Roman"/>
                <w:sz w:val="24"/>
                <w:szCs w:val="24"/>
              </w:rPr>
              <w:t>,6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50C480B"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color w:val="FF0000"/>
                <w:kern w:val="36"/>
                <w:sz w:val="24"/>
                <w:szCs w:val="24"/>
                <w:lang w:val="kk-KZ" w:eastAsia="ru-RU"/>
              </w:rPr>
              <w:t>1832,8</w:t>
            </w:r>
          </w:p>
        </w:tc>
        <w:tc>
          <w:tcPr>
            <w:tcW w:w="1196" w:type="dxa"/>
            <w:tcBorders>
              <w:top w:val="single" w:sz="4" w:space="0" w:color="auto"/>
              <w:left w:val="single" w:sz="4" w:space="0" w:color="auto"/>
              <w:bottom w:val="single" w:sz="4" w:space="0" w:color="auto"/>
              <w:right w:val="single" w:sz="4" w:space="0" w:color="auto"/>
            </w:tcBorders>
            <w:vAlign w:val="center"/>
          </w:tcPr>
          <w:p w14:paraId="535B7804" w14:textId="657D0BB4" w:rsidR="00C14AB8" w:rsidRPr="00D05956" w:rsidRDefault="00C14AB8" w:rsidP="00C14AB8">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0,16</w:t>
            </w:r>
          </w:p>
        </w:tc>
      </w:tr>
      <w:tr w:rsidR="00C14AB8" w:rsidRPr="00D05956" w14:paraId="102A30F2" w14:textId="771817BA"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377BFE61" w14:textId="6C4C8A08"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оффлайн іс-шаралармен қамтылған АӨК субъекті саны, адам</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ADA9C57"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2030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FAC8BED"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3055</w:t>
            </w:r>
          </w:p>
        </w:tc>
        <w:tc>
          <w:tcPr>
            <w:tcW w:w="996" w:type="dxa"/>
            <w:tcBorders>
              <w:top w:val="single" w:sz="4" w:space="0" w:color="auto"/>
              <w:left w:val="single" w:sz="4" w:space="0" w:color="auto"/>
              <w:bottom w:val="single" w:sz="4" w:space="0" w:color="auto"/>
              <w:right w:val="single" w:sz="4" w:space="0" w:color="auto"/>
            </w:tcBorders>
            <w:vAlign w:val="center"/>
            <w:hideMark/>
          </w:tcPr>
          <w:p w14:paraId="3980C02A"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3055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B58E686"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3055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C905F4C"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3055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9A4BE6E"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14250</w:t>
            </w:r>
          </w:p>
        </w:tc>
        <w:tc>
          <w:tcPr>
            <w:tcW w:w="1196" w:type="dxa"/>
            <w:tcBorders>
              <w:top w:val="single" w:sz="4" w:space="0" w:color="auto"/>
              <w:left w:val="single" w:sz="4" w:space="0" w:color="auto"/>
              <w:bottom w:val="single" w:sz="4" w:space="0" w:color="auto"/>
              <w:right w:val="single" w:sz="4" w:space="0" w:color="auto"/>
            </w:tcBorders>
            <w:vAlign w:val="center"/>
          </w:tcPr>
          <w:p w14:paraId="72533872" w14:textId="2AC6A76F"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23D703FE" w14:textId="7DA9739B"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3DA4631F" w14:textId="6C4CC77C"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онлайн іс-шаралармен қамтылған АӨК субъекті саны, адам</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67B605F"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7500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62CFAA0"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63055</w:t>
            </w:r>
          </w:p>
        </w:tc>
        <w:tc>
          <w:tcPr>
            <w:tcW w:w="996" w:type="dxa"/>
            <w:tcBorders>
              <w:top w:val="single" w:sz="4" w:space="0" w:color="auto"/>
              <w:left w:val="single" w:sz="4" w:space="0" w:color="auto"/>
              <w:bottom w:val="single" w:sz="4" w:space="0" w:color="auto"/>
              <w:right w:val="single" w:sz="4" w:space="0" w:color="auto"/>
            </w:tcBorders>
            <w:vAlign w:val="center"/>
            <w:hideMark/>
          </w:tcPr>
          <w:p w14:paraId="269784FF"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63055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1DD5FF4F"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63055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5B036EB"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63055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4379835"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259720</w:t>
            </w:r>
          </w:p>
        </w:tc>
        <w:tc>
          <w:tcPr>
            <w:tcW w:w="1196" w:type="dxa"/>
            <w:tcBorders>
              <w:top w:val="single" w:sz="4" w:space="0" w:color="auto"/>
              <w:left w:val="single" w:sz="4" w:space="0" w:color="auto"/>
              <w:bottom w:val="single" w:sz="4" w:space="0" w:color="auto"/>
              <w:right w:val="single" w:sz="4" w:space="0" w:color="auto"/>
            </w:tcBorders>
            <w:vAlign w:val="center"/>
          </w:tcPr>
          <w:p w14:paraId="68C50DCC" w14:textId="22122930"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0292BC19" w14:textId="6AAF3B20"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0AC0FFD8"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құрылған БТО саны (өсуі бойынша), бірлік</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923A968"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826CD80"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w:t>
            </w:r>
          </w:p>
        </w:tc>
        <w:tc>
          <w:tcPr>
            <w:tcW w:w="996" w:type="dxa"/>
            <w:tcBorders>
              <w:top w:val="single" w:sz="4" w:space="0" w:color="auto"/>
              <w:left w:val="single" w:sz="4" w:space="0" w:color="auto"/>
              <w:bottom w:val="single" w:sz="4" w:space="0" w:color="auto"/>
              <w:right w:val="single" w:sz="4" w:space="0" w:color="auto"/>
            </w:tcBorders>
            <w:vAlign w:val="center"/>
            <w:hideMark/>
          </w:tcPr>
          <w:p w14:paraId="63A695B8"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8CA951B"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EC6D771"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D43F175"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45</w:t>
            </w:r>
          </w:p>
        </w:tc>
        <w:tc>
          <w:tcPr>
            <w:tcW w:w="1196" w:type="dxa"/>
            <w:tcBorders>
              <w:top w:val="single" w:sz="4" w:space="0" w:color="auto"/>
              <w:left w:val="single" w:sz="4" w:space="0" w:color="auto"/>
              <w:bottom w:val="single" w:sz="4" w:space="0" w:color="auto"/>
              <w:right w:val="single" w:sz="4" w:space="0" w:color="auto"/>
            </w:tcBorders>
            <w:vAlign w:val="center"/>
          </w:tcPr>
          <w:p w14:paraId="5F7C29AB" w14:textId="2DC2E470"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250D8092" w14:textId="3957664E"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5246AD19"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АӨК субъектілерін (заңды және жеке тұлғалар) білім тарату жүйесімен қамту (онлайн, оффлайн),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C6B83C1"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3AA74A1"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25</w:t>
            </w:r>
          </w:p>
        </w:tc>
        <w:tc>
          <w:tcPr>
            <w:tcW w:w="996" w:type="dxa"/>
            <w:tcBorders>
              <w:top w:val="single" w:sz="4" w:space="0" w:color="auto"/>
              <w:left w:val="single" w:sz="4" w:space="0" w:color="auto"/>
              <w:bottom w:val="single" w:sz="4" w:space="0" w:color="auto"/>
              <w:right w:val="single" w:sz="4" w:space="0" w:color="auto"/>
            </w:tcBorders>
            <w:vAlign w:val="center"/>
            <w:hideMark/>
          </w:tcPr>
          <w:p w14:paraId="7D492584"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A3141C5"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EB51654"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42686C9"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25</w:t>
            </w:r>
          </w:p>
        </w:tc>
        <w:tc>
          <w:tcPr>
            <w:tcW w:w="1196" w:type="dxa"/>
            <w:tcBorders>
              <w:top w:val="single" w:sz="4" w:space="0" w:color="auto"/>
              <w:left w:val="single" w:sz="4" w:space="0" w:color="auto"/>
              <w:bottom w:val="single" w:sz="4" w:space="0" w:color="auto"/>
              <w:right w:val="single" w:sz="4" w:space="0" w:color="auto"/>
            </w:tcBorders>
            <w:vAlign w:val="center"/>
          </w:tcPr>
          <w:p w14:paraId="68FC885D" w14:textId="28C279E6"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4577A218" w14:textId="3B08434F"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20A39AF"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4-іс-шара. Жаңа технологиялар мен селекциялық жетістіктерді, егістік пен егістердің жай-күйін мониторингтеудің заманауи цифрлық шешімдерін, тыңайтқыштар мен құралдарды нүктелік қолдануды енгізуді ынталандыруға бағытталған субсидиялау жүйесін қалыптастыру</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D539D7B"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BCD4648"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0D0E26C1"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2F1717C"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39B84CE"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4295BF"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96" w:type="dxa"/>
            <w:tcBorders>
              <w:top w:val="single" w:sz="4" w:space="0" w:color="auto"/>
              <w:left w:val="single" w:sz="4" w:space="0" w:color="auto"/>
              <w:bottom w:val="single" w:sz="4" w:space="0" w:color="auto"/>
              <w:right w:val="single" w:sz="4" w:space="0" w:color="auto"/>
            </w:tcBorders>
            <w:vAlign w:val="center"/>
          </w:tcPr>
          <w:p w14:paraId="470AFA47" w14:textId="47CB44E5"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14AB8" w:rsidRPr="00D05956" w14:paraId="2E1A6BF9" w14:textId="0B3041B3" w:rsidTr="00825059">
        <w:trPr>
          <w:jc w:val="center"/>
        </w:trPr>
        <w:tc>
          <w:tcPr>
            <w:tcW w:w="6676" w:type="dxa"/>
            <w:tcBorders>
              <w:top w:val="single" w:sz="4" w:space="0" w:color="auto"/>
              <w:left w:val="single" w:sz="4" w:space="0" w:color="auto"/>
              <w:bottom w:val="single" w:sz="4" w:space="0" w:color="auto"/>
              <w:right w:val="single" w:sz="4" w:space="0" w:color="auto"/>
            </w:tcBorders>
            <w:hideMark/>
          </w:tcPr>
          <w:p w14:paraId="1992472A" w14:textId="77777777" w:rsidR="00C14AB8" w:rsidRPr="00D05956" w:rsidRDefault="00C14AB8" w:rsidP="00C14AB8">
            <w:pPr>
              <w:tabs>
                <w:tab w:val="left" w:pos="122"/>
              </w:tabs>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i/>
                <w:iCs/>
                <w:color w:val="000000"/>
                <w:spacing w:val="2"/>
                <w:sz w:val="24"/>
                <w:szCs w:val="24"/>
                <w:bdr w:val="none" w:sz="0" w:space="0" w:color="auto" w:frame="1"/>
                <w:shd w:val="clear" w:color="auto" w:fill="FFFFFF"/>
                <w:lang w:val="kk-KZ"/>
              </w:rPr>
              <w:t xml:space="preserve">- </w:t>
            </w:r>
            <w:r w:rsidRPr="00D05956">
              <w:rPr>
                <w:rFonts w:ascii="Times New Roman" w:hAnsi="Times New Roman" w:cs="Times New Roman"/>
                <w:color w:val="000000"/>
                <w:spacing w:val="2"/>
                <w:sz w:val="24"/>
                <w:szCs w:val="24"/>
                <w:bdr w:val="none" w:sz="0" w:space="0" w:color="auto" w:frame="1"/>
                <w:shd w:val="clear" w:color="auto" w:fill="FFFFFF"/>
                <w:lang w:val="kk-KZ"/>
              </w:rPr>
              <w:t>бекітілген ғылыми-зерттеу және тәжірибелік-конструкторлық жұмыстарды әзірлеу мен енгізу шығындарының құнын субсидиялау қағидалары, бірлік</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BC0E4EF"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21B7406"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023EE3CC"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446" w:type="dxa"/>
            <w:tcBorders>
              <w:top w:val="single" w:sz="4" w:space="0" w:color="auto"/>
              <w:left w:val="single" w:sz="4" w:space="0" w:color="auto"/>
              <w:bottom w:val="single" w:sz="4" w:space="0" w:color="auto"/>
              <w:right w:val="single" w:sz="4" w:space="0" w:color="auto"/>
            </w:tcBorders>
            <w:vAlign w:val="center"/>
            <w:hideMark/>
          </w:tcPr>
          <w:p w14:paraId="41B5C5E0" w14:textId="77777777" w:rsidR="00C14AB8" w:rsidRPr="00D05956" w:rsidRDefault="00C14AB8" w:rsidP="00C14AB8">
            <w:pPr>
              <w:jc w:val="center"/>
              <w:rPr>
                <w:rFonts w:ascii="Times New Roman" w:eastAsia="Times New Roman" w:hAnsi="Times New Roman" w:cs="Times New Roman"/>
                <w:kern w:val="36"/>
                <w:sz w:val="24"/>
                <w:szCs w:val="24"/>
                <w:lang w:val="en-US" w:eastAsia="ru-RU"/>
              </w:rPr>
            </w:pPr>
            <w:r w:rsidRPr="00D05956">
              <w:rPr>
                <w:rFonts w:ascii="Times New Roman" w:eastAsia="Times New Roman" w:hAnsi="Times New Roman" w:cs="Times New Roman"/>
                <w:kern w:val="36"/>
                <w:sz w:val="24"/>
                <w:szCs w:val="24"/>
                <w:lang w:val="en-US" w:eastAsia="ru-RU"/>
              </w:rPr>
              <w:t>-</w:t>
            </w:r>
          </w:p>
        </w:tc>
        <w:tc>
          <w:tcPr>
            <w:tcW w:w="1117" w:type="dxa"/>
            <w:tcBorders>
              <w:top w:val="single" w:sz="4" w:space="0" w:color="auto"/>
              <w:left w:val="single" w:sz="4" w:space="0" w:color="auto"/>
              <w:bottom w:val="single" w:sz="4" w:space="0" w:color="auto"/>
              <w:right w:val="single" w:sz="4" w:space="0" w:color="auto"/>
            </w:tcBorders>
            <w:vAlign w:val="center"/>
            <w:hideMark/>
          </w:tcPr>
          <w:p w14:paraId="75750821" w14:textId="77777777" w:rsidR="00C14AB8" w:rsidRPr="00D05956" w:rsidRDefault="00C14AB8" w:rsidP="00C14AB8">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5C5BE18" w14:textId="77777777" w:rsidR="00C14AB8" w:rsidRPr="00D05956" w:rsidRDefault="00C14AB8" w:rsidP="00C14AB8">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val="kk-KZ" w:eastAsia="ru-RU"/>
              </w:rPr>
              <w:t>1</w:t>
            </w:r>
          </w:p>
        </w:tc>
        <w:tc>
          <w:tcPr>
            <w:tcW w:w="1196" w:type="dxa"/>
            <w:tcBorders>
              <w:top w:val="single" w:sz="4" w:space="0" w:color="auto"/>
              <w:left w:val="single" w:sz="4" w:space="0" w:color="auto"/>
              <w:bottom w:val="single" w:sz="4" w:space="0" w:color="auto"/>
              <w:right w:val="single" w:sz="4" w:space="0" w:color="auto"/>
            </w:tcBorders>
            <w:vAlign w:val="center"/>
          </w:tcPr>
          <w:p w14:paraId="55552394" w14:textId="5C1EE4F3" w:rsidR="00C14AB8" w:rsidRPr="00D05956" w:rsidRDefault="00C14AB8" w:rsidP="00C14AB8">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bl>
    <w:p w14:paraId="46ACED59" w14:textId="77777777" w:rsidR="001D7D7A" w:rsidRDefault="001D7D7A" w:rsidP="001D7D7A">
      <w:pPr>
        <w:spacing w:after="0" w:line="240" w:lineRule="auto"/>
        <w:ind w:firstLine="567"/>
        <w:jc w:val="both"/>
        <w:rPr>
          <w:rStyle w:val="a4"/>
          <w:bCs/>
          <w:sz w:val="28"/>
          <w:szCs w:val="28"/>
          <w:lang w:val="kk-KZ"/>
        </w:rPr>
      </w:pPr>
    </w:p>
    <w:p w14:paraId="731A4A84" w14:textId="44E42E41" w:rsidR="001D7D7A" w:rsidRDefault="00D05956" w:rsidP="00D05956">
      <w:pPr>
        <w:spacing w:after="0" w:line="240" w:lineRule="auto"/>
        <w:jc w:val="center"/>
        <w:rPr>
          <w:rFonts w:ascii="Times New Roman" w:eastAsia="Times New Roman" w:hAnsi="Times New Roman" w:cs="Times New Roman"/>
          <w:b/>
          <w:bCs/>
          <w:kern w:val="36"/>
          <w:sz w:val="28"/>
          <w:szCs w:val="28"/>
          <w:lang w:val="kk-KZ" w:eastAsia="ru-RU"/>
        </w:rPr>
      </w:pPr>
      <w:r w:rsidRPr="00645B0F">
        <w:rPr>
          <w:rFonts w:ascii="Times New Roman" w:eastAsia="Times New Roman" w:hAnsi="Times New Roman" w:cs="Times New Roman"/>
          <w:b/>
          <w:bCs/>
          <w:kern w:val="36"/>
          <w:sz w:val="28"/>
          <w:szCs w:val="28"/>
          <w:lang w:val="kk-KZ" w:eastAsia="ru-RU"/>
        </w:rPr>
        <w:t xml:space="preserve">ҚОСЫМША </w:t>
      </w:r>
      <w:r>
        <w:rPr>
          <w:rFonts w:ascii="Times New Roman" w:eastAsia="Times New Roman" w:hAnsi="Times New Roman" w:cs="Times New Roman"/>
          <w:b/>
          <w:bCs/>
          <w:kern w:val="36"/>
          <w:sz w:val="28"/>
          <w:szCs w:val="28"/>
          <w:lang w:val="kk-KZ" w:eastAsia="ru-RU"/>
        </w:rPr>
        <w:t>Ә</w:t>
      </w:r>
    </w:p>
    <w:p w14:paraId="7B7BC38E" w14:textId="5BEC800C" w:rsidR="00D05956" w:rsidRPr="00825059" w:rsidRDefault="00D05956" w:rsidP="001D7D7A">
      <w:pPr>
        <w:spacing w:after="0" w:line="240" w:lineRule="auto"/>
        <w:jc w:val="both"/>
        <w:rPr>
          <w:rStyle w:val="a4"/>
          <w:rFonts w:eastAsia="Times New Roman"/>
          <w:color w:val="auto"/>
          <w:kern w:val="36"/>
          <w:sz w:val="28"/>
          <w:szCs w:val="28"/>
          <w:u w:val="none"/>
          <w:lang w:val="kk-KZ" w:eastAsia="ru-RU"/>
        </w:rPr>
      </w:pPr>
      <w:r>
        <w:rPr>
          <w:rFonts w:ascii="Times New Roman" w:eastAsia="Times New Roman" w:hAnsi="Times New Roman" w:cs="Times New Roman"/>
          <w:kern w:val="36"/>
          <w:sz w:val="28"/>
          <w:szCs w:val="28"/>
          <w:lang w:val="kk-KZ" w:eastAsia="ru-RU"/>
        </w:rPr>
        <w:t xml:space="preserve">Кесте Ә.1 – </w:t>
      </w:r>
      <w:r w:rsidR="001D7D7A" w:rsidRPr="00E27BED">
        <w:rPr>
          <w:rFonts w:ascii="Times New Roman" w:eastAsia="Times New Roman" w:hAnsi="Times New Roman" w:cs="Times New Roman"/>
          <w:kern w:val="36"/>
          <w:sz w:val="28"/>
          <w:szCs w:val="28"/>
          <w:lang w:val="kk-KZ" w:eastAsia="ru-RU"/>
        </w:rPr>
        <w:t>ҚР АӨК дамытудың 2021-2025 жж. ұлттық жобасындағы отандық өндірістің негізгі азық-түліктік тауарларымен қамтамасыз етілуі міндетін іске асыруға арналған нәтижелі көрсеткіштер мен іс шаралар</w:t>
      </w:r>
    </w:p>
    <w:tbl>
      <w:tblPr>
        <w:tblStyle w:val="a3"/>
        <w:tblW w:w="15163" w:type="dxa"/>
        <w:jc w:val="center"/>
        <w:tblLayout w:type="fixed"/>
        <w:tblLook w:val="04A0" w:firstRow="1" w:lastRow="0" w:firstColumn="1" w:lastColumn="0" w:noHBand="0" w:noVBand="1"/>
      </w:tblPr>
      <w:tblGrid>
        <w:gridCol w:w="6383"/>
        <w:gridCol w:w="1218"/>
        <w:gridCol w:w="1232"/>
        <w:gridCol w:w="1204"/>
        <w:gridCol w:w="1069"/>
        <w:gridCol w:w="1170"/>
        <w:gridCol w:w="1570"/>
        <w:gridCol w:w="1317"/>
      </w:tblGrid>
      <w:tr w:rsidR="00825059" w:rsidRPr="00D05956" w14:paraId="54BE9E1A" w14:textId="6074E2EF" w:rsidTr="00CA2955">
        <w:trPr>
          <w:jc w:val="center"/>
        </w:trPr>
        <w:tc>
          <w:tcPr>
            <w:tcW w:w="6383" w:type="dxa"/>
            <w:tcBorders>
              <w:top w:val="single" w:sz="4" w:space="0" w:color="auto"/>
              <w:left w:val="single" w:sz="4" w:space="0" w:color="auto"/>
              <w:bottom w:val="single" w:sz="4" w:space="0" w:color="auto"/>
              <w:right w:val="single" w:sz="4" w:space="0" w:color="auto"/>
            </w:tcBorders>
            <w:vAlign w:val="center"/>
            <w:hideMark/>
          </w:tcPr>
          <w:p w14:paraId="5244EE74" w14:textId="77777777" w:rsidR="00825059" w:rsidRPr="00D05956" w:rsidRDefault="00825059" w:rsidP="00D05956">
            <w:pPr>
              <w:jc w:val="center"/>
              <w:rPr>
                <w:sz w:val="24"/>
                <w:szCs w:val="24"/>
              </w:rPr>
            </w:pPr>
            <w:r w:rsidRPr="00D05956">
              <w:rPr>
                <w:rFonts w:ascii="Times New Roman" w:eastAsia="Times New Roman" w:hAnsi="Times New Roman" w:cs="Times New Roman"/>
                <w:kern w:val="36"/>
                <w:sz w:val="24"/>
                <w:szCs w:val="24"/>
                <w:lang w:val="kk-KZ" w:eastAsia="ru-RU"/>
              </w:rPr>
              <w:t>Нысаналы индикаторлар</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97CAD1C" w14:textId="77777777" w:rsidR="00825059" w:rsidRPr="00D05956" w:rsidRDefault="00825059" w:rsidP="00D05956">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20</w:t>
            </w:r>
            <w:r w:rsidRPr="00D05956">
              <w:rPr>
                <w:rFonts w:ascii="Times New Roman" w:eastAsia="Times New Roman" w:hAnsi="Times New Roman" w:cs="Times New Roman"/>
                <w:kern w:val="36"/>
                <w:sz w:val="24"/>
                <w:szCs w:val="24"/>
                <w:lang w:val="kk-KZ" w:eastAsia="ru-RU"/>
              </w:rPr>
              <w:t>21</w:t>
            </w:r>
            <w:r w:rsidRPr="00D05956">
              <w:rPr>
                <w:rFonts w:ascii="Times New Roman" w:eastAsia="Times New Roman" w:hAnsi="Times New Roman" w:cs="Times New Roman"/>
                <w:kern w:val="36"/>
                <w:sz w:val="24"/>
                <w:szCs w:val="24"/>
                <w:lang w:eastAsia="ru-RU"/>
              </w:rPr>
              <w:t xml:space="preserve"> жыл</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F09E442"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2022 жыл</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986B70E"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2023 жыл</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0297054"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2024 жыл</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0C6EAA1" w14:textId="77777777"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2025 жыл</w:t>
            </w:r>
          </w:p>
        </w:tc>
        <w:tc>
          <w:tcPr>
            <w:tcW w:w="1570" w:type="dxa"/>
            <w:tcBorders>
              <w:top w:val="single" w:sz="4" w:space="0" w:color="auto"/>
              <w:left w:val="single" w:sz="4" w:space="0" w:color="auto"/>
              <w:bottom w:val="single" w:sz="4" w:space="0" w:color="auto"/>
              <w:right w:val="single" w:sz="4" w:space="0" w:color="auto"/>
            </w:tcBorders>
            <w:vAlign w:val="center"/>
            <w:hideMark/>
          </w:tcPr>
          <w:p w14:paraId="7A241175" w14:textId="387991E9" w:rsidR="00825059" w:rsidRPr="00D05956" w:rsidRDefault="00825059"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Жиыны</w:t>
            </w:r>
          </w:p>
        </w:tc>
        <w:tc>
          <w:tcPr>
            <w:tcW w:w="1317" w:type="dxa"/>
            <w:tcBorders>
              <w:top w:val="single" w:sz="4" w:space="0" w:color="auto"/>
              <w:left w:val="single" w:sz="4" w:space="0" w:color="auto"/>
              <w:bottom w:val="single" w:sz="4" w:space="0" w:color="auto"/>
              <w:right w:val="single" w:sz="4" w:space="0" w:color="auto"/>
            </w:tcBorders>
            <w:vAlign w:val="center"/>
          </w:tcPr>
          <w:p w14:paraId="7F32C928" w14:textId="60FB255A" w:rsidR="00825059" w:rsidRPr="00CA2955" w:rsidRDefault="00CA2955" w:rsidP="00CA2955">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val="kk-KZ" w:eastAsia="ru-RU"/>
              </w:rPr>
              <w:t xml:space="preserve">Құрылы мы, </w:t>
            </w:r>
            <w:r>
              <w:rPr>
                <w:rFonts w:ascii="Times New Roman" w:eastAsia="Times New Roman" w:hAnsi="Times New Roman" w:cs="Times New Roman"/>
                <w:kern w:val="36"/>
                <w:sz w:val="24"/>
                <w:szCs w:val="24"/>
                <w:lang w:eastAsia="ru-RU"/>
              </w:rPr>
              <w:t>%</w:t>
            </w:r>
          </w:p>
        </w:tc>
      </w:tr>
      <w:tr w:rsidR="00825059" w:rsidRPr="00D05956" w14:paraId="259CE484" w14:textId="5A5BF7AB" w:rsidTr="00CA2955">
        <w:trPr>
          <w:jc w:val="center"/>
        </w:trPr>
        <w:tc>
          <w:tcPr>
            <w:tcW w:w="6383" w:type="dxa"/>
            <w:tcBorders>
              <w:top w:val="single" w:sz="4" w:space="0" w:color="auto"/>
              <w:left w:val="single" w:sz="4" w:space="0" w:color="auto"/>
              <w:bottom w:val="single" w:sz="4" w:space="0" w:color="auto"/>
              <w:right w:val="single" w:sz="4" w:space="0" w:color="auto"/>
            </w:tcBorders>
            <w:vAlign w:val="center"/>
          </w:tcPr>
          <w:p w14:paraId="77BFE073" w14:textId="11558D57" w:rsidR="00825059" w:rsidRPr="00D0595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1218" w:type="dxa"/>
            <w:tcBorders>
              <w:top w:val="single" w:sz="4" w:space="0" w:color="auto"/>
              <w:left w:val="single" w:sz="4" w:space="0" w:color="auto"/>
              <w:bottom w:val="single" w:sz="4" w:space="0" w:color="auto"/>
              <w:right w:val="single" w:sz="4" w:space="0" w:color="auto"/>
            </w:tcBorders>
            <w:vAlign w:val="center"/>
          </w:tcPr>
          <w:p w14:paraId="17129324" w14:textId="1A1C0153" w:rsidR="00825059" w:rsidRPr="00B42F8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1232" w:type="dxa"/>
            <w:tcBorders>
              <w:top w:val="single" w:sz="4" w:space="0" w:color="auto"/>
              <w:left w:val="single" w:sz="4" w:space="0" w:color="auto"/>
              <w:bottom w:val="single" w:sz="4" w:space="0" w:color="auto"/>
              <w:right w:val="single" w:sz="4" w:space="0" w:color="auto"/>
            </w:tcBorders>
            <w:vAlign w:val="center"/>
          </w:tcPr>
          <w:p w14:paraId="3EA38D31" w14:textId="3F6B81E7" w:rsidR="00825059" w:rsidRPr="00D0595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1204" w:type="dxa"/>
            <w:tcBorders>
              <w:top w:val="single" w:sz="4" w:space="0" w:color="auto"/>
              <w:left w:val="single" w:sz="4" w:space="0" w:color="auto"/>
              <w:bottom w:val="single" w:sz="4" w:space="0" w:color="auto"/>
              <w:right w:val="single" w:sz="4" w:space="0" w:color="auto"/>
            </w:tcBorders>
            <w:vAlign w:val="center"/>
          </w:tcPr>
          <w:p w14:paraId="236C64B9" w14:textId="1A634FF7" w:rsidR="00825059" w:rsidRPr="00D0595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1069" w:type="dxa"/>
            <w:tcBorders>
              <w:top w:val="single" w:sz="4" w:space="0" w:color="auto"/>
              <w:left w:val="single" w:sz="4" w:space="0" w:color="auto"/>
              <w:bottom w:val="single" w:sz="4" w:space="0" w:color="auto"/>
              <w:right w:val="single" w:sz="4" w:space="0" w:color="auto"/>
            </w:tcBorders>
            <w:vAlign w:val="center"/>
          </w:tcPr>
          <w:p w14:paraId="1060D178" w14:textId="6EFF706C" w:rsidR="00825059" w:rsidRPr="00D0595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1170" w:type="dxa"/>
            <w:tcBorders>
              <w:top w:val="single" w:sz="4" w:space="0" w:color="auto"/>
              <w:left w:val="single" w:sz="4" w:space="0" w:color="auto"/>
              <w:bottom w:val="single" w:sz="4" w:space="0" w:color="auto"/>
              <w:right w:val="single" w:sz="4" w:space="0" w:color="auto"/>
            </w:tcBorders>
            <w:vAlign w:val="center"/>
          </w:tcPr>
          <w:p w14:paraId="6D50AE46" w14:textId="5888DA31" w:rsidR="00825059" w:rsidRPr="00D0595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570" w:type="dxa"/>
            <w:tcBorders>
              <w:top w:val="single" w:sz="4" w:space="0" w:color="auto"/>
              <w:left w:val="single" w:sz="4" w:space="0" w:color="auto"/>
              <w:bottom w:val="single" w:sz="4" w:space="0" w:color="auto"/>
              <w:right w:val="single" w:sz="4" w:space="0" w:color="auto"/>
            </w:tcBorders>
            <w:vAlign w:val="center"/>
          </w:tcPr>
          <w:p w14:paraId="4B3AB0C9" w14:textId="1527667D" w:rsidR="00825059" w:rsidRPr="00D05956" w:rsidRDefault="00825059"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317" w:type="dxa"/>
            <w:tcBorders>
              <w:top w:val="single" w:sz="4" w:space="0" w:color="auto"/>
              <w:left w:val="single" w:sz="4" w:space="0" w:color="auto"/>
              <w:bottom w:val="single" w:sz="4" w:space="0" w:color="auto"/>
              <w:right w:val="single" w:sz="4" w:space="0" w:color="auto"/>
            </w:tcBorders>
            <w:vAlign w:val="center"/>
          </w:tcPr>
          <w:p w14:paraId="153949F1" w14:textId="1DD4D181" w:rsidR="00825059"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825059" w:rsidRPr="00D05956" w14:paraId="2E306AD5" w14:textId="51D66ED4"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2FC43B2A"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 xml:space="preserve">2-міндет. Отандық өндірістің негізгі азық-түліктік тауарларымен қамтамасыз етілуі, млн. тг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61E8D6E" w14:textId="77777777" w:rsidR="00825059" w:rsidRPr="00D05956" w:rsidRDefault="00825059" w:rsidP="001D7D7A">
            <w:pPr>
              <w:pStyle w:val="TableParagraph"/>
              <w:jc w:val="center"/>
              <w:rPr>
                <w:bCs/>
                <w:sz w:val="24"/>
                <w:szCs w:val="24"/>
              </w:rPr>
            </w:pPr>
            <w:r w:rsidRPr="00D05956">
              <w:rPr>
                <w:bCs/>
                <w:sz w:val="24"/>
                <w:szCs w:val="24"/>
                <w:lang w:val="en-US"/>
              </w:rPr>
              <w:t>233056</w:t>
            </w:r>
            <w:r w:rsidRPr="00D05956">
              <w:rPr>
                <w:bCs/>
                <w:sz w:val="24"/>
                <w:szCs w:val="24"/>
              </w:rPr>
              <w:t>,8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D248044" w14:textId="77777777" w:rsidR="00825059" w:rsidRPr="00D05956" w:rsidRDefault="00825059" w:rsidP="001D7D7A">
            <w:pPr>
              <w:pStyle w:val="TableParagraph"/>
              <w:jc w:val="center"/>
              <w:rPr>
                <w:bCs/>
                <w:sz w:val="24"/>
                <w:szCs w:val="24"/>
                <w:lang w:val="en-US"/>
              </w:rPr>
            </w:pPr>
            <w:r w:rsidRPr="00D05956">
              <w:rPr>
                <w:bCs/>
                <w:sz w:val="24"/>
                <w:szCs w:val="24"/>
                <w:lang w:val="en-US"/>
              </w:rPr>
              <w:t>252682</w:t>
            </w:r>
            <w:r w:rsidRPr="00D05956">
              <w:rPr>
                <w:bCs/>
                <w:sz w:val="24"/>
                <w:szCs w:val="24"/>
              </w:rPr>
              <w:t>,</w:t>
            </w:r>
            <w:r w:rsidRPr="00D05956">
              <w:rPr>
                <w:bCs/>
                <w:sz w:val="24"/>
                <w:szCs w:val="24"/>
                <w:lang w:val="en-US"/>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C59793B" w14:textId="77777777" w:rsidR="00825059" w:rsidRPr="00D05956" w:rsidRDefault="00825059" w:rsidP="001D7D7A">
            <w:pPr>
              <w:pStyle w:val="TableParagraph"/>
              <w:jc w:val="center"/>
              <w:rPr>
                <w:bCs/>
                <w:sz w:val="24"/>
                <w:szCs w:val="24"/>
                <w:lang w:val="en-US"/>
              </w:rPr>
            </w:pPr>
            <w:r w:rsidRPr="00D05956">
              <w:rPr>
                <w:bCs/>
                <w:sz w:val="24"/>
                <w:szCs w:val="24"/>
                <w:lang w:val="en-US"/>
              </w:rPr>
              <w:t>205396</w:t>
            </w:r>
            <w:r w:rsidRPr="00D05956">
              <w:rPr>
                <w:bCs/>
                <w:sz w:val="24"/>
                <w:szCs w:val="24"/>
              </w:rPr>
              <w:t>,</w:t>
            </w:r>
            <w:r w:rsidRPr="00D05956">
              <w:rPr>
                <w:bCs/>
                <w:sz w:val="24"/>
                <w:szCs w:val="24"/>
                <w:lang w:val="en-US"/>
              </w:rPr>
              <w:t>3</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F8CC60B" w14:textId="77777777" w:rsidR="00825059" w:rsidRPr="00D05956" w:rsidRDefault="00825059" w:rsidP="00D05956">
            <w:pPr>
              <w:pStyle w:val="TableParagraph"/>
              <w:ind w:left="-66"/>
              <w:jc w:val="center"/>
              <w:rPr>
                <w:bCs/>
                <w:sz w:val="24"/>
                <w:szCs w:val="24"/>
              </w:rPr>
            </w:pPr>
            <w:r w:rsidRPr="00D05956">
              <w:rPr>
                <w:bCs/>
                <w:sz w:val="24"/>
                <w:szCs w:val="24"/>
                <w:lang w:val="en-US"/>
              </w:rPr>
              <w:t>181919</w:t>
            </w:r>
            <w:r w:rsidRPr="00D05956">
              <w:rPr>
                <w:bCs/>
                <w:sz w:val="24"/>
                <w:szCs w:val="24"/>
              </w:rPr>
              <w:t>,9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6966658" w14:textId="77777777" w:rsidR="00825059" w:rsidRPr="00D05956" w:rsidRDefault="00825059" w:rsidP="001D7D7A">
            <w:pPr>
              <w:pStyle w:val="TableParagraph"/>
              <w:jc w:val="center"/>
              <w:rPr>
                <w:bCs/>
                <w:sz w:val="24"/>
                <w:szCs w:val="24"/>
              </w:rPr>
            </w:pPr>
            <w:r w:rsidRPr="00D05956">
              <w:rPr>
                <w:bCs/>
                <w:sz w:val="24"/>
                <w:szCs w:val="24"/>
                <w:lang w:val="en-US"/>
              </w:rPr>
              <w:t>194882</w:t>
            </w:r>
            <w:r w:rsidRPr="00D05956">
              <w:rPr>
                <w:bCs/>
                <w:sz w:val="24"/>
                <w:szCs w:val="24"/>
              </w:rPr>
              <w:t>,3</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2E10959" w14:textId="77777777" w:rsidR="00825059" w:rsidRPr="00D05956" w:rsidRDefault="00825059" w:rsidP="001D7D7A">
            <w:pPr>
              <w:jc w:val="center"/>
              <w:rPr>
                <w:rFonts w:ascii="Times New Roman" w:eastAsia="Times New Roman" w:hAnsi="Times New Roman" w:cs="Times New Roman"/>
                <w:bCs/>
                <w:kern w:val="36"/>
                <w:sz w:val="24"/>
                <w:szCs w:val="24"/>
                <w:lang w:val="kk-KZ" w:eastAsia="ru-RU"/>
              </w:rPr>
            </w:pPr>
            <w:r w:rsidRPr="00D05956">
              <w:rPr>
                <w:rFonts w:ascii="Times New Roman" w:eastAsia="Times New Roman" w:hAnsi="Times New Roman" w:cs="Times New Roman"/>
                <w:bCs/>
                <w:color w:val="FF0000"/>
                <w:kern w:val="36"/>
                <w:sz w:val="24"/>
                <w:szCs w:val="24"/>
                <w:lang w:val="kk-KZ" w:eastAsia="ru-RU"/>
              </w:rPr>
              <w:t>1067937,9</w:t>
            </w:r>
          </w:p>
        </w:tc>
        <w:tc>
          <w:tcPr>
            <w:tcW w:w="1317" w:type="dxa"/>
            <w:tcBorders>
              <w:top w:val="single" w:sz="4" w:space="0" w:color="auto"/>
              <w:left w:val="single" w:sz="4" w:space="0" w:color="auto"/>
              <w:bottom w:val="single" w:sz="4" w:space="0" w:color="auto"/>
              <w:right w:val="single" w:sz="4" w:space="0" w:color="auto"/>
            </w:tcBorders>
            <w:vAlign w:val="center"/>
          </w:tcPr>
          <w:p w14:paraId="2A669169" w14:textId="3FAEA92B" w:rsidR="00825059" w:rsidRPr="00D05956" w:rsidRDefault="00CA2955" w:rsidP="00CA2955">
            <w:pPr>
              <w:jc w:val="center"/>
              <w:rPr>
                <w:rFonts w:ascii="Times New Roman" w:eastAsia="Times New Roman" w:hAnsi="Times New Roman" w:cs="Times New Roman"/>
                <w:bCs/>
                <w:color w:val="FF0000"/>
                <w:kern w:val="36"/>
                <w:sz w:val="24"/>
                <w:szCs w:val="24"/>
                <w:lang w:val="kk-KZ" w:eastAsia="ru-RU"/>
              </w:rPr>
            </w:pPr>
            <w:r>
              <w:rPr>
                <w:rFonts w:ascii="Times New Roman" w:eastAsia="Times New Roman" w:hAnsi="Times New Roman" w:cs="Times New Roman"/>
                <w:bCs/>
                <w:color w:val="FF0000"/>
                <w:kern w:val="36"/>
                <w:sz w:val="24"/>
                <w:szCs w:val="24"/>
                <w:lang w:val="kk-KZ" w:eastAsia="ru-RU"/>
              </w:rPr>
              <w:t>100,0</w:t>
            </w:r>
          </w:p>
        </w:tc>
      </w:tr>
      <w:tr w:rsidR="00825059" w:rsidRPr="00D05956" w14:paraId="4EE60533" w14:textId="3BE52D2E"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127F3C82"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1-көрсеткіш.Азық-түлік тауарларымен (оның ішінде әлеуметтік маңызы бар) 80 % деңгейінде қамтамасыз етілуі, млн.тг</w:t>
            </w:r>
          </w:p>
        </w:tc>
        <w:tc>
          <w:tcPr>
            <w:tcW w:w="1218" w:type="dxa"/>
            <w:tcBorders>
              <w:top w:val="single" w:sz="4" w:space="0" w:color="auto"/>
              <w:left w:val="single" w:sz="4" w:space="0" w:color="auto"/>
              <w:bottom w:val="single" w:sz="4" w:space="0" w:color="auto"/>
              <w:right w:val="single" w:sz="4" w:space="0" w:color="auto"/>
            </w:tcBorders>
            <w:vAlign w:val="center"/>
          </w:tcPr>
          <w:p w14:paraId="3640F38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232" w:type="dxa"/>
            <w:tcBorders>
              <w:top w:val="single" w:sz="4" w:space="0" w:color="auto"/>
              <w:left w:val="single" w:sz="4" w:space="0" w:color="auto"/>
              <w:bottom w:val="single" w:sz="4" w:space="0" w:color="auto"/>
              <w:right w:val="single" w:sz="4" w:space="0" w:color="auto"/>
            </w:tcBorders>
            <w:vAlign w:val="center"/>
          </w:tcPr>
          <w:p w14:paraId="74CAA97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204" w:type="dxa"/>
            <w:tcBorders>
              <w:top w:val="single" w:sz="4" w:space="0" w:color="auto"/>
              <w:left w:val="single" w:sz="4" w:space="0" w:color="auto"/>
              <w:bottom w:val="single" w:sz="4" w:space="0" w:color="auto"/>
              <w:right w:val="single" w:sz="4" w:space="0" w:color="auto"/>
            </w:tcBorders>
            <w:vAlign w:val="center"/>
          </w:tcPr>
          <w:p w14:paraId="1DD492B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069" w:type="dxa"/>
            <w:tcBorders>
              <w:top w:val="single" w:sz="4" w:space="0" w:color="auto"/>
              <w:left w:val="single" w:sz="4" w:space="0" w:color="auto"/>
              <w:bottom w:val="single" w:sz="4" w:space="0" w:color="auto"/>
              <w:right w:val="single" w:sz="4" w:space="0" w:color="auto"/>
            </w:tcBorders>
            <w:vAlign w:val="center"/>
          </w:tcPr>
          <w:p w14:paraId="7F0CADB9"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170" w:type="dxa"/>
            <w:tcBorders>
              <w:top w:val="single" w:sz="4" w:space="0" w:color="auto"/>
              <w:left w:val="single" w:sz="4" w:space="0" w:color="auto"/>
              <w:bottom w:val="single" w:sz="4" w:space="0" w:color="auto"/>
              <w:right w:val="single" w:sz="4" w:space="0" w:color="auto"/>
            </w:tcBorders>
            <w:vAlign w:val="center"/>
          </w:tcPr>
          <w:p w14:paraId="2471841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p>
        </w:tc>
        <w:tc>
          <w:tcPr>
            <w:tcW w:w="1570" w:type="dxa"/>
            <w:tcBorders>
              <w:top w:val="single" w:sz="4" w:space="0" w:color="auto"/>
              <w:left w:val="single" w:sz="4" w:space="0" w:color="auto"/>
              <w:bottom w:val="single" w:sz="4" w:space="0" w:color="auto"/>
              <w:right w:val="single" w:sz="4" w:space="0" w:color="auto"/>
            </w:tcBorders>
            <w:vAlign w:val="center"/>
            <w:hideMark/>
          </w:tcPr>
          <w:p w14:paraId="31E5908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154527,4</w:t>
            </w:r>
          </w:p>
        </w:tc>
        <w:tc>
          <w:tcPr>
            <w:tcW w:w="1317" w:type="dxa"/>
            <w:tcBorders>
              <w:top w:val="single" w:sz="4" w:space="0" w:color="auto"/>
              <w:left w:val="single" w:sz="4" w:space="0" w:color="auto"/>
              <w:bottom w:val="single" w:sz="4" w:space="0" w:color="auto"/>
              <w:right w:val="single" w:sz="4" w:space="0" w:color="auto"/>
            </w:tcBorders>
            <w:vAlign w:val="center"/>
          </w:tcPr>
          <w:p w14:paraId="620314DA" w14:textId="58556AD8"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14,0</w:t>
            </w:r>
          </w:p>
        </w:tc>
      </w:tr>
      <w:tr w:rsidR="00825059" w:rsidRPr="00D05956" w14:paraId="61DB7219" w14:textId="2B43D28D"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696248EC"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-алма,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A9465F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A17B11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88</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9F14712"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840729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7866F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512EB59"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317" w:type="dxa"/>
            <w:tcBorders>
              <w:top w:val="single" w:sz="4" w:space="0" w:color="auto"/>
              <w:left w:val="single" w:sz="4" w:space="0" w:color="auto"/>
              <w:bottom w:val="single" w:sz="4" w:space="0" w:color="auto"/>
              <w:right w:val="single" w:sz="4" w:space="0" w:color="auto"/>
            </w:tcBorders>
            <w:vAlign w:val="center"/>
          </w:tcPr>
          <w:p w14:paraId="63F13F84" w14:textId="5FF0C47F"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676F8568" w14:textId="391E920E"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3AB50ED6" w14:textId="77777777" w:rsidR="00825059" w:rsidRPr="00D05956" w:rsidRDefault="00825059" w:rsidP="001D7D7A">
            <w:pPr>
              <w:rPr>
                <w:rFonts w:ascii="Times New Roman" w:hAnsi="Times New Roman" w:cs="Times New Roman"/>
                <w:color w:val="000000"/>
                <w:spacing w:val="2"/>
                <w:sz w:val="24"/>
                <w:szCs w:val="24"/>
                <w:shd w:val="clear" w:color="auto" w:fill="FFFFFF"/>
              </w:rPr>
            </w:pPr>
            <w:r w:rsidRPr="00D05956">
              <w:rPr>
                <w:rFonts w:ascii="Times New Roman" w:hAnsi="Times New Roman" w:cs="Times New Roman"/>
                <w:color w:val="000000"/>
                <w:spacing w:val="2"/>
                <w:sz w:val="24"/>
                <w:szCs w:val="24"/>
                <w:shd w:val="clear" w:color="auto" w:fill="FFFFFF"/>
                <w:lang w:val="kk-KZ"/>
              </w:rPr>
              <w:t xml:space="preserve">-балық, </w:t>
            </w:r>
            <w:r w:rsidRPr="00D05956">
              <w:rPr>
                <w:rFonts w:ascii="Times New Roman" w:hAnsi="Times New Roman" w:cs="Times New Roman"/>
                <w:color w:val="000000"/>
                <w:spacing w:val="2"/>
                <w:sz w:val="24"/>
                <w:szCs w:val="24"/>
                <w:shd w:val="clear" w:color="auto" w:fill="FFFFFF"/>
              </w:rPr>
              <w:t>%</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F06F4D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75</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8EBD8C9"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AE87A72"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73AE690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00879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05F69EE"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317" w:type="dxa"/>
            <w:tcBorders>
              <w:top w:val="single" w:sz="4" w:space="0" w:color="auto"/>
              <w:left w:val="single" w:sz="4" w:space="0" w:color="auto"/>
              <w:bottom w:val="single" w:sz="4" w:space="0" w:color="auto"/>
              <w:right w:val="single" w:sz="4" w:space="0" w:color="auto"/>
            </w:tcBorders>
            <w:vAlign w:val="center"/>
          </w:tcPr>
          <w:p w14:paraId="64D5FA86" w14:textId="32AF28C9"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214131B8" w14:textId="7FF8E5E8"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3C5DDE98" w14:textId="77777777" w:rsidR="00825059" w:rsidRPr="00D05956" w:rsidRDefault="00825059" w:rsidP="001D7D7A">
            <w:pPr>
              <w:rPr>
                <w:rFonts w:ascii="Times New Roman" w:hAnsi="Times New Roman" w:cs="Times New Roman"/>
                <w:color w:val="000000"/>
                <w:spacing w:val="2"/>
                <w:sz w:val="24"/>
                <w:szCs w:val="24"/>
                <w:shd w:val="clear" w:color="auto" w:fill="FFFFFF"/>
              </w:rPr>
            </w:pPr>
            <w:r w:rsidRPr="00D05956">
              <w:rPr>
                <w:rFonts w:ascii="Times New Roman" w:hAnsi="Times New Roman" w:cs="Times New Roman"/>
                <w:color w:val="000000"/>
                <w:spacing w:val="2"/>
                <w:sz w:val="24"/>
                <w:szCs w:val="24"/>
                <w:shd w:val="clear" w:color="auto" w:fill="FFFFFF"/>
                <w:lang w:val="kk-KZ"/>
              </w:rPr>
              <w:t xml:space="preserve">-шұжық өнімдері, </w:t>
            </w:r>
            <w:r w:rsidRPr="00D05956">
              <w:rPr>
                <w:rFonts w:ascii="Times New Roman" w:hAnsi="Times New Roman" w:cs="Times New Roman"/>
                <w:color w:val="000000"/>
                <w:spacing w:val="2"/>
                <w:sz w:val="24"/>
                <w:szCs w:val="24"/>
                <w:shd w:val="clear" w:color="auto" w:fill="FFFFFF"/>
              </w:rPr>
              <w:t>%</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831401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70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474882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85</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597F2E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14E13E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5E8784"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481C3CC"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317" w:type="dxa"/>
            <w:tcBorders>
              <w:top w:val="single" w:sz="4" w:space="0" w:color="auto"/>
              <w:left w:val="single" w:sz="4" w:space="0" w:color="auto"/>
              <w:bottom w:val="single" w:sz="4" w:space="0" w:color="auto"/>
              <w:right w:val="single" w:sz="4" w:space="0" w:color="auto"/>
            </w:tcBorders>
            <w:vAlign w:val="center"/>
          </w:tcPr>
          <w:p w14:paraId="0A98DF75" w14:textId="04BC6909"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389771C0" w14:textId="25C14DD1"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5D1D13B1"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ірімшік пен сүзбе,%</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F8961D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70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47A53B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3EA3D3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C3B477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9325E7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C5E4C07"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317" w:type="dxa"/>
            <w:tcBorders>
              <w:top w:val="single" w:sz="4" w:space="0" w:color="auto"/>
              <w:left w:val="single" w:sz="4" w:space="0" w:color="auto"/>
              <w:bottom w:val="single" w:sz="4" w:space="0" w:color="auto"/>
              <w:right w:val="single" w:sz="4" w:space="0" w:color="auto"/>
            </w:tcBorders>
            <w:vAlign w:val="center"/>
          </w:tcPr>
          <w:p w14:paraId="03D31B41" w14:textId="4B1632B8"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54EE7636" w14:textId="54C9354C"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24F397FC"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қант,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01A721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65</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197CA8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70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7406ACA"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D4D9C8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79CCF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CB9F4BC"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80</w:t>
            </w:r>
          </w:p>
        </w:tc>
        <w:tc>
          <w:tcPr>
            <w:tcW w:w="1317" w:type="dxa"/>
            <w:tcBorders>
              <w:top w:val="single" w:sz="4" w:space="0" w:color="auto"/>
              <w:left w:val="single" w:sz="4" w:space="0" w:color="auto"/>
              <w:bottom w:val="single" w:sz="4" w:space="0" w:color="auto"/>
              <w:right w:val="single" w:sz="4" w:space="0" w:color="auto"/>
            </w:tcBorders>
            <w:vAlign w:val="center"/>
          </w:tcPr>
          <w:p w14:paraId="460E96A6" w14:textId="2DA49C61"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27623A9E" w14:textId="38B649AD"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5B39CC02"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құс еті,%</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354532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75</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505C9C4"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89</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A1A478F"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D380D3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60EA9F"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7315D390"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317" w:type="dxa"/>
            <w:tcBorders>
              <w:top w:val="single" w:sz="4" w:space="0" w:color="auto"/>
              <w:left w:val="single" w:sz="4" w:space="0" w:color="auto"/>
              <w:bottom w:val="single" w:sz="4" w:space="0" w:color="auto"/>
              <w:right w:val="single" w:sz="4" w:space="0" w:color="auto"/>
            </w:tcBorders>
            <w:vAlign w:val="center"/>
          </w:tcPr>
          <w:p w14:paraId="443556DA" w14:textId="1F0FFF6B"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68A279DD" w14:textId="4D51BD57"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7E6F8A40"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 xml:space="preserve">1-іс-шара. «Азық-түлік келісім-шарт корпорациясы» ҰК» АҚ-ның дайын азық-түлік тауарларын сатып алуы, с.і. офф-тейк келісім-шарт жасасу арқылы сатып алуы (қант), </w:t>
            </w:r>
            <w:r w:rsidRPr="00D05956">
              <w:rPr>
                <w:rFonts w:ascii="Times New Roman" w:eastAsia="Times New Roman" w:hAnsi="Times New Roman" w:cs="Times New Roman"/>
                <w:kern w:val="36"/>
                <w:sz w:val="24"/>
                <w:szCs w:val="24"/>
                <w:lang w:val="kk-KZ" w:eastAsia="ru-RU"/>
              </w:rPr>
              <w:t>млн. тг</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817A4B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E162CA2"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3BB393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08FB2B4" w14:textId="77777777" w:rsidR="00825059" w:rsidRPr="00D05956" w:rsidRDefault="00825059" w:rsidP="001D7D7A">
            <w:pPr>
              <w:pStyle w:val="TableParagraph"/>
              <w:jc w:val="center"/>
              <w:rPr>
                <w:sz w:val="24"/>
                <w:szCs w:val="24"/>
              </w:rPr>
            </w:pPr>
            <w:r w:rsidRPr="00D05956">
              <w:rPr>
                <w:sz w:val="24"/>
                <w:szCs w:val="24"/>
              </w:rPr>
              <w:t>26742,0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3C7593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1B5705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26742,0</w:t>
            </w:r>
          </w:p>
        </w:tc>
        <w:tc>
          <w:tcPr>
            <w:tcW w:w="1317" w:type="dxa"/>
            <w:tcBorders>
              <w:top w:val="single" w:sz="4" w:space="0" w:color="auto"/>
              <w:left w:val="single" w:sz="4" w:space="0" w:color="auto"/>
              <w:bottom w:val="single" w:sz="4" w:space="0" w:color="auto"/>
              <w:right w:val="single" w:sz="4" w:space="0" w:color="auto"/>
            </w:tcBorders>
            <w:vAlign w:val="center"/>
          </w:tcPr>
          <w:p w14:paraId="53D98BC5" w14:textId="5E982D37"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2,5</w:t>
            </w:r>
          </w:p>
        </w:tc>
      </w:tr>
      <w:tr w:rsidR="00825059" w:rsidRPr="00D05956" w14:paraId="2E3F52E1" w14:textId="5BD3E440"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3C29F418"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bdr w:val="none" w:sz="0" w:space="0" w:color="auto" w:frame="1"/>
                <w:shd w:val="clear" w:color="auto" w:fill="FFFFFF"/>
                <w:lang w:val="kk-KZ"/>
              </w:rPr>
              <w:t>- қант сатып алу көлемі, мың тонна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0860A4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144D2D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859001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9650324"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157,0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33649E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4BEFEBD"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157,0</w:t>
            </w:r>
          </w:p>
        </w:tc>
        <w:tc>
          <w:tcPr>
            <w:tcW w:w="1317" w:type="dxa"/>
            <w:tcBorders>
              <w:top w:val="single" w:sz="4" w:space="0" w:color="auto"/>
              <w:left w:val="single" w:sz="4" w:space="0" w:color="auto"/>
              <w:bottom w:val="single" w:sz="4" w:space="0" w:color="auto"/>
              <w:right w:val="single" w:sz="4" w:space="0" w:color="auto"/>
            </w:tcBorders>
            <w:vAlign w:val="center"/>
          </w:tcPr>
          <w:p w14:paraId="6AE8435D" w14:textId="55B1D5E8"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31EAF83E" w14:textId="6B6D3800"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4E5B60BF"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2-іс-шара.Өңдеуші кәсіпорындардың тереңдете өңделген өнімдер өндіру үшін сүт сатып алуға жұмсаған шығындарын субсидиялау, млн. теңге</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29B6584" w14:textId="77777777" w:rsidR="00825059" w:rsidRPr="00D05956" w:rsidRDefault="00825059" w:rsidP="001D7D7A">
            <w:pPr>
              <w:pStyle w:val="TableParagraph"/>
              <w:jc w:val="center"/>
              <w:rPr>
                <w:sz w:val="24"/>
                <w:szCs w:val="24"/>
              </w:rPr>
            </w:pPr>
            <w:r w:rsidRPr="00D05956">
              <w:rPr>
                <w:sz w:val="24"/>
                <w:szCs w:val="24"/>
                <w:lang w:val="en-US"/>
              </w:rPr>
              <w:t>8</w:t>
            </w:r>
            <w:r w:rsidRPr="00D05956">
              <w:rPr>
                <w:spacing w:val="1"/>
                <w:sz w:val="24"/>
                <w:szCs w:val="24"/>
                <w:lang w:val="en-US"/>
              </w:rPr>
              <w:t> </w:t>
            </w:r>
            <w:r w:rsidRPr="00D05956">
              <w:rPr>
                <w:sz w:val="24"/>
                <w:szCs w:val="24"/>
                <w:lang w:val="en-US"/>
              </w:rPr>
              <w:t>363</w:t>
            </w:r>
            <w:r w:rsidRPr="00D05956">
              <w:rPr>
                <w:sz w:val="24"/>
                <w:szCs w:val="24"/>
              </w:rPr>
              <w:t>,6</w:t>
            </w:r>
          </w:p>
        </w:tc>
        <w:tc>
          <w:tcPr>
            <w:tcW w:w="1232" w:type="dxa"/>
            <w:tcBorders>
              <w:top w:val="single" w:sz="4" w:space="0" w:color="auto"/>
              <w:left w:val="single" w:sz="4" w:space="0" w:color="auto"/>
              <w:bottom w:val="single" w:sz="4" w:space="0" w:color="auto"/>
              <w:right w:val="single" w:sz="4" w:space="0" w:color="auto"/>
            </w:tcBorders>
            <w:vAlign w:val="center"/>
            <w:hideMark/>
          </w:tcPr>
          <w:p w14:paraId="3E924288" w14:textId="77777777" w:rsidR="00825059" w:rsidRPr="00D05956" w:rsidRDefault="00825059" w:rsidP="001D7D7A">
            <w:pPr>
              <w:pStyle w:val="TableParagraph"/>
              <w:jc w:val="center"/>
              <w:rPr>
                <w:sz w:val="24"/>
                <w:szCs w:val="24"/>
              </w:rPr>
            </w:pPr>
            <w:r w:rsidRPr="00D05956">
              <w:rPr>
                <w:sz w:val="24"/>
                <w:szCs w:val="24"/>
                <w:lang w:val="en-US"/>
              </w:rPr>
              <w:t>7682,</w:t>
            </w:r>
            <w:r w:rsidRPr="00D05956">
              <w:rPr>
                <w:sz w:val="24"/>
                <w:szCs w:val="24"/>
              </w:rPr>
              <w:t>1</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C0F437C" w14:textId="77777777" w:rsidR="00825059" w:rsidRPr="00D05956" w:rsidRDefault="00825059" w:rsidP="001D7D7A">
            <w:pPr>
              <w:pStyle w:val="TableParagraph"/>
              <w:jc w:val="center"/>
              <w:rPr>
                <w:sz w:val="24"/>
                <w:szCs w:val="24"/>
                <w:lang w:val="en-US"/>
              </w:rPr>
            </w:pPr>
            <w:r w:rsidRPr="00D05956">
              <w:rPr>
                <w:sz w:val="24"/>
                <w:szCs w:val="24"/>
                <w:lang w:val="en-US"/>
              </w:rPr>
              <w:t>8018</w:t>
            </w:r>
            <w:r w:rsidRPr="00D05956">
              <w:rPr>
                <w:sz w:val="24"/>
                <w:szCs w:val="24"/>
              </w:rPr>
              <w:t>,</w:t>
            </w:r>
            <w:r w:rsidRPr="00D05956">
              <w:rPr>
                <w:sz w:val="24"/>
                <w:szCs w:val="24"/>
                <w:lang w:val="en-US"/>
              </w:rPr>
              <w:t>6</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09CAAFD" w14:textId="77777777" w:rsidR="00825059" w:rsidRPr="00D05956" w:rsidRDefault="00825059" w:rsidP="001D7D7A">
            <w:pPr>
              <w:pStyle w:val="TableParagraph"/>
              <w:jc w:val="center"/>
              <w:rPr>
                <w:sz w:val="24"/>
                <w:szCs w:val="24"/>
                <w:lang w:val="en-US"/>
              </w:rPr>
            </w:pPr>
            <w:r w:rsidRPr="00D05956">
              <w:rPr>
                <w:sz w:val="24"/>
                <w:szCs w:val="24"/>
                <w:lang w:val="en-US"/>
              </w:rPr>
              <w:t>8018</w:t>
            </w:r>
            <w:r w:rsidRPr="00D05956">
              <w:rPr>
                <w:sz w:val="24"/>
                <w:szCs w:val="24"/>
              </w:rPr>
              <w:t>,</w:t>
            </w:r>
            <w:r w:rsidRPr="00D05956">
              <w:rPr>
                <w:sz w:val="24"/>
                <w:szCs w:val="24"/>
                <w:lang w:val="en-US"/>
              </w:rPr>
              <w:t>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587590" w14:textId="77777777" w:rsidR="00825059" w:rsidRPr="00D05956" w:rsidRDefault="00825059" w:rsidP="001D7D7A">
            <w:pPr>
              <w:pStyle w:val="TableParagraph"/>
              <w:jc w:val="center"/>
              <w:rPr>
                <w:sz w:val="24"/>
                <w:szCs w:val="24"/>
                <w:lang w:val="en-US"/>
              </w:rPr>
            </w:pPr>
            <w:r w:rsidRPr="00D05956">
              <w:rPr>
                <w:sz w:val="24"/>
                <w:szCs w:val="24"/>
                <w:lang w:val="en-US"/>
              </w:rPr>
              <w:t>8018</w:t>
            </w:r>
            <w:r w:rsidRPr="00D05956">
              <w:rPr>
                <w:sz w:val="24"/>
                <w:szCs w:val="24"/>
              </w:rPr>
              <w:t>,</w:t>
            </w:r>
            <w:r w:rsidRPr="00D05956">
              <w:rPr>
                <w:sz w:val="24"/>
                <w:szCs w:val="24"/>
                <w:lang w:val="en-US"/>
              </w:rPr>
              <w:t>6</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DA3045B"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40101,7</w:t>
            </w:r>
          </w:p>
        </w:tc>
        <w:tc>
          <w:tcPr>
            <w:tcW w:w="1317" w:type="dxa"/>
            <w:tcBorders>
              <w:top w:val="single" w:sz="4" w:space="0" w:color="auto"/>
              <w:left w:val="single" w:sz="4" w:space="0" w:color="auto"/>
              <w:bottom w:val="single" w:sz="4" w:space="0" w:color="auto"/>
              <w:right w:val="single" w:sz="4" w:space="0" w:color="auto"/>
            </w:tcBorders>
            <w:vAlign w:val="center"/>
          </w:tcPr>
          <w:p w14:paraId="580A4385" w14:textId="515164F5"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3,8</w:t>
            </w:r>
          </w:p>
        </w:tc>
      </w:tr>
      <w:tr w:rsidR="00825059" w:rsidRPr="00D05956" w14:paraId="7EE09D89" w14:textId="1CCD3855"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1E422C8E"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i/>
                <w:iCs/>
                <w:color w:val="000000"/>
                <w:spacing w:val="2"/>
                <w:sz w:val="24"/>
                <w:szCs w:val="24"/>
                <w:bdr w:val="none" w:sz="0" w:space="0" w:color="auto" w:frame="1"/>
                <w:shd w:val="clear" w:color="auto" w:fill="FFFFFF"/>
                <w:lang w:val="kk-KZ"/>
              </w:rPr>
              <w:t xml:space="preserve">- </w:t>
            </w:r>
            <w:r w:rsidRPr="00D05956">
              <w:rPr>
                <w:rFonts w:ascii="Times New Roman" w:hAnsi="Times New Roman" w:cs="Times New Roman"/>
                <w:color w:val="000000"/>
                <w:spacing w:val="2"/>
                <w:sz w:val="24"/>
                <w:szCs w:val="24"/>
                <w:bdr w:val="none" w:sz="0" w:space="0" w:color="auto" w:frame="1"/>
                <w:shd w:val="clear" w:color="auto" w:fill="FFFFFF"/>
                <w:lang w:val="kk-KZ"/>
              </w:rPr>
              <w:t>тереңдете қайта өңдеу өнімдерін өндіру үшін сүт сатып алу көлемі, мың тонна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BB408B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275</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4C053F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280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161F6A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289</w:t>
            </w:r>
          </w:p>
        </w:tc>
        <w:tc>
          <w:tcPr>
            <w:tcW w:w="1069" w:type="dxa"/>
            <w:tcBorders>
              <w:top w:val="single" w:sz="4" w:space="0" w:color="auto"/>
              <w:left w:val="single" w:sz="4" w:space="0" w:color="auto"/>
              <w:bottom w:val="single" w:sz="4" w:space="0" w:color="auto"/>
              <w:right w:val="single" w:sz="4" w:space="0" w:color="auto"/>
            </w:tcBorders>
            <w:vAlign w:val="center"/>
            <w:hideMark/>
          </w:tcPr>
          <w:p w14:paraId="763F7ED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289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F1DDB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289</w:t>
            </w:r>
          </w:p>
        </w:tc>
        <w:tc>
          <w:tcPr>
            <w:tcW w:w="1570" w:type="dxa"/>
            <w:tcBorders>
              <w:top w:val="single" w:sz="4" w:space="0" w:color="auto"/>
              <w:left w:val="single" w:sz="4" w:space="0" w:color="auto"/>
              <w:bottom w:val="single" w:sz="4" w:space="0" w:color="auto"/>
              <w:right w:val="single" w:sz="4" w:space="0" w:color="auto"/>
            </w:tcBorders>
            <w:vAlign w:val="center"/>
            <w:hideMark/>
          </w:tcPr>
          <w:p w14:paraId="65D386A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1422</w:t>
            </w:r>
          </w:p>
        </w:tc>
        <w:tc>
          <w:tcPr>
            <w:tcW w:w="1317" w:type="dxa"/>
            <w:tcBorders>
              <w:top w:val="single" w:sz="4" w:space="0" w:color="auto"/>
              <w:left w:val="single" w:sz="4" w:space="0" w:color="auto"/>
              <w:bottom w:val="single" w:sz="4" w:space="0" w:color="auto"/>
              <w:right w:val="single" w:sz="4" w:space="0" w:color="auto"/>
            </w:tcBorders>
            <w:vAlign w:val="center"/>
          </w:tcPr>
          <w:p w14:paraId="07F6E7C1" w14:textId="49F98442"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444E3E5D" w14:textId="2625868B"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0A0882D0" w14:textId="77777777" w:rsidR="00825059" w:rsidRPr="00D05956" w:rsidRDefault="00825059"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3-іс-шара. Басым дақылдарды субсидиялау, млн. теңге</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38F2A93" w14:textId="77777777" w:rsidR="00825059" w:rsidRPr="00D05956" w:rsidRDefault="00825059" w:rsidP="001D7D7A">
            <w:pPr>
              <w:pStyle w:val="TableParagraph"/>
              <w:jc w:val="center"/>
              <w:rPr>
                <w:sz w:val="24"/>
                <w:szCs w:val="24"/>
                <w:lang w:val="en-US"/>
              </w:rPr>
            </w:pPr>
            <w:r w:rsidRPr="00D05956">
              <w:rPr>
                <w:sz w:val="24"/>
                <w:szCs w:val="24"/>
                <w:lang w:val="en-US"/>
              </w:rPr>
              <w:t>7785</w:t>
            </w:r>
            <w:r w:rsidRPr="00D05956">
              <w:rPr>
                <w:sz w:val="24"/>
                <w:szCs w:val="24"/>
              </w:rPr>
              <w:t>,</w:t>
            </w:r>
            <w:r w:rsidRPr="00D05956">
              <w:rPr>
                <w:sz w:val="24"/>
                <w:szCs w:val="24"/>
                <w:lang w:val="en-US"/>
              </w:rPr>
              <w:t>3</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661080B" w14:textId="77777777" w:rsidR="00825059" w:rsidRPr="00D05956" w:rsidRDefault="00825059" w:rsidP="001D7D7A">
            <w:pPr>
              <w:pStyle w:val="TableParagraph"/>
              <w:jc w:val="center"/>
              <w:rPr>
                <w:sz w:val="24"/>
                <w:szCs w:val="24"/>
                <w:lang w:val="en-US"/>
              </w:rPr>
            </w:pPr>
            <w:r w:rsidRPr="00D05956">
              <w:rPr>
                <w:sz w:val="24"/>
                <w:szCs w:val="24"/>
                <w:lang w:val="en-US"/>
              </w:rPr>
              <w:t>8246</w:t>
            </w:r>
            <w:r w:rsidRPr="00D05956">
              <w:rPr>
                <w:sz w:val="24"/>
                <w:szCs w:val="24"/>
              </w:rPr>
              <w:t>,</w:t>
            </w:r>
            <w:r w:rsidRPr="00D05956">
              <w:rPr>
                <w:sz w:val="24"/>
                <w:szCs w:val="24"/>
                <w:lang w:val="en-US"/>
              </w:rPr>
              <w:t>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37E6223" w14:textId="77777777" w:rsidR="00825059" w:rsidRPr="00D05956" w:rsidRDefault="00825059" w:rsidP="001D7D7A">
            <w:pPr>
              <w:pStyle w:val="TableParagraph"/>
              <w:jc w:val="center"/>
              <w:rPr>
                <w:sz w:val="24"/>
                <w:szCs w:val="24"/>
                <w:lang w:val="en-US"/>
              </w:rPr>
            </w:pPr>
            <w:r w:rsidRPr="00D05956">
              <w:rPr>
                <w:sz w:val="24"/>
                <w:szCs w:val="24"/>
                <w:lang w:val="en-US"/>
              </w:rPr>
              <w:t>20483</w:t>
            </w:r>
            <w:r w:rsidRPr="00D05956">
              <w:rPr>
                <w:sz w:val="24"/>
                <w:szCs w:val="24"/>
              </w:rPr>
              <w:t>,</w:t>
            </w:r>
            <w:r w:rsidRPr="00D05956">
              <w:rPr>
                <w:sz w:val="24"/>
                <w:szCs w:val="24"/>
                <w:lang w:val="en-US"/>
              </w:rPr>
              <w:t>9</w:t>
            </w:r>
          </w:p>
        </w:tc>
        <w:tc>
          <w:tcPr>
            <w:tcW w:w="1069" w:type="dxa"/>
            <w:tcBorders>
              <w:top w:val="single" w:sz="4" w:space="0" w:color="auto"/>
              <w:left w:val="single" w:sz="4" w:space="0" w:color="auto"/>
              <w:bottom w:val="single" w:sz="4" w:space="0" w:color="auto"/>
              <w:right w:val="single" w:sz="4" w:space="0" w:color="auto"/>
            </w:tcBorders>
            <w:vAlign w:val="center"/>
            <w:hideMark/>
          </w:tcPr>
          <w:p w14:paraId="5287D83E" w14:textId="77777777" w:rsidR="00825059" w:rsidRPr="00D05956" w:rsidRDefault="00825059" w:rsidP="001D7D7A">
            <w:pPr>
              <w:pStyle w:val="TableParagraph"/>
              <w:jc w:val="center"/>
              <w:rPr>
                <w:sz w:val="24"/>
                <w:szCs w:val="24"/>
                <w:lang w:val="en-US"/>
              </w:rPr>
            </w:pPr>
            <w:r w:rsidRPr="00D05956">
              <w:rPr>
                <w:sz w:val="24"/>
                <w:szCs w:val="24"/>
                <w:lang w:val="en-US"/>
              </w:rPr>
              <w:t>25281</w:t>
            </w:r>
            <w:r w:rsidRPr="00D05956">
              <w:rPr>
                <w:sz w:val="24"/>
                <w:szCs w:val="24"/>
              </w:rPr>
              <w:t>,</w:t>
            </w:r>
            <w:r w:rsidRPr="00D05956">
              <w:rPr>
                <w:sz w:val="24"/>
                <w:szCs w:val="24"/>
                <w:lang w:val="en-US"/>
              </w:rPr>
              <w:t>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7FA235" w14:textId="77777777" w:rsidR="00825059" w:rsidRPr="00D05956" w:rsidRDefault="00825059" w:rsidP="001D7D7A">
            <w:pPr>
              <w:pStyle w:val="TableParagraph"/>
              <w:jc w:val="center"/>
              <w:rPr>
                <w:sz w:val="24"/>
                <w:szCs w:val="24"/>
                <w:lang w:val="en-US"/>
              </w:rPr>
            </w:pPr>
            <w:r w:rsidRPr="00D05956">
              <w:rPr>
                <w:sz w:val="24"/>
                <w:szCs w:val="24"/>
                <w:lang w:val="en-US"/>
              </w:rPr>
              <w:t>25886</w:t>
            </w:r>
            <w:r w:rsidRPr="00D05956">
              <w:rPr>
                <w:sz w:val="24"/>
                <w:szCs w:val="24"/>
              </w:rPr>
              <w:t>,</w:t>
            </w:r>
            <w:r w:rsidRPr="00D05956">
              <w:rPr>
                <w:sz w:val="24"/>
                <w:szCs w:val="24"/>
                <w:lang w:val="en-US"/>
              </w:rPr>
              <w:t>3</w:t>
            </w:r>
          </w:p>
        </w:tc>
        <w:tc>
          <w:tcPr>
            <w:tcW w:w="1570" w:type="dxa"/>
            <w:tcBorders>
              <w:top w:val="single" w:sz="4" w:space="0" w:color="auto"/>
              <w:left w:val="single" w:sz="4" w:space="0" w:color="auto"/>
              <w:bottom w:val="single" w:sz="4" w:space="0" w:color="auto"/>
              <w:right w:val="single" w:sz="4" w:space="0" w:color="auto"/>
            </w:tcBorders>
            <w:vAlign w:val="center"/>
            <w:hideMark/>
          </w:tcPr>
          <w:p w14:paraId="7B7EA35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87683,7</w:t>
            </w:r>
          </w:p>
        </w:tc>
        <w:tc>
          <w:tcPr>
            <w:tcW w:w="1317" w:type="dxa"/>
            <w:tcBorders>
              <w:top w:val="single" w:sz="4" w:space="0" w:color="auto"/>
              <w:left w:val="single" w:sz="4" w:space="0" w:color="auto"/>
              <w:bottom w:val="single" w:sz="4" w:space="0" w:color="auto"/>
              <w:right w:val="single" w:sz="4" w:space="0" w:color="auto"/>
            </w:tcBorders>
            <w:vAlign w:val="center"/>
          </w:tcPr>
          <w:p w14:paraId="08A75B84" w14:textId="2544D638"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8,2</w:t>
            </w:r>
          </w:p>
        </w:tc>
      </w:tr>
      <w:tr w:rsidR="00825059" w:rsidRPr="00D05956" w14:paraId="04C317E3" w14:textId="176E8257"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08BB6150"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2-көрсеткіш. Алма өндірісін қолдау, млн.тг</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790E047" w14:textId="77777777" w:rsidR="00825059" w:rsidRPr="00D05956" w:rsidRDefault="00825059" w:rsidP="001D7D7A">
            <w:pPr>
              <w:pStyle w:val="TableParagraph"/>
              <w:jc w:val="center"/>
              <w:rPr>
                <w:sz w:val="24"/>
                <w:szCs w:val="24"/>
                <w:lang w:val="en-US"/>
              </w:rPr>
            </w:pPr>
            <w:r w:rsidRPr="00D05956">
              <w:rPr>
                <w:sz w:val="24"/>
                <w:szCs w:val="24"/>
                <w:lang w:val="en-US"/>
              </w:rPr>
              <w:t>13000,0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BF8CFB2" w14:textId="77777777" w:rsidR="00825059" w:rsidRPr="00D05956" w:rsidRDefault="00825059" w:rsidP="001D7D7A">
            <w:pPr>
              <w:pStyle w:val="TableParagraph"/>
              <w:jc w:val="center"/>
              <w:rPr>
                <w:sz w:val="24"/>
                <w:szCs w:val="24"/>
                <w:lang w:val="en-US"/>
              </w:rPr>
            </w:pPr>
            <w:r w:rsidRPr="00D05956">
              <w:rPr>
                <w:sz w:val="24"/>
                <w:szCs w:val="24"/>
                <w:lang w:val="en-US"/>
              </w:rPr>
              <w:t>39000,0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344B995" w14:textId="77777777" w:rsidR="00825059" w:rsidRPr="00D05956" w:rsidRDefault="00825059" w:rsidP="001D7D7A">
            <w:pPr>
              <w:pStyle w:val="TableParagraph"/>
              <w:jc w:val="center"/>
              <w:rPr>
                <w:sz w:val="24"/>
                <w:szCs w:val="24"/>
                <w:lang w:val="en-US"/>
              </w:rPr>
            </w:pPr>
            <w:r w:rsidRPr="00D05956">
              <w:rPr>
                <w:sz w:val="24"/>
                <w:szCs w:val="24"/>
                <w:lang w:val="en-US"/>
              </w:rPr>
              <w:t>44000,0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7E903B67" w14:textId="77777777" w:rsidR="00825059" w:rsidRPr="00D05956" w:rsidRDefault="00825059" w:rsidP="001D7D7A">
            <w:pPr>
              <w:pStyle w:val="TableParagraph"/>
              <w:jc w:val="center"/>
              <w:rPr>
                <w:sz w:val="24"/>
                <w:szCs w:val="24"/>
                <w:lang w:val="en-US"/>
              </w:rPr>
            </w:pPr>
            <w:r w:rsidRPr="00D05956">
              <w:rPr>
                <w:sz w:val="24"/>
                <w:szCs w:val="24"/>
                <w:lang w:val="en-US"/>
              </w:rPr>
              <w:t>46000,0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43DA0C" w14:textId="77777777" w:rsidR="00825059" w:rsidRPr="00D05956" w:rsidRDefault="00825059" w:rsidP="001D7D7A">
            <w:pPr>
              <w:pStyle w:val="TableParagraph"/>
              <w:jc w:val="center"/>
              <w:rPr>
                <w:sz w:val="24"/>
                <w:szCs w:val="24"/>
                <w:lang w:val="en-US"/>
              </w:rPr>
            </w:pPr>
            <w:r w:rsidRPr="00D05956">
              <w:rPr>
                <w:sz w:val="24"/>
                <w:szCs w:val="24"/>
                <w:lang w:val="en-US"/>
              </w:rPr>
              <w:t>54900,0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0C110A4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196900,0</w:t>
            </w:r>
          </w:p>
        </w:tc>
        <w:tc>
          <w:tcPr>
            <w:tcW w:w="1317" w:type="dxa"/>
            <w:tcBorders>
              <w:top w:val="single" w:sz="4" w:space="0" w:color="auto"/>
              <w:left w:val="single" w:sz="4" w:space="0" w:color="auto"/>
              <w:bottom w:val="single" w:sz="4" w:space="0" w:color="auto"/>
              <w:right w:val="single" w:sz="4" w:space="0" w:color="auto"/>
            </w:tcBorders>
            <w:vAlign w:val="center"/>
          </w:tcPr>
          <w:p w14:paraId="058AFD9B" w14:textId="57824ED3"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18</w:t>
            </w:r>
          </w:p>
        </w:tc>
      </w:tr>
      <w:tr w:rsidR="00825059" w:rsidRPr="00D05956" w14:paraId="0B59F128" w14:textId="402FC70D"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4B7822C0"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Алма өндірісі, мың тонна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AD9FDEF"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hAnsi="Times New Roman" w:cs="Times New Roman"/>
                <w:sz w:val="24"/>
                <w:szCs w:val="24"/>
                <w:lang w:val="en-US"/>
              </w:rPr>
              <w:t>275,4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7EFA00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EDAFD17" w14:textId="77777777" w:rsidR="00825059" w:rsidRPr="00D05956" w:rsidRDefault="00825059" w:rsidP="001D7D7A">
            <w:pPr>
              <w:pStyle w:val="TableParagraph"/>
              <w:jc w:val="center"/>
              <w:rPr>
                <w:sz w:val="24"/>
                <w:szCs w:val="24"/>
                <w:lang w:val="en-US"/>
              </w:rPr>
            </w:pPr>
            <w:r w:rsidRPr="00D05956">
              <w:rPr>
                <w:sz w:val="24"/>
                <w:szCs w:val="24"/>
                <w:lang w:val="en-US"/>
              </w:rPr>
              <w:t>327,1</w:t>
            </w:r>
          </w:p>
        </w:tc>
        <w:tc>
          <w:tcPr>
            <w:tcW w:w="1069" w:type="dxa"/>
            <w:tcBorders>
              <w:top w:val="single" w:sz="4" w:space="0" w:color="auto"/>
              <w:left w:val="single" w:sz="4" w:space="0" w:color="auto"/>
              <w:bottom w:val="single" w:sz="4" w:space="0" w:color="auto"/>
              <w:right w:val="single" w:sz="4" w:space="0" w:color="auto"/>
            </w:tcBorders>
            <w:vAlign w:val="center"/>
            <w:hideMark/>
          </w:tcPr>
          <w:p w14:paraId="722C3F62" w14:textId="77777777" w:rsidR="00825059" w:rsidRPr="00D05956" w:rsidRDefault="00825059" w:rsidP="001D7D7A">
            <w:pPr>
              <w:pStyle w:val="TableParagraph"/>
              <w:jc w:val="center"/>
              <w:rPr>
                <w:sz w:val="24"/>
                <w:szCs w:val="24"/>
                <w:lang w:val="en-US"/>
              </w:rPr>
            </w:pPr>
            <w:r w:rsidRPr="00D05956">
              <w:rPr>
                <w:sz w:val="24"/>
                <w:szCs w:val="24"/>
                <w:lang w:val="en-US"/>
              </w:rPr>
              <w:t>344,3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887F40" w14:textId="77777777" w:rsidR="00825059" w:rsidRPr="00D05956" w:rsidRDefault="00825059" w:rsidP="001D7D7A">
            <w:pPr>
              <w:pStyle w:val="TableParagraph"/>
              <w:jc w:val="center"/>
              <w:rPr>
                <w:sz w:val="24"/>
                <w:szCs w:val="24"/>
                <w:lang w:val="en-US"/>
              </w:rPr>
            </w:pPr>
            <w:r w:rsidRPr="00D05956">
              <w:rPr>
                <w:sz w:val="24"/>
                <w:szCs w:val="24"/>
                <w:lang w:val="en-US"/>
              </w:rPr>
              <w:t>350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5D867C4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1599,8</w:t>
            </w:r>
          </w:p>
        </w:tc>
        <w:tc>
          <w:tcPr>
            <w:tcW w:w="1317" w:type="dxa"/>
            <w:tcBorders>
              <w:top w:val="single" w:sz="4" w:space="0" w:color="auto"/>
              <w:left w:val="single" w:sz="4" w:space="0" w:color="auto"/>
              <w:bottom w:val="single" w:sz="4" w:space="0" w:color="auto"/>
              <w:right w:val="single" w:sz="4" w:space="0" w:color="auto"/>
            </w:tcBorders>
            <w:vAlign w:val="center"/>
          </w:tcPr>
          <w:p w14:paraId="03F409DB" w14:textId="3D16CFEA"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42F74CBA" w14:textId="442AB8A7"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148544B4"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1-іс-шара.Жаңа бақтар отырғызу, мың га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7A97792"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hAnsi="Times New Roman" w:cs="Times New Roman"/>
                <w:sz w:val="24"/>
                <w:szCs w:val="24"/>
                <w:lang w:val="en-US"/>
              </w:rPr>
              <w:t>1500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B5CEF2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2220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74ED60C" w14:textId="77777777" w:rsidR="00825059" w:rsidRPr="00D05956" w:rsidRDefault="00825059" w:rsidP="001D7D7A">
            <w:pPr>
              <w:pStyle w:val="TableParagraph"/>
              <w:jc w:val="center"/>
              <w:rPr>
                <w:sz w:val="24"/>
                <w:szCs w:val="24"/>
                <w:lang w:val="en-US"/>
              </w:rPr>
            </w:pPr>
            <w:r w:rsidRPr="00D05956">
              <w:rPr>
                <w:sz w:val="24"/>
                <w:szCs w:val="24"/>
                <w:lang w:val="en-US"/>
              </w:rPr>
              <w:t>2330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6767D61" w14:textId="77777777" w:rsidR="00825059" w:rsidRPr="00D05956" w:rsidRDefault="00825059" w:rsidP="001D7D7A">
            <w:pPr>
              <w:pStyle w:val="TableParagraph"/>
              <w:jc w:val="center"/>
              <w:rPr>
                <w:sz w:val="24"/>
                <w:szCs w:val="24"/>
                <w:lang w:val="en-US"/>
              </w:rPr>
            </w:pPr>
            <w:r w:rsidRPr="00D05956">
              <w:rPr>
                <w:sz w:val="24"/>
                <w:szCs w:val="24"/>
                <w:lang w:val="en-US"/>
              </w:rPr>
              <w:t>2350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B49EC0" w14:textId="77777777" w:rsidR="00825059" w:rsidRPr="00D05956" w:rsidRDefault="00825059" w:rsidP="001D7D7A">
            <w:pPr>
              <w:pStyle w:val="TableParagraph"/>
              <w:jc w:val="center"/>
              <w:rPr>
                <w:sz w:val="24"/>
                <w:szCs w:val="24"/>
                <w:lang w:val="en-US"/>
              </w:rPr>
            </w:pPr>
            <w:r w:rsidRPr="00D05956">
              <w:rPr>
                <w:sz w:val="24"/>
                <w:szCs w:val="24"/>
                <w:lang w:val="en-US"/>
              </w:rPr>
              <w:t>2360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E3ADB2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10760</w:t>
            </w:r>
          </w:p>
        </w:tc>
        <w:tc>
          <w:tcPr>
            <w:tcW w:w="1317" w:type="dxa"/>
            <w:tcBorders>
              <w:top w:val="single" w:sz="4" w:space="0" w:color="auto"/>
              <w:left w:val="single" w:sz="4" w:space="0" w:color="auto"/>
              <w:bottom w:val="single" w:sz="4" w:space="0" w:color="auto"/>
              <w:right w:val="single" w:sz="4" w:space="0" w:color="auto"/>
            </w:tcBorders>
            <w:vAlign w:val="center"/>
          </w:tcPr>
          <w:p w14:paraId="35FAAAF2" w14:textId="2F3326FD"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3208A254" w14:textId="6C7CDC4E" w:rsidTr="00CA2955">
        <w:trPr>
          <w:jc w:val="center"/>
        </w:trPr>
        <w:tc>
          <w:tcPr>
            <w:tcW w:w="6383" w:type="dxa"/>
            <w:tcBorders>
              <w:top w:val="single" w:sz="4" w:space="0" w:color="auto"/>
              <w:left w:val="single" w:sz="4" w:space="0" w:color="auto"/>
              <w:bottom w:val="nil"/>
              <w:right w:val="single" w:sz="4" w:space="0" w:color="auto"/>
            </w:tcBorders>
            <w:hideMark/>
          </w:tcPr>
          <w:p w14:paraId="24474D52"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3-көрсеткіш. Шұжық өнімдерінің өндірісі, млн. тг</w:t>
            </w:r>
          </w:p>
        </w:tc>
        <w:tc>
          <w:tcPr>
            <w:tcW w:w="1218" w:type="dxa"/>
            <w:tcBorders>
              <w:top w:val="single" w:sz="4" w:space="0" w:color="auto"/>
              <w:left w:val="single" w:sz="4" w:space="0" w:color="auto"/>
              <w:bottom w:val="nil"/>
              <w:right w:val="single" w:sz="4" w:space="0" w:color="auto"/>
            </w:tcBorders>
            <w:vAlign w:val="center"/>
            <w:hideMark/>
          </w:tcPr>
          <w:p w14:paraId="5E6DFCC8" w14:textId="77777777" w:rsidR="00825059" w:rsidRPr="00D05956" w:rsidRDefault="00825059" w:rsidP="001D7D7A">
            <w:pPr>
              <w:pStyle w:val="TableParagraph"/>
              <w:jc w:val="center"/>
              <w:rPr>
                <w:sz w:val="24"/>
                <w:szCs w:val="24"/>
                <w:lang w:val="en-US"/>
              </w:rPr>
            </w:pPr>
            <w:r w:rsidRPr="00D05956">
              <w:rPr>
                <w:sz w:val="24"/>
                <w:szCs w:val="24"/>
                <w:lang w:val="en-US"/>
              </w:rPr>
              <w:t>66400,0</w:t>
            </w:r>
          </w:p>
        </w:tc>
        <w:tc>
          <w:tcPr>
            <w:tcW w:w="1232" w:type="dxa"/>
            <w:tcBorders>
              <w:top w:val="single" w:sz="4" w:space="0" w:color="auto"/>
              <w:left w:val="single" w:sz="4" w:space="0" w:color="auto"/>
              <w:bottom w:val="nil"/>
              <w:right w:val="single" w:sz="4" w:space="0" w:color="auto"/>
            </w:tcBorders>
            <w:vAlign w:val="center"/>
            <w:hideMark/>
          </w:tcPr>
          <w:p w14:paraId="3C877520" w14:textId="77777777" w:rsidR="00825059" w:rsidRPr="00D05956" w:rsidRDefault="00825059" w:rsidP="001D7D7A">
            <w:pPr>
              <w:pStyle w:val="TableParagraph"/>
              <w:jc w:val="center"/>
              <w:rPr>
                <w:sz w:val="24"/>
                <w:szCs w:val="24"/>
                <w:lang w:val="en-US"/>
              </w:rPr>
            </w:pPr>
            <w:r w:rsidRPr="00D05956">
              <w:rPr>
                <w:sz w:val="24"/>
                <w:szCs w:val="24"/>
                <w:lang w:val="en-US"/>
              </w:rPr>
              <w:t>83000,0</w:t>
            </w:r>
          </w:p>
        </w:tc>
        <w:tc>
          <w:tcPr>
            <w:tcW w:w="1204" w:type="dxa"/>
            <w:tcBorders>
              <w:top w:val="single" w:sz="4" w:space="0" w:color="auto"/>
              <w:left w:val="single" w:sz="4" w:space="0" w:color="auto"/>
              <w:bottom w:val="nil"/>
              <w:right w:val="single" w:sz="4" w:space="0" w:color="auto"/>
            </w:tcBorders>
            <w:vAlign w:val="center"/>
            <w:hideMark/>
          </w:tcPr>
          <w:p w14:paraId="33A518C1" w14:textId="77777777" w:rsidR="00825059" w:rsidRPr="00D05956" w:rsidRDefault="00825059" w:rsidP="001D7D7A">
            <w:pPr>
              <w:pStyle w:val="TableParagraph"/>
              <w:jc w:val="center"/>
              <w:rPr>
                <w:sz w:val="24"/>
                <w:szCs w:val="24"/>
                <w:lang w:val="en-US"/>
              </w:rPr>
            </w:pPr>
            <w:r w:rsidRPr="00D05956">
              <w:rPr>
                <w:sz w:val="24"/>
                <w:szCs w:val="24"/>
                <w:lang w:val="en-US"/>
              </w:rPr>
              <w:t>66400,0</w:t>
            </w:r>
          </w:p>
        </w:tc>
        <w:tc>
          <w:tcPr>
            <w:tcW w:w="1069" w:type="dxa"/>
            <w:tcBorders>
              <w:top w:val="single" w:sz="4" w:space="0" w:color="auto"/>
              <w:left w:val="single" w:sz="4" w:space="0" w:color="auto"/>
              <w:bottom w:val="nil"/>
              <w:right w:val="single" w:sz="4" w:space="0" w:color="auto"/>
            </w:tcBorders>
            <w:vAlign w:val="center"/>
            <w:hideMark/>
          </w:tcPr>
          <w:p w14:paraId="5FB36C91" w14:textId="77777777" w:rsidR="00825059" w:rsidRPr="00D05956" w:rsidRDefault="00825059" w:rsidP="001D7D7A">
            <w:pPr>
              <w:pStyle w:val="TableParagraph"/>
              <w:jc w:val="center"/>
              <w:rPr>
                <w:sz w:val="24"/>
                <w:szCs w:val="24"/>
                <w:lang w:val="en-US"/>
              </w:rPr>
            </w:pPr>
            <w:r w:rsidRPr="00D05956">
              <w:rPr>
                <w:sz w:val="24"/>
                <w:szCs w:val="24"/>
                <w:lang w:val="en-US"/>
              </w:rPr>
              <w:t>24900,0</w:t>
            </w:r>
          </w:p>
        </w:tc>
        <w:tc>
          <w:tcPr>
            <w:tcW w:w="1170" w:type="dxa"/>
            <w:tcBorders>
              <w:top w:val="single" w:sz="4" w:space="0" w:color="auto"/>
              <w:left w:val="single" w:sz="4" w:space="0" w:color="auto"/>
              <w:bottom w:val="nil"/>
              <w:right w:val="single" w:sz="4" w:space="0" w:color="auto"/>
            </w:tcBorders>
            <w:vAlign w:val="center"/>
            <w:hideMark/>
          </w:tcPr>
          <w:p w14:paraId="0158E952" w14:textId="77777777" w:rsidR="00825059" w:rsidRPr="00D05956" w:rsidRDefault="00825059" w:rsidP="001D7D7A">
            <w:pPr>
              <w:pStyle w:val="TableParagraph"/>
              <w:jc w:val="center"/>
              <w:rPr>
                <w:sz w:val="24"/>
                <w:szCs w:val="24"/>
                <w:lang w:val="en-US"/>
              </w:rPr>
            </w:pPr>
            <w:r w:rsidRPr="00D05956">
              <w:rPr>
                <w:sz w:val="24"/>
                <w:szCs w:val="24"/>
                <w:lang w:val="en-US"/>
              </w:rPr>
              <w:t>49800,0</w:t>
            </w:r>
          </w:p>
        </w:tc>
        <w:tc>
          <w:tcPr>
            <w:tcW w:w="1570" w:type="dxa"/>
            <w:tcBorders>
              <w:top w:val="single" w:sz="4" w:space="0" w:color="auto"/>
              <w:left w:val="single" w:sz="4" w:space="0" w:color="auto"/>
              <w:bottom w:val="nil"/>
              <w:right w:val="single" w:sz="4" w:space="0" w:color="auto"/>
            </w:tcBorders>
            <w:vAlign w:val="center"/>
            <w:hideMark/>
          </w:tcPr>
          <w:p w14:paraId="4AFB9ED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290500,0</w:t>
            </w:r>
          </w:p>
        </w:tc>
        <w:tc>
          <w:tcPr>
            <w:tcW w:w="1317" w:type="dxa"/>
            <w:tcBorders>
              <w:top w:val="single" w:sz="4" w:space="0" w:color="auto"/>
              <w:left w:val="single" w:sz="4" w:space="0" w:color="auto"/>
              <w:bottom w:val="nil"/>
              <w:right w:val="single" w:sz="4" w:space="0" w:color="auto"/>
            </w:tcBorders>
            <w:vAlign w:val="center"/>
          </w:tcPr>
          <w:p w14:paraId="0D1C86BD" w14:textId="3175A7EA"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27</w:t>
            </w:r>
          </w:p>
        </w:tc>
      </w:tr>
      <w:tr w:rsidR="00825059" w:rsidRPr="00D05956" w14:paraId="344548E5" w14:textId="1A69B171" w:rsidTr="00CA2955">
        <w:trPr>
          <w:jc w:val="center"/>
        </w:trPr>
        <w:tc>
          <w:tcPr>
            <w:tcW w:w="13846" w:type="dxa"/>
            <w:gridSpan w:val="7"/>
            <w:tcBorders>
              <w:top w:val="nil"/>
              <w:left w:val="nil"/>
              <w:bottom w:val="single" w:sz="4" w:space="0" w:color="auto"/>
              <w:right w:val="nil"/>
            </w:tcBorders>
          </w:tcPr>
          <w:p w14:paraId="1648A897" w14:textId="29D14DAB" w:rsidR="00825059" w:rsidRPr="00B42F86" w:rsidRDefault="00825059" w:rsidP="00B42F86">
            <w:pPr>
              <w:ind w:hanging="104"/>
              <w:rPr>
                <w:rFonts w:ascii="Times New Roman" w:eastAsia="Times New Roman" w:hAnsi="Times New Roman" w:cs="Times New Roman"/>
                <w:kern w:val="36"/>
                <w:sz w:val="28"/>
                <w:szCs w:val="28"/>
                <w:lang w:val="kk-KZ" w:eastAsia="ru-RU"/>
              </w:rPr>
            </w:pPr>
            <w:r w:rsidRPr="00B42F86">
              <w:rPr>
                <w:rFonts w:ascii="Times New Roman" w:eastAsia="Times New Roman" w:hAnsi="Times New Roman" w:cs="Times New Roman"/>
                <w:kern w:val="36"/>
                <w:sz w:val="28"/>
                <w:szCs w:val="28"/>
                <w:lang w:val="kk-KZ" w:eastAsia="ru-RU"/>
              </w:rPr>
              <w:t>Ә.1</w:t>
            </w:r>
            <w:r>
              <w:rPr>
                <w:rFonts w:ascii="Times New Roman" w:eastAsia="Times New Roman" w:hAnsi="Times New Roman" w:cs="Times New Roman"/>
                <w:kern w:val="36"/>
                <w:sz w:val="28"/>
                <w:szCs w:val="28"/>
                <w:lang w:val="kk-KZ" w:eastAsia="ru-RU"/>
              </w:rPr>
              <w:t>-қестенің жалғасы</w:t>
            </w:r>
          </w:p>
          <w:p w14:paraId="34296CF2" w14:textId="05F154A3" w:rsidR="00825059" w:rsidRPr="00B42F86" w:rsidRDefault="00825059" w:rsidP="00B42F86">
            <w:pPr>
              <w:ind w:hanging="76"/>
              <w:rPr>
                <w:rFonts w:ascii="Times New Roman" w:eastAsia="Times New Roman" w:hAnsi="Times New Roman" w:cs="Times New Roman"/>
                <w:kern w:val="36"/>
                <w:sz w:val="16"/>
                <w:szCs w:val="16"/>
                <w:lang w:val="kk-KZ" w:eastAsia="ru-RU"/>
              </w:rPr>
            </w:pPr>
          </w:p>
        </w:tc>
        <w:tc>
          <w:tcPr>
            <w:tcW w:w="1317" w:type="dxa"/>
            <w:tcBorders>
              <w:top w:val="nil"/>
              <w:left w:val="nil"/>
              <w:bottom w:val="single" w:sz="4" w:space="0" w:color="auto"/>
              <w:right w:val="nil"/>
            </w:tcBorders>
            <w:vAlign w:val="center"/>
          </w:tcPr>
          <w:p w14:paraId="63C8F90A" w14:textId="77777777" w:rsidR="00825059" w:rsidRPr="00B42F86" w:rsidRDefault="00825059" w:rsidP="00CA2955">
            <w:pPr>
              <w:ind w:hanging="104"/>
              <w:jc w:val="center"/>
              <w:rPr>
                <w:rFonts w:ascii="Times New Roman" w:eastAsia="Times New Roman" w:hAnsi="Times New Roman" w:cs="Times New Roman"/>
                <w:kern w:val="36"/>
                <w:sz w:val="28"/>
                <w:szCs w:val="28"/>
                <w:lang w:val="kk-KZ" w:eastAsia="ru-RU"/>
              </w:rPr>
            </w:pPr>
          </w:p>
        </w:tc>
      </w:tr>
      <w:tr w:rsidR="00825059" w:rsidRPr="00D05956" w14:paraId="65337F53" w14:textId="3006EF4B" w:rsidTr="00CA2955">
        <w:trPr>
          <w:jc w:val="center"/>
        </w:trPr>
        <w:tc>
          <w:tcPr>
            <w:tcW w:w="6383" w:type="dxa"/>
            <w:tcBorders>
              <w:top w:val="single" w:sz="4" w:space="0" w:color="auto"/>
              <w:left w:val="single" w:sz="4" w:space="0" w:color="auto"/>
              <w:bottom w:val="single" w:sz="4" w:space="0" w:color="auto"/>
              <w:right w:val="single" w:sz="4" w:space="0" w:color="auto"/>
            </w:tcBorders>
          </w:tcPr>
          <w:p w14:paraId="7AD6164A" w14:textId="504BEFA4" w:rsidR="00825059" w:rsidRPr="00D05956" w:rsidRDefault="00825059" w:rsidP="00B42F86">
            <w:pPr>
              <w:jc w:val="center"/>
              <w:rPr>
                <w:rFonts w:ascii="Times New Roman" w:hAnsi="Times New Roman" w:cs="Times New Roman"/>
                <w:color w:val="000000"/>
                <w:spacing w:val="2"/>
                <w:sz w:val="24"/>
                <w:szCs w:val="24"/>
                <w:shd w:val="clear" w:color="auto" w:fill="FFFFFF"/>
                <w:lang w:val="kk-KZ"/>
              </w:rPr>
            </w:pPr>
            <w:r>
              <w:rPr>
                <w:rFonts w:ascii="Times New Roman" w:hAnsi="Times New Roman" w:cs="Times New Roman"/>
                <w:color w:val="000000"/>
                <w:spacing w:val="2"/>
                <w:sz w:val="24"/>
                <w:szCs w:val="24"/>
                <w:shd w:val="clear" w:color="auto" w:fill="FFFFFF"/>
                <w:lang w:val="kk-KZ"/>
              </w:rPr>
              <w:t>1</w:t>
            </w:r>
          </w:p>
        </w:tc>
        <w:tc>
          <w:tcPr>
            <w:tcW w:w="1218" w:type="dxa"/>
            <w:tcBorders>
              <w:top w:val="single" w:sz="4" w:space="0" w:color="auto"/>
              <w:left w:val="single" w:sz="4" w:space="0" w:color="auto"/>
              <w:bottom w:val="single" w:sz="4" w:space="0" w:color="auto"/>
              <w:right w:val="single" w:sz="4" w:space="0" w:color="auto"/>
            </w:tcBorders>
            <w:vAlign w:val="center"/>
          </w:tcPr>
          <w:p w14:paraId="022208F3" w14:textId="0C353DB9" w:rsidR="00825059" w:rsidRPr="00B42F86" w:rsidRDefault="00825059" w:rsidP="00B42F8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32" w:type="dxa"/>
            <w:tcBorders>
              <w:top w:val="single" w:sz="4" w:space="0" w:color="auto"/>
              <w:left w:val="single" w:sz="4" w:space="0" w:color="auto"/>
              <w:bottom w:val="single" w:sz="4" w:space="0" w:color="auto"/>
              <w:right w:val="single" w:sz="4" w:space="0" w:color="auto"/>
            </w:tcBorders>
            <w:vAlign w:val="center"/>
          </w:tcPr>
          <w:p w14:paraId="6EBE13B0" w14:textId="718D9F32" w:rsidR="00825059" w:rsidRPr="00B42F86" w:rsidRDefault="00825059" w:rsidP="00B42F86">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04" w:type="dxa"/>
            <w:tcBorders>
              <w:top w:val="single" w:sz="4" w:space="0" w:color="auto"/>
              <w:left w:val="single" w:sz="4" w:space="0" w:color="auto"/>
              <w:bottom w:val="single" w:sz="4" w:space="0" w:color="auto"/>
              <w:right w:val="single" w:sz="4" w:space="0" w:color="auto"/>
            </w:tcBorders>
            <w:vAlign w:val="center"/>
          </w:tcPr>
          <w:p w14:paraId="0D0636BC" w14:textId="61213BD2" w:rsidR="00825059" w:rsidRPr="00B42F86" w:rsidRDefault="00825059" w:rsidP="00B42F86">
            <w:pPr>
              <w:pStyle w:val="TableParagraph"/>
              <w:jc w:val="center"/>
              <w:rPr>
                <w:sz w:val="24"/>
                <w:szCs w:val="24"/>
                <w:lang w:val="kk-KZ"/>
              </w:rPr>
            </w:pPr>
            <w:r>
              <w:rPr>
                <w:sz w:val="24"/>
                <w:szCs w:val="24"/>
                <w:lang w:val="kk-KZ"/>
              </w:rPr>
              <w:t>4</w:t>
            </w:r>
          </w:p>
        </w:tc>
        <w:tc>
          <w:tcPr>
            <w:tcW w:w="1069" w:type="dxa"/>
            <w:tcBorders>
              <w:top w:val="single" w:sz="4" w:space="0" w:color="auto"/>
              <w:left w:val="single" w:sz="4" w:space="0" w:color="auto"/>
              <w:bottom w:val="single" w:sz="4" w:space="0" w:color="auto"/>
              <w:right w:val="single" w:sz="4" w:space="0" w:color="auto"/>
            </w:tcBorders>
            <w:vAlign w:val="center"/>
          </w:tcPr>
          <w:p w14:paraId="426E9500" w14:textId="5300CE77" w:rsidR="00825059" w:rsidRPr="00B42F86" w:rsidRDefault="00825059" w:rsidP="00B42F86">
            <w:pPr>
              <w:pStyle w:val="TableParagraph"/>
              <w:jc w:val="center"/>
              <w:rPr>
                <w:sz w:val="24"/>
                <w:szCs w:val="24"/>
                <w:lang w:val="kk-KZ"/>
              </w:rPr>
            </w:pPr>
            <w:r>
              <w:rPr>
                <w:sz w:val="24"/>
                <w:szCs w:val="24"/>
                <w:lang w:val="kk-KZ"/>
              </w:rPr>
              <w:t>5</w:t>
            </w:r>
          </w:p>
        </w:tc>
        <w:tc>
          <w:tcPr>
            <w:tcW w:w="1170" w:type="dxa"/>
            <w:tcBorders>
              <w:top w:val="single" w:sz="4" w:space="0" w:color="auto"/>
              <w:left w:val="single" w:sz="4" w:space="0" w:color="auto"/>
              <w:bottom w:val="single" w:sz="4" w:space="0" w:color="auto"/>
              <w:right w:val="single" w:sz="4" w:space="0" w:color="auto"/>
            </w:tcBorders>
            <w:vAlign w:val="center"/>
          </w:tcPr>
          <w:p w14:paraId="2756FE83" w14:textId="60FD89A3" w:rsidR="00825059" w:rsidRPr="00B42F86" w:rsidRDefault="00825059" w:rsidP="00B42F86">
            <w:pPr>
              <w:pStyle w:val="TableParagraph"/>
              <w:jc w:val="center"/>
              <w:rPr>
                <w:sz w:val="24"/>
                <w:szCs w:val="24"/>
                <w:lang w:val="kk-KZ"/>
              </w:rPr>
            </w:pPr>
            <w:r>
              <w:rPr>
                <w:sz w:val="24"/>
                <w:szCs w:val="24"/>
                <w:lang w:val="kk-KZ"/>
              </w:rPr>
              <w:t>6</w:t>
            </w:r>
          </w:p>
        </w:tc>
        <w:tc>
          <w:tcPr>
            <w:tcW w:w="1570" w:type="dxa"/>
            <w:tcBorders>
              <w:top w:val="single" w:sz="4" w:space="0" w:color="auto"/>
              <w:left w:val="single" w:sz="4" w:space="0" w:color="auto"/>
              <w:bottom w:val="single" w:sz="4" w:space="0" w:color="auto"/>
              <w:right w:val="single" w:sz="4" w:space="0" w:color="auto"/>
            </w:tcBorders>
            <w:vAlign w:val="center"/>
          </w:tcPr>
          <w:p w14:paraId="4F6EB571" w14:textId="79962D52" w:rsidR="00825059" w:rsidRPr="00D05956" w:rsidRDefault="00825059" w:rsidP="00B42F8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317" w:type="dxa"/>
            <w:tcBorders>
              <w:top w:val="single" w:sz="4" w:space="0" w:color="auto"/>
              <w:left w:val="single" w:sz="4" w:space="0" w:color="auto"/>
              <w:bottom w:val="single" w:sz="4" w:space="0" w:color="auto"/>
              <w:right w:val="single" w:sz="4" w:space="0" w:color="auto"/>
            </w:tcBorders>
            <w:vAlign w:val="center"/>
          </w:tcPr>
          <w:p w14:paraId="1516D0FD" w14:textId="09B79194" w:rsidR="00825059"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825059" w:rsidRPr="00D05956" w14:paraId="6E208B3E" w14:textId="275C2AFD"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10482CC3"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Шұжық өнімдерінің өндірісі, мың т.</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BE9E9D1"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hAnsi="Times New Roman" w:cs="Times New Roman"/>
                <w:sz w:val="24"/>
                <w:szCs w:val="24"/>
                <w:lang w:val="en-US"/>
              </w:rPr>
              <w:t>58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7BBBA84"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7EF074A" w14:textId="77777777" w:rsidR="00825059" w:rsidRPr="00D05956" w:rsidRDefault="00825059" w:rsidP="001D7D7A">
            <w:pPr>
              <w:pStyle w:val="TableParagraph"/>
              <w:jc w:val="center"/>
              <w:rPr>
                <w:sz w:val="24"/>
                <w:szCs w:val="24"/>
                <w:lang w:val="en-US"/>
              </w:rPr>
            </w:pPr>
            <w:r w:rsidRPr="00D05956">
              <w:rPr>
                <w:sz w:val="24"/>
                <w:szCs w:val="24"/>
                <w:lang w:val="en-US"/>
              </w:rPr>
              <w:t>62</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7F7513D" w14:textId="77777777" w:rsidR="00825059" w:rsidRPr="00D05956" w:rsidRDefault="00825059" w:rsidP="001D7D7A">
            <w:pPr>
              <w:pStyle w:val="TableParagraph"/>
              <w:jc w:val="center"/>
              <w:rPr>
                <w:sz w:val="24"/>
                <w:szCs w:val="24"/>
                <w:lang w:val="en-US"/>
              </w:rPr>
            </w:pPr>
            <w:r w:rsidRPr="00D05956">
              <w:rPr>
                <w:sz w:val="24"/>
                <w:szCs w:val="24"/>
                <w:lang w:val="en-US"/>
              </w:rPr>
              <w:t>70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F46334" w14:textId="77777777" w:rsidR="00825059" w:rsidRPr="00D05956" w:rsidRDefault="00825059" w:rsidP="001D7D7A">
            <w:pPr>
              <w:pStyle w:val="TableParagraph"/>
              <w:jc w:val="center"/>
              <w:rPr>
                <w:sz w:val="24"/>
                <w:szCs w:val="24"/>
                <w:lang w:val="en-US"/>
              </w:rPr>
            </w:pPr>
            <w:r w:rsidRPr="00D05956">
              <w:rPr>
                <w:sz w:val="24"/>
                <w:szCs w:val="24"/>
                <w:lang w:val="en-US"/>
              </w:rPr>
              <w:t>75</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B8EBE1F"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325,0</w:t>
            </w:r>
          </w:p>
        </w:tc>
        <w:tc>
          <w:tcPr>
            <w:tcW w:w="1317" w:type="dxa"/>
            <w:tcBorders>
              <w:top w:val="single" w:sz="4" w:space="0" w:color="auto"/>
              <w:left w:val="single" w:sz="4" w:space="0" w:color="auto"/>
              <w:bottom w:val="single" w:sz="4" w:space="0" w:color="auto"/>
              <w:right w:val="single" w:sz="4" w:space="0" w:color="auto"/>
            </w:tcBorders>
            <w:vAlign w:val="center"/>
          </w:tcPr>
          <w:p w14:paraId="15EA04C7" w14:textId="62589EE0"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299F1F7A" w14:textId="4DC60A1A"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718ABD82"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1-іс-шара.Ет өнімдерін өңдеу жөніндегі инвестициялық жобаларды іске асыру, жоба саны</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2952B52" w14:textId="77777777" w:rsidR="00825059" w:rsidRPr="00D05956" w:rsidRDefault="00825059"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hAnsi="Times New Roman" w:cs="Times New Roman"/>
                <w:w w:val="99"/>
                <w:sz w:val="24"/>
                <w:szCs w:val="24"/>
                <w:lang w:val="en-US"/>
              </w:rPr>
              <w:t>2</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FABD5CF"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E364B20" w14:textId="77777777" w:rsidR="00825059" w:rsidRPr="00D05956" w:rsidRDefault="00825059" w:rsidP="001D7D7A">
            <w:pPr>
              <w:pStyle w:val="TableParagraph"/>
              <w:jc w:val="center"/>
              <w:rPr>
                <w:sz w:val="24"/>
                <w:szCs w:val="24"/>
                <w:lang w:val="en-US"/>
              </w:rPr>
            </w:pPr>
            <w:r w:rsidRPr="00D05956">
              <w:rPr>
                <w:w w:val="99"/>
                <w:sz w:val="24"/>
                <w:szCs w:val="24"/>
                <w:lang w:val="en-US"/>
              </w:rPr>
              <w:t>4</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3ECFE2A" w14:textId="77777777" w:rsidR="00825059" w:rsidRPr="00D05956" w:rsidRDefault="00825059" w:rsidP="001D7D7A">
            <w:pPr>
              <w:pStyle w:val="TableParagraph"/>
              <w:jc w:val="center"/>
              <w:rPr>
                <w:sz w:val="24"/>
                <w:szCs w:val="24"/>
                <w:lang w:val="en-US"/>
              </w:rPr>
            </w:pPr>
            <w:r w:rsidRPr="00D05956">
              <w:rPr>
                <w:w w:val="99"/>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5DF6E8C" w14:textId="77777777" w:rsidR="00825059" w:rsidRPr="00D05956" w:rsidRDefault="00825059" w:rsidP="001D7D7A">
            <w:pPr>
              <w:pStyle w:val="TableParagraph"/>
              <w:jc w:val="center"/>
              <w:rPr>
                <w:sz w:val="24"/>
                <w:szCs w:val="24"/>
                <w:lang w:val="en-US"/>
              </w:rPr>
            </w:pPr>
            <w:r w:rsidRPr="00D05956">
              <w:rPr>
                <w:w w:val="99"/>
                <w:sz w:val="24"/>
                <w:szCs w:val="24"/>
                <w:lang w:val="en-US"/>
              </w:rPr>
              <w:t>1</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7A0A9C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14</w:t>
            </w:r>
          </w:p>
        </w:tc>
        <w:tc>
          <w:tcPr>
            <w:tcW w:w="1317" w:type="dxa"/>
            <w:tcBorders>
              <w:top w:val="single" w:sz="4" w:space="0" w:color="auto"/>
              <w:left w:val="single" w:sz="4" w:space="0" w:color="auto"/>
              <w:bottom w:val="single" w:sz="4" w:space="0" w:color="auto"/>
              <w:right w:val="single" w:sz="4" w:space="0" w:color="auto"/>
            </w:tcBorders>
            <w:vAlign w:val="center"/>
          </w:tcPr>
          <w:p w14:paraId="417E700C" w14:textId="7CD3D57B"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6900F15F" w14:textId="2A9D45B7"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5887446A"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4-көрсеткіш.Құс етінің өндірісі, млн.тг</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8588015" w14:textId="77777777" w:rsidR="00825059" w:rsidRPr="00D05956" w:rsidRDefault="00825059" w:rsidP="001D7D7A">
            <w:pPr>
              <w:pStyle w:val="TableParagraph"/>
              <w:jc w:val="center"/>
              <w:rPr>
                <w:sz w:val="24"/>
                <w:szCs w:val="24"/>
                <w:lang w:val="en-US"/>
              </w:rPr>
            </w:pPr>
            <w:r w:rsidRPr="00D05956">
              <w:rPr>
                <w:sz w:val="24"/>
                <w:szCs w:val="24"/>
                <w:lang w:val="en-US"/>
              </w:rPr>
              <w:t>116640,0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6367CD8" w14:textId="77777777" w:rsidR="00825059" w:rsidRPr="00D05956" w:rsidRDefault="00825059" w:rsidP="001D7D7A">
            <w:pPr>
              <w:pStyle w:val="TableParagraph"/>
              <w:jc w:val="center"/>
              <w:rPr>
                <w:sz w:val="24"/>
                <w:szCs w:val="24"/>
                <w:lang w:val="en-US"/>
              </w:rPr>
            </w:pPr>
            <w:r w:rsidRPr="00D05956">
              <w:rPr>
                <w:sz w:val="24"/>
                <w:szCs w:val="24"/>
                <w:lang w:val="en-US"/>
              </w:rPr>
              <w:t>90720,0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36054CC" w14:textId="77777777" w:rsidR="00825059" w:rsidRPr="00D05956" w:rsidRDefault="00825059" w:rsidP="001D7D7A">
            <w:pPr>
              <w:pStyle w:val="TableParagraph"/>
              <w:jc w:val="center"/>
              <w:rPr>
                <w:sz w:val="24"/>
                <w:szCs w:val="24"/>
                <w:lang w:val="en-US"/>
              </w:rPr>
            </w:pPr>
            <w:r w:rsidRPr="00D05956">
              <w:rPr>
                <w:sz w:val="24"/>
                <w:szCs w:val="24"/>
                <w:lang w:val="en-US"/>
              </w:rPr>
              <w:t>51840,0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21A1BFEC" w14:textId="77777777" w:rsidR="00825059" w:rsidRPr="00D05956" w:rsidRDefault="00825059" w:rsidP="001D7D7A">
            <w:pPr>
              <w:pStyle w:val="TableParagraph"/>
              <w:jc w:val="center"/>
              <w:rPr>
                <w:sz w:val="24"/>
                <w:szCs w:val="24"/>
                <w:lang w:val="en-US"/>
              </w:rPr>
            </w:pPr>
            <w:r w:rsidRPr="00D05956">
              <w:rPr>
                <w:sz w:val="24"/>
                <w:szCs w:val="24"/>
                <w:lang w:val="en-US"/>
              </w:rPr>
              <w:t>38880,0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4C81D9" w14:textId="77777777" w:rsidR="00825059" w:rsidRPr="00D05956" w:rsidRDefault="00825059" w:rsidP="001D7D7A">
            <w:pPr>
              <w:pStyle w:val="TableParagraph"/>
              <w:jc w:val="center"/>
              <w:rPr>
                <w:sz w:val="24"/>
                <w:szCs w:val="24"/>
                <w:lang w:val="en-US"/>
              </w:rPr>
            </w:pPr>
            <w:r w:rsidRPr="00D05956">
              <w:rPr>
                <w:sz w:val="24"/>
                <w:szCs w:val="24"/>
                <w:lang w:val="en-US"/>
              </w:rPr>
              <w:t>25920,0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731E35C0"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324000,0</w:t>
            </w:r>
          </w:p>
        </w:tc>
        <w:tc>
          <w:tcPr>
            <w:tcW w:w="1317" w:type="dxa"/>
            <w:tcBorders>
              <w:top w:val="single" w:sz="4" w:space="0" w:color="auto"/>
              <w:left w:val="single" w:sz="4" w:space="0" w:color="auto"/>
              <w:bottom w:val="single" w:sz="4" w:space="0" w:color="auto"/>
              <w:right w:val="single" w:sz="4" w:space="0" w:color="auto"/>
            </w:tcBorders>
            <w:vAlign w:val="center"/>
          </w:tcPr>
          <w:p w14:paraId="6E8850A6" w14:textId="724FFFE6"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30</w:t>
            </w:r>
          </w:p>
        </w:tc>
      </w:tr>
      <w:tr w:rsidR="00825059" w:rsidRPr="00D05956" w14:paraId="35900265" w14:textId="7E8AE1F8"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6438B5A2"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Құс етінің өндірісі, мың тонна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E9CE5CF"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sz w:val="24"/>
                <w:szCs w:val="24"/>
                <w:lang w:val="en-US"/>
              </w:rPr>
              <w:t>307</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4292DDD"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sz w:val="24"/>
                <w:szCs w:val="24"/>
                <w:lang w:val="en-US"/>
              </w:rPr>
              <w:t>350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AD12DE9" w14:textId="77777777" w:rsidR="00825059" w:rsidRPr="00D05956" w:rsidRDefault="00825059" w:rsidP="001D7D7A">
            <w:pPr>
              <w:pStyle w:val="TableParagraph"/>
              <w:jc w:val="center"/>
              <w:rPr>
                <w:w w:val="99"/>
                <w:sz w:val="24"/>
                <w:szCs w:val="24"/>
                <w:lang w:val="en-US"/>
              </w:rPr>
            </w:pPr>
            <w:r w:rsidRPr="00D05956">
              <w:rPr>
                <w:sz w:val="24"/>
                <w:szCs w:val="24"/>
                <w:lang w:val="en-US"/>
              </w:rPr>
              <w:t>406</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5DB0715" w14:textId="77777777" w:rsidR="00825059" w:rsidRPr="00D05956" w:rsidRDefault="00825059" w:rsidP="001D7D7A">
            <w:pPr>
              <w:pStyle w:val="TableParagraph"/>
              <w:jc w:val="center"/>
              <w:rPr>
                <w:w w:val="99"/>
                <w:sz w:val="24"/>
                <w:szCs w:val="24"/>
                <w:lang w:val="en-US"/>
              </w:rPr>
            </w:pPr>
            <w:r w:rsidRPr="00D05956">
              <w:rPr>
                <w:sz w:val="24"/>
                <w:szCs w:val="24"/>
                <w:lang w:val="en-US"/>
              </w:rPr>
              <w:t>462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EAB7664" w14:textId="77777777" w:rsidR="00825059" w:rsidRPr="00D05956" w:rsidRDefault="00825059" w:rsidP="001D7D7A">
            <w:pPr>
              <w:pStyle w:val="TableParagraph"/>
              <w:jc w:val="center"/>
              <w:rPr>
                <w:w w:val="99"/>
                <w:sz w:val="24"/>
                <w:szCs w:val="24"/>
                <w:lang w:val="en-US"/>
              </w:rPr>
            </w:pPr>
            <w:r w:rsidRPr="00D05956">
              <w:rPr>
                <w:sz w:val="24"/>
                <w:szCs w:val="24"/>
                <w:lang w:val="en-US"/>
              </w:rPr>
              <w:t>524</w:t>
            </w:r>
          </w:p>
        </w:tc>
        <w:tc>
          <w:tcPr>
            <w:tcW w:w="1570" w:type="dxa"/>
            <w:tcBorders>
              <w:top w:val="single" w:sz="4" w:space="0" w:color="auto"/>
              <w:left w:val="single" w:sz="4" w:space="0" w:color="auto"/>
              <w:bottom w:val="single" w:sz="4" w:space="0" w:color="auto"/>
              <w:right w:val="single" w:sz="4" w:space="0" w:color="auto"/>
            </w:tcBorders>
            <w:vAlign w:val="center"/>
            <w:hideMark/>
          </w:tcPr>
          <w:p w14:paraId="62E991EC"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2049</w:t>
            </w:r>
          </w:p>
        </w:tc>
        <w:tc>
          <w:tcPr>
            <w:tcW w:w="1317" w:type="dxa"/>
            <w:tcBorders>
              <w:top w:val="single" w:sz="4" w:space="0" w:color="auto"/>
              <w:left w:val="single" w:sz="4" w:space="0" w:color="auto"/>
              <w:bottom w:val="single" w:sz="4" w:space="0" w:color="auto"/>
              <w:right w:val="single" w:sz="4" w:space="0" w:color="auto"/>
            </w:tcBorders>
            <w:vAlign w:val="center"/>
          </w:tcPr>
          <w:p w14:paraId="310BD610" w14:textId="0219051B"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79F4EAAF" w14:textId="2E1FFE1A"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70B8B99A"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1-іс-шара.Құс етінің өндірісі жөніндегі инвестициялық жобаларды іске асыру, жоба саны</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9B52BC6"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w w:val="99"/>
                <w:sz w:val="24"/>
                <w:szCs w:val="24"/>
                <w:lang w:val="en-US"/>
              </w:rPr>
              <w:t>9</w:t>
            </w:r>
          </w:p>
        </w:tc>
        <w:tc>
          <w:tcPr>
            <w:tcW w:w="1232" w:type="dxa"/>
            <w:tcBorders>
              <w:top w:val="single" w:sz="4" w:space="0" w:color="auto"/>
              <w:left w:val="single" w:sz="4" w:space="0" w:color="auto"/>
              <w:bottom w:val="single" w:sz="4" w:space="0" w:color="auto"/>
              <w:right w:val="single" w:sz="4" w:space="0" w:color="auto"/>
            </w:tcBorders>
            <w:vAlign w:val="center"/>
            <w:hideMark/>
          </w:tcPr>
          <w:p w14:paraId="365D3B40"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w w:val="99"/>
                <w:sz w:val="24"/>
                <w:szCs w:val="24"/>
                <w:lang w:val="en-US"/>
              </w:rPr>
              <w:t>7</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1B6C484"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4</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B9DD39E"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CC422C"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2</w:t>
            </w:r>
          </w:p>
        </w:tc>
        <w:tc>
          <w:tcPr>
            <w:tcW w:w="1570" w:type="dxa"/>
            <w:tcBorders>
              <w:top w:val="single" w:sz="4" w:space="0" w:color="auto"/>
              <w:left w:val="single" w:sz="4" w:space="0" w:color="auto"/>
              <w:bottom w:val="single" w:sz="4" w:space="0" w:color="auto"/>
              <w:right w:val="single" w:sz="4" w:space="0" w:color="auto"/>
            </w:tcBorders>
            <w:vAlign w:val="center"/>
            <w:hideMark/>
          </w:tcPr>
          <w:p w14:paraId="3713496F"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25</w:t>
            </w:r>
          </w:p>
        </w:tc>
        <w:tc>
          <w:tcPr>
            <w:tcW w:w="1317" w:type="dxa"/>
            <w:tcBorders>
              <w:top w:val="single" w:sz="4" w:space="0" w:color="auto"/>
              <w:left w:val="single" w:sz="4" w:space="0" w:color="auto"/>
              <w:bottom w:val="single" w:sz="4" w:space="0" w:color="auto"/>
              <w:right w:val="single" w:sz="4" w:space="0" w:color="auto"/>
            </w:tcBorders>
            <w:vAlign w:val="center"/>
          </w:tcPr>
          <w:p w14:paraId="1C640091" w14:textId="14E59BAD"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224BBDE2" w14:textId="43767B57"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43DC2C31"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5-көрсеткіш. Балық өндірісі, млн. тг</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0982DF0" w14:textId="77777777" w:rsidR="00825059" w:rsidRPr="00D05956" w:rsidRDefault="00825059" w:rsidP="001D7D7A">
            <w:pPr>
              <w:pStyle w:val="TableParagraph"/>
              <w:jc w:val="center"/>
              <w:rPr>
                <w:sz w:val="24"/>
                <w:szCs w:val="24"/>
              </w:rPr>
            </w:pPr>
            <w:r w:rsidRPr="00D05956">
              <w:rPr>
                <w:sz w:val="24"/>
                <w:szCs w:val="24"/>
                <w:lang w:val="en-US"/>
              </w:rPr>
              <w:t>5037</w:t>
            </w:r>
            <w:r w:rsidRPr="00D05956">
              <w:rPr>
                <w:sz w:val="24"/>
                <w:szCs w:val="24"/>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9273DBC" w14:textId="77777777" w:rsidR="00825059" w:rsidRPr="00D05956" w:rsidRDefault="00825059" w:rsidP="001D7D7A">
            <w:pPr>
              <w:pStyle w:val="TableParagraph"/>
              <w:jc w:val="center"/>
              <w:rPr>
                <w:sz w:val="24"/>
                <w:szCs w:val="24"/>
                <w:lang w:val="en-US"/>
              </w:rPr>
            </w:pPr>
            <w:r w:rsidRPr="00D05956">
              <w:rPr>
                <w:sz w:val="24"/>
                <w:szCs w:val="24"/>
                <w:lang w:val="en-US"/>
              </w:rPr>
              <w:t>5037</w:t>
            </w:r>
            <w:r w:rsidRPr="00D05956">
              <w:rPr>
                <w:sz w:val="24"/>
                <w:szCs w:val="24"/>
              </w:rPr>
              <w:t>,</w:t>
            </w:r>
            <w:r w:rsidRPr="00D05956">
              <w:rPr>
                <w:sz w:val="24"/>
                <w:szCs w:val="24"/>
                <w:lang w:val="en-US"/>
              </w:rPr>
              <w:t>1</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1781E35" w14:textId="77777777" w:rsidR="00825059" w:rsidRPr="00D05956" w:rsidRDefault="00825059" w:rsidP="001D7D7A">
            <w:pPr>
              <w:pStyle w:val="TableParagraph"/>
              <w:jc w:val="center"/>
              <w:rPr>
                <w:sz w:val="24"/>
                <w:szCs w:val="24"/>
                <w:lang w:val="en-US"/>
              </w:rPr>
            </w:pPr>
            <w:r w:rsidRPr="00D05956">
              <w:rPr>
                <w:sz w:val="24"/>
                <w:szCs w:val="24"/>
                <w:lang w:val="en-US"/>
              </w:rPr>
              <w:t>1373</w:t>
            </w:r>
            <w:r w:rsidRPr="00D05956">
              <w:rPr>
                <w:sz w:val="24"/>
                <w:szCs w:val="24"/>
              </w:rPr>
              <w:t>,</w:t>
            </w:r>
            <w:r w:rsidRPr="00D05956">
              <w:rPr>
                <w:sz w:val="24"/>
                <w:szCs w:val="24"/>
                <w:lang w:val="en-US"/>
              </w:rPr>
              <w:t>8</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82B809D" w14:textId="77777777" w:rsidR="00825059" w:rsidRPr="00D05956" w:rsidRDefault="00825059" w:rsidP="001D7D7A">
            <w:pPr>
              <w:pStyle w:val="TableParagraph"/>
              <w:jc w:val="center"/>
              <w:rPr>
                <w:sz w:val="24"/>
                <w:szCs w:val="24"/>
                <w:lang w:val="en-US"/>
              </w:rPr>
            </w:pPr>
            <w:r w:rsidRPr="00D05956">
              <w:rPr>
                <w:sz w:val="24"/>
                <w:szCs w:val="24"/>
                <w:lang w:val="en-US"/>
              </w:rPr>
              <w:t>2747</w:t>
            </w:r>
            <w:r w:rsidRPr="00D05956">
              <w:rPr>
                <w:sz w:val="24"/>
                <w:szCs w:val="24"/>
              </w:rPr>
              <w:t>,</w:t>
            </w:r>
            <w:r w:rsidRPr="00D05956">
              <w:rPr>
                <w:sz w:val="24"/>
                <w:szCs w:val="24"/>
                <w:lang w:val="en-US"/>
              </w:rPr>
              <w:t>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F1EB10" w14:textId="77777777" w:rsidR="00825059" w:rsidRPr="00D05956" w:rsidRDefault="00825059" w:rsidP="001D7D7A">
            <w:pPr>
              <w:pStyle w:val="TableParagraph"/>
              <w:jc w:val="center"/>
              <w:rPr>
                <w:sz w:val="24"/>
                <w:szCs w:val="24"/>
              </w:rPr>
            </w:pPr>
            <w:r w:rsidRPr="00D05956">
              <w:rPr>
                <w:sz w:val="24"/>
                <w:szCs w:val="24"/>
                <w:lang w:val="en-US"/>
              </w:rPr>
              <w:t>5495,</w:t>
            </w:r>
            <w:r w:rsidRPr="00D05956">
              <w:rPr>
                <w:sz w:val="24"/>
                <w:szCs w:val="24"/>
              </w:rPr>
              <w:t>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6D3B176"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19690,5</w:t>
            </w:r>
          </w:p>
        </w:tc>
        <w:tc>
          <w:tcPr>
            <w:tcW w:w="1317" w:type="dxa"/>
            <w:tcBorders>
              <w:top w:val="single" w:sz="4" w:space="0" w:color="auto"/>
              <w:left w:val="single" w:sz="4" w:space="0" w:color="auto"/>
              <w:bottom w:val="single" w:sz="4" w:space="0" w:color="auto"/>
              <w:right w:val="single" w:sz="4" w:space="0" w:color="auto"/>
            </w:tcBorders>
            <w:vAlign w:val="center"/>
          </w:tcPr>
          <w:p w14:paraId="33668914" w14:textId="684F2C24"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1,8</w:t>
            </w:r>
          </w:p>
        </w:tc>
      </w:tr>
      <w:tr w:rsidR="00825059" w:rsidRPr="00D05956" w14:paraId="6F946F8C" w14:textId="7FA5A140"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4EC03B8D"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Балық өндірісі, мың тонна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FB96FC2"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sz w:val="24"/>
                <w:szCs w:val="24"/>
                <w:lang w:val="en-US"/>
              </w:rPr>
              <w:t>70,4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8012FA8"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sz w:val="24"/>
                <w:szCs w:val="24"/>
                <w:lang w:val="en-US"/>
              </w:rPr>
              <w:t>73,9</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08E1320" w14:textId="77777777" w:rsidR="00825059" w:rsidRPr="00D05956" w:rsidRDefault="00825059" w:rsidP="001D7D7A">
            <w:pPr>
              <w:pStyle w:val="TableParagraph"/>
              <w:jc w:val="center"/>
              <w:rPr>
                <w:w w:val="99"/>
                <w:sz w:val="24"/>
                <w:szCs w:val="24"/>
                <w:lang w:val="en-US"/>
              </w:rPr>
            </w:pPr>
            <w:r w:rsidRPr="00D05956">
              <w:rPr>
                <w:sz w:val="24"/>
                <w:szCs w:val="24"/>
                <w:lang w:val="en-US"/>
              </w:rPr>
              <w:t>74,5</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5809D53" w14:textId="77777777" w:rsidR="00825059" w:rsidRPr="00D05956" w:rsidRDefault="00825059" w:rsidP="001D7D7A">
            <w:pPr>
              <w:pStyle w:val="TableParagraph"/>
              <w:jc w:val="center"/>
              <w:rPr>
                <w:w w:val="99"/>
                <w:sz w:val="24"/>
                <w:szCs w:val="24"/>
                <w:lang w:val="en-US"/>
              </w:rPr>
            </w:pPr>
            <w:r w:rsidRPr="00D05956">
              <w:rPr>
                <w:sz w:val="24"/>
                <w:szCs w:val="24"/>
                <w:lang w:val="en-US"/>
              </w:rPr>
              <w:t>79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2045CF" w14:textId="77777777" w:rsidR="00825059" w:rsidRPr="00D05956" w:rsidRDefault="00825059" w:rsidP="001D7D7A">
            <w:pPr>
              <w:pStyle w:val="TableParagraph"/>
              <w:jc w:val="center"/>
              <w:rPr>
                <w:w w:val="99"/>
                <w:sz w:val="24"/>
                <w:szCs w:val="24"/>
                <w:lang w:val="en-US"/>
              </w:rPr>
            </w:pPr>
            <w:r w:rsidRPr="00D05956">
              <w:rPr>
                <w:sz w:val="24"/>
                <w:szCs w:val="24"/>
                <w:lang w:val="en-US"/>
              </w:rPr>
              <w:t>84,5</w:t>
            </w:r>
          </w:p>
        </w:tc>
        <w:tc>
          <w:tcPr>
            <w:tcW w:w="1570" w:type="dxa"/>
            <w:tcBorders>
              <w:top w:val="single" w:sz="4" w:space="0" w:color="auto"/>
              <w:left w:val="single" w:sz="4" w:space="0" w:color="auto"/>
              <w:bottom w:val="single" w:sz="4" w:space="0" w:color="auto"/>
              <w:right w:val="single" w:sz="4" w:space="0" w:color="auto"/>
            </w:tcBorders>
            <w:vAlign w:val="center"/>
            <w:hideMark/>
          </w:tcPr>
          <w:p w14:paraId="2B22C2B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382,3</w:t>
            </w:r>
          </w:p>
        </w:tc>
        <w:tc>
          <w:tcPr>
            <w:tcW w:w="1317" w:type="dxa"/>
            <w:tcBorders>
              <w:top w:val="single" w:sz="4" w:space="0" w:color="auto"/>
              <w:left w:val="single" w:sz="4" w:space="0" w:color="auto"/>
              <w:bottom w:val="single" w:sz="4" w:space="0" w:color="auto"/>
              <w:right w:val="single" w:sz="4" w:space="0" w:color="auto"/>
            </w:tcBorders>
            <w:vAlign w:val="center"/>
          </w:tcPr>
          <w:p w14:paraId="1027FE0D" w14:textId="405D55D1"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31DAF5A0" w14:textId="6949FE7B"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2C883DE1"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Балық шаруашылығы жөніндегі жобаларды іске асыру</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1BAA97F"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sz w:val="24"/>
                <w:szCs w:val="24"/>
                <w:lang w:val="en-US"/>
              </w:rPr>
              <w:t>11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1052EEC" w14:textId="77777777" w:rsidR="00825059" w:rsidRPr="00D05956" w:rsidRDefault="00825059" w:rsidP="001D7D7A">
            <w:pPr>
              <w:jc w:val="center"/>
              <w:rPr>
                <w:rFonts w:ascii="Times New Roman" w:hAnsi="Times New Roman" w:cs="Times New Roman"/>
                <w:w w:val="99"/>
                <w:sz w:val="24"/>
                <w:szCs w:val="24"/>
                <w:lang w:val="en-US"/>
              </w:rPr>
            </w:pPr>
            <w:r w:rsidRPr="00D05956">
              <w:rPr>
                <w:rFonts w:ascii="Times New Roman" w:hAnsi="Times New Roman" w:cs="Times New Roman"/>
                <w:sz w:val="24"/>
                <w:szCs w:val="24"/>
                <w:lang w:val="en-US"/>
              </w:rPr>
              <w:t>11</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EE60001"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3</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89B2944"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8AD5C4" w14:textId="77777777" w:rsidR="00825059" w:rsidRPr="00D05956" w:rsidRDefault="00825059" w:rsidP="001D7D7A">
            <w:pPr>
              <w:pStyle w:val="TableParagraph"/>
              <w:jc w:val="center"/>
              <w:rPr>
                <w:w w:val="99"/>
                <w:sz w:val="24"/>
                <w:szCs w:val="24"/>
                <w:lang w:val="en-US"/>
              </w:rPr>
            </w:pPr>
            <w:r w:rsidRPr="00D05956">
              <w:rPr>
                <w:sz w:val="24"/>
                <w:szCs w:val="24"/>
                <w:lang w:val="en-US"/>
              </w:rPr>
              <w:t>12</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037A5A8"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43</w:t>
            </w:r>
          </w:p>
        </w:tc>
        <w:tc>
          <w:tcPr>
            <w:tcW w:w="1317" w:type="dxa"/>
            <w:tcBorders>
              <w:top w:val="single" w:sz="4" w:space="0" w:color="auto"/>
              <w:left w:val="single" w:sz="4" w:space="0" w:color="auto"/>
              <w:bottom w:val="single" w:sz="4" w:space="0" w:color="auto"/>
              <w:right w:val="single" w:sz="4" w:space="0" w:color="auto"/>
            </w:tcBorders>
            <w:vAlign w:val="center"/>
          </w:tcPr>
          <w:p w14:paraId="56B492A5" w14:textId="57B20C9D"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3F5659BF" w14:textId="686A953D"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380DBB90"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6-көрсеткіш. Көкөніс өндірісі, млн.тг</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1E1653F" w14:textId="77777777" w:rsidR="00825059" w:rsidRPr="00D05956" w:rsidRDefault="00825059" w:rsidP="001D7D7A">
            <w:pPr>
              <w:pStyle w:val="TableParagraph"/>
              <w:jc w:val="center"/>
              <w:rPr>
                <w:sz w:val="24"/>
                <w:szCs w:val="24"/>
                <w:lang w:val="en-US"/>
              </w:rPr>
            </w:pPr>
            <w:r w:rsidRPr="00D05956">
              <w:rPr>
                <w:sz w:val="24"/>
                <w:szCs w:val="24"/>
                <w:lang w:val="en-US"/>
              </w:rPr>
              <w:t>15830</w:t>
            </w:r>
            <w:r w:rsidRPr="00D05956">
              <w:rPr>
                <w:sz w:val="24"/>
                <w:szCs w:val="24"/>
              </w:rPr>
              <w:t>,</w:t>
            </w:r>
            <w:r w:rsidRPr="00D05956">
              <w:rPr>
                <w:sz w:val="24"/>
                <w:szCs w:val="24"/>
                <w:lang w:val="en-US"/>
              </w:rPr>
              <w:t>7</w:t>
            </w:r>
          </w:p>
        </w:tc>
        <w:tc>
          <w:tcPr>
            <w:tcW w:w="1232" w:type="dxa"/>
            <w:tcBorders>
              <w:top w:val="single" w:sz="4" w:space="0" w:color="auto"/>
              <w:left w:val="single" w:sz="4" w:space="0" w:color="auto"/>
              <w:bottom w:val="single" w:sz="4" w:space="0" w:color="auto"/>
              <w:right w:val="single" w:sz="4" w:space="0" w:color="auto"/>
            </w:tcBorders>
            <w:vAlign w:val="center"/>
            <w:hideMark/>
          </w:tcPr>
          <w:p w14:paraId="3EF5E4DF" w14:textId="77777777" w:rsidR="00825059" w:rsidRPr="00D05956" w:rsidRDefault="00825059" w:rsidP="001D7D7A">
            <w:pPr>
              <w:pStyle w:val="TableParagraph"/>
              <w:jc w:val="center"/>
              <w:rPr>
                <w:sz w:val="24"/>
                <w:szCs w:val="24"/>
                <w:lang w:val="en-US"/>
              </w:rPr>
            </w:pPr>
            <w:r w:rsidRPr="00D05956">
              <w:rPr>
                <w:sz w:val="24"/>
                <w:szCs w:val="24"/>
                <w:lang w:val="en-US"/>
              </w:rPr>
              <w:t>18996</w:t>
            </w:r>
            <w:r w:rsidRPr="00D05956">
              <w:rPr>
                <w:sz w:val="24"/>
                <w:szCs w:val="24"/>
              </w:rPr>
              <w:t>,</w:t>
            </w:r>
            <w:r w:rsidRPr="00D05956">
              <w:rPr>
                <w:sz w:val="24"/>
                <w:szCs w:val="24"/>
                <w:lang w:val="en-US"/>
              </w:rPr>
              <w:t>9</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A5A27B0" w14:textId="77777777" w:rsidR="00825059" w:rsidRPr="00D05956" w:rsidRDefault="00825059" w:rsidP="001D7D7A">
            <w:pPr>
              <w:pStyle w:val="TableParagraph"/>
              <w:jc w:val="center"/>
              <w:rPr>
                <w:sz w:val="24"/>
                <w:szCs w:val="24"/>
                <w:lang w:val="en-US"/>
              </w:rPr>
            </w:pPr>
            <w:r w:rsidRPr="00D05956">
              <w:rPr>
                <w:sz w:val="24"/>
                <w:szCs w:val="24"/>
                <w:lang w:val="en-US"/>
              </w:rPr>
              <w:t>1</w:t>
            </w:r>
            <w:r w:rsidRPr="00D05956">
              <w:rPr>
                <w:sz w:val="24"/>
                <w:szCs w:val="24"/>
              </w:rPr>
              <w:t>3</w:t>
            </w:r>
            <w:r w:rsidRPr="00D05956">
              <w:rPr>
                <w:sz w:val="24"/>
                <w:szCs w:val="24"/>
                <w:lang w:val="en-US"/>
              </w:rPr>
              <w:t>280,0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FB17243" w14:textId="77777777" w:rsidR="00825059" w:rsidRPr="00D05956" w:rsidRDefault="00825059" w:rsidP="001D7D7A">
            <w:pPr>
              <w:pStyle w:val="TableParagraph"/>
              <w:jc w:val="center"/>
              <w:rPr>
                <w:sz w:val="24"/>
                <w:szCs w:val="24"/>
                <w:lang w:val="en-US"/>
              </w:rPr>
            </w:pPr>
            <w:r w:rsidRPr="00D05956">
              <w:rPr>
                <w:sz w:val="24"/>
                <w:szCs w:val="24"/>
                <w:lang w:val="en-US"/>
              </w:rPr>
              <w:t>9350,0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7960C4" w14:textId="77777777" w:rsidR="00825059" w:rsidRPr="00D05956" w:rsidRDefault="00825059" w:rsidP="001D7D7A">
            <w:pPr>
              <w:pStyle w:val="TableParagraph"/>
              <w:jc w:val="center"/>
              <w:rPr>
                <w:sz w:val="24"/>
                <w:szCs w:val="24"/>
              </w:rPr>
            </w:pPr>
            <w:r w:rsidRPr="00D05956">
              <w:rPr>
                <w:sz w:val="24"/>
                <w:szCs w:val="24"/>
                <w:lang w:val="en-US"/>
              </w:rPr>
              <w:t>24862</w:t>
            </w:r>
            <w:r w:rsidRPr="00D05956">
              <w:rPr>
                <w:sz w:val="24"/>
                <w:szCs w:val="24"/>
              </w:rPr>
              <w:t>,3</w:t>
            </w:r>
          </w:p>
        </w:tc>
        <w:tc>
          <w:tcPr>
            <w:tcW w:w="1570" w:type="dxa"/>
            <w:tcBorders>
              <w:top w:val="single" w:sz="4" w:space="0" w:color="auto"/>
              <w:left w:val="single" w:sz="4" w:space="0" w:color="auto"/>
              <w:bottom w:val="single" w:sz="4" w:space="0" w:color="auto"/>
              <w:right w:val="single" w:sz="4" w:space="0" w:color="auto"/>
            </w:tcBorders>
            <w:vAlign w:val="center"/>
            <w:hideMark/>
          </w:tcPr>
          <w:p w14:paraId="1C81EC63"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82320,0</w:t>
            </w:r>
          </w:p>
        </w:tc>
        <w:tc>
          <w:tcPr>
            <w:tcW w:w="1317" w:type="dxa"/>
            <w:tcBorders>
              <w:top w:val="single" w:sz="4" w:space="0" w:color="auto"/>
              <w:left w:val="single" w:sz="4" w:space="0" w:color="auto"/>
              <w:bottom w:val="single" w:sz="4" w:space="0" w:color="auto"/>
              <w:right w:val="single" w:sz="4" w:space="0" w:color="auto"/>
            </w:tcBorders>
            <w:vAlign w:val="center"/>
          </w:tcPr>
          <w:p w14:paraId="5BEC2212" w14:textId="5593FB06" w:rsidR="00825059"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7,7</w:t>
            </w:r>
          </w:p>
        </w:tc>
      </w:tr>
      <w:tr w:rsidR="00825059" w:rsidRPr="00D05956" w14:paraId="1CBBE9C0" w14:textId="0CE3EF5F"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6EBDCEAC"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Көкөніс өндірісі, мың тонна</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2AE97F8"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4370,6</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F08C5C1"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4434,4</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E9773F5" w14:textId="77777777" w:rsidR="00825059" w:rsidRPr="00D05956" w:rsidRDefault="00825059" w:rsidP="001D7D7A">
            <w:pPr>
              <w:pStyle w:val="TableParagraph"/>
              <w:jc w:val="center"/>
              <w:rPr>
                <w:w w:val="99"/>
                <w:sz w:val="24"/>
                <w:szCs w:val="24"/>
                <w:lang w:val="en-US"/>
              </w:rPr>
            </w:pPr>
            <w:r w:rsidRPr="00D05956">
              <w:rPr>
                <w:sz w:val="24"/>
                <w:szCs w:val="24"/>
                <w:lang w:val="en-US"/>
              </w:rPr>
              <w:t>4480,2</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3482531" w14:textId="77777777" w:rsidR="00825059" w:rsidRPr="00D05956" w:rsidRDefault="00825059" w:rsidP="001D7D7A">
            <w:pPr>
              <w:pStyle w:val="TableParagraph"/>
              <w:jc w:val="center"/>
              <w:rPr>
                <w:w w:val="99"/>
                <w:sz w:val="24"/>
                <w:szCs w:val="24"/>
                <w:lang w:val="en-US"/>
              </w:rPr>
            </w:pPr>
            <w:r w:rsidRPr="00D05956">
              <w:rPr>
                <w:sz w:val="24"/>
                <w:szCs w:val="24"/>
                <w:lang w:val="en-US"/>
              </w:rPr>
              <w:t>4531,5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C7A290" w14:textId="77777777" w:rsidR="00825059" w:rsidRPr="00D05956" w:rsidRDefault="00825059" w:rsidP="001D7D7A">
            <w:pPr>
              <w:pStyle w:val="TableParagraph"/>
              <w:jc w:val="center"/>
              <w:rPr>
                <w:sz w:val="24"/>
                <w:szCs w:val="24"/>
                <w:lang w:val="en-US"/>
              </w:rPr>
            </w:pPr>
            <w:r w:rsidRPr="00D05956">
              <w:rPr>
                <w:sz w:val="24"/>
                <w:szCs w:val="24"/>
                <w:lang w:val="en-US"/>
              </w:rPr>
              <w:t>4569,8</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2B45F61"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22386,5</w:t>
            </w:r>
          </w:p>
        </w:tc>
        <w:tc>
          <w:tcPr>
            <w:tcW w:w="1317" w:type="dxa"/>
            <w:tcBorders>
              <w:top w:val="single" w:sz="4" w:space="0" w:color="auto"/>
              <w:left w:val="single" w:sz="4" w:space="0" w:color="auto"/>
              <w:bottom w:val="single" w:sz="4" w:space="0" w:color="auto"/>
              <w:right w:val="single" w:sz="4" w:space="0" w:color="auto"/>
            </w:tcBorders>
            <w:vAlign w:val="center"/>
          </w:tcPr>
          <w:p w14:paraId="1F62D965" w14:textId="2911E7FA"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1D135319" w14:textId="2E3AAEEA"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70033899"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Картоп пен көкөніс сақтау жөніндегі инвестициялық жобаларды іске асыру</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69F3B38"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w w:val="99"/>
                <w:sz w:val="24"/>
                <w:szCs w:val="24"/>
                <w:lang w:val="en-US"/>
              </w:rPr>
              <w:t>5</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5AFB3ED"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w w:val="99"/>
                <w:sz w:val="24"/>
                <w:szCs w:val="24"/>
                <w:lang w:val="en-US"/>
              </w:rPr>
              <w:t>6</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0966A1C"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5</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57173F0" w14:textId="77777777" w:rsidR="00825059" w:rsidRPr="00D05956" w:rsidRDefault="00825059" w:rsidP="001D7D7A">
            <w:pPr>
              <w:pStyle w:val="TableParagraph"/>
              <w:jc w:val="center"/>
              <w:rPr>
                <w:w w:val="99"/>
                <w:sz w:val="24"/>
                <w:szCs w:val="24"/>
                <w:lang w:val="en-US"/>
              </w:rPr>
            </w:pPr>
            <w:r w:rsidRPr="00D05956">
              <w:rPr>
                <w:w w:val="99"/>
                <w:sz w:val="24"/>
                <w:szCs w:val="24"/>
                <w:lang w:val="en-US"/>
              </w:rPr>
              <w:t>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7987C5" w14:textId="77777777" w:rsidR="00825059" w:rsidRPr="00D05956" w:rsidRDefault="00825059" w:rsidP="001D7D7A">
            <w:pPr>
              <w:pStyle w:val="TableParagraph"/>
              <w:jc w:val="center"/>
              <w:rPr>
                <w:sz w:val="24"/>
                <w:szCs w:val="24"/>
                <w:lang w:val="en-US"/>
              </w:rPr>
            </w:pPr>
            <w:r w:rsidRPr="00D05956">
              <w:rPr>
                <w:w w:val="99"/>
                <w:sz w:val="24"/>
                <w:szCs w:val="24"/>
                <w:lang w:val="en-US"/>
              </w:rPr>
              <w:t>5</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D5A5247"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26</w:t>
            </w:r>
          </w:p>
        </w:tc>
        <w:tc>
          <w:tcPr>
            <w:tcW w:w="1317" w:type="dxa"/>
            <w:tcBorders>
              <w:top w:val="single" w:sz="4" w:space="0" w:color="auto"/>
              <w:left w:val="single" w:sz="4" w:space="0" w:color="auto"/>
              <w:bottom w:val="single" w:sz="4" w:space="0" w:color="auto"/>
              <w:right w:val="single" w:sz="4" w:space="0" w:color="auto"/>
            </w:tcBorders>
            <w:vAlign w:val="center"/>
          </w:tcPr>
          <w:p w14:paraId="1C551BD4" w14:textId="2EFD30A5"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1072D861" w14:textId="08195F2C"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0967AFBD"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Тұрақты жұмыс орындарын құру</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9CDAE57"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671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2A620CA"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671</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A44AF6A" w14:textId="77777777" w:rsidR="00825059" w:rsidRPr="00D05956" w:rsidRDefault="00825059" w:rsidP="001D7D7A">
            <w:pPr>
              <w:pStyle w:val="TableParagraph"/>
              <w:jc w:val="center"/>
              <w:rPr>
                <w:w w:val="99"/>
                <w:sz w:val="24"/>
                <w:szCs w:val="24"/>
                <w:lang w:val="en-US"/>
              </w:rPr>
            </w:pPr>
            <w:r w:rsidRPr="00D05956">
              <w:rPr>
                <w:sz w:val="24"/>
                <w:szCs w:val="24"/>
                <w:lang w:val="en-US"/>
              </w:rPr>
              <w:t>448</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80A3AAC" w14:textId="77777777" w:rsidR="00825059" w:rsidRPr="00D05956" w:rsidRDefault="00825059" w:rsidP="001D7D7A">
            <w:pPr>
              <w:pStyle w:val="TableParagraph"/>
              <w:jc w:val="center"/>
              <w:rPr>
                <w:w w:val="99"/>
                <w:sz w:val="24"/>
                <w:szCs w:val="24"/>
                <w:lang w:val="en-US"/>
              </w:rPr>
            </w:pPr>
            <w:r w:rsidRPr="00D05956">
              <w:rPr>
                <w:sz w:val="24"/>
                <w:szCs w:val="24"/>
                <w:lang w:val="en-US"/>
              </w:rPr>
              <w:t>281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797EB4" w14:textId="77777777" w:rsidR="00825059" w:rsidRPr="00D05956" w:rsidRDefault="00825059" w:rsidP="001D7D7A">
            <w:pPr>
              <w:pStyle w:val="TableParagraph"/>
              <w:jc w:val="center"/>
              <w:rPr>
                <w:sz w:val="24"/>
                <w:szCs w:val="24"/>
                <w:lang w:val="en-US"/>
              </w:rPr>
            </w:pPr>
            <w:r w:rsidRPr="00D05956">
              <w:rPr>
                <w:sz w:val="24"/>
                <w:szCs w:val="24"/>
                <w:lang w:val="en-US"/>
              </w:rPr>
              <w:t>372</w:t>
            </w:r>
          </w:p>
        </w:tc>
        <w:tc>
          <w:tcPr>
            <w:tcW w:w="1570" w:type="dxa"/>
            <w:tcBorders>
              <w:top w:val="single" w:sz="4" w:space="0" w:color="auto"/>
              <w:left w:val="single" w:sz="4" w:space="0" w:color="auto"/>
              <w:bottom w:val="single" w:sz="4" w:space="0" w:color="auto"/>
              <w:right w:val="single" w:sz="4" w:space="0" w:color="auto"/>
            </w:tcBorders>
            <w:vAlign w:val="center"/>
            <w:hideMark/>
          </w:tcPr>
          <w:p w14:paraId="4EFE64EE"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2443</w:t>
            </w:r>
          </w:p>
        </w:tc>
        <w:tc>
          <w:tcPr>
            <w:tcW w:w="1317" w:type="dxa"/>
            <w:tcBorders>
              <w:top w:val="single" w:sz="4" w:space="0" w:color="auto"/>
              <w:left w:val="single" w:sz="4" w:space="0" w:color="auto"/>
              <w:bottom w:val="single" w:sz="4" w:space="0" w:color="auto"/>
              <w:right w:val="single" w:sz="4" w:space="0" w:color="auto"/>
            </w:tcBorders>
            <w:vAlign w:val="center"/>
          </w:tcPr>
          <w:p w14:paraId="5064D594" w14:textId="42400714"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825059" w:rsidRPr="00D05956" w14:paraId="4AE7AAA6" w14:textId="47626A41" w:rsidTr="00CA2955">
        <w:trPr>
          <w:jc w:val="center"/>
        </w:trPr>
        <w:tc>
          <w:tcPr>
            <w:tcW w:w="6383" w:type="dxa"/>
            <w:tcBorders>
              <w:top w:val="single" w:sz="4" w:space="0" w:color="auto"/>
              <w:left w:val="single" w:sz="4" w:space="0" w:color="auto"/>
              <w:bottom w:val="single" w:sz="4" w:space="0" w:color="auto"/>
              <w:right w:val="single" w:sz="4" w:space="0" w:color="auto"/>
            </w:tcBorders>
            <w:hideMark/>
          </w:tcPr>
          <w:p w14:paraId="20E3B384" w14:textId="77777777" w:rsidR="00825059" w:rsidRPr="00D05956" w:rsidRDefault="00825059"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rPr>
              <w:t>Уақытша жұмыс орындарын құр</w:t>
            </w:r>
            <w:r w:rsidRPr="00D05956">
              <w:rPr>
                <w:rFonts w:ascii="Times New Roman" w:hAnsi="Times New Roman" w:cs="Times New Roman"/>
                <w:color w:val="000000"/>
                <w:spacing w:val="2"/>
                <w:sz w:val="24"/>
                <w:szCs w:val="24"/>
                <w:lang w:val="kk-KZ"/>
              </w:rPr>
              <w:t>у</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A6AA438"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1300</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82AED4E" w14:textId="77777777" w:rsidR="00825059" w:rsidRPr="00D05956" w:rsidRDefault="00825059"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1560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1DEB7EE" w14:textId="77777777" w:rsidR="00825059" w:rsidRPr="00D05956" w:rsidRDefault="00825059" w:rsidP="001D7D7A">
            <w:pPr>
              <w:pStyle w:val="TableParagraph"/>
              <w:jc w:val="center"/>
              <w:rPr>
                <w:w w:val="99"/>
                <w:sz w:val="24"/>
                <w:szCs w:val="24"/>
                <w:lang w:val="en-US"/>
              </w:rPr>
            </w:pPr>
            <w:r w:rsidRPr="00D05956">
              <w:rPr>
                <w:sz w:val="24"/>
                <w:szCs w:val="24"/>
                <w:lang w:val="en-US"/>
              </w:rPr>
              <w:t>1300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8430332" w14:textId="77777777" w:rsidR="00825059" w:rsidRPr="00D05956" w:rsidRDefault="00825059" w:rsidP="001D7D7A">
            <w:pPr>
              <w:pStyle w:val="TableParagraph"/>
              <w:jc w:val="center"/>
              <w:rPr>
                <w:w w:val="99"/>
                <w:sz w:val="24"/>
                <w:szCs w:val="24"/>
                <w:lang w:val="en-US"/>
              </w:rPr>
            </w:pPr>
            <w:r w:rsidRPr="00D05956">
              <w:rPr>
                <w:sz w:val="24"/>
                <w:szCs w:val="24"/>
                <w:lang w:val="en-US"/>
              </w:rPr>
              <w:t>1300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DE77EB" w14:textId="77777777" w:rsidR="00825059" w:rsidRPr="00D05956" w:rsidRDefault="00825059" w:rsidP="001D7D7A">
            <w:pPr>
              <w:pStyle w:val="TableParagraph"/>
              <w:jc w:val="center"/>
              <w:rPr>
                <w:sz w:val="24"/>
                <w:szCs w:val="24"/>
                <w:lang w:val="en-US"/>
              </w:rPr>
            </w:pPr>
            <w:r w:rsidRPr="00D05956">
              <w:rPr>
                <w:sz w:val="24"/>
                <w:szCs w:val="24"/>
                <w:lang w:val="en-US"/>
              </w:rPr>
              <w:t>1300</w:t>
            </w:r>
          </w:p>
        </w:tc>
        <w:tc>
          <w:tcPr>
            <w:tcW w:w="1570" w:type="dxa"/>
            <w:tcBorders>
              <w:top w:val="single" w:sz="4" w:space="0" w:color="auto"/>
              <w:left w:val="single" w:sz="4" w:space="0" w:color="auto"/>
              <w:bottom w:val="single" w:sz="4" w:space="0" w:color="auto"/>
              <w:right w:val="single" w:sz="4" w:space="0" w:color="auto"/>
            </w:tcBorders>
            <w:vAlign w:val="center"/>
            <w:hideMark/>
          </w:tcPr>
          <w:p w14:paraId="6AAB5BA5" w14:textId="77777777" w:rsidR="00825059" w:rsidRPr="00D05956" w:rsidRDefault="00825059"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6760</w:t>
            </w:r>
          </w:p>
        </w:tc>
        <w:tc>
          <w:tcPr>
            <w:tcW w:w="1317" w:type="dxa"/>
            <w:tcBorders>
              <w:top w:val="single" w:sz="4" w:space="0" w:color="auto"/>
              <w:left w:val="single" w:sz="4" w:space="0" w:color="auto"/>
              <w:bottom w:val="single" w:sz="4" w:space="0" w:color="auto"/>
              <w:right w:val="single" w:sz="4" w:space="0" w:color="auto"/>
            </w:tcBorders>
            <w:vAlign w:val="center"/>
          </w:tcPr>
          <w:p w14:paraId="25931123" w14:textId="2D5C5BA4" w:rsidR="00825059"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3EFA726D" w14:textId="1605372C" w:rsidTr="00E9259E">
        <w:trPr>
          <w:jc w:val="center"/>
        </w:trPr>
        <w:tc>
          <w:tcPr>
            <w:tcW w:w="15163" w:type="dxa"/>
            <w:gridSpan w:val="8"/>
            <w:tcBorders>
              <w:top w:val="single" w:sz="4" w:space="0" w:color="auto"/>
              <w:left w:val="single" w:sz="4" w:space="0" w:color="auto"/>
              <w:bottom w:val="single" w:sz="4" w:space="0" w:color="auto"/>
              <w:right w:val="single" w:sz="4" w:space="0" w:color="auto"/>
            </w:tcBorders>
            <w:hideMark/>
          </w:tcPr>
          <w:p w14:paraId="61224316" w14:textId="5D0CED6E" w:rsidR="00CA2955" w:rsidRPr="00D05956" w:rsidRDefault="00CA2955" w:rsidP="00CA2955">
            <w:pPr>
              <w:ind w:firstLine="618"/>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Ескерту – Автормен құрастырылған</w:t>
            </w:r>
          </w:p>
        </w:tc>
      </w:tr>
    </w:tbl>
    <w:p w14:paraId="29048ECC" w14:textId="77777777" w:rsidR="001D7D7A" w:rsidRDefault="001D7D7A"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03A873BD"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706CD24E"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19CCE077"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63CBFEE2"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23FE1326"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6531539F"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3061EB28"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378722B1"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564AACE0" w14:textId="77777777" w:rsidR="00D05956" w:rsidRDefault="00D05956" w:rsidP="001D7D7A">
      <w:pPr>
        <w:spacing w:after="0" w:line="240" w:lineRule="auto"/>
        <w:ind w:firstLine="709"/>
        <w:jc w:val="both"/>
        <w:rPr>
          <w:rFonts w:ascii="Times New Roman" w:eastAsia="Times New Roman" w:hAnsi="Times New Roman" w:cs="Times New Roman"/>
          <w:kern w:val="36"/>
          <w:sz w:val="28"/>
          <w:szCs w:val="28"/>
          <w:lang w:val="kk-KZ" w:eastAsia="ru-RU"/>
        </w:rPr>
      </w:pPr>
    </w:p>
    <w:p w14:paraId="2EE701BA" w14:textId="4585D9C7" w:rsidR="001D7D7A" w:rsidRDefault="001D7D7A" w:rsidP="00D05956">
      <w:pPr>
        <w:spacing w:after="0" w:line="240" w:lineRule="auto"/>
        <w:jc w:val="center"/>
        <w:rPr>
          <w:rFonts w:ascii="Times New Roman" w:eastAsia="Times New Roman" w:hAnsi="Times New Roman" w:cs="Times New Roman"/>
          <w:b/>
          <w:bCs/>
          <w:kern w:val="36"/>
          <w:sz w:val="28"/>
          <w:szCs w:val="28"/>
          <w:lang w:val="kk-KZ" w:eastAsia="ru-RU"/>
        </w:rPr>
      </w:pPr>
      <w:r w:rsidRPr="00645B0F">
        <w:rPr>
          <w:rFonts w:ascii="Times New Roman" w:eastAsia="Times New Roman" w:hAnsi="Times New Roman" w:cs="Times New Roman"/>
          <w:b/>
          <w:bCs/>
          <w:kern w:val="36"/>
          <w:sz w:val="28"/>
          <w:szCs w:val="28"/>
          <w:lang w:val="kk-KZ" w:eastAsia="ru-RU"/>
        </w:rPr>
        <w:t xml:space="preserve">ҚОСЫМША </w:t>
      </w:r>
      <w:r w:rsidR="00D05956">
        <w:rPr>
          <w:rFonts w:ascii="Times New Roman" w:eastAsia="Times New Roman" w:hAnsi="Times New Roman" w:cs="Times New Roman"/>
          <w:b/>
          <w:bCs/>
          <w:kern w:val="36"/>
          <w:sz w:val="28"/>
          <w:szCs w:val="28"/>
          <w:lang w:val="kk-KZ" w:eastAsia="ru-RU"/>
        </w:rPr>
        <w:t>Б</w:t>
      </w:r>
    </w:p>
    <w:p w14:paraId="6F39F956" w14:textId="56D94597" w:rsidR="001D7D7A" w:rsidRDefault="00D05956" w:rsidP="001D7D7A">
      <w:pPr>
        <w:spacing w:after="0" w:line="240" w:lineRule="auto"/>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Қесте Б.1 – </w:t>
      </w:r>
      <w:r w:rsidR="001D7D7A" w:rsidRPr="00E27BED">
        <w:rPr>
          <w:rFonts w:ascii="Times New Roman" w:eastAsia="Times New Roman" w:hAnsi="Times New Roman" w:cs="Times New Roman"/>
          <w:kern w:val="36"/>
          <w:sz w:val="28"/>
          <w:szCs w:val="28"/>
          <w:lang w:val="kk-KZ" w:eastAsia="ru-RU"/>
        </w:rPr>
        <w:t xml:space="preserve">ҚР АӨК дамытудың 2021-2025 жж. ұлттық жобасындағы </w:t>
      </w:r>
      <w:r w:rsidR="001D7D7A" w:rsidRPr="00E27BED">
        <w:rPr>
          <w:rFonts w:ascii="Times New Roman" w:hAnsi="Times New Roman" w:cs="Times New Roman"/>
          <w:sz w:val="28"/>
          <w:szCs w:val="28"/>
          <w:lang w:val="kk-KZ"/>
        </w:rPr>
        <w:t>өңделген өнімнің үлесін 70%-ға дейін жеткізе отырып, АӨК өнімдерінің экспортын 2 есе ұлғайту</w:t>
      </w:r>
      <w:r w:rsidR="001D7D7A" w:rsidRPr="00E27BED">
        <w:rPr>
          <w:rFonts w:ascii="Times New Roman" w:eastAsia="Times New Roman" w:hAnsi="Times New Roman" w:cs="Times New Roman"/>
          <w:kern w:val="36"/>
          <w:sz w:val="28"/>
          <w:szCs w:val="28"/>
          <w:lang w:val="kk-KZ" w:eastAsia="ru-RU"/>
        </w:rPr>
        <w:t xml:space="preserve"> міндетін іске асыруға арналған нәтижелі көрсеткіштер мен іс шаралар</w:t>
      </w:r>
    </w:p>
    <w:p w14:paraId="61D8C41C" w14:textId="77777777" w:rsidR="00D05956" w:rsidRPr="00D05956" w:rsidRDefault="00D05956" w:rsidP="001D7D7A">
      <w:pPr>
        <w:spacing w:after="0" w:line="240" w:lineRule="auto"/>
        <w:jc w:val="both"/>
        <w:rPr>
          <w:rStyle w:val="a4"/>
          <w:kern w:val="36"/>
          <w:sz w:val="16"/>
          <w:szCs w:val="16"/>
          <w:lang w:val="kk-KZ"/>
        </w:rPr>
      </w:pPr>
    </w:p>
    <w:tbl>
      <w:tblPr>
        <w:tblStyle w:val="a3"/>
        <w:tblW w:w="15026" w:type="dxa"/>
        <w:jc w:val="center"/>
        <w:tblLayout w:type="fixed"/>
        <w:tblLook w:val="04A0" w:firstRow="1" w:lastRow="0" w:firstColumn="1" w:lastColumn="0" w:noHBand="0" w:noVBand="1"/>
      </w:tblPr>
      <w:tblGrid>
        <w:gridCol w:w="7063"/>
        <w:gridCol w:w="1119"/>
        <w:gridCol w:w="1245"/>
        <w:gridCol w:w="1190"/>
        <w:gridCol w:w="1063"/>
        <w:gridCol w:w="1067"/>
        <w:gridCol w:w="1134"/>
        <w:gridCol w:w="1134"/>
        <w:gridCol w:w="11"/>
      </w:tblGrid>
      <w:tr w:rsidR="00CA2955" w:rsidRPr="00D05956" w14:paraId="79302AE6" w14:textId="470B1CD5" w:rsidTr="00CA2955">
        <w:trPr>
          <w:jc w:val="center"/>
        </w:trPr>
        <w:tc>
          <w:tcPr>
            <w:tcW w:w="7063" w:type="dxa"/>
            <w:tcBorders>
              <w:top w:val="single" w:sz="4" w:space="0" w:color="auto"/>
              <w:left w:val="single" w:sz="4" w:space="0" w:color="auto"/>
              <w:bottom w:val="single" w:sz="4" w:space="0" w:color="auto"/>
              <w:right w:val="single" w:sz="4" w:space="0" w:color="auto"/>
            </w:tcBorders>
            <w:vAlign w:val="center"/>
            <w:hideMark/>
          </w:tcPr>
          <w:p w14:paraId="1E1F3DFF" w14:textId="77777777" w:rsidR="00CA2955" w:rsidRPr="00D05956" w:rsidRDefault="00CA2955" w:rsidP="00D05956">
            <w:pPr>
              <w:jc w:val="center"/>
              <w:rPr>
                <w:sz w:val="24"/>
                <w:szCs w:val="24"/>
              </w:rPr>
            </w:pPr>
            <w:r w:rsidRPr="00D05956">
              <w:rPr>
                <w:rFonts w:ascii="Times New Roman" w:eastAsia="Times New Roman" w:hAnsi="Times New Roman" w:cs="Times New Roman"/>
                <w:kern w:val="36"/>
                <w:sz w:val="24"/>
                <w:szCs w:val="24"/>
                <w:lang w:val="kk-KZ" w:eastAsia="ru-RU"/>
              </w:rPr>
              <w:t>Нысаналы индикаторлар</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F9A2CBD" w14:textId="77777777" w:rsidR="00CA2955" w:rsidRPr="00D05956" w:rsidRDefault="00CA2955" w:rsidP="00D05956">
            <w:pPr>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20</w:t>
            </w:r>
            <w:r w:rsidRPr="00D05956">
              <w:rPr>
                <w:rFonts w:ascii="Times New Roman" w:eastAsia="Times New Roman" w:hAnsi="Times New Roman" w:cs="Times New Roman"/>
                <w:kern w:val="36"/>
                <w:sz w:val="24"/>
                <w:szCs w:val="24"/>
                <w:lang w:val="kk-KZ" w:eastAsia="ru-RU"/>
              </w:rPr>
              <w:t>21</w:t>
            </w:r>
            <w:r w:rsidRPr="00D05956">
              <w:rPr>
                <w:rFonts w:ascii="Times New Roman" w:eastAsia="Times New Roman" w:hAnsi="Times New Roman" w:cs="Times New Roman"/>
                <w:kern w:val="36"/>
                <w:sz w:val="24"/>
                <w:szCs w:val="24"/>
                <w:lang w:eastAsia="ru-RU"/>
              </w:rPr>
              <w:t xml:space="preserve"> жыл</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8B324FA"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2022 жыл</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B9E6E41"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2023 жыл</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7F86884"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2024 жыл</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FCE4C91"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2025 жыл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5C54DB" w14:textId="496FD204"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Жиыны</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105DDFB0" w14:textId="0AD6BAB0" w:rsidR="00CA2955" w:rsidRPr="00CA2955" w:rsidRDefault="00CA2955" w:rsidP="00CA2955">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val="kk-KZ" w:eastAsia="ru-RU"/>
              </w:rPr>
              <w:t xml:space="preserve">Құрылымы, </w:t>
            </w:r>
            <w:r>
              <w:rPr>
                <w:rFonts w:ascii="Times New Roman" w:eastAsia="Times New Roman" w:hAnsi="Times New Roman" w:cs="Times New Roman"/>
                <w:kern w:val="36"/>
                <w:sz w:val="24"/>
                <w:szCs w:val="24"/>
                <w:lang w:eastAsia="ru-RU"/>
              </w:rPr>
              <w:t>%</w:t>
            </w:r>
          </w:p>
        </w:tc>
      </w:tr>
      <w:tr w:rsidR="00CA2955" w:rsidRPr="00D05956" w14:paraId="707AB219" w14:textId="7C5B2146" w:rsidTr="00CA2955">
        <w:trPr>
          <w:jc w:val="center"/>
        </w:trPr>
        <w:tc>
          <w:tcPr>
            <w:tcW w:w="7063" w:type="dxa"/>
            <w:tcBorders>
              <w:top w:val="single" w:sz="4" w:space="0" w:color="auto"/>
              <w:left w:val="single" w:sz="4" w:space="0" w:color="auto"/>
              <w:bottom w:val="single" w:sz="4" w:space="0" w:color="auto"/>
              <w:right w:val="single" w:sz="4" w:space="0" w:color="auto"/>
            </w:tcBorders>
            <w:vAlign w:val="center"/>
          </w:tcPr>
          <w:p w14:paraId="17CE3E5F" w14:textId="2E0F5DF9"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1119" w:type="dxa"/>
            <w:tcBorders>
              <w:top w:val="single" w:sz="4" w:space="0" w:color="auto"/>
              <w:left w:val="single" w:sz="4" w:space="0" w:color="auto"/>
              <w:bottom w:val="single" w:sz="4" w:space="0" w:color="auto"/>
              <w:right w:val="single" w:sz="4" w:space="0" w:color="auto"/>
            </w:tcBorders>
            <w:vAlign w:val="center"/>
          </w:tcPr>
          <w:p w14:paraId="5E3B74A3" w14:textId="1E94DAB9" w:rsidR="00CA2955" w:rsidRPr="00B42F8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1245" w:type="dxa"/>
            <w:tcBorders>
              <w:top w:val="single" w:sz="4" w:space="0" w:color="auto"/>
              <w:left w:val="single" w:sz="4" w:space="0" w:color="auto"/>
              <w:bottom w:val="single" w:sz="4" w:space="0" w:color="auto"/>
              <w:right w:val="single" w:sz="4" w:space="0" w:color="auto"/>
            </w:tcBorders>
            <w:vAlign w:val="center"/>
          </w:tcPr>
          <w:p w14:paraId="29F67EE9" w14:textId="4F97A6B3"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1190" w:type="dxa"/>
            <w:tcBorders>
              <w:top w:val="single" w:sz="4" w:space="0" w:color="auto"/>
              <w:left w:val="single" w:sz="4" w:space="0" w:color="auto"/>
              <w:bottom w:val="single" w:sz="4" w:space="0" w:color="auto"/>
              <w:right w:val="single" w:sz="4" w:space="0" w:color="auto"/>
            </w:tcBorders>
            <w:vAlign w:val="center"/>
          </w:tcPr>
          <w:p w14:paraId="706F877C" w14:textId="07E30369"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1063" w:type="dxa"/>
            <w:tcBorders>
              <w:top w:val="single" w:sz="4" w:space="0" w:color="auto"/>
              <w:left w:val="single" w:sz="4" w:space="0" w:color="auto"/>
              <w:bottom w:val="single" w:sz="4" w:space="0" w:color="auto"/>
              <w:right w:val="single" w:sz="4" w:space="0" w:color="auto"/>
            </w:tcBorders>
            <w:vAlign w:val="center"/>
          </w:tcPr>
          <w:p w14:paraId="01AD8DE5" w14:textId="2B069994"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1067" w:type="dxa"/>
            <w:tcBorders>
              <w:top w:val="single" w:sz="4" w:space="0" w:color="auto"/>
              <w:left w:val="single" w:sz="4" w:space="0" w:color="auto"/>
              <w:bottom w:val="single" w:sz="4" w:space="0" w:color="auto"/>
              <w:right w:val="single" w:sz="4" w:space="0" w:color="auto"/>
            </w:tcBorders>
            <w:vAlign w:val="center"/>
          </w:tcPr>
          <w:p w14:paraId="7A29489A" w14:textId="373E92B7"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1CD347EB" w14:textId="768F490C"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4F187F6D" w14:textId="40C06442" w:rsidR="00CA2955"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CA2955" w:rsidRPr="00D05956" w14:paraId="6F5317E7" w14:textId="79DD6251"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47EAB57C" w14:textId="77777777" w:rsidR="00CA2955" w:rsidRPr="00D05956" w:rsidRDefault="00CA2955"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3-міндет.</w:t>
            </w:r>
            <w:r w:rsidRPr="00D05956">
              <w:rPr>
                <w:rFonts w:ascii="Times New Roman" w:hAnsi="Times New Roman" w:cs="Times New Roman"/>
                <w:sz w:val="24"/>
                <w:szCs w:val="24"/>
                <w:lang w:val="kk-KZ"/>
              </w:rPr>
              <w:t>Өңделген өнімнің үлесін 70%-ға дейін жеткізе отырып, АӨК өнімдерінің экспортын 2 есе ұлғайту, млн.тг</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2414086" w14:textId="77777777" w:rsidR="00CA2955" w:rsidRPr="00D05956" w:rsidRDefault="00CA2955" w:rsidP="001D7D7A">
            <w:pPr>
              <w:pStyle w:val="TableParagraph"/>
              <w:jc w:val="center"/>
              <w:rPr>
                <w:sz w:val="24"/>
                <w:szCs w:val="24"/>
              </w:rPr>
            </w:pPr>
            <w:r w:rsidRPr="00D05956">
              <w:rPr>
                <w:sz w:val="24"/>
                <w:szCs w:val="24"/>
                <w:lang w:val="en-US"/>
              </w:rPr>
              <w:t>277041</w:t>
            </w:r>
            <w:r w:rsidRPr="00D05956">
              <w:rPr>
                <w:sz w:val="24"/>
                <w:szCs w:val="24"/>
              </w:rPr>
              <w:t>,2</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C550C6D" w14:textId="77777777" w:rsidR="00CA2955" w:rsidRPr="00D05956" w:rsidRDefault="00CA2955" w:rsidP="001D7D7A">
            <w:pPr>
              <w:pStyle w:val="TableParagraph"/>
              <w:jc w:val="center"/>
              <w:rPr>
                <w:sz w:val="24"/>
                <w:szCs w:val="24"/>
                <w:lang w:val="en-US"/>
              </w:rPr>
            </w:pPr>
            <w:r w:rsidRPr="00D05956">
              <w:rPr>
                <w:sz w:val="24"/>
                <w:szCs w:val="24"/>
                <w:lang w:val="en-US"/>
              </w:rPr>
              <w:t>318724,2</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5CA90D6" w14:textId="77777777" w:rsidR="00CA2955" w:rsidRPr="00D05956" w:rsidRDefault="00CA2955" w:rsidP="001D7D7A">
            <w:pPr>
              <w:pStyle w:val="TableParagraph"/>
              <w:jc w:val="center"/>
              <w:rPr>
                <w:sz w:val="24"/>
                <w:szCs w:val="24"/>
                <w:lang w:val="en-US"/>
              </w:rPr>
            </w:pPr>
            <w:r w:rsidRPr="00D05956">
              <w:rPr>
                <w:sz w:val="24"/>
                <w:szCs w:val="24"/>
                <w:lang w:val="en-US"/>
              </w:rPr>
              <w:t>174788,7</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7231020" w14:textId="77777777" w:rsidR="00CA2955" w:rsidRPr="00D05956" w:rsidRDefault="00CA2955" w:rsidP="001D7D7A">
            <w:pPr>
              <w:pStyle w:val="TableParagraph"/>
              <w:jc w:val="center"/>
              <w:rPr>
                <w:sz w:val="24"/>
                <w:szCs w:val="24"/>
                <w:lang w:val="en-US"/>
              </w:rPr>
            </w:pPr>
            <w:r w:rsidRPr="00D05956">
              <w:rPr>
                <w:sz w:val="24"/>
                <w:szCs w:val="24"/>
                <w:lang w:val="en-US"/>
              </w:rPr>
              <w:t>67698</w:t>
            </w:r>
            <w:r w:rsidRPr="00D05956">
              <w:rPr>
                <w:sz w:val="24"/>
                <w:szCs w:val="24"/>
              </w:rPr>
              <w:t>,</w:t>
            </w:r>
            <w:r w:rsidRPr="00D05956">
              <w:rPr>
                <w:sz w:val="24"/>
                <w:szCs w:val="24"/>
                <w:lang w:val="en-US"/>
              </w:rPr>
              <w:t>9</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72E5FD0" w14:textId="77777777" w:rsidR="00CA2955" w:rsidRPr="00D05956" w:rsidRDefault="00CA2955" w:rsidP="001D7D7A">
            <w:pPr>
              <w:pStyle w:val="TableParagraph"/>
              <w:jc w:val="center"/>
              <w:rPr>
                <w:sz w:val="24"/>
                <w:szCs w:val="24"/>
                <w:lang w:val="en-US"/>
              </w:rPr>
            </w:pPr>
            <w:r w:rsidRPr="00D05956">
              <w:rPr>
                <w:sz w:val="24"/>
                <w:szCs w:val="24"/>
                <w:lang w:val="en-US"/>
              </w:rPr>
              <w:t>85240,6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1E6D4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923493,6</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D11C8F1" w14:textId="4A30E15F"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100,0</w:t>
            </w:r>
          </w:p>
        </w:tc>
      </w:tr>
      <w:tr w:rsidR="00CA2955" w:rsidRPr="00D05956" w14:paraId="21F6B307" w14:textId="6E56A7C7"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61C8F453" w14:textId="77777777" w:rsidR="00CA2955" w:rsidRPr="00D05956" w:rsidRDefault="00CA2955"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1-көрсеткіш.</w:t>
            </w:r>
            <w:r w:rsidRPr="00D05956">
              <w:rPr>
                <w:rFonts w:ascii="Times New Roman" w:hAnsi="Times New Roman" w:cs="Times New Roman"/>
                <w:sz w:val="24"/>
                <w:szCs w:val="24"/>
                <w:lang w:val="kk-KZ"/>
              </w:rPr>
              <w:t xml:space="preserve"> АӨК өнімдерінің экспортын 2019 жылғы деңгеймен салыстырғанда 2 есе ұлғайту, млрд АҚШ доллары</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551F44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4,3</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415701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4,6</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579AE1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819A29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5,6</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A7F781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DC54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26</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0D6F8285" w14:textId="5042CC62"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669E18BE" w14:textId="09EEDA4C"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103ED2C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2-көрсеткіш.</w:t>
            </w:r>
            <w:r w:rsidRPr="00D05956">
              <w:rPr>
                <w:rFonts w:ascii="Times New Roman" w:hAnsi="Times New Roman" w:cs="Times New Roman"/>
                <w:sz w:val="24"/>
                <w:szCs w:val="24"/>
                <w:lang w:val="kk-KZ"/>
              </w:rPr>
              <w:t xml:space="preserve"> АӨК өнімдері экспортының жалпы көлеміндегі өңделген өнімдердің үлесі, %-бен</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529282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35</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6F771A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40</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DCF368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16BE1B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2BEE8F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FB5FF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2B394F02" w14:textId="2DA7A165"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6D381B4E" w14:textId="5098B872"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A2814D4"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Ауыл шаруашылығы өнімдерін (ұн, макарондар, жарма, ет, сүт, май-тоңмай, жеміс-көкөніс өнімі, кондитерлік өнім, алкогольсіз сусындар, сондай-ақ астықты терең өңдеу өнімі) өңдеу жөніндегі экспортқа бағдарланған инвестициялық жобаларды іске асыру, жобалар саны</w:t>
            </w:r>
            <w:r w:rsidRPr="00D05956">
              <w:rPr>
                <w:rFonts w:ascii="Times New Roman" w:eastAsia="Times New Roman" w:hAnsi="Times New Roman" w:cs="Times New Roman"/>
                <w:kern w:val="36"/>
                <w:sz w:val="24"/>
                <w:szCs w:val="24"/>
                <w:lang w:val="kk-KZ" w:eastAsia="ru-RU"/>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EB3E0C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5C240D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65</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83EC4E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B13FC3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8BF122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287C5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194</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0DE8DA83" w14:textId="12E778B6"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6081EE07" w14:textId="3913990D" w:rsidTr="00CA2955">
        <w:trPr>
          <w:trHeight w:val="60"/>
          <w:jc w:val="center"/>
        </w:trPr>
        <w:tc>
          <w:tcPr>
            <w:tcW w:w="7063" w:type="dxa"/>
            <w:tcBorders>
              <w:top w:val="single" w:sz="4" w:space="0" w:color="auto"/>
              <w:left w:val="single" w:sz="4" w:space="0" w:color="auto"/>
              <w:bottom w:val="single" w:sz="4" w:space="0" w:color="auto"/>
              <w:right w:val="single" w:sz="4" w:space="0" w:color="auto"/>
            </w:tcBorders>
            <w:hideMark/>
          </w:tcPr>
          <w:p w14:paraId="1C7C748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бөлінген қаражат млн.тг,</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D8F15D0" w14:textId="77777777" w:rsidR="00CA2955" w:rsidRPr="00D05956" w:rsidRDefault="00CA2955" w:rsidP="001D7D7A">
            <w:pPr>
              <w:pStyle w:val="TableParagraph"/>
              <w:jc w:val="center"/>
              <w:rPr>
                <w:sz w:val="24"/>
                <w:szCs w:val="24"/>
                <w:lang w:val="en-US"/>
              </w:rPr>
            </w:pPr>
            <w:r w:rsidRPr="00D05956">
              <w:rPr>
                <w:sz w:val="24"/>
                <w:szCs w:val="24"/>
                <w:lang w:val="en-US"/>
              </w:rPr>
              <w:t>250270</w:t>
            </w:r>
            <w:r w:rsidRPr="00D05956">
              <w:rPr>
                <w:sz w:val="24"/>
                <w:szCs w:val="24"/>
              </w:rPr>
              <w:t>,</w:t>
            </w:r>
            <w:r w:rsidRPr="00D05956">
              <w:rPr>
                <w:sz w:val="24"/>
                <w:szCs w:val="24"/>
                <w:lang w:val="en-US"/>
              </w:rPr>
              <w:t>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544C44D" w14:textId="77777777" w:rsidR="00CA2955" w:rsidRPr="00D05956" w:rsidRDefault="00CA2955" w:rsidP="001D7D7A">
            <w:pPr>
              <w:pStyle w:val="TableParagraph"/>
              <w:jc w:val="center"/>
              <w:rPr>
                <w:sz w:val="24"/>
                <w:szCs w:val="24"/>
              </w:rPr>
            </w:pPr>
            <w:r w:rsidRPr="00D05956">
              <w:rPr>
                <w:sz w:val="24"/>
                <w:szCs w:val="24"/>
                <w:lang w:val="en-US"/>
              </w:rPr>
              <w:t>290492</w:t>
            </w:r>
            <w:r w:rsidRPr="00D05956">
              <w:rPr>
                <w:sz w:val="24"/>
                <w:szCs w:val="24"/>
              </w:rPr>
              <w:t>,7</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A2B7B7D" w14:textId="77777777" w:rsidR="00CA2955" w:rsidRPr="00D05956" w:rsidRDefault="00CA2955" w:rsidP="001D7D7A">
            <w:pPr>
              <w:pStyle w:val="TableParagraph"/>
              <w:jc w:val="center"/>
              <w:rPr>
                <w:sz w:val="24"/>
                <w:szCs w:val="24"/>
              </w:rPr>
            </w:pPr>
            <w:r w:rsidRPr="00D05956">
              <w:rPr>
                <w:sz w:val="24"/>
                <w:szCs w:val="24"/>
                <w:lang w:val="en-US"/>
              </w:rPr>
              <w:t>174295</w:t>
            </w:r>
            <w:r w:rsidRPr="00D05956">
              <w:rPr>
                <w:sz w:val="24"/>
                <w:szCs w:val="24"/>
              </w:rPr>
              <w:t>,6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12D491E" w14:textId="77777777" w:rsidR="00CA2955" w:rsidRPr="00D05956" w:rsidRDefault="00CA2955" w:rsidP="001D7D7A">
            <w:pPr>
              <w:pStyle w:val="TableParagraph"/>
              <w:jc w:val="center"/>
              <w:rPr>
                <w:sz w:val="24"/>
                <w:szCs w:val="24"/>
              </w:rPr>
            </w:pPr>
            <w:r w:rsidRPr="00D05956">
              <w:rPr>
                <w:sz w:val="24"/>
                <w:szCs w:val="24"/>
                <w:lang w:val="en-US"/>
              </w:rPr>
              <w:t>67036</w:t>
            </w:r>
            <w:r w:rsidRPr="00D05956">
              <w:rPr>
                <w:sz w:val="24"/>
                <w:szCs w:val="24"/>
              </w:rPr>
              <w:t>,7</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15AF484" w14:textId="77777777" w:rsidR="00CA2955" w:rsidRPr="00D05956" w:rsidRDefault="00CA2955" w:rsidP="001D7D7A">
            <w:pPr>
              <w:pStyle w:val="TableParagraph"/>
              <w:jc w:val="center"/>
              <w:rPr>
                <w:sz w:val="24"/>
                <w:szCs w:val="24"/>
                <w:lang w:val="en-US"/>
              </w:rPr>
            </w:pPr>
            <w:r w:rsidRPr="00D05956">
              <w:rPr>
                <w:sz w:val="24"/>
                <w:szCs w:val="24"/>
                <w:lang w:val="en-US"/>
              </w:rPr>
              <w:t>84913</w:t>
            </w:r>
            <w:r w:rsidRPr="00D05956">
              <w:rPr>
                <w:sz w:val="24"/>
                <w:szCs w:val="24"/>
              </w:rPr>
              <w:t>,</w:t>
            </w:r>
            <w:r w:rsidRPr="00D05956">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63460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867009,0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FE349CF" w14:textId="60F277F0"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93,88</w:t>
            </w:r>
          </w:p>
        </w:tc>
      </w:tr>
      <w:tr w:rsidR="00CA2955" w:rsidRPr="00D05956" w14:paraId="16377C9D" w14:textId="0D936BFC"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739575EE"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w:t>
            </w:r>
            <w:r w:rsidRPr="00D05956">
              <w:rPr>
                <w:rFonts w:ascii="Times New Roman" w:hAnsi="Times New Roman" w:cs="Times New Roman"/>
                <w:sz w:val="24"/>
                <w:szCs w:val="24"/>
                <w:lang w:val="kk-KZ"/>
              </w:rPr>
              <w:t>АӨК өнімдері үшін экспорттық нарықтарды ашу</w:t>
            </w:r>
          </w:p>
        </w:tc>
        <w:tc>
          <w:tcPr>
            <w:tcW w:w="6818" w:type="dxa"/>
            <w:gridSpan w:val="6"/>
            <w:tcBorders>
              <w:top w:val="single" w:sz="4" w:space="0" w:color="auto"/>
              <w:left w:val="single" w:sz="4" w:space="0" w:color="auto"/>
              <w:bottom w:val="single" w:sz="4" w:space="0" w:color="auto"/>
              <w:right w:val="single" w:sz="4" w:space="0" w:color="auto"/>
            </w:tcBorders>
            <w:vAlign w:val="center"/>
            <w:hideMark/>
          </w:tcPr>
          <w:p w14:paraId="47DA212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6BA25798" w14:textId="77777777" w:rsidR="00CA2955" w:rsidRPr="00D05956" w:rsidRDefault="00CA2955" w:rsidP="00CA2955">
            <w:pPr>
              <w:jc w:val="center"/>
              <w:rPr>
                <w:rFonts w:ascii="Times New Roman" w:eastAsia="Times New Roman" w:hAnsi="Times New Roman" w:cs="Times New Roman"/>
                <w:kern w:val="36"/>
                <w:sz w:val="24"/>
                <w:szCs w:val="24"/>
                <w:lang w:val="kk-KZ" w:eastAsia="ru-RU"/>
              </w:rPr>
            </w:pPr>
          </w:p>
        </w:tc>
      </w:tr>
      <w:tr w:rsidR="00CA2955" w:rsidRPr="00D05956" w14:paraId="4389A9ED" w14:textId="4E075323"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69B44E8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3-көрсеткіш. Өндірісі халықаралық стандарт (оның ішінде GMP-стандарт) бойынша сертификатталған жануарлардың аса қауіпті ауруларына қарсы ветеринариялық препараттардың үлесі </w:t>
            </w:r>
            <w:r w:rsidRPr="00D05956">
              <w:rPr>
                <w:rFonts w:ascii="Times New Roman" w:eastAsia="Times New Roman" w:hAnsi="Times New Roman" w:cs="Times New Roman"/>
                <w:kern w:val="36"/>
                <w:sz w:val="24"/>
                <w:szCs w:val="24"/>
                <w:lang w:val="kk-KZ" w:eastAsia="ru-RU"/>
              </w:rPr>
              <w:t>70</w:t>
            </w:r>
            <w:r w:rsidRPr="00D05956">
              <w:rPr>
                <w:rFonts w:ascii="Times New Roman" w:hAnsi="Times New Roman" w:cs="Times New Roman"/>
                <w:color w:val="000000"/>
                <w:spacing w:val="2"/>
                <w:sz w:val="24"/>
                <w:szCs w:val="24"/>
                <w:shd w:val="clear" w:color="auto" w:fill="FFFFFF"/>
                <w:lang w:val="kk-KZ"/>
              </w:rPr>
              <w:t xml:space="preserve">%-бен, млн.теңге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535736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65,7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E99E30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65,7</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0A779D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70,0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3FA992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FD1674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73AB9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55781,7</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0A0D355E" w14:textId="50F024D4"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06E33B23" w14:textId="37C50DD9"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1348B142"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4-көрсеткіш. Қауіпсіздік көрсеткіштері бойынша мониторингтелуі тиіс тамақ өнімдерін қамту үлесі </w:t>
            </w:r>
            <w:r w:rsidRPr="00D05956">
              <w:rPr>
                <w:rFonts w:ascii="Times New Roman" w:eastAsia="Times New Roman" w:hAnsi="Times New Roman" w:cs="Times New Roman"/>
                <w:kern w:val="36"/>
                <w:sz w:val="24"/>
                <w:szCs w:val="24"/>
                <w:lang w:val="kk-KZ" w:eastAsia="ru-RU"/>
              </w:rPr>
              <w:t>65</w:t>
            </w:r>
            <w:r w:rsidRPr="00D05956">
              <w:rPr>
                <w:rFonts w:ascii="Times New Roman" w:hAnsi="Times New Roman" w:cs="Times New Roman"/>
                <w:color w:val="000000"/>
                <w:spacing w:val="2"/>
                <w:sz w:val="24"/>
                <w:szCs w:val="24"/>
                <w:shd w:val="clear" w:color="auto" w:fill="FFFFFF"/>
                <w:lang w:val="kk-KZ"/>
              </w:rPr>
              <w:t xml:space="preserve">%-бен, млн.тг.,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6C4E16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0,64*</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A072D1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0,65*</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05A9A6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0,65**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EE3798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7BAFF5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E2CD1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702,8</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1DB1083D" w14:textId="27C1AF69"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0099DEA8" w14:textId="2B95CDCD"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660554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1-іс-шара. Ветеринариялық іс-шараларды жүргізу, млн.тг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8B45B0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A1544BB" w14:textId="77777777" w:rsidR="00CA2955" w:rsidRPr="00D05956" w:rsidRDefault="00CA2955" w:rsidP="001D7D7A">
            <w:pPr>
              <w:pStyle w:val="TableParagraph"/>
              <w:jc w:val="center"/>
              <w:rPr>
                <w:sz w:val="24"/>
                <w:szCs w:val="24"/>
                <w:lang w:val="en-US"/>
              </w:rPr>
            </w:pPr>
            <w:r w:rsidRPr="00D05956">
              <w:rPr>
                <w:sz w:val="24"/>
                <w:szCs w:val="24"/>
                <w:lang w:val="en-US"/>
              </w:rPr>
              <w:t>23869</w:t>
            </w:r>
            <w:r w:rsidRPr="00D05956">
              <w:rPr>
                <w:sz w:val="24"/>
                <w:szCs w:val="24"/>
                <w:lang w:val="kk-KZ"/>
              </w:rPr>
              <w:t>,</w:t>
            </w:r>
            <w:r w:rsidRPr="00D05956">
              <w:rPr>
                <w:sz w:val="24"/>
                <w:szCs w:val="24"/>
                <w:lang w:val="en-US"/>
              </w:rPr>
              <w:t>9</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CFA9952" w14:textId="77777777" w:rsidR="00CA2955" w:rsidRPr="00D05956" w:rsidRDefault="00CA2955" w:rsidP="001D7D7A">
            <w:pPr>
              <w:pStyle w:val="TableParagraph"/>
              <w:jc w:val="center"/>
              <w:rPr>
                <w:sz w:val="24"/>
                <w:szCs w:val="24"/>
                <w:lang w:val="en-US"/>
              </w:rPr>
            </w:pPr>
            <w:r w:rsidRPr="00D05956">
              <w:rPr>
                <w:sz w:val="24"/>
                <w:szCs w:val="24"/>
                <w:lang w:val="en-US"/>
              </w:rPr>
              <w:t>24845</w:t>
            </w:r>
            <w:r w:rsidRPr="00D05956">
              <w:rPr>
                <w:sz w:val="24"/>
                <w:szCs w:val="24"/>
                <w:lang w:val="kk-KZ"/>
              </w:rPr>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4D89B0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4C05D3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C5FD7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48715,1</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2D04E972" w14:textId="2466BDAB"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5,28</w:t>
            </w:r>
          </w:p>
        </w:tc>
      </w:tr>
      <w:tr w:rsidR="00CA2955" w:rsidRPr="00D05956" w14:paraId="488A277A" w14:textId="307C8831"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29FF8264"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 Ветеринариялық препараттардың айналысын фармакологиялық қадағалау</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A39F90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D12A1C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ED5709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D4E13A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7548E4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E27AB4" w14:textId="77777777" w:rsidR="00CA2955" w:rsidRPr="00D05956" w:rsidRDefault="00CA2955" w:rsidP="00B42F86">
            <w:pPr>
              <w:ind w:left="-54"/>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481881C" w14:textId="148717CC" w:rsidR="00CA2955" w:rsidRPr="00D05956" w:rsidRDefault="00CA2955" w:rsidP="00CA2955">
            <w:pPr>
              <w:ind w:left="-54"/>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59949FAB" w14:textId="684F5883" w:rsidTr="00CA2955">
        <w:trPr>
          <w:jc w:val="center"/>
        </w:trPr>
        <w:tc>
          <w:tcPr>
            <w:tcW w:w="7063" w:type="dxa"/>
            <w:tcBorders>
              <w:top w:val="single" w:sz="4" w:space="0" w:color="auto"/>
              <w:left w:val="single" w:sz="4" w:space="0" w:color="auto"/>
              <w:bottom w:val="nil"/>
              <w:right w:val="single" w:sz="4" w:space="0" w:color="auto"/>
            </w:tcBorders>
            <w:hideMark/>
          </w:tcPr>
          <w:p w14:paraId="7719563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НҚА-ға өзгерістер енгізу, бірл.</w:t>
            </w:r>
          </w:p>
        </w:tc>
        <w:tc>
          <w:tcPr>
            <w:tcW w:w="1119" w:type="dxa"/>
            <w:tcBorders>
              <w:top w:val="single" w:sz="4" w:space="0" w:color="auto"/>
              <w:left w:val="single" w:sz="4" w:space="0" w:color="auto"/>
              <w:bottom w:val="nil"/>
              <w:right w:val="single" w:sz="4" w:space="0" w:color="auto"/>
            </w:tcBorders>
            <w:vAlign w:val="center"/>
            <w:hideMark/>
          </w:tcPr>
          <w:p w14:paraId="220DBFE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nil"/>
              <w:right w:val="single" w:sz="4" w:space="0" w:color="auto"/>
            </w:tcBorders>
            <w:vAlign w:val="center"/>
            <w:hideMark/>
          </w:tcPr>
          <w:p w14:paraId="048873E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nil"/>
              <w:right w:val="single" w:sz="4" w:space="0" w:color="auto"/>
            </w:tcBorders>
            <w:vAlign w:val="center"/>
            <w:hideMark/>
          </w:tcPr>
          <w:p w14:paraId="01D38DC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nil"/>
              <w:right w:val="single" w:sz="4" w:space="0" w:color="auto"/>
            </w:tcBorders>
            <w:vAlign w:val="center"/>
            <w:hideMark/>
          </w:tcPr>
          <w:p w14:paraId="2BF401B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nil"/>
              <w:right w:val="single" w:sz="4" w:space="0" w:color="auto"/>
            </w:tcBorders>
            <w:vAlign w:val="center"/>
            <w:hideMark/>
          </w:tcPr>
          <w:p w14:paraId="4AF26FD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34" w:type="dxa"/>
            <w:tcBorders>
              <w:top w:val="single" w:sz="4" w:space="0" w:color="auto"/>
              <w:left w:val="single" w:sz="4" w:space="0" w:color="auto"/>
              <w:bottom w:val="nil"/>
              <w:right w:val="single" w:sz="4" w:space="0" w:color="auto"/>
            </w:tcBorders>
            <w:vAlign w:val="center"/>
            <w:hideMark/>
          </w:tcPr>
          <w:p w14:paraId="51B9A24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45" w:type="dxa"/>
            <w:gridSpan w:val="2"/>
            <w:tcBorders>
              <w:top w:val="single" w:sz="4" w:space="0" w:color="auto"/>
              <w:left w:val="single" w:sz="4" w:space="0" w:color="auto"/>
              <w:bottom w:val="nil"/>
              <w:right w:val="single" w:sz="4" w:space="0" w:color="auto"/>
            </w:tcBorders>
            <w:vAlign w:val="center"/>
          </w:tcPr>
          <w:p w14:paraId="47037839" w14:textId="1DA8BC50"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5758EFFB" w14:textId="6B280C5B" w:rsidTr="00CA2955">
        <w:trPr>
          <w:jc w:val="center"/>
        </w:trPr>
        <w:tc>
          <w:tcPr>
            <w:tcW w:w="13881" w:type="dxa"/>
            <w:gridSpan w:val="7"/>
            <w:tcBorders>
              <w:top w:val="nil"/>
              <w:left w:val="nil"/>
              <w:bottom w:val="single" w:sz="4" w:space="0" w:color="auto"/>
              <w:right w:val="nil"/>
            </w:tcBorders>
            <w:vAlign w:val="center"/>
          </w:tcPr>
          <w:p w14:paraId="568E92B6" w14:textId="369F39B1" w:rsidR="00CA2955" w:rsidRPr="00B42F86" w:rsidRDefault="00CA2955" w:rsidP="00B42F86">
            <w:pPr>
              <w:ind w:hanging="104"/>
              <w:rPr>
                <w:rFonts w:ascii="Times New Roman" w:eastAsia="Times New Roman" w:hAnsi="Times New Roman" w:cs="Times New Roman"/>
                <w:kern w:val="36"/>
                <w:sz w:val="28"/>
                <w:szCs w:val="28"/>
                <w:lang w:val="kk-KZ" w:eastAsia="ru-RU"/>
              </w:rPr>
            </w:pPr>
            <w:r w:rsidRPr="00B42F86">
              <w:rPr>
                <w:rFonts w:ascii="Times New Roman" w:eastAsia="Times New Roman" w:hAnsi="Times New Roman" w:cs="Times New Roman"/>
                <w:kern w:val="36"/>
                <w:sz w:val="28"/>
                <w:szCs w:val="28"/>
                <w:lang w:val="kk-KZ" w:eastAsia="ru-RU"/>
              </w:rPr>
              <w:t>Б.1-кестенің жалғасы</w:t>
            </w:r>
          </w:p>
          <w:p w14:paraId="52AD245D" w14:textId="0A00AA36" w:rsidR="00CA2955" w:rsidRPr="00B42F86" w:rsidRDefault="00CA2955" w:rsidP="002A47D3">
            <w:pPr>
              <w:jc w:val="center"/>
              <w:rPr>
                <w:rFonts w:ascii="Times New Roman" w:eastAsia="Times New Roman" w:hAnsi="Times New Roman" w:cs="Times New Roman"/>
                <w:kern w:val="36"/>
                <w:sz w:val="16"/>
                <w:szCs w:val="16"/>
                <w:lang w:val="kk-KZ" w:eastAsia="ru-RU"/>
              </w:rPr>
            </w:pPr>
          </w:p>
        </w:tc>
        <w:tc>
          <w:tcPr>
            <w:tcW w:w="1145" w:type="dxa"/>
            <w:gridSpan w:val="2"/>
            <w:tcBorders>
              <w:top w:val="nil"/>
              <w:left w:val="nil"/>
              <w:bottom w:val="single" w:sz="4" w:space="0" w:color="auto"/>
              <w:right w:val="nil"/>
            </w:tcBorders>
            <w:vAlign w:val="center"/>
          </w:tcPr>
          <w:p w14:paraId="7A6EDD3D" w14:textId="77777777" w:rsidR="00CA2955" w:rsidRPr="00B42F86" w:rsidRDefault="00CA2955" w:rsidP="00CA2955">
            <w:pPr>
              <w:ind w:hanging="104"/>
              <w:jc w:val="center"/>
              <w:rPr>
                <w:rFonts w:ascii="Times New Roman" w:eastAsia="Times New Roman" w:hAnsi="Times New Roman" w:cs="Times New Roman"/>
                <w:kern w:val="36"/>
                <w:sz w:val="28"/>
                <w:szCs w:val="28"/>
                <w:lang w:val="kk-KZ" w:eastAsia="ru-RU"/>
              </w:rPr>
            </w:pPr>
          </w:p>
        </w:tc>
      </w:tr>
      <w:tr w:rsidR="00CA2955" w:rsidRPr="00D05956" w14:paraId="2CCC9F0E" w14:textId="0A2A79CE" w:rsidTr="00CA2955">
        <w:trPr>
          <w:jc w:val="center"/>
        </w:trPr>
        <w:tc>
          <w:tcPr>
            <w:tcW w:w="7063" w:type="dxa"/>
            <w:tcBorders>
              <w:top w:val="single" w:sz="4" w:space="0" w:color="auto"/>
              <w:left w:val="single" w:sz="4" w:space="0" w:color="auto"/>
              <w:bottom w:val="single" w:sz="4" w:space="0" w:color="auto"/>
              <w:right w:val="single" w:sz="4" w:space="0" w:color="auto"/>
            </w:tcBorders>
            <w:vAlign w:val="center"/>
          </w:tcPr>
          <w:p w14:paraId="151172A9" w14:textId="77777777" w:rsidR="00CA2955" w:rsidRPr="00D0595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1119" w:type="dxa"/>
            <w:tcBorders>
              <w:top w:val="single" w:sz="4" w:space="0" w:color="auto"/>
              <w:left w:val="single" w:sz="4" w:space="0" w:color="auto"/>
              <w:bottom w:val="single" w:sz="4" w:space="0" w:color="auto"/>
              <w:right w:val="single" w:sz="4" w:space="0" w:color="auto"/>
            </w:tcBorders>
            <w:vAlign w:val="center"/>
          </w:tcPr>
          <w:p w14:paraId="59688B9E" w14:textId="77777777" w:rsidR="00CA2955" w:rsidRPr="00B42F8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1245" w:type="dxa"/>
            <w:tcBorders>
              <w:top w:val="single" w:sz="4" w:space="0" w:color="auto"/>
              <w:left w:val="single" w:sz="4" w:space="0" w:color="auto"/>
              <w:bottom w:val="single" w:sz="4" w:space="0" w:color="auto"/>
              <w:right w:val="single" w:sz="4" w:space="0" w:color="auto"/>
            </w:tcBorders>
            <w:vAlign w:val="center"/>
          </w:tcPr>
          <w:p w14:paraId="1AC11E84" w14:textId="77777777" w:rsidR="00CA2955" w:rsidRPr="00D0595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1190" w:type="dxa"/>
            <w:tcBorders>
              <w:top w:val="single" w:sz="4" w:space="0" w:color="auto"/>
              <w:left w:val="single" w:sz="4" w:space="0" w:color="auto"/>
              <w:bottom w:val="single" w:sz="4" w:space="0" w:color="auto"/>
              <w:right w:val="single" w:sz="4" w:space="0" w:color="auto"/>
            </w:tcBorders>
            <w:vAlign w:val="center"/>
          </w:tcPr>
          <w:p w14:paraId="7DBC79ED" w14:textId="77777777" w:rsidR="00CA2955" w:rsidRPr="00D0595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1063" w:type="dxa"/>
            <w:tcBorders>
              <w:top w:val="single" w:sz="4" w:space="0" w:color="auto"/>
              <w:left w:val="single" w:sz="4" w:space="0" w:color="auto"/>
              <w:bottom w:val="single" w:sz="4" w:space="0" w:color="auto"/>
              <w:right w:val="single" w:sz="4" w:space="0" w:color="auto"/>
            </w:tcBorders>
            <w:vAlign w:val="center"/>
          </w:tcPr>
          <w:p w14:paraId="429E8058" w14:textId="77777777" w:rsidR="00CA2955" w:rsidRPr="00D0595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1067" w:type="dxa"/>
            <w:tcBorders>
              <w:top w:val="single" w:sz="4" w:space="0" w:color="auto"/>
              <w:left w:val="single" w:sz="4" w:space="0" w:color="auto"/>
              <w:bottom w:val="single" w:sz="4" w:space="0" w:color="auto"/>
              <w:right w:val="single" w:sz="4" w:space="0" w:color="auto"/>
            </w:tcBorders>
            <w:vAlign w:val="center"/>
          </w:tcPr>
          <w:p w14:paraId="55AE8490" w14:textId="77777777" w:rsidR="00CA2955" w:rsidRPr="00D0595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232064ED" w14:textId="77777777" w:rsidR="00CA2955" w:rsidRPr="00D05956" w:rsidRDefault="00CA2955" w:rsidP="002A47D3">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1A8F8511" w14:textId="6D4CFC50" w:rsidR="00CA2955"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CA2955" w:rsidRPr="00D05956" w14:paraId="52F5C867" w14:textId="0EF09D9E"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35BE3D5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xml:space="preserve">3-іс-шара. Ветеринариялық қызметті жете жарақтандыру, </w:t>
            </w:r>
            <w:r w:rsidRPr="00D05956">
              <w:rPr>
                <w:rFonts w:ascii="Times New Roman" w:hAnsi="Times New Roman" w:cs="Times New Roman"/>
                <w:color w:val="000000"/>
                <w:spacing w:val="2"/>
                <w:sz w:val="24"/>
                <w:szCs w:val="24"/>
                <w:shd w:val="clear" w:color="auto" w:fill="FFFFFF"/>
                <w:lang w:val="kk-KZ"/>
              </w:rPr>
              <w:t>млн.</w:t>
            </w:r>
            <w:r w:rsidRPr="00D05956">
              <w:rPr>
                <w:rFonts w:ascii="Times New Roman" w:hAnsi="Times New Roman" w:cs="Times New Roman"/>
                <w:color w:val="000000"/>
                <w:spacing w:val="2"/>
                <w:sz w:val="24"/>
                <w:szCs w:val="24"/>
                <w:shd w:val="clear" w:color="auto" w:fill="FFFFFF"/>
              </w:rPr>
              <w:t xml:space="preserve"> т</w:t>
            </w:r>
            <w:r w:rsidRPr="00D05956">
              <w:rPr>
                <w:rFonts w:ascii="Times New Roman" w:hAnsi="Times New Roman" w:cs="Times New Roman"/>
                <w:color w:val="000000"/>
                <w:spacing w:val="2"/>
                <w:sz w:val="24"/>
                <w:szCs w:val="24"/>
                <w:shd w:val="clear" w:color="auto" w:fill="FFFFFF"/>
                <w:lang w:val="kk-KZ"/>
              </w:rPr>
              <w:t>г.</w:t>
            </w:r>
          </w:p>
        </w:tc>
        <w:tc>
          <w:tcPr>
            <w:tcW w:w="1119" w:type="dxa"/>
            <w:tcBorders>
              <w:top w:val="single" w:sz="4" w:space="0" w:color="auto"/>
              <w:left w:val="single" w:sz="4" w:space="0" w:color="auto"/>
              <w:bottom w:val="single" w:sz="4" w:space="0" w:color="auto"/>
              <w:right w:val="single" w:sz="4" w:space="0" w:color="auto"/>
            </w:tcBorders>
            <w:vAlign w:val="center"/>
          </w:tcPr>
          <w:p w14:paraId="5E43DA6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p>
        </w:tc>
        <w:tc>
          <w:tcPr>
            <w:tcW w:w="1245" w:type="dxa"/>
            <w:tcBorders>
              <w:top w:val="single" w:sz="4" w:space="0" w:color="auto"/>
              <w:left w:val="single" w:sz="4" w:space="0" w:color="auto"/>
              <w:bottom w:val="single" w:sz="4" w:space="0" w:color="auto"/>
              <w:right w:val="single" w:sz="4" w:space="0" w:color="auto"/>
            </w:tcBorders>
            <w:vAlign w:val="center"/>
            <w:hideMark/>
          </w:tcPr>
          <w:p w14:paraId="6C1E1979" w14:textId="77777777" w:rsidR="00CA2955" w:rsidRPr="00D05956" w:rsidRDefault="00CA2955" w:rsidP="001D7D7A">
            <w:pPr>
              <w:pStyle w:val="TableParagraph"/>
              <w:jc w:val="center"/>
              <w:rPr>
                <w:sz w:val="24"/>
                <w:szCs w:val="24"/>
              </w:rPr>
            </w:pPr>
            <w:r w:rsidRPr="00D05956">
              <w:rPr>
                <w:sz w:val="24"/>
                <w:szCs w:val="24"/>
              </w:rPr>
              <w:t>346</w:t>
            </w:r>
            <w:r w:rsidRPr="00D05956">
              <w:rPr>
                <w:sz w:val="24"/>
                <w:szCs w:val="24"/>
                <w:lang w:val="kk-KZ"/>
              </w:rPr>
              <w:t>,</w:t>
            </w:r>
            <w:r w:rsidRPr="00D05956">
              <w:rPr>
                <w:sz w:val="24"/>
                <w:szCs w:val="24"/>
              </w:rPr>
              <w:t>6</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9C42D6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60F427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2753B2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6B06F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346,6</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FDB71F7" w14:textId="766DE524"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0,04</w:t>
            </w:r>
          </w:p>
        </w:tc>
      </w:tr>
      <w:tr w:rsidR="00CA2955" w:rsidRPr="00D05956" w14:paraId="542B50CA" w14:textId="60AFFA14"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3A15FF7E"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 </w:t>
            </w:r>
            <w:r w:rsidRPr="00D05956">
              <w:rPr>
                <w:rFonts w:ascii="Times New Roman" w:hAnsi="Times New Roman" w:cs="Times New Roman"/>
                <w:color w:val="000000"/>
                <w:spacing w:val="2"/>
                <w:sz w:val="24"/>
                <w:szCs w:val="24"/>
                <w:shd w:val="clear" w:color="auto" w:fill="FFFFFF"/>
              </w:rPr>
              <w:t>жабдық саны, бірлік</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8F76A1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6AD4AE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120087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4F28B8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7E0D93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FA30B4"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5A19B9F0" w14:textId="70FCA03E"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0A7497B4" w14:textId="27FF22E0"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1CC748B3"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 </w:t>
            </w:r>
            <w:r w:rsidRPr="00D05956">
              <w:rPr>
                <w:rFonts w:ascii="Times New Roman" w:hAnsi="Times New Roman" w:cs="Times New Roman"/>
                <w:color w:val="000000"/>
                <w:spacing w:val="2"/>
                <w:sz w:val="24"/>
                <w:szCs w:val="24"/>
                <w:shd w:val="clear" w:color="auto" w:fill="FFFFFF"/>
              </w:rPr>
              <w:t>арнайы техника саны, бірлік</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43CC36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A21587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76</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C4B34A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C2FD4B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1FF650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D4094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76</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01E9BA6E" w14:textId="269C68A1"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49E1E18B" w14:textId="7EA1B346"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35EC93A2"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-республикалық бюджет есебінен</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FE86D0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2AB1104" w14:textId="77777777" w:rsidR="00CA2955" w:rsidRPr="00D05956" w:rsidRDefault="00CA2955"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rPr>
              <w:t>346</w:t>
            </w:r>
            <w:r w:rsidRPr="00D05956">
              <w:rPr>
                <w:rFonts w:ascii="Times New Roman" w:hAnsi="Times New Roman" w:cs="Times New Roman"/>
                <w:sz w:val="24"/>
                <w:szCs w:val="24"/>
                <w:lang w:val="kk-KZ"/>
              </w:rPr>
              <w:t>,</w:t>
            </w:r>
            <w:r w:rsidRPr="00D05956">
              <w:rPr>
                <w:rFonts w:ascii="Times New Roman" w:hAnsi="Times New Roman" w:cs="Times New Roman"/>
                <w:sz w:val="24"/>
                <w:szCs w:val="24"/>
              </w:rPr>
              <w:t>6</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7B882C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C7DA1E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AB7CDD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60852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rPr>
              <w:t>346</w:t>
            </w:r>
            <w:r w:rsidRPr="00D05956">
              <w:rPr>
                <w:rFonts w:ascii="Times New Roman" w:hAnsi="Times New Roman" w:cs="Times New Roman"/>
                <w:sz w:val="24"/>
                <w:szCs w:val="24"/>
                <w:lang w:val="kk-KZ"/>
              </w:rPr>
              <w:t>,</w:t>
            </w:r>
            <w:r w:rsidRPr="00D05956">
              <w:rPr>
                <w:rFonts w:ascii="Times New Roman" w:hAnsi="Times New Roman" w:cs="Times New Roman"/>
                <w:sz w:val="24"/>
                <w:szCs w:val="24"/>
              </w:rPr>
              <w:t>6</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1C676FCF" w14:textId="5966B6F0" w:rsidR="00CA2955" w:rsidRPr="00D05956" w:rsidRDefault="00CA2955" w:rsidP="00CA2955">
            <w:pPr>
              <w:jc w:val="center"/>
              <w:rPr>
                <w:rFonts w:ascii="Times New Roman" w:hAnsi="Times New Roman" w:cs="Times New Roman"/>
                <w:sz w:val="24"/>
                <w:szCs w:val="24"/>
              </w:rPr>
            </w:pPr>
            <w:r>
              <w:rPr>
                <w:rFonts w:ascii="Times New Roman" w:hAnsi="Times New Roman" w:cs="Times New Roman"/>
                <w:sz w:val="24"/>
                <w:szCs w:val="24"/>
              </w:rPr>
              <w:t>-</w:t>
            </w:r>
          </w:p>
        </w:tc>
      </w:tr>
      <w:tr w:rsidR="00CA2955" w:rsidRPr="00D05956" w14:paraId="653AE8E6" w14:textId="4739077B"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7996754C"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4-іс-шара. Үйірлі шегіртке тектестермен және карантиндік объектілермен күресу жөніндегі іс-шараларды жүргізу, млн. теңге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C1EE2B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2130</w:t>
            </w:r>
            <w:r w:rsidRPr="00D05956">
              <w:rPr>
                <w:rFonts w:ascii="Times New Roman" w:hAnsi="Times New Roman" w:cs="Times New Roman"/>
                <w:sz w:val="24"/>
                <w:szCs w:val="24"/>
                <w:lang w:val="kk-KZ"/>
              </w:rPr>
              <w:t>,</w:t>
            </w:r>
            <w:r w:rsidRPr="00D05956">
              <w:rPr>
                <w:rFonts w:ascii="Times New Roman" w:hAnsi="Times New Roman" w:cs="Times New Roman"/>
                <w:sz w:val="24"/>
                <w:szCs w:val="24"/>
                <w:lang w:val="en-US"/>
              </w:rPr>
              <w:t>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7EC54EE" w14:textId="77777777" w:rsidR="00CA2955" w:rsidRPr="00D05956" w:rsidRDefault="00CA2955" w:rsidP="001D7D7A">
            <w:pPr>
              <w:pStyle w:val="TableParagraph"/>
              <w:jc w:val="center"/>
              <w:rPr>
                <w:sz w:val="24"/>
                <w:szCs w:val="24"/>
                <w:lang w:val="en-US"/>
              </w:rPr>
            </w:pPr>
            <w:r w:rsidRPr="00D05956">
              <w:rPr>
                <w:sz w:val="24"/>
                <w:szCs w:val="24"/>
                <w:lang w:val="en-US"/>
              </w:rPr>
              <w:t>2033</w:t>
            </w:r>
            <w:r w:rsidRPr="00D05956">
              <w:rPr>
                <w:sz w:val="24"/>
                <w:szCs w:val="24"/>
                <w:lang w:val="kk-KZ"/>
              </w:rPr>
              <w:t>,</w:t>
            </w:r>
            <w:r w:rsidRPr="00D05956">
              <w:rPr>
                <w:sz w:val="24"/>
                <w:szCs w:val="24"/>
                <w:lang w:val="en-US"/>
              </w:rPr>
              <w:t>8</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0830F1E"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EE7D7E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F518E7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D2EF81"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4164,4</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71E0C4C2" w14:textId="5A68E130"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0,45</w:t>
            </w:r>
          </w:p>
        </w:tc>
      </w:tr>
      <w:tr w:rsidR="00CA2955" w:rsidRPr="00D05956" w14:paraId="450D978C" w14:textId="56E946D4"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2005B2D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5-іс-шара.Саяқ шегіртке тектестермен күресу жөніндегі іс-шараларды жүргізу, млн. теңге, оның ішінде: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5ABDD6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618,0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D5930FF" w14:textId="77777777" w:rsidR="00CA2955" w:rsidRPr="00D05956" w:rsidRDefault="00CA2955" w:rsidP="001D7D7A">
            <w:pPr>
              <w:pStyle w:val="TableParagraph"/>
              <w:jc w:val="center"/>
              <w:rPr>
                <w:sz w:val="24"/>
                <w:szCs w:val="24"/>
                <w:lang w:val="en-US"/>
              </w:rPr>
            </w:pPr>
            <w:r w:rsidRPr="00D05956">
              <w:rPr>
                <w:sz w:val="24"/>
                <w:szCs w:val="24"/>
                <w:lang w:val="en-US"/>
              </w:rPr>
              <w:t>627</w:t>
            </w:r>
            <w:r w:rsidRPr="00D05956">
              <w:rPr>
                <w:sz w:val="24"/>
                <w:szCs w:val="24"/>
                <w:lang w:val="kk-KZ"/>
              </w:rPr>
              <w:t>,</w:t>
            </w:r>
            <w:r w:rsidRPr="00D05956">
              <w:rPr>
                <w:sz w:val="24"/>
                <w:szCs w:val="24"/>
                <w:lang w:val="en-US"/>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1B9A783"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A5C369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EA7FFB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09479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1245,1</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4E4F12B3" w14:textId="5E1E666A"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0,14</w:t>
            </w:r>
          </w:p>
        </w:tc>
      </w:tr>
      <w:tr w:rsidR="00CA2955" w:rsidRPr="00D05956" w14:paraId="08F4B1AC" w14:textId="4A8D3525"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357BA83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-жергілікті бюджет есебінен</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3F0C4A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618,0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6B44A5A" w14:textId="77777777" w:rsidR="00CA2955" w:rsidRPr="00D05956" w:rsidRDefault="00CA2955" w:rsidP="001D7D7A">
            <w:pPr>
              <w:pStyle w:val="TableParagraph"/>
              <w:jc w:val="center"/>
              <w:rPr>
                <w:sz w:val="24"/>
                <w:szCs w:val="24"/>
                <w:lang w:val="en-US"/>
              </w:rPr>
            </w:pPr>
            <w:r w:rsidRPr="00D05956">
              <w:rPr>
                <w:sz w:val="24"/>
                <w:szCs w:val="24"/>
                <w:lang w:val="en-US"/>
              </w:rPr>
              <w:t>627</w:t>
            </w:r>
            <w:r w:rsidRPr="00D05956">
              <w:rPr>
                <w:sz w:val="24"/>
                <w:szCs w:val="24"/>
                <w:lang w:val="kk-KZ"/>
              </w:rPr>
              <w:t>,</w:t>
            </w:r>
            <w:r w:rsidRPr="00D05956">
              <w:rPr>
                <w:sz w:val="24"/>
                <w:szCs w:val="24"/>
                <w:lang w:val="en-US"/>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14:paraId="6D952DD1"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F0BA3F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C9CEF2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8F712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1245,1</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263C974C" w14:textId="659A2C0E"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0,14</w:t>
            </w:r>
          </w:p>
        </w:tc>
      </w:tr>
      <w:tr w:rsidR="00CA2955" w:rsidRPr="00D05956" w14:paraId="49871CDF" w14:textId="7D8503B1"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2E50D86B"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анықталған алаңдармен салыстырғанда алаңдарды химиялық өңдеумен қамту,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E8B5EE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3C4C28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100,0</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E684DA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277BC9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68A93D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55A42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72EB8945" w14:textId="66990C4B"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24A8ACAD" w14:textId="50FE1287"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F6B736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6-іс-шара. Республикалық мемлекеттік кәсіпорын мен МИК «РӨКР» ММ-ны ҚР АШМ АӨК-ге біріктіру жолымен фитосанитариялық қызмет құрылымын реформалау</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836E87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D812A5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4F4166C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B0FC13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67469A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05B2C8"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E19A5A0" w14:textId="18799914"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7F88684C" w14:textId="78F3CA22"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75F532A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7-іс-шара. «ҚР АШМ АӨК МИК РФДжБӘО» РММ-ның материалдық қамтамасыз етілуін жеткізу (материалдық және техникалық құралдармен, зертханалық жабдықтармен, интернетке үздіксіз жылдам қол жеткізумен және басқалар), млн. теңге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5AA50749" w14:textId="77777777" w:rsidR="00CA2955" w:rsidRPr="00D05956" w:rsidRDefault="00CA2955" w:rsidP="001D7D7A">
            <w:pPr>
              <w:pStyle w:val="TableParagraph"/>
              <w:jc w:val="center"/>
              <w:rPr>
                <w:sz w:val="24"/>
                <w:szCs w:val="24"/>
              </w:rPr>
            </w:pPr>
            <w:r w:rsidRPr="00D05956">
              <w:rPr>
                <w:sz w:val="24"/>
                <w:szCs w:val="24"/>
              </w:rPr>
              <w:t>148,0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815547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555FDA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EF0876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C8803F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0CEA6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148,0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B9E607B" w14:textId="1713A5BE"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0,02</w:t>
            </w:r>
          </w:p>
        </w:tc>
      </w:tr>
      <w:tr w:rsidR="00CA2955" w:rsidRPr="00D05956" w14:paraId="5ABE8F76" w14:textId="45E81857"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2F161C61"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«ҚР АШМ АӨК МИК РФДжБӘО» РММ-ның материалдық-техникалық қамтамасыз етілуін тиесілілік нормативі талаптарына сәйкестікке дейін жеткізу, 80%-дан төмен емес</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E4B76F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60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01F2D9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72476C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CEDC5B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8C6453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59F2A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60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73FA8A48" w14:textId="67CA29EF"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2224777F" w14:textId="6D97F3B3"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B9294CE"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8-іс-шара. ҚР АШМ АӨК МИК-тің аумақтық инспекцияларының материалдық қамтамасыз етілуін жеткізу (материалдық және техникалық құралдармен, жабдықтармен және басқалар), млн. теңге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163951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45BE05D" w14:textId="77777777" w:rsidR="00CA2955" w:rsidRPr="00D05956" w:rsidRDefault="00CA2955" w:rsidP="001D7D7A">
            <w:pPr>
              <w:pStyle w:val="TableParagraph"/>
              <w:jc w:val="center"/>
              <w:rPr>
                <w:sz w:val="24"/>
                <w:szCs w:val="24"/>
                <w:lang w:val="en-US"/>
              </w:rPr>
            </w:pPr>
            <w:r w:rsidRPr="00D05956">
              <w:rPr>
                <w:sz w:val="24"/>
                <w:szCs w:val="24"/>
                <w:lang w:val="en-US"/>
              </w:rPr>
              <w:t>198</w:t>
            </w:r>
            <w:r w:rsidRPr="00D05956">
              <w:rPr>
                <w:sz w:val="24"/>
                <w:szCs w:val="24"/>
                <w:lang w:val="kk-KZ"/>
              </w:rPr>
              <w:t>,</w:t>
            </w:r>
            <w:r w:rsidRPr="00D05956">
              <w:rPr>
                <w:sz w:val="24"/>
                <w:szCs w:val="24"/>
                <w:lang w:val="en-US"/>
              </w:rPr>
              <w:t>7</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3BB021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84AF51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EA8F53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D4A0A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201,7</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796D0A7E" w14:textId="6A808B73"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0,02</w:t>
            </w:r>
          </w:p>
        </w:tc>
      </w:tr>
      <w:tr w:rsidR="00CA2955" w:rsidRPr="00D05956" w14:paraId="1AF6800B" w14:textId="67387656"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6C08FF8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аумақтық инспекциялардың материалдық-техникалық қамтамасыз етілуін жеткізу, бірл.</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03FC75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9CE503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142</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AE7DCA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C0956A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D4EFA6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E9D75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142</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7C20B71A" w14:textId="6072A6F9"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0184B0A7" w14:textId="0E1D55F0"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7D9AE741"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rPr>
              <w:t>- автомашиналар мен қамтамасыз ету, бірл.</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AA6B0D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7DABDC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DAEA84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07A556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02A3CC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6BB17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16768479" w14:textId="297C8363"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14:paraId="6A3A7C93" w14:textId="77777777" w:rsidTr="00CA2955">
        <w:trPr>
          <w:gridAfter w:val="1"/>
          <w:wAfter w:w="11" w:type="dxa"/>
          <w:jc w:val="center"/>
        </w:trPr>
        <w:tc>
          <w:tcPr>
            <w:tcW w:w="13881" w:type="dxa"/>
            <w:gridSpan w:val="7"/>
            <w:tcBorders>
              <w:top w:val="nil"/>
              <w:left w:val="nil"/>
              <w:bottom w:val="single" w:sz="4" w:space="0" w:color="auto"/>
              <w:right w:val="nil"/>
            </w:tcBorders>
            <w:vAlign w:val="center"/>
          </w:tcPr>
          <w:p w14:paraId="305665D6" w14:textId="77777777" w:rsidR="00CA2955" w:rsidRDefault="00CA2955">
            <w:pPr>
              <w:ind w:hanging="10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Б.1-кестенің жалғасы</w:t>
            </w:r>
          </w:p>
          <w:p w14:paraId="7D8D9070" w14:textId="77777777" w:rsidR="00CA2955" w:rsidRDefault="00CA2955">
            <w:pPr>
              <w:jc w:val="center"/>
              <w:rPr>
                <w:rFonts w:ascii="Times New Roman" w:eastAsia="Times New Roman" w:hAnsi="Times New Roman" w:cs="Times New Roman"/>
                <w:kern w:val="36"/>
                <w:sz w:val="16"/>
                <w:szCs w:val="16"/>
                <w:lang w:val="kk-KZ" w:eastAsia="ru-RU"/>
              </w:rPr>
            </w:pPr>
          </w:p>
        </w:tc>
        <w:tc>
          <w:tcPr>
            <w:tcW w:w="1134" w:type="dxa"/>
            <w:tcBorders>
              <w:top w:val="nil"/>
              <w:left w:val="nil"/>
              <w:bottom w:val="single" w:sz="4" w:space="0" w:color="auto"/>
              <w:right w:val="nil"/>
            </w:tcBorders>
            <w:vAlign w:val="center"/>
          </w:tcPr>
          <w:p w14:paraId="3AEB26C1" w14:textId="77777777" w:rsidR="00CA2955" w:rsidRDefault="00CA2955">
            <w:pPr>
              <w:ind w:hanging="104"/>
              <w:jc w:val="center"/>
              <w:rPr>
                <w:rFonts w:ascii="Times New Roman" w:eastAsia="Times New Roman" w:hAnsi="Times New Roman" w:cs="Times New Roman"/>
                <w:kern w:val="36"/>
                <w:sz w:val="28"/>
                <w:szCs w:val="28"/>
                <w:lang w:val="kk-KZ" w:eastAsia="ru-RU"/>
              </w:rPr>
            </w:pPr>
          </w:p>
        </w:tc>
      </w:tr>
      <w:tr w:rsidR="00CA2955" w14:paraId="48E6EA92" w14:textId="77777777" w:rsidTr="00CA2955">
        <w:trPr>
          <w:gridAfter w:val="1"/>
          <w:wAfter w:w="11" w:type="dxa"/>
          <w:jc w:val="center"/>
        </w:trPr>
        <w:tc>
          <w:tcPr>
            <w:tcW w:w="7063" w:type="dxa"/>
            <w:tcBorders>
              <w:top w:val="single" w:sz="4" w:space="0" w:color="auto"/>
              <w:left w:val="single" w:sz="4" w:space="0" w:color="auto"/>
              <w:bottom w:val="single" w:sz="4" w:space="0" w:color="auto"/>
              <w:right w:val="single" w:sz="4" w:space="0" w:color="auto"/>
            </w:tcBorders>
            <w:vAlign w:val="center"/>
            <w:hideMark/>
          </w:tcPr>
          <w:p w14:paraId="60C9F1A9"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E48CD91"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A03001B"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027C9C7"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1749317"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03B8AE1"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4BDC6A" w14:textId="77777777"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14:paraId="7453AB7E" w14:textId="2E53EA51" w:rsidR="00CA2955" w:rsidRDefault="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CA2955" w:rsidRPr="00D05956" w14:paraId="2EA6CD33" w14:textId="5BC4D6D8"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A79988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rPr>
              <w:t>- вагон</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5DD9D8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1F04C1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AA3A2E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2ACAF7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5D4294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40090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297301D9" w14:textId="6450EA35"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0CCAAE76" w14:textId="3C1AB275" w:rsidTr="00CA2955">
        <w:trPr>
          <w:jc w:val="center"/>
        </w:trPr>
        <w:tc>
          <w:tcPr>
            <w:tcW w:w="7063" w:type="dxa"/>
            <w:tcBorders>
              <w:top w:val="single" w:sz="4" w:space="0" w:color="auto"/>
              <w:left w:val="single" w:sz="4" w:space="0" w:color="auto"/>
              <w:bottom w:val="nil"/>
              <w:right w:val="single" w:sz="4" w:space="0" w:color="auto"/>
            </w:tcBorders>
            <w:hideMark/>
          </w:tcPr>
          <w:p w14:paraId="501AE2D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rPr>
              <w:t>-</w:t>
            </w:r>
            <w:r w:rsidRPr="00D05956">
              <w:rPr>
                <w:rFonts w:ascii="Times New Roman" w:hAnsi="Times New Roman" w:cs="Times New Roman"/>
                <w:color w:val="000000"/>
                <w:spacing w:val="2"/>
                <w:sz w:val="24"/>
                <w:szCs w:val="24"/>
                <w:bdr w:val="none" w:sz="0" w:space="0" w:color="auto" w:frame="1"/>
                <w:shd w:val="clear" w:color="auto" w:fill="FFFFFF"/>
                <w:lang w:val="kk-KZ"/>
              </w:rPr>
              <w:t xml:space="preserve"> </w:t>
            </w:r>
            <w:r w:rsidRPr="00D05956">
              <w:rPr>
                <w:rFonts w:ascii="Times New Roman" w:hAnsi="Times New Roman" w:cs="Times New Roman"/>
                <w:color w:val="000000"/>
                <w:spacing w:val="2"/>
                <w:sz w:val="24"/>
                <w:szCs w:val="24"/>
                <w:bdr w:val="none" w:sz="0" w:space="0" w:color="auto" w:frame="1"/>
                <w:shd w:val="clear" w:color="auto" w:fill="FFFFFF"/>
              </w:rPr>
              <w:t>бейнетіркегіштермен, бірл.</w:t>
            </w:r>
          </w:p>
        </w:tc>
        <w:tc>
          <w:tcPr>
            <w:tcW w:w="1119" w:type="dxa"/>
            <w:tcBorders>
              <w:top w:val="single" w:sz="4" w:space="0" w:color="auto"/>
              <w:left w:val="single" w:sz="4" w:space="0" w:color="auto"/>
              <w:bottom w:val="nil"/>
              <w:right w:val="single" w:sz="4" w:space="0" w:color="auto"/>
            </w:tcBorders>
            <w:vAlign w:val="center"/>
            <w:hideMark/>
          </w:tcPr>
          <w:p w14:paraId="327D064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nil"/>
              <w:right w:val="single" w:sz="4" w:space="0" w:color="auto"/>
            </w:tcBorders>
            <w:vAlign w:val="center"/>
            <w:hideMark/>
          </w:tcPr>
          <w:p w14:paraId="0165D5A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111</w:t>
            </w:r>
          </w:p>
        </w:tc>
        <w:tc>
          <w:tcPr>
            <w:tcW w:w="1190" w:type="dxa"/>
            <w:tcBorders>
              <w:top w:val="single" w:sz="4" w:space="0" w:color="auto"/>
              <w:left w:val="single" w:sz="4" w:space="0" w:color="auto"/>
              <w:bottom w:val="nil"/>
              <w:right w:val="single" w:sz="4" w:space="0" w:color="auto"/>
            </w:tcBorders>
            <w:vAlign w:val="center"/>
            <w:hideMark/>
          </w:tcPr>
          <w:p w14:paraId="3AC1A8E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nil"/>
              <w:right w:val="single" w:sz="4" w:space="0" w:color="auto"/>
            </w:tcBorders>
            <w:vAlign w:val="center"/>
            <w:hideMark/>
          </w:tcPr>
          <w:p w14:paraId="3278915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nil"/>
              <w:right w:val="single" w:sz="4" w:space="0" w:color="auto"/>
            </w:tcBorders>
            <w:vAlign w:val="center"/>
            <w:hideMark/>
          </w:tcPr>
          <w:p w14:paraId="566C6E2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4" w:type="dxa"/>
            <w:tcBorders>
              <w:top w:val="single" w:sz="4" w:space="0" w:color="auto"/>
              <w:left w:val="single" w:sz="4" w:space="0" w:color="auto"/>
              <w:bottom w:val="nil"/>
              <w:right w:val="single" w:sz="4" w:space="0" w:color="auto"/>
            </w:tcBorders>
            <w:vAlign w:val="center"/>
            <w:hideMark/>
          </w:tcPr>
          <w:p w14:paraId="18C9B252"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111</w:t>
            </w:r>
          </w:p>
        </w:tc>
        <w:tc>
          <w:tcPr>
            <w:tcW w:w="1145" w:type="dxa"/>
            <w:gridSpan w:val="2"/>
            <w:tcBorders>
              <w:top w:val="single" w:sz="4" w:space="0" w:color="auto"/>
              <w:left w:val="single" w:sz="4" w:space="0" w:color="auto"/>
              <w:bottom w:val="nil"/>
              <w:right w:val="single" w:sz="4" w:space="0" w:color="auto"/>
            </w:tcBorders>
            <w:vAlign w:val="center"/>
          </w:tcPr>
          <w:p w14:paraId="673CF710" w14:textId="0F35E9B8"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7F8BFB13" w14:textId="304EC90C"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693A0F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9-іс-шара. «ҚР АШМ АӨК МИК РӨКР» РММ-ның материалдық қамтамасыз етілуін жеткізу (материалдық және техникалық құралдармен, зертханалық жабдықтармен және басқалар), млн. теңге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892CAC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279B365" w14:textId="77777777" w:rsidR="00CA2955" w:rsidRPr="00D05956" w:rsidRDefault="00CA2955" w:rsidP="001D7D7A">
            <w:pPr>
              <w:pStyle w:val="TableParagraph"/>
              <w:jc w:val="center"/>
              <w:rPr>
                <w:sz w:val="24"/>
                <w:szCs w:val="24"/>
                <w:lang w:val="en-US"/>
              </w:rPr>
            </w:pPr>
            <w:r w:rsidRPr="00D05956">
              <w:rPr>
                <w:sz w:val="24"/>
                <w:szCs w:val="24"/>
                <w:lang w:val="en-US"/>
              </w:rPr>
              <w:t>179</w:t>
            </w:r>
            <w:r w:rsidRPr="00D05956">
              <w:rPr>
                <w:sz w:val="24"/>
                <w:szCs w:val="24"/>
                <w:lang w:val="kk-KZ"/>
              </w:rPr>
              <w:t>,</w:t>
            </w:r>
            <w:r w:rsidRPr="00D05956">
              <w:rPr>
                <w:sz w:val="24"/>
                <w:szCs w:val="24"/>
                <w:lang w:val="en-US"/>
              </w:rPr>
              <w:t>9</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1E3FCA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179</w:t>
            </w:r>
            <w:r w:rsidRPr="00D05956">
              <w:rPr>
                <w:rFonts w:ascii="Times New Roman" w:hAnsi="Times New Roman" w:cs="Times New Roman"/>
                <w:sz w:val="24"/>
                <w:szCs w:val="24"/>
                <w:lang w:val="kk-KZ"/>
              </w:rPr>
              <w:t>,</w:t>
            </w:r>
            <w:r w:rsidRPr="00D05956">
              <w:rPr>
                <w:rFonts w:ascii="Times New Roman" w:hAnsi="Times New Roman" w:cs="Times New Roman"/>
                <w:sz w:val="24"/>
                <w:szCs w:val="24"/>
                <w:lang w:val="en-US"/>
              </w:rPr>
              <w:t>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25FD5FA" w14:textId="77777777" w:rsidR="00CA2955" w:rsidRPr="00D05956" w:rsidRDefault="00CA2955" w:rsidP="001D7D7A">
            <w:pPr>
              <w:pStyle w:val="TableParagraph"/>
              <w:jc w:val="center"/>
              <w:rPr>
                <w:sz w:val="24"/>
                <w:szCs w:val="24"/>
                <w:lang w:val="en-US"/>
              </w:rPr>
            </w:pPr>
            <w:r w:rsidRPr="00D05956">
              <w:rPr>
                <w:sz w:val="24"/>
                <w:szCs w:val="24"/>
                <w:lang w:val="en-US"/>
              </w:rPr>
              <w:t>179</w:t>
            </w:r>
            <w:r w:rsidRPr="00D05956">
              <w:rPr>
                <w:sz w:val="24"/>
                <w:szCs w:val="24"/>
                <w:lang w:val="kk-KZ"/>
              </w:rPr>
              <w:t>,</w:t>
            </w:r>
            <w:r w:rsidRPr="00D05956">
              <w:rPr>
                <w:sz w:val="24"/>
                <w:szCs w:val="24"/>
                <w:lang w:val="en-US"/>
              </w:rPr>
              <w:t>9</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1A0ACB7" w14:textId="77777777" w:rsidR="00CA2955" w:rsidRPr="00D05956" w:rsidRDefault="00CA2955" w:rsidP="001D7D7A">
            <w:pPr>
              <w:pStyle w:val="TableParagraph"/>
              <w:jc w:val="center"/>
              <w:rPr>
                <w:sz w:val="24"/>
                <w:szCs w:val="24"/>
                <w:lang w:val="en-US"/>
              </w:rPr>
            </w:pPr>
            <w:r w:rsidRPr="00D05956">
              <w:rPr>
                <w:sz w:val="24"/>
                <w:szCs w:val="24"/>
                <w:lang w:val="en-US"/>
              </w:rPr>
              <w:t>179</w:t>
            </w:r>
            <w:r w:rsidRPr="00D05956">
              <w:rPr>
                <w:sz w:val="24"/>
                <w:szCs w:val="24"/>
                <w:lang w:val="kk-KZ"/>
              </w:rPr>
              <w:t>,</w:t>
            </w:r>
            <w:r w:rsidRPr="00D05956">
              <w:rPr>
                <w:sz w:val="24"/>
                <w:szCs w:val="24"/>
                <w:lang w:val="en-US"/>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0ED19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720,9</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598390F9" w14:textId="03C6C640"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0,08</w:t>
            </w:r>
          </w:p>
        </w:tc>
      </w:tr>
      <w:tr w:rsidR="00CA2955" w:rsidRPr="00D05956" w14:paraId="0BF597DB" w14:textId="275D8277"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382C0AF4"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жиынтықта ПТР-жабдықпен қамтамасыз етілуін жыл сайын арттыру, бірлік</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CAD00A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3FE70C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4</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339CDB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4B9611F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4</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73C0FD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378BA9"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16</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4962D92F" w14:textId="7BB04A7B"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7F068D25" w14:textId="7032C4A0"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67CF6EA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10-іс-шара. «ҚР АШМ АӨК МИК РӨКР» РММ-да зертханалық зерттеулер жүргізудің дәстүрлі әдістерінен ПТР-жабдығын пайдалана отырып, неғұрлым дәл және әлемге танылған диагностикалық зерттеулерге ауысу, млн. теңге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BD491B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4E7419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6CD3B5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w:t>
            </w:r>
            <w:r w:rsidRPr="00D05956">
              <w:rPr>
                <w:rFonts w:ascii="Times New Roman" w:hAnsi="Times New Roman" w:cs="Times New Roman"/>
                <w:sz w:val="24"/>
                <w:szCs w:val="24"/>
                <w:lang w:val="kk-KZ"/>
              </w:rPr>
              <w:t>,2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A69620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w:t>
            </w:r>
            <w:r w:rsidRPr="00D05956">
              <w:rPr>
                <w:rFonts w:ascii="Times New Roman" w:hAnsi="Times New Roman" w:cs="Times New Roman"/>
                <w:sz w:val="24"/>
                <w:szCs w:val="24"/>
                <w:lang w:val="kk-KZ"/>
              </w:rPr>
              <w:t>,2</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7E1701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w:t>
            </w:r>
            <w:r w:rsidRPr="00D05956">
              <w:rPr>
                <w:rFonts w:ascii="Times New Roman" w:hAnsi="Times New Roman" w:cs="Times New Roman"/>
                <w:sz w:val="24"/>
                <w:szCs w:val="24"/>
                <w:lang w:val="kk-KZ"/>
              </w:rPr>
              <w:t>,</w:t>
            </w:r>
            <w:r w:rsidRPr="00D05956">
              <w:rPr>
                <w:rFonts w:ascii="Times New Roman" w:hAnsi="Times New Roman" w:cs="Times New Roman"/>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96173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12,5</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66AE252F" w14:textId="1B8D524F"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0,001</w:t>
            </w:r>
          </w:p>
        </w:tc>
      </w:tr>
      <w:tr w:rsidR="00CA2955" w:rsidRPr="00D05956" w14:paraId="59B46095" w14:textId="41D56E0A"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3961CCA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анықтауға арналған тестілеу жүйелерін жыл сайын сатып алу, жиынтық</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7F551C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94F05B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79B808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39E40E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92C24C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8A9CF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3EB5A0A" w14:textId="179B4E55"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2844196B" w14:textId="66E9F464"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77EA1E73"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11-іс-шара. АӨК-те қадағалау жүйесін енгізу және ұстау, млн. теңге</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B9F185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1749C8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1A62E2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309,0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F447337" w14:textId="77777777" w:rsidR="00CA2955" w:rsidRPr="00D05956" w:rsidRDefault="00CA2955" w:rsidP="001D7D7A">
            <w:pPr>
              <w:pStyle w:val="TableParagraph"/>
              <w:jc w:val="center"/>
              <w:rPr>
                <w:sz w:val="24"/>
                <w:szCs w:val="24"/>
                <w:lang w:val="en-US"/>
              </w:rPr>
            </w:pPr>
            <w:r w:rsidRPr="00D05956">
              <w:rPr>
                <w:sz w:val="24"/>
                <w:szCs w:val="24"/>
                <w:lang w:val="en-US"/>
              </w:rPr>
              <w:t>478,0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004ECE8" w14:textId="77777777" w:rsidR="00CA2955" w:rsidRPr="00D05956" w:rsidRDefault="00CA2955" w:rsidP="001D7D7A">
            <w:pPr>
              <w:pStyle w:val="TableParagraph"/>
              <w:jc w:val="center"/>
              <w:rPr>
                <w:sz w:val="24"/>
                <w:szCs w:val="24"/>
                <w:lang w:val="en-US"/>
              </w:rPr>
            </w:pPr>
            <w:r w:rsidRPr="00D05956">
              <w:rPr>
                <w:sz w:val="24"/>
                <w:szCs w:val="24"/>
                <w:lang w:val="en-US"/>
              </w:rPr>
              <w:t>143,0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01631D"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930,0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38519A76" w14:textId="342083A8" w:rsidR="00CA2955" w:rsidRPr="00D05956" w:rsidRDefault="00CA2955"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0,10</w:t>
            </w:r>
          </w:p>
        </w:tc>
      </w:tr>
      <w:tr w:rsidR="00CA2955" w:rsidRPr="00D05956" w14:paraId="00E696DE" w14:textId="2D9F7D8E"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78FD518"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АӨК-ге енгізілген қадағалау жүйесі, бірл.</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3EECE8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B764F4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44CC847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50317C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2B531B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4151A9"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5AA07E83" w14:textId="5E678BF6"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586C6AA4" w14:textId="5A223DD5"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2936674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Тұрақты жұмыс орындарын құру</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72554E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3080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E37112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3575</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199BE3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2145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2238A0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825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872983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6565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10670</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6EAAF0D7" w14:textId="45714498"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D05956" w14:paraId="601EA457" w14:textId="2EE6477E" w:rsidTr="00CA2955">
        <w:trPr>
          <w:jc w:val="center"/>
        </w:trPr>
        <w:tc>
          <w:tcPr>
            <w:tcW w:w="7063" w:type="dxa"/>
            <w:tcBorders>
              <w:top w:val="single" w:sz="4" w:space="0" w:color="auto"/>
              <w:left w:val="single" w:sz="4" w:space="0" w:color="auto"/>
              <w:bottom w:val="single" w:sz="4" w:space="0" w:color="auto"/>
              <w:right w:val="single" w:sz="4" w:space="0" w:color="auto"/>
            </w:tcBorders>
            <w:hideMark/>
          </w:tcPr>
          <w:p w14:paraId="5243FBEE"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Уақытша жұмыс орындарын құру</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524B7F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3416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CB19AA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3965</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485D28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2379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CEB50A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A82D47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1CB37D"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11834</w:t>
            </w:r>
          </w:p>
        </w:tc>
        <w:tc>
          <w:tcPr>
            <w:tcW w:w="1145" w:type="dxa"/>
            <w:gridSpan w:val="2"/>
            <w:tcBorders>
              <w:top w:val="single" w:sz="4" w:space="0" w:color="auto"/>
              <w:left w:val="single" w:sz="4" w:space="0" w:color="auto"/>
              <w:bottom w:val="single" w:sz="4" w:space="0" w:color="auto"/>
              <w:right w:val="single" w:sz="4" w:space="0" w:color="auto"/>
            </w:tcBorders>
            <w:vAlign w:val="center"/>
          </w:tcPr>
          <w:p w14:paraId="53516917" w14:textId="25614819" w:rsidR="00CA2955" w:rsidRPr="00D05956"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CA2955" w:rsidRPr="00B42F86" w14:paraId="40AD2751" w14:textId="753979A9" w:rsidTr="00B12505">
        <w:trPr>
          <w:jc w:val="center"/>
        </w:trPr>
        <w:tc>
          <w:tcPr>
            <w:tcW w:w="15026" w:type="dxa"/>
            <w:gridSpan w:val="9"/>
            <w:tcBorders>
              <w:top w:val="single" w:sz="4" w:space="0" w:color="auto"/>
              <w:left w:val="single" w:sz="4" w:space="0" w:color="auto"/>
              <w:bottom w:val="single" w:sz="4" w:space="0" w:color="auto"/>
              <w:right w:val="single" w:sz="4" w:space="0" w:color="auto"/>
            </w:tcBorders>
            <w:hideMark/>
          </w:tcPr>
          <w:p w14:paraId="38FD2E39" w14:textId="5F35ABFD" w:rsidR="00CA2955" w:rsidRPr="00B42F86" w:rsidRDefault="00CA2955" w:rsidP="00CA2955">
            <w:pPr>
              <w:ind w:firstLine="605"/>
              <w:rPr>
                <w:rFonts w:ascii="Times New Roman" w:eastAsia="Times New Roman" w:hAnsi="Times New Roman" w:cs="Times New Roman"/>
                <w:kern w:val="36"/>
                <w:sz w:val="24"/>
                <w:szCs w:val="24"/>
                <w:lang w:val="kk-KZ" w:eastAsia="ru-RU"/>
              </w:rPr>
            </w:pPr>
            <w:r w:rsidRPr="00B42F86">
              <w:rPr>
                <w:rFonts w:ascii="Times New Roman" w:eastAsia="Times New Roman" w:hAnsi="Times New Roman" w:cs="Times New Roman"/>
                <w:kern w:val="36"/>
                <w:sz w:val="24"/>
                <w:szCs w:val="24"/>
                <w:lang w:val="kk-KZ" w:eastAsia="ru-RU"/>
              </w:rPr>
              <w:t>Ескерту – Автормен құрастырылған</w:t>
            </w:r>
          </w:p>
        </w:tc>
      </w:tr>
    </w:tbl>
    <w:p w14:paraId="4DCA1EC0" w14:textId="77777777" w:rsidR="001D7D7A" w:rsidRDefault="001D7D7A" w:rsidP="001D7D7A">
      <w:pPr>
        <w:spacing w:after="0" w:line="240" w:lineRule="auto"/>
        <w:rPr>
          <w:lang w:val="kk-KZ"/>
        </w:rPr>
      </w:pPr>
    </w:p>
    <w:p w14:paraId="483D0884" w14:textId="77777777" w:rsidR="00D05956" w:rsidRDefault="00D05956" w:rsidP="001D7D7A">
      <w:pPr>
        <w:spacing w:after="0" w:line="240" w:lineRule="auto"/>
        <w:rPr>
          <w:lang w:val="kk-KZ"/>
        </w:rPr>
      </w:pPr>
    </w:p>
    <w:p w14:paraId="687C9481" w14:textId="77777777" w:rsidR="00D05956" w:rsidRDefault="00D05956" w:rsidP="001D7D7A">
      <w:pPr>
        <w:spacing w:after="0" w:line="240" w:lineRule="auto"/>
        <w:rPr>
          <w:lang w:val="kk-KZ"/>
        </w:rPr>
      </w:pPr>
    </w:p>
    <w:p w14:paraId="0E5A0FED" w14:textId="77777777" w:rsidR="00D05956" w:rsidRDefault="00D05956" w:rsidP="001D7D7A">
      <w:pPr>
        <w:spacing w:after="0" w:line="240" w:lineRule="auto"/>
        <w:rPr>
          <w:lang w:val="kk-KZ"/>
        </w:rPr>
      </w:pPr>
    </w:p>
    <w:p w14:paraId="5118122E" w14:textId="77777777" w:rsidR="00D05956" w:rsidRDefault="00D05956" w:rsidP="001D7D7A">
      <w:pPr>
        <w:spacing w:after="0" w:line="240" w:lineRule="auto"/>
        <w:rPr>
          <w:lang w:val="kk-KZ"/>
        </w:rPr>
      </w:pPr>
    </w:p>
    <w:p w14:paraId="237E5CC8" w14:textId="77777777" w:rsidR="00D05956" w:rsidRDefault="00D05956" w:rsidP="001D7D7A">
      <w:pPr>
        <w:spacing w:after="0" w:line="240" w:lineRule="auto"/>
        <w:rPr>
          <w:lang w:val="kk-KZ"/>
        </w:rPr>
      </w:pPr>
    </w:p>
    <w:p w14:paraId="41BA37FA" w14:textId="77777777" w:rsidR="00D05956" w:rsidRDefault="00D05956" w:rsidP="001D7D7A">
      <w:pPr>
        <w:spacing w:after="0" w:line="240" w:lineRule="auto"/>
        <w:rPr>
          <w:lang w:val="kk-KZ"/>
        </w:rPr>
      </w:pPr>
    </w:p>
    <w:p w14:paraId="20024B10" w14:textId="77777777" w:rsidR="00D05956" w:rsidRDefault="00D05956" w:rsidP="001D7D7A">
      <w:pPr>
        <w:spacing w:after="0" w:line="240" w:lineRule="auto"/>
        <w:rPr>
          <w:lang w:val="kk-KZ"/>
        </w:rPr>
      </w:pPr>
    </w:p>
    <w:p w14:paraId="1306651B" w14:textId="77777777" w:rsidR="00D05956" w:rsidRDefault="00D05956" w:rsidP="001D7D7A">
      <w:pPr>
        <w:spacing w:after="0" w:line="240" w:lineRule="auto"/>
        <w:rPr>
          <w:lang w:val="kk-KZ"/>
        </w:rPr>
      </w:pPr>
    </w:p>
    <w:p w14:paraId="77616A70" w14:textId="77777777" w:rsidR="00D05956" w:rsidRDefault="00D05956" w:rsidP="001D7D7A">
      <w:pPr>
        <w:spacing w:after="0" w:line="240" w:lineRule="auto"/>
        <w:rPr>
          <w:lang w:val="kk-KZ"/>
        </w:rPr>
      </w:pPr>
    </w:p>
    <w:p w14:paraId="5E0A7ACC" w14:textId="04791389" w:rsidR="001D7D7A" w:rsidRPr="00645B0F" w:rsidRDefault="001D7D7A" w:rsidP="00D05956">
      <w:pPr>
        <w:spacing w:after="0" w:line="240" w:lineRule="auto"/>
        <w:jc w:val="center"/>
        <w:rPr>
          <w:rFonts w:ascii="Times New Roman" w:eastAsia="Times New Roman" w:hAnsi="Times New Roman" w:cs="Times New Roman"/>
          <w:b/>
          <w:bCs/>
          <w:kern w:val="36"/>
          <w:sz w:val="28"/>
          <w:szCs w:val="28"/>
          <w:lang w:val="kk-KZ" w:eastAsia="ru-RU"/>
        </w:rPr>
      </w:pPr>
      <w:r w:rsidRPr="00645B0F">
        <w:rPr>
          <w:rFonts w:ascii="Times New Roman" w:eastAsia="Times New Roman" w:hAnsi="Times New Roman" w:cs="Times New Roman"/>
          <w:b/>
          <w:bCs/>
          <w:kern w:val="36"/>
          <w:sz w:val="28"/>
          <w:szCs w:val="28"/>
          <w:lang w:val="kk-KZ" w:eastAsia="ru-RU"/>
        </w:rPr>
        <w:t xml:space="preserve">ҚОСЫМША </w:t>
      </w:r>
      <w:r w:rsidR="00D05956">
        <w:rPr>
          <w:rFonts w:ascii="Times New Roman" w:eastAsia="Times New Roman" w:hAnsi="Times New Roman" w:cs="Times New Roman"/>
          <w:b/>
          <w:bCs/>
          <w:kern w:val="36"/>
          <w:sz w:val="28"/>
          <w:szCs w:val="28"/>
          <w:lang w:val="kk-KZ" w:eastAsia="ru-RU"/>
        </w:rPr>
        <w:t>В</w:t>
      </w:r>
    </w:p>
    <w:p w14:paraId="4632BE9F" w14:textId="2913ECF1" w:rsidR="00D05956" w:rsidRPr="00CA2955" w:rsidRDefault="00D05956" w:rsidP="001D7D7A">
      <w:pPr>
        <w:spacing w:after="0" w:line="240" w:lineRule="auto"/>
        <w:jc w:val="both"/>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 xml:space="preserve">Кесте В.1 – </w:t>
      </w:r>
      <w:r w:rsidR="001D7D7A" w:rsidRPr="00E27BED">
        <w:rPr>
          <w:rFonts w:ascii="Times New Roman" w:eastAsia="Times New Roman" w:hAnsi="Times New Roman" w:cs="Times New Roman"/>
          <w:kern w:val="36"/>
          <w:sz w:val="28"/>
          <w:szCs w:val="28"/>
          <w:lang w:val="kk-KZ" w:eastAsia="ru-RU"/>
        </w:rPr>
        <w:t>ҚР АӨК дамытудың 2021-2025 жж. ұлттық жобасындағы отандық өндірістің негізгі азық-түліктік тауарларымен қамтамасыз етілуі міндетін іске асыруға арналған нәтижелі көрсеткіштер мен іс-шаралар</w:t>
      </w:r>
    </w:p>
    <w:tbl>
      <w:tblPr>
        <w:tblStyle w:val="a3"/>
        <w:tblW w:w="14909" w:type="dxa"/>
        <w:tblInd w:w="-172" w:type="dxa"/>
        <w:tblLook w:val="04A0" w:firstRow="1" w:lastRow="0" w:firstColumn="1" w:lastColumn="0" w:noHBand="0" w:noVBand="1"/>
      </w:tblPr>
      <w:tblGrid>
        <w:gridCol w:w="6216"/>
        <w:gridCol w:w="1399"/>
        <w:gridCol w:w="1266"/>
        <w:gridCol w:w="1263"/>
        <w:gridCol w:w="1263"/>
        <w:gridCol w:w="1133"/>
        <w:gridCol w:w="1236"/>
        <w:gridCol w:w="1133"/>
      </w:tblGrid>
      <w:tr w:rsidR="00AB578C" w:rsidRPr="00D05956" w14:paraId="3AAD32F3" w14:textId="0B129235" w:rsidTr="00AB578C">
        <w:tc>
          <w:tcPr>
            <w:tcW w:w="6216" w:type="dxa"/>
            <w:tcBorders>
              <w:top w:val="single" w:sz="4" w:space="0" w:color="auto"/>
              <w:left w:val="single" w:sz="4" w:space="0" w:color="auto"/>
              <w:bottom w:val="single" w:sz="4" w:space="0" w:color="auto"/>
              <w:right w:val="single" w:sz="4" w:space="0" w:color="auto"/>
            </w:tcBorders>
            <w:vAlign w:val="center"/>
            <w:hideMark/>
          </w:tcPr>
          <w:p w14:paraId="07C55B2E"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Нысаналы индикаторлар</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947B25A" w14:textId="77777777" w:rsidR="00CA2955" w:rsidRPr="00D05956" w:rsidRDefault="00CA2955" w:rsidP="00D05956">
            <w:pPr>
              <w:ind w:left="-94" w:right="-143"/>
              <w:jc w:val="center"/>
              <w:rPr>
                <w:rFonts w:ascii="Times New Roman" w:eastAsia="Times New Roman" w:hAnsi="Times New Roman" w:cs="Times New Roman"/>
                <w:kern w:val="36"/>
                <w:sz w:val="24"/>
                <w:szCs w:val="24"/>
                <w:lang w:eastAsia="ru-RU"/>
              </w:rPr>
            </w:pPr>
            <w:r w:rsidRPr="00D05956">
              <w:rPr>
                <w:rFonts w:ascii="Times New Roman" w:eastAsia="Times New Roman" w:hAnsi="Times New Roman" w:cs="Times New Roman"/>
                <w:kern w:val="36"/>
                <w:sz w:val="24"/>
                <w:szCs w:val="24"/>
                <w:lang w:eastAsia="ru-RU"/>
              </w:rPr>
              <w:t>20</w:t>
            </w:r>
            <w:r w:rsidRPr="00D05956">
              <w:rPr>
                <w:rFonts w:ascii="Times New Roman" w:eastAsia="Times New Roman" w:hAnsi="Times New Roman" w:cs="Times New Roman"/>
                <w:kern w:val="36"/>
                <w:sz w:val="24"/>
                <w:szCs w:val="24"/>
                <w:lang w:val="kk-KZ" w:eastAsia="ru-RU"/>
              </w:rPr>
              <w:t>21</w:t>
            </w:r>
            <w:r w:rsidRPr="00D05956">
              <w:rPr>
                <w:rFonts w:ascii="Times New Roman" w:eastAsia="Times New Roman" w:hAnsi="Times New Roman" w:cs="Times New Roman"/>
                <w:kern w:val="36"/>
                <w:sz w:val="24"/>
                <w:szCs w:val="24"/>
                <w:lang w:eastAsia="ru-RU"/>
              </w:rPr>
              <w:t xml:space="preserve"> жыл</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E91FAD8"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2022 жыл</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150E346"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2023 жыл</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2BADBF"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2024 жыл</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1B576DE" w14:textId="77777777"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2025 жыл</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99DED80" w14:textId="72B91E34" w:rsidR="00CA2955" w:rsidRPr="00D05956" w:rsidRDefault="00CA2955" w:rsidP="00D05956">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Жиыны</w:t>
            </w:r>
          </w:p>
        </w:tc>
        <w:tc>
          <w:tcPr>
            <w:tcW w:w="1133" w:type="dxa"/>
            <w:tcBorders>
              <w:top w:val="single" w:sz="4" w:space="0" w:color="auto"/>
              <w:left w:val="single" w:sz="4" w:space="0" w:color="auto"/>
              <w:bottom w:val="single" w:sz="4" w:space="0" w:color="auto"/>
              <w:right w:val="single" w:sz="4" w:space="0" w:color="auto"/>
            </w:tcBorders>
            <w:vAlign w:val="center"/>
          </w:tcPr>
          <w:p w14:paraId="627FBC11" w14:textId="170878FB" w:rsidR="00CA2955" w:rsidRPr="00CA2955" w:rsidRDefault="00CA2955" w:rsidP="00CA2955">
            <w:pPr>
              <w:jc w:val="center"/>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val="kk-KZ" w:eastAsia="ru-RU"/>
              </w:rPr>
              <w:t xml:space="preserve">Құрылы мы, </w:t>
            </w:r>
            <w:r>
              <w:rPr>
                <w:rFonts w:ascii="Times New Roman" w:eastAsia="Times New Roman" w:hAnsi="Times New Roman" w:cs="Times New Roman"/>
                <w:kern w:val="36"/>
                <w:sz w:val="24"/>
                <w:szCs w:val="24"/>
                <w:lang w:eastAsia="ru-RU"/>
              </w:rPr>
              <w:t>%</w:t>
            </w:r>
          </w:p>
        </w:tc>
      </w:tr>
      <w:tr w:rsidR="00AB578C" w:rsidRPr="00D05956" w14:paraId="12BB0359" w14:textId="595EB696" w:rsidTr="00AB578C">
        <w:tc>
          <w:tcPr>
            <w:tcW w:w="6216" w:type="dxa"/>
            <w:tcBorders>
              <w:top w:val="single" w:sz="4" w:space="0" w:color="auto"/>
              <w:left w:val="single" w:sz="4" w:space="0" w:color="auto"/>
              <w:bottom w:val="single" w:sz="4" w:space="0" w:color="auto"/>
              <w:right w:val="single" w:sz="4" w:space="0" w:color="auto"/>
            </w:tcBorders>
            <w:vAlign w:val="center"/>
          </w:tcPr>
          <w:p w14:paraId="7F78C1A7" w14:textId="2B7C1C2A"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w:t>
            </w:r>
          </w:p>
        </w:tc>
        <w:tc>
          <w:tcPr>
            <w:tcW w:w="1399" w:type="dxa"/>
            <w:tcBorders>
              <w:top w:val="single" w:sz="4" w:space="0" w:color="auto"/>
              <w:left w:val="single" w:sz="4" w:space="0" w:color="auto"/>
              <w:bottom w:val="single" w:sz="4" w:space="0" w:color="auto"/>
              <w:right w:val="single" w:sz="4" w:space="0" w:color="auto"/>
            </w:tcBorders>
            <w:vAlign w:val="center"/>
          </w:tcPr>
          <w:p w14:paraId="56AA2777" w14:textId="53513EE3" w:rsidR="00CA2955" w:rsidRPr="00D05956" w:rsidRDefault="00CA2955" w:rsidP="00D05956">
            <w:pPr>
              <w:ind w:left="-94" w:right="-143"/>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2</w:t>
            </w:r>
          </w:p>
        </w:tc>
        <w:tc>
          <w:tcPr>
            <w:tcW w:w="1266" w:type="dxa"/>
            <w:tcBorders>
              <w:top w:val="single" w:sz="4" w:space="0" w:color="auto"/>
              <w:left w:val="single" w:sz="4" w:space="0" w:color="auto"/>
              <w:bottom w:val="single" w:sz="4" w:space="0" w:color="auto"/>
              <w:right w:val="single" w:sz="4" w:space="0" w:color="auto"/>
            </w:tcBorders>
            <w:vAlign w:val="center"/>
          </w:tcPr>
          <w:p w14:paraId="58B8ED8D" w14:textId="6EE67D2D"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3</w:t>
            </w:r>
          </w:p>
        </w:tc>
        <w:tc>
          <w:tcPr>
            <w:tcW w:w="1263" w:type="dxa"/>
            <w:tcBorders>
              <w:top w:val="single" w:sz="4" w:space="0" w:color="auto"/>
              <w:left w:val="single" w:sz="4" w:space="0" w:color="auto"/>
              <w:bottom w:val="single" w:sz="4" w:space="0" w:color="auto"/>
              <w:right w:val="single" w:sz="4" w:space="0" w:color="auto"/>
            </w:tcBorders>
            <w:vAlign w:val="center"/>
          </w:tcPr>
          <w:p w14:paraId="497E1496" w14:textId="1B5D2B13"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4</w:t>
            </w:r>
          </w:p>
        </w:tc>
        <w:tc>
          <w:tcPr>
            <w:tcW w:w="1263" w:type="dxa"/>
            <w:tcBorders>
              <w:top w:val="single" w:sz="4" w:space="0" w:color="auto"/>
              <w:left w:val="single" w:sz="4" w:space="0" w:color="auto"/>
              <w:bottom w:val="single" w:sz="4" w:space="0" w:color="auto"/>
              <w:right w:val="single" w:sz="4" w:space="0" w:color="auto"/>
            </w:tcBorders>
            <w:vAlign w:val="center"/>
          </w:tcPr>
          <w:p w14:paraId="04E89A95" w14:textId="604A37D1"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14:paraId="6A7F02AB" w14:textId="1A4C2472"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tcPr>
          <w:p w14:paraId="25965155" w14:textId="761EE2E2" w:rsidR="00CA2955" w:rsidRPr="00D05956" w:rsidRDefault="00CA2955" w:rsidP="00D05956">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218F6D3D" w14:textId="3B1605F5" w:rsidR="00CA2955" w:rsidRDefault="00CA2955"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AB578C" w:rsidRPr="00D05956" w14:paraId="669416A0" w14:textId="165E8159" w:rsidTr="00AB578C">
        <w:tc>
          <w:tcPr>
            <w:tcW w:w="6216" w:type="dxa"/>
            <w:tcBorders>
              <w:top w:val="single" w:sz="4" w:space="0" w:color="auto"/>
              <w:left w:val="single" w:sz="4" w:space="0" w:color="auto"/>
              <w:bottom w:val="single" w:sz="4" w:space="0" w:color="auto"/>
              <w:right w:val="single" w:sz="4" w:space="0" w:color="auto"/>
            </w:tcBorders>
            <w:hideMark/>
          </w:tcPr>
          <w:p w14:paraId="218859E3" w14:textId="15416725" w:rsidR="00CA2955" w:rsidRPr="00D05956" w:rsidRDefault="00CA2955" w:rsidP="001D7D7A">
            <w:pP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4-міндет. 7 ірі экожүйе қалыптастыру және инвестициялық жобаларды іске асыру есебінен 1 млн. ауыл тұрғынының табысын тұрақты арттыру,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6ED297E" w14:textId="77777777" w:rsidR="00CA2955" w:rsidRPr="00D05956" w:rsidRDefault="00CA2955" w:rsidP="001D7D7A">
            <w:pPr>
              <w:pStyle w:val="TableParagraph"/>
              <w:jc w:val="center"/>
              <w:rPr>
                <w:bCs/>
                <w:sz w:val="24"/>
                <w:szCs w:val="24"/>
                <w:lang w:val="en-US"/>
              </w:rPr>
            </w:pPr>
            <w:r w:rsidRPr="00D05956">
              <w:rPr>
                <w:bCs/>
                <w:sz w:val="24"/>
                <w:szCs w:val="24"/>
                <w:lang w:val="en-US"/>
              </w:rPr>
              <w:t>585892</w:t>
            </w:r>
            <w:r w:rsidRPr="00D05956">
              <w:rPr>
                <w:bCs/>
                <w:sz w:val="24"/>
                <w:szCs w:val="24"/>
              </w:rPr>
              <w:t>,</w:t>
            </w:r>
            <w:r w:rsidRPr="00D05956">
              <w:rPr>
                <w:bCs/>
                <w:sz w:val="24"/>
                <w:szCs w:val="24"/>
                <w:lang w:val="en-US"/>
              </w:rPr>
              <w:t>7</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35D79F3" w14:textId="77777777" w:rsidR="00CA2955" w:rsidRPr="00D05956" w:rsidRDefault="00CA2955" w:rsidP="001D7D7A">
            <w:pPr>
              <w:pStyle w:val="TableParagraph"/>
              <w:jc w:val="center"/>
              <w:rPr>
                <w:bCs/>
                <w:sz w:val="24"/>
                <w:szCs w:val="24"/>
                <w:lang w:val="en-US"/>
              </w:rPr>
            </w:pPr>
            <w:r w:rsidRPr="00D05956">
              <w:rPr>
                <w:bCs/>
                <w:sz w:val="24"/>
                <w:szCs w:val="24"/>
                <w:lang w:val="en-US"/>
              </w:rPr>
              <w:t>721643</w:t>
            </w:r>
            <w:r w:rsidRPr="00D05956">
              <w:rPr>
                <w:bCs/>
                <w:sz w:val="24"/>
                <w:szCs w:val="24"/>
              </w:rPr>
              <w:t>,</w:t>
            </w:r>
            <w:r w:rsidRPr="00D05956">
              <w:rPr>
                <w:bCs/>
                <w:sz w:val="24"/>
                <w:szCs w:val="24"/>
                <w:lang w:val="en-US"/>
              </w:rPr>
              <w:t>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1C3B70" w14:textId="77777777" w:rsidR="00CA2955" w:rsidRPr="00D05956" w:rsidRDefault="00CA2955" w:rsidP="001D7D7A">
            <w:pPr>
              <w:pStyle w:val="TableParagraph"/>
              <w:jc w:val="center"/>
              <w:rPr>
                <w:bCs/>
                <w:sz w:val="24"/>
                <w:szCs w:val="24"/>
              </w:rPr>
            </w:pPr>
            <w:r w:rsidRPr="00D05956">
              <w:rPr>
                <w:bCs/>
                <w:sz w:val="24"/>
                <w:szCs w:val="24"/>
                <w:lang w:val="en-US"/>
              </w:rPr>
              <w:t>888608</w:t>
            </w:r>
            <w:r w:rsidRPr="00D05956">
              <w:rPr>
                <w:bCs/>
                <w:sz w:val="24"/>
                <w:szCs w:val="24"/>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212191" w14:textId="77777777" w:rsidR="00CA2955" w:rsidRPr="00D05956" w:rsidRDefault="00CA2955" w:rsidP="001D7D7A">
            <w:pPr>
              <w:pStyle w:val="TableParagraph"/>
              <w:jc w:val="center"/>
              <w:rPr>
                <w:bCs/>
                <w:sz w:val="24"/>
                <w:szCs w:val="24"/>
                <w:lang w:val="en-US"/>
              </w:rPr>
            </w:pPr>
            <w:r w:rsidRPr="00D05956">
              <w:rPr>
                <w:bCs/>
                <w:sz w:val="24"/>
                <w:szCs w:val="24"/>
                <w:lang w:val="en-US"/>
              </w:rPr>
              <w:t>617700</w:t>
            </w:r>
            <w:r w:rsidRPr="00D05956">
              <w:rPr>
                <w:bCs/>
                <w:sz w:val="24"/>
                <w:szCs w:val="24"/>
              </w:rPr>
              <w:t>,</w:t>
            </w:r>
            <w:r w:rsidRPr="00D05956">
              <w:rPr>
                <w:bCs/>
                <w:sz w:val="24"/>
                <w:szCs w:val="24"/>
                <w:lang w:val="en-US"/>
              </w:rPr>
              <w:t>9</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4115E0A" w14:textId="77777777" w:rsidR="00CA2955" w:rsidRPr="00D05956" w:rsidRDefault="00CA2955" w:rsidP="001D7D7A">
            <w:pPr>
              <w:pStyle w:val="TableParagraph"/>
              <w:jc w:val="center"/>
              <w:rPr>
                <w:bCs/>
                <w:sz w:val="24"/>
                <w:szCs w:val="24"/>
                <w:lang w:val="en-US"/>
              </w:rPr>
            </w:pPr>
            <w:r w:rsidRPr="00D05956">
              <w:rPr>
                <w:bCs/>
                <w:sz w:val="24"/>
                <w:szCs w:val="24"/>
                <w:lang w:val="en-US"/>
              </w:rPr>
              <w:t>827522</w:t>
            </w:r>
            <w:r w:rsidRPr="00D05956">
              <w:rPr>
                <w:bCs/>
                <w:sz w:val="24"/>
                <w:szCs w:val="24"/>
              </w:rPr>
              <w:t>,</w:t>
            </w:r>
            <w:r w:rsidRPr="00D05956">
              <w:rPr>
                <w:bCs/>
                <w:sz w:val="24"/>
                <w:szCs w:val="24"/>
                <w:lang w:val="en-US"/>
              </w:rPr>
              <w:t>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9517F7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3641368,1</w:t>
            </w:r>
          </w:p>
        </w:tc>
        <w:tc>
          <w:tcPr>
            <w:tcW w:w="1133" w:type="dxa"/>
            <w:tcBorders>
              <w:top w:val="single" w:sz="4" w:space="0" w:color="auto"/>
              <w:left w:val="single" w:sz="4" w:space="0" w:color="auto"/>
              <w:bottom w:val="single" w:sz="4" w:space="0" w:color="auto"/>
              <w:right w:val="single" w:sz="4" w:space="0" w:color="auto"/>
            </w:tcBorders>
            <w:vAlign w:val="center"/>
          </w:tcPr>
          <w:p w14:paraId="4294F20C" w14:textId="1B1EC453"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100,0</w:t>
            </w:r>
          </w:p>
        </w:tc>
      </w:tr>
      <w:tr w:rsidR="00AB578C" w:rsidRPr="00D05956" w14:paraId="748C81C2" w14:textId="67169178" w:rsidTr="00AB578C">
        <w:tc>
          <w:tcPr>
            <w:tcW w:w="6216" w:type="dxa"/>
            <w:tcBorders>
              <w:top w:val="single" w:sz="4" w:space="0" w:color="auto"/>
              <w:left w:val="single" w:sz="4" w:space="0" w:color="auto"/>
              <w:bottom w:val="single" w:sz="4" w:space="0" w:color="auto"/>
              <w:right w:val="single" w:sz="4" w:space="0" w:color="auto"/>
            </w:tcBorders>
            <w:hideMark/>
          </w:tcPr>
          <w:p w14:paraId="5A34F7E0" w14:textId="77777777" w:rsidR="00CA2955" w:rsidRPr="00D05956" w:rsidRDefault="00CA2955" w:rsidP="001D7D7A">
            <w:pPr>
              <w:rPr>
                <w:rFonts w:ascii="Times New Roman" w:eastAsia="Times New Roman" w:hAnsi="Times New Roman" w:cs="Times New Roman"/>
                <w:kern w:val="36"/>
                <w:sz w:val="24"/>
                <w:szCs w:val="24"/>
                <w:lang w:val="kk-KZ" w:eastAsia="ru-RU"/>
              </w:rPr>
            </w:pPr>
            <w:r w:rsidRPr="00D05956">
              <w:rPr>
                <w:rFonts w:ascii="Times New Roman" w:hAnsi="Times New Roman" w:cs="Times New Roman"/>
                <w:color w:val="000000"/>
                <w:spacing w:val="2"/>
                <w:sz w:val="24"/>
                <w:szCs w:val="24"/>
                <w:shd w:val="clear" w:color="auto" w:fill="FFFFFF"/>
                <w:lang w:val="kk-KZ"/>
              </w:rPr>
              <w:t xml:space="preserve">1-көрсеткіш. Ауыл шаруашылығының негізгі капиталына тартылған инвестициялар көлемі, </w:t>
            </w:r>
            <w:r w:rsidRPr="00D05956">
              <w:rPr>
                <w:rFonts w:ascii="Times New Roman" w:hAnsi="Times New Roman" w:cs="Times New Roman"/>
                <w:color w:val="FF0000"/>
                <w:spacing w:val="2"/>
                <w:sz w:val="24"/>
                <w:szCs w:val="24"/>
                <w:shd w:val="clear" w:color="auto" w:fill="FFFFFF"/>
                <w:lang w:val="kk-KZ"/>
              </w:rPr>
              <w:t>млрд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D1640F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700,4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9C70F7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914,6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4A9D40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1080,4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237CB1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1281,0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175F95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1529,2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5EB078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1214982,4</w:t>
            </w:r>
          </w:p>
        </w:tc>
        <w:tc>
          <w:tcPr>
            <w:tcW w:w="1133" w:type="dxa"/>
            <w:tcBorders>
              <w:top w:val="single" w:sz="4" w:space="0" w:color="auto"/>
              <w:left w:val="single" w:sz="4" w:space="0" w:color="auto"/>
              <w:bottom w:val="single" w:sz="4" w:space="0" w:color="auto"/>
              <w:right w:val="single" w:sz="4" w:space="0" w:color="auto"/>
            </w:tcBorders>
            <w:vAlign w:val="center"/>
          </w:tcPr>
          <w:p w14:paraId="67D7A400" w14:textId="4FA850A3" w:rsidR="00CA2955" w:rsidRPr="00D05956" w:rsidRDefault="00AB578C"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33,37</w:t>
            </w:r>
          </w:p>
        </w:tc>
      </w:tr>
      <w:tr w:rsidR="00AB578C" w:rsidRPr="00D05956" w14:paraId="131326D5" w14:textId="56BB740F" w:rsidTr="00AB578C">
        <w:tc>
          <w:tcPr>
            <w:tcW w:w="6216" w:type="dxa"/>
            <w:tcBorders>
              <w:top w:val="single" w:sz="4" w:space="0" w:color="auto"/>
              <w:left w:val="single" w:sz="4" w:space="0" w:color="auto"/>
              <w:bottom w:val="single" w:sz="4" w:space="0" w:color="auto"/>
              <w:right w:val="single" w:sz="4" w:space="0" w:color="auto"/>
            </w:tcBorders>
            <w:hideMark/>
          </w:tcPr>
          <w:p w14:paraId="4D5AE6C3"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2-көрсеткіш. Тамақ өнімдері өндірісінің негізгі капиталына тартылған инвестициялар көлемі, </w:t>
            </w:r>
            <w:r w:rsidRPr="00D05956">
              <w:rPr>
                <w:rFonts w:ascii="Times New Roman" w:hAnsi="Times New Roman" w:cs="Times New Roman"/>
                <w:color w:val="FF0000"/>
                <w:spacing w:val="2"/>
                <w:sz w:val="24"/>
                <w:szCs w:val="24"/>
                <w:shd w:val="clear" w:color="auto" w:fill="FFFFFF"/>
                <w:lang w:val="kk-KZ"/>
              </w:rPr>
              <w:t>млрд теңг</w:t>
            </w:r>
            <w:r w:rsidRPr="00D05956">
              <w:rPr>
                <w:rFonts w:ascii="Times New Roman" w:hAnsi="Times New Roman" w:cs="Times New Roman"/>
                <w:color w:val="000000"/>
                <w:spacing w:val="2"/>
                <w:sz w:val="24"/>
                <w:szCs w:val="24"/>
                <w:shd w:val="clear" w:color="auto" w:fill="FFFFFF"/>
                <w:lang w:val="kk-KZ"/>
              </w:rPr>
              <w:t>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353A74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123,6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B44F98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161,4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02491D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190,7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5FCE0D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226,1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14A873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269,9</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3327DD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971,7</w:t>
            </w:r>
          </w:p>
        </w:tc>
        <w:tc>
          <w:tcPr>
            <w:tcW w:w="1133" w:type="dxa"/>
            <w:tcBorders>
              <w:top w:val="single" w:sz="4" w:space="0" w:color="auto"/>
              <w:left w:val="single" w:sz="4" w:space="0" w:color="auto"/>
              <w:bottom w:val="single" w:sz="4" w:space="0" w:color="auto"/>
              <w:right w:val="single" w:sz="4" w:space="0" w:color="auto"/>
            </w:tcBorders>
            <w:vAlign w:val="center"/>
          </w:tcPr>
          <w:p w14:paraId="7060380A" w14:textId="072A4D9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60FB7AD6" w14:textId="3652DA9C" w:rsidTr="00AB578C">
        <w:tc>
          <w:tcPr>
            <w:tcW w:w="6216" w:type="dxa"/>
            <w:tcBorders>
              <w:top w:val="single" w:sz="4" w:space="0" w:color="auto"/>
              <w:left w:val="single" w:sz="4" w:space="0" w:color="auto"/>
              <w:bottom w:val="single" w:sz="4" w:space="0" w:color="auto"/>
              <w:right w:val="single" w:sz="4" w:space="0" w:color="auto"/>
            </w:tcBorders>
            <w:hideMark/>
          </w:tcPr>
          <w:p w14:paraId="60C57EE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Ауыл шаруашылығында 500 мыңға дейін адамды жұмыспен қамтамасыз ету, адам</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3A2A01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41850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0E3637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64 50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E6BF4B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96 25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E990A6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134 00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0318C3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163375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7DC7ED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500000,0</w:t>
            </w:r>
          </w:p>
        </w:tc>
        <w:tc>
          <w:tcPr>
            <w:tcW w:w="1133" w:type="dxa"/>
            <w:tcBorders>
              <w:top w:val="single" w:sz="4" w:space="0" w:color="auto"/>
              <w:left w:val="single" w:sz="4" w:space="0" w:color="auto"/>
              <w:bottom w:val="single" w:sz="4" w:space="0" w:color="auto"/>
              <w:right w:val="single" w:sz="4" w:space="0" w:color="auto"/>
            </w:tcBorders>
            <w:vAlign w:val="center"/>
          </w:tcPr>
          <w:p w14:paraId="239959A2" w14:textId="7CF0560D"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D0714AC" w14:textId="4D104FDA" w:rsidTr="00AB578C">
        <w:tc>
          <w:tcPr>
            <w:tcW w:w="6216" w:type="dxa"/>
            <w:tcBorders>
              <w:top w:val="single" w:sz="4" w:space="0" w:color="auto"/>
              <w:left w:val="single" w:sz="4" w:space="0" w:color="auto"/>
              <w:bottom w:val="single" w:sz="4" w:space="0" w:color="auto"/>
              <w:right w:val="single" w:sz="4" w:space="0" w:color="auto"/>
            </w:tcBorders>
            <w:hideMark/>
          </w:tcPr>
          <w:p w14:paraId="2AA45782"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100 мың тұрақты жұмыс орны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DBDE20D"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8370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8960607"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12810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E723DBE"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19345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FB77DF5"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26800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D681B55"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32675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DED8B5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100000,0</w:t>
            </w:r>
          </w:p>
        </w:tc>
        <w:tc>
          <w:tcPr>
            <w:tcW w:w="1133" w:type="dxa"/>
            <w:tcBorders>
              <w:top w:val="single" w:sz="4" w:space="0" w:color="auto"/>
              <w:left w:val="single" w:sz="4" w:space="0" w:color="auto"/>
              <w:bottom w:val="single" w:sz="4" w:space="0" w:color="auto"/>
              <w:right w:val="single" w:sz="4" w:space="0" w:color="auto"/>
            </w:tcBorders>
            <w:vAlign w:val="center"/>
          </w:tcPr>
          <w:p w14:paraId="05D43A49" w14:textId="2B221EA5"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9B61BFA" w14:textId="39CCBF10" w:rsidTr="00AB578C">
        <w:tc>
          <w:tcPr>
            <w:tcW w:w="6216" w:type="dxa"/>
            <w:tcBorders>
              <w:top w:val="single" w:sz="4" w:space="0" w:color="auto"/>
              <w:left w:val="single" w:sz="4" w:space="0" w:color="auto"/>
              <w:bottom w:val="single" w:sz="4" w:space="0" w:color="auto"/>
              <w:right w:val="single" w:sz="4" w:space="0" w:color="auto"/>
            </w:tcBorders>
            <w:hideMark/>
          </w:tcPr>
          <w:p w14:paraId="03B0C75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400 мың маусымдық жұмыс орны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FDBA7E0"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33480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8C4055C"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51240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30E4AC0"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77380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5687A8"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107200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09F250E" w14:textId="77777777" w:rsidR="00CA2955" w:rsidRPr="00D05956" w:rsidRDefault="00CA2955" w:rsidP="001D7D7A">
            <w:pPr>
              <w:jc w:val="center"/>
              <w:rPr>
                <w:rFonts w:ascii="Times New Roman" w:eastAsia="Times New Roman" w:hAnsi="Times New Roman" w:cs="Times New Roman"/>
                <w:bCs/>
                <w:kern w:val="36"/>
                <w:sz w:val="24"/>
                <w:szCs w:val="24"/>
                <w:lang w:val="kk-KZ" w:eastAsia="ru-RU"/>
              </w:rPr>
            </w:pPr>
            <w:r w:rsidRPr="00D05956">
              <w:rPr>
                <w:rFonts w:ascii="Times New Roman" w:hAnsi="Times New Roman" w:cs="Times New Roman"/>
                <w:bCs/>
                <w:sz w:val="24"/>
                <w:szCs w:val="24"/>
                <w:lang w:val="en-US"/>
              </w:rPr>
              <w:t>130700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45D489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400000,0</w:t>
            </w:r>
          </w:p>
        </w:tc>
        <w:tc>
          <w:tcPr>
            <w:tcW w:w="1133" w:type="dxa"/>
            <w:tcBorders>
              <w:top w:val="single" w:sz="4" w:space="0" w:color="auto"/>
              <w:left w:val="single" w:sz="4" w:space="0" w:color="auto"/>
              <w:bottom w:val="single" w:sz="4" w:space="0" w:color="auto"/>
              <w:right w:val="single" w:sz="4" w:space="0" w:color="auto"/>
            </w:tcBorders>
            <w:vAlign w:val="center"/>
          </w:tcPr>
          <w:p w14:paraId="7ECA99A8" w14:textId="56FE656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0F7A71C" w14:textId="3D75C1DC" w:rsidTr="00AB578C">
        <w:tc>
          <w:tcPr>
            <w:tcW w:w="6216" w:type="dxa"/>
            <w:tcBorders>
              <w:top w:val="single" w:sz="4" w:space="0" w:color="auto"/>
              <w:left w:val="single" w:sz="4" w:space="0" w:color="auto"/>
              <w:bottom w:val="single" w:sz="4" w:space="0" w:color="auto"/>
              <w:right w:val="single" w:sz="4" w:space="0" w:color="auto"/>
            </w:tcBorders>
            <w:hideMark/>
          </w:tcPr>
          <w:p w14:paraId="1A5C0C5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 Агроөнеркәсіптік кешендегі инвестициялық субсидиялау, оның ішінде жасыл өсу қағидаттарына сәйкес орнықты даму негізінде, млн.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851C96E" w14:textId="77777777" w:rsidR="00CA2955" w:rsidRPr="00D05956" w:rsidRDefault="00CA2955" w:rsidP="001D7D7A">
            <w:pPr>
              <w:pStyle w:val="TableParagraph"/>
              <w:jc w:val="center"/>
              <w:rPr>
                <w:sz w:val="24"/>
                <w:szCs w:val="24"/>
              </w:rPr>
            </w:pPr>
            <w:r w:rsidRPr="00D05956">
              <w:rPr>
                <w:sz w:val="24"/>
                <w:szCs w:val="24"/>
                <w:lang w:val="en-US"/>
              </w:rPr>
              <w:t>107379</w:t>
            </w:r>
            <w:r w:rsidRPr="00D05956">
              <w:rPr>
                <w:sz w:val="24"/>
                <w:szCs w:val="24"/>
              </w:rPr>
              <w:t>,3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4A975C6" w14:textId="77777777" w:rsidR="00CA2955" w:rsidRPr="00D05956" w:rsidRDefault="00CA2955" w:rsidP="001D7D7A">
            <w:pPr>
              <w:pStyle w:val="TableParagraph"/>
              <w:jc w:val="center"/>
              <w:rPr>
                <w:sz w:val="24"/>
                <w:szCs w:val="24"/>
              </w:rPr>
            </w:pPr>
            <w:r w:rsidRPr="00D05956">
              <w:rPr>
                <w:sz w:val="24"/>
                <w:szCs w:val="24"/>
                <w:lang w:val="en-US"/>
              </w:rPr>
              <w:t>72083</w:t>
            </w:r>
            <w:r w:rsidRPr="00D05956">
              <w:rPr>
                <w:sz w:val="24"/>
                <w:szCs w:val="24"/>
              </w:rPr>
              <w:t>,2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4180D97" w14:textId="77777777" w:rsidR="00CA2955" w:rsidRPr="00D05956" w:rsidRDefault="00CA2955" w:rsidP="001D7D7A">
            <w:pPr>
              <w:pStyle w:val="TableParagraph"/>
              <w:jc w:val="center"/>
              <w:rPr>
                <w:sz w:val="24"/>
                <w:szCs w:val="24"/>
                <w:lang w:val="en-US"/>
              </w:rPr>
            </w:pPr>
            <w:r w:rsidRPr="00D05956">
              <w:rPr>
                <w:sz w:val="24"/>
                <w:szCs w:val="24"/>
                <w:lang w:val="en-US"/>
              </w:rPr>
              <w:t>69700,0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9CE1979" w14:textId="77777777" w:rsidR="00CA2955" w:rsidRPr="00D05956" w:rsidRDefault="00CA2955" w:rsidP="001D7D7A">
            <w:pPr>
              <w:pStyle w:val="TableParagraph"/>
              <w:jc w:val="center"/>
              <w:rPr>
                <w:sz w:val="24"/>
                <w:szCs w:val="24"/>
                <w:lang w:val="en-US"/>
              </w:rPr>
            </w:pPr>
            <w:r w:rsidRPr="00D05956">
              <w:rPr>
                <w:sz w:val="24"/>
                <w:szCs w:val="24"/>
                <w:lang w:val="en-US"/>
              </w:rPr>
              <w:t>120000,0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2B3F299" w14:textId="77777777" w:rsidR="00CA2955" w:rsidRPr="00D05956" w:rsidRDefault="00CA2955" w:rsidP="001D7D7A">
            <w:pPr>
              <w:pStyle w:val="TableParagraph"/>
              <w:jc w:val="center"/>
              <w:rPr>
                <w:sz w:val="24"/>
                <w:szCs w:val="24"/>
                <w:lang w:val="en-US"/>
              </w:rPr>
            </w:pPr>
            <w:r w:rsidRPr="00D05956">
              <w:rPr>
                <w:sz w:val="24"/>
                <w:szCs w:val="24"/>
                <w:lang w:val="en-US"/>
              </w:rPr>
              <w:t>120000,0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6EC7E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489162,5</w:t>
            </w:r>
          </w:p>
        </w:tc>
        <w:tc>
          <w:tcPr>
            <w:tcW w:w="1133" w:type="dxa"/>
            <w:tcBorders>
              <w:top w:val="single" w:sz="4" w:space="0" w:color="auto"/>
              <w:left w:val="single" w:sz="4" w:space="0" w:color="auto"/>
              <w:bottom w:val="single" w:sz="4" w:space="0" w:color="auto"/>
              <w:right w:val="single" w:sz="4" w:space="0" w:color="auto"/>
            </w:tcBorders>
            <w:vAlign w:val="center"/>
          </w:tcPr>
          <w:p w14:paraId="699AEA43" w14:textId="7884E280"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BBAB508" w14:textId="771A0845" w:rsidTr="00AB578C">
        <w:tc>
          <w:tcPr>
            <w:tcW w:w="6216" w:type="dxa"/>
            <w:tcBorders>
              <w:top w:val="single" w:sz="4" w:space="0" w:color="auto"/>
              <w:left w:val="single" w:sz="4" w:space="0" w:color="auto"/>
              <w:bottom w:val="single" w:sz="4" w:space="0" w:color="auto"/>
              <w:right w:val="single" w:sz="4" w:space="0" w:color="auto"/>
            </w:tcBorders>
            <w:hideMark/>
          </w:tcPr>
          <w:p w14:paraId="27D2ADD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субсидиялаумен қамтылған инвестициялық жобалардың саны, бірлік</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8650F8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7756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811FE9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4890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55FEDE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5427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C374A2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8415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023B43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8415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4C4C4B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34903</w:t>
            </w:r>
          </w:p>
        </w:tc>
        <w:tc>
          <w:tcPr>
            <w:tcW w:w="1133" w:type="dxa"/>
            <w:tcBorders>
              <w:top w:val="single" w:sz="4" w:space="0" w:color="auto"/>
              <w:left w:val="single" w:sz="4" w:space="0" w:color="auto"/>
              <w:bottom w:val="single" w:sz="4" w:space="0" w:color="auto"/>
              <w:right w:val="single" w:sz="4" w:space="0" w:color="auto"/>
            </w:tcBorders>
            <w:vAlign w:val="center"/>
          </w:tcPr>
          <w:p w14:paraId="3CBC298A" w14:textId="1CF250A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5D337AF" w14:textId="19927152" w:rsidTr="00AB578C">
        <w:tc>
          <w:tcPr>
            <w:tcW w:w="6216" w:type="dxa"/>
            <w:tcBorders>
              <w:top w:val="single" w:sz="4" w:space="0" w:color="auto"/>
              <w:left w:val="single" w:sz="4" w:space="0" w:color="auto"/>
              <w:bottom w:val="single" w:sz="4" w:space="0" w:color="auto"/>
              <w:right w:val="single" w:sz="4" w:space="0" w:color="auto"/>
            </w:tcBorders>
            <w:hideMark/>
          </w:tcPr>
          <w:p w14:paraId="24BFE1F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3-іс-шара. Агроөнеркәсіптік кешен субъектілеріне кредит беру, сондай-ақ ауыл шаруашылығы жануарларын, техникасы мен технологиялық жабдығын сатып алуға лизинг кезінде сыйақы мөлшерлемелерін субсидиялау, млн.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04D0723" w14:textId="77777777" w:rsidR="00CA2955" w:rsidRPr="00D05956" w:rsidRDefault="00CA2955" w:rsidP="001D7D7A">
            <w:pPr>
              <w:pStyle w:val="TableParagraph"/>
              <w:jc w:val="center"/>
              <w:rPr>
                <w:sz w:val="24"/>
                <w:szCs w:val="24"/>
                <w:lang w:val="en-US"/>
              </w:rPr>
            </w:pPr>
            <w:r w:rsidRPr="00D05956">
              <w:rPr>
                <w:sz w:val="24"/>
                <w:szCs w:val="24"/>
                <w:lang w:val="en-US"/>
              </w:rPr>
              <w:t>56686</w:t>
            </w:r>
            <w:r w:rsidRPr="00D05956">
              <w:rPr>
                <w:sz w:val="24"/>
                <w:szCs w:val="24"/>
              </w:rPr>
              <w:t>,1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617C951" w14:textId="77777777" w:rsidR="00CA2955" w:rsidRPr="00D05956" w:rsidRDefault="00CA2955" w:rsidP="001D7D7A">
            <w:pPr>
              <w:pStyle w:val="TableParagraph"/>
              <w:jc w:val="center"/>
              <w:rPr>
                <w:sz w:val="24"/>
                <w:szCs w:val="24"/>
                <w:lang w:val="en-US"/>
              </w:rPr>
            </w:pPr>
            <w:r w:rsidRPr="00D05956">
              <w:rPr>
                <w:sz w:val="24"/>
                <w:szCs w:val="24"/>
                <w:lang w:val="en-US"/>
              </w:rPr>
              <w:t>43202</w:t>
            </w:r>
            <w:r w:rsidRPr="00D05956">
              <w:rPr>
                <w:sz w:val="24"/>
                <w:szCs w:val="24"/>
              </w:rPr>
              <w:t>,</w:t>
            </w:r>
            <w:r w:rsidRPr="00D05956">
              <w:rPr>
                <w:sz w:val="24"/>
                <w:szCs w:val="24"/>
                <w:lang w:val="en-US"/>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9930F26" w14:textId="77777777" w:rsidR="00CA2955" w:rsidRPr="00D05956" w:rsidRDefault="00CA2955" w:rsidP="001D7D7A">
            <w:pPr>
              <w:pStyle w:val="TableParagraph"/>
              <w:jc w:val="center"/>
              <w:rPr>
                <w:sz w:val="24"/>
                <w:szCs w:val="24"/>
              </w:rPr>
            </w:pPr>
            <w:r w:rsidRPr="00D05956">
              <w:rPr>
                <w:sz w:val="24"/>
                <w:szCs w:val="24"/>
                <w:lang w:val="en-US"/>
              </w:rPr>
              <w:t>41014</w:t>
            </w:r>
            <w:r w:rsidRPr="00D05956">
              <w:rPr>
                <w:sz w:val="24"/>
                <w:szCs w:val="24"/>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9B92621" w14:textId="77777777" w:rsidR="00CA2955" w:rsidRPr="00D05956" w:rsidRDefault="00CA2955" w:rsidP="001D7D7A">
            <w:pPr>
              <w:pStyle w:val="TableParagraph"/>
              <w:jc w:val="center"/>
              <w:rPr>
                <w:sz w:val="24"/>
                <w:szCs w:val="24"/>
                <w:lang w:val="en-US"/>
              </w:rPr>
            </w:pPr>
            <w:r w:rsidRPr="00D05956">
              <w:rPr>
                <w:sz w:val="24"/>
                <w:szCs w:val="24"/>
                <w:lang w:val="en-US"/>
              </w:rPr>
              <w:t>83404</w:t>
            </w:r>
            <w:r w:rsidRPr="00D05956">
              <w:rPr>
                <w:sz w:val="24"/>
                <w:szCs w:val="24"/>
              </w:rPr>
              <w:t>,</w:t>
            </w:r>
            <w:r w:rsidRPr="00D05956">
              <w:rPr>
                <w:sz w:val="24"/>
                <w:szCs w:val="24"/>
                <w:lang w:val="en-US"/>
              </w:rPr>
              <w:t>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EF8AD75" w14:textId="77777777" w:rsidR="00CA2955" w:rsidRPr="00D05956" w:rsidRDefault="00CA2955" w:rsidP="001D7D7A">
            <w:pPr>
              <w:pStyle w:val="TableParagraph"/>
              <w:jc w:val="center"/>
              <w:rPr>
                <w:sz w:val="24"/>
                <w:szCs w:val="24"/>
                <w:lang w:val="en-US"/>
              </w:rPr>
            </w:pPr>
            <w:r w:rsidRPr="00D05956">
              <w:rPr>
                <w:sz w:val="24"/>
                <w:szCs w:val="24"/>
                <w:lang w:val="en-US"/>
              </w:rPr>
              <w:t>83005</w:t>
            </w:r>
            <w:r w:rsidRPr="00D05956">
              <w:rPr>
                <w:sz w:val="24"/>
                <w:szCs w:val="24"/>
              </w:rPr>
              <w:t>,</w:t>
            </w:r>
            <w:r w:rsidRPr="00D05956">
              <w:rPr>
                <w:sz w:val="24"/>
                <w:szCs w:val="24"/>
                <w:lang w:val="en-US"/>
              </w:rPr>
              <w:t>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52349C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307314,0</w:t>
            </w:r>
          </w:p>
        </w:tc>
        <w:tc>
          <w:tcPr>
            <w:tcW w:w="1133" w:type="dxa"/>
            <w:tcBorders>
              <w:top w:val="single" w:sz="4" w:space="0" w:color="auto"/>
              <w:left w:val="single" w:sz="4" w:space="0" w:color="auto"/>
              <w:bottom w:val="single" w:sz="4" w:space="0" w:color="auto"/>
              <w:right w:val="single" w:sz="4" w:space="0" w:color="auto"/>
            </w:tcBorders>
            <w:vAlign w:val="center"/>
          </w:tcPr>
          <w:p w14:paraId="221216A1" w14:textId="170CA56F"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74D2550" w14:textId="2AFAEF0A" w:rsidTr="00AB578C">
        <w:tc>
          <w:tcPr>
            <w:tcW w:w="6216" w:type="dxa"/>
            <w:tcBorders>
              <w:top w:val="single" w:sz="4" w:space="0" w:color="auto"/>
              <w:left w:val="single" w:sz="4" w:space="0" w:color="auto"/>
              <w:bottom w:val="single" w:sz="4" w:space="0" w:color="auto"/>
              <w:right w:val="single" w:sz="4" w:space="0" w:color="auto"/>
            </w:tcBorders>
            <w:hideMark/>
          </w:tcPr>
          <w:p w14:paraId="030BF1D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lang w:val="kk-KZ"/>
              </w:rPr>
              <w:t>- бағдарламаға қатысатын АӨК субъектілерінің саны, бірлік</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C4A9B7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18341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53A87C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13086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1770D5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9415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F47CA1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15575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020245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14655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C1E73C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71072</w:t>
            </w:r>
          </w:p>
        </w:tc>
        <w:tc>
          <w:tcPr>
            <w:tcW w:w="1133" w:type="dxa"/>
            <w:tcBorders>
              <w:top w:val="single" w:sz="4" w:space="0" w:color="auto"/>
              <w:left w:val="single" w:sz="4" w:space="0" w:color="auto"/>
              <w:bottom w:val="single" w:sz="4" w:space="0" w:color="auto"/>
              <w:right w:val="single" w:sz="4" w:space="0" w:color="auto"/>
            </w:tcBorders>
            <w:vAlign w:val="center"/>
          </w:tcPr>
          <w:p w14:paraId="77B11039" w14:textId="5B333E7B"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51424F7" w14:textId="5EC84062" w:rsidTr="00AB578C">
        <w:tc>
          <w:tcPr>
            <w:tcW w:w="6216" w:type="dxa"/>
            <w:tcBorders>
              <w:top w:val="single" w:sz="4" w:space="0" w:color="auto"/>
              <w:left w:val="single" w:sz="4" w:space="0" w:color="auto"/>
              <w:bottom w:val="nil"/>
              <w:right w:val="single" w:sz="4" w:space="0" w:color="auto"/>
            </w:tcBorders>
            <w:hideMark/>
          </w:tcPr>
          <w:p w14:paraId="259D3D90" w14:textId="5121EA25"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4-іс-шара. Агроөнеркәсіптік кешен субъектілерін қаржылық сауықтыру жөніндегі бағыт шеңберінде </w:t>
            </w:r>
            <w:r w:rsidR="00AB578C" w:rsidRPr="00D05956">
              <w:rPr>
                <w:rFonts w:ascii="Times New Roman" w:hAnsi="Times New Roman" w:cs="Times New Roman"/>
                <w:color w:val="000000"/>
                <w:spacing w:val="2"/>
                <w:sz w:val="24"/>
                <w:szCs w:val="24"/>
                <w:shd w:val="clear" w:color="auto" w:fill="FFFFFF"/>
                <w:lang w:val="kk-KZ"/>
              </w:rPr>
              <w:t>кредиттік және лизингтік міндеттемелер бойынша</w:t>
            </w:r>
          </w:p>
        </w:tc>
        <w:tc>
          <w:tcPr>
            <w:tcW w:w="1399" w:type="dxa"/>
            <w:tcBorders>
              <w:top w:val="single" w:sz="4" w:space="0" w:color="auto"/>
              <w:left w:val="single" w:sz="4" w:space="0" w:color="auto"/>
              <w:bottom w:val="nil"/>
              <w:right w:val="single" w:sz="4" w:space="0" w:color="auto"/>
            </w:tcBorders>
            <w:vAlign w:val="center"/>
            <w:hideMark/>
          </w:tcPr>
          <w:p w14:paraId="1C4F8C70" w14:textId="77777777" w:rsidR="00CA2955" w:rsidRPr="00D05956" w:rsidRDefault="00CA2955" w:rsidP="001D7D7A">
            <w:pPr>
              <w:pStyle w:val="TableParagraph"/>
              <w:jc w:val="center"/>
              <w:rPr>
                <w:sz w:val="24"/>
                <w:szCs w:val="24"/>
              </w:rPr>
            </w:pPr>
            <w:r w:rsidRPr="00D05956">
              <w:rPr>
                <w:sz w:val="24"/>
                <w:szCs w:val="24"/>
                <w:lang w:val="en-US"/>
              </w:rPr>
              <w:t>690</w:t>
            </w:r>
            <w:r w:rsidRPr="00D05956">
              <w:rPr>
                <w:sz w:val="24"/>
                <w:szCs w:val="24"/>
              </w:rPr>
              <w:t>,7</w:t>
            </w:r>
          </w:p>
        </w:tc>
        <w:tc>
          <w:tcPr>
            <w:tcW w:w="1266" w:type="dxa"/>
            <w:tcBorders>
              <w:top w:val="single" w:sz="4" w:space="0" w:color="auto"/>
              <w:left w:val="single" w:sz="4" w:space="0" w:color="auto"/>
              <w:bottom w:val="nil"/>
              <w:right w:val="single" w:sz="4" w:space="0" w:color="auto"/>
            </w:tcBorders>
            <w:vAlign w:val="center"/>
            <w:hideMark/>
          </w:tcPr>
          <w:p w14:paraId="32CB7756" w14:textId="77777777" w:rsidR="00CA2955" w:rsidRPr="00D05956" w:rsidRDefault="00CA2955" w:rsidP="001D7D7A">
            <w:pPr>
              <w:pStyle w:val="TableParagraph"/>
              <w:jc w:val="center"/>
              <w:rPr>
                <w:kern w:val="36"/>
                <w:sz w:val="24"/>
                <w:szCs w:val="24"/>
                <w:lang w:val="kk-KZ" w:eastAsia="ru-RU"/>
              </w:rPr>
            </w:pPr>
            <w:r w:rsidRPr="00D05956">
              <w:rPr>
                <w:sz w:val="24"/>
                <w:szCs w:val="24"/>
                <w:lang w:val="en-US"/>
              </w:rPr>
              <w:t>477</w:t>
            </w:r>
            <w:r w:rsidRPr="00D05956">
              <w:rPr>
                <w:sz w:val="24"/>
                <w:szCs w:val="24"/>
              </w:rPr>
              <w:t>,6</w:t>
            </w:r>
          </w:p>
        </w:tc>
        <w:tc>
          <w:tcPr>
            <w:tcW w:w="1263" w:type="dxa"/>
            <w:tcBorders>
              <w:top w:val="single" w:sz="4" w:space="0" w:color="auto"/>
              <w:left w:val="single" w:sz="4" w:space="0" w:color="auto"/>
              <w:bottom w:val="nil"/>
              <w:right w:val="single" w:sz="4" w:space="0" w:color="auto"/>
            </w:tcBorders>
            <w:vAlign w:val="center"/>
            <w:hideMark/>
          </w:tcPr>
          <w:p w14:paraId="42ADDF2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59,0</w:t>
            </w:r>
          </w:p>
        </w:tc>
        <w:tc>
          <w:tcPr>
            <w:tcW w:w="1263" w:type="dxa"/>
            <w:tcBorders>
              <w:top w:val="single" w:sz="4" w:space="0" w:color="auto"/>
              <w:left w:val="single" w:sz="4" w:space="0" w:color="auto"/>
              <w:bottom w:val="nil"/>
              <w:right w:val="single" w:sz="4" w:space="0" w:color="auto"/>
            </w:tcBorders>
            <w:vAlign w:val="center"/>
            <w:hideMark/>
          </w:tcPr>
          <w:p w14:paraId="2355DA5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14</w:t>
            </w:r>
            <w:r w:rsidRPr="00D05956">
              <w:rPr>
                <w:rFonts w:ascii="Times New Roman" w:hAnsi="Times New Roman" w:cs="Times New Roman"/>
                <w:sz w:val="24"/>
                <w:szCs w:val="24"/>
              </w:rPr>
              <w:t>,4</w:t>
            </w:r>
          </w:p>
        </w:tc>
        <w:tc>
          <w:tcPr>
            <w:tcW w:w="1133" w:type="dxa"/>
            <w:tcBorders>
              <w:top w:val="single" w:sz="4" w:space="0" w:color="auto"/>
              <w:left w:val="single" w:sz="4" w:space="0" w:color="auto"/>
              <w:bottom w:val="nil"/>
              <w:right w:val="single" w:sz="4" w:space="0" w:color="auto"/>
            </w:tcBorders>
            <w:vAlign w:val="center"/>
            <w:hideMark/>
          </w:tcPr>
          <w:p w14:paraId="2FA718C6" w14:textId="77777777" w:rsidR="00CA2955" w:rsidRPr="00D05956" w:rsidRDefault="00CA2955" w:rsidP="001D7D7A">
            <w:pPr>
              <w:pStyle w:val="TableParagraph"/>
              <w:jc w:val="center"/>
              <w:rPr>
                <w:sz w:val="24"/>
                <w:szCs w:val="24"/>
                <w:lang w:val="en-US"/>
              </w:rPr>
            </w:pPr>
            <w:r w:rsidRPr="00D05956">
              <w:rPr>
                <w:sz w:val="24"/>
                <w:szCs w:val="24"/>
                <w:lang w:val="en-US"/>
              </w:rPr>
              <w:t>690</w:t>
            </w:r>
            <w:r w:rsidRPr="00D05956">
              <w:rPr>
                <w:sz w:val="24"/>
                <w:szCs w:val="24"/>
              </w:rPr>
              <w:t>,7</w:t>
            </w:r>
          </w:p>
        </w:tc>
        <w:tc>
          <w:tcPr>
            <w:tcW w:w="1236" w:type="dxa"/>
            <w:tcBorders>
              <w:top w:val="single" w:sz="4" w:space="0" w:color="auto"/>
              <w:left w:val="single" w:sz="4" w:space="0" w:color="auto"/>
              <w:bottom w:val="nil"/>
              <w:right w:val="single" w:sz="4" w:space="0" w:color="auto"/>
            </w:tcBorders>
            <w:vAlign w:val="center"/>
            <w:hideMark/>
          </w:tcPr>
          <w:p w14:paraId="386E287D"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1241,3</w:t>
            </w:r>
          </w:p>
        </w:tc>
        <w:tc>
          <w:tcPr>
            <w:tcW w:w="1133" w:type="dxa"/>
            <w:tcBorders>
              <w:top w:val="single" w:sz="4" w:space="0" w:color="auto"/>
              <w:left w:val="single" w:sz="4" w:space="0" w:color="auto"/>
              <w:bottom w:val="nil"/>
              <w:right w:val="single" w:sz="4" w:space="0" w:color="auto"/>
            </w:tcBorders>
            <w:vAlign w:val="center"/>
          </w:tcPr>
          <w:p w14:paraId="435ADC2C" w14:textId="57F0E680"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14:paraId="2CDAE150" w14:textId="77777777" w:rsidTr="00AB578C">
        <w:tc>
          <w:tcPr>
            <w:tcW w:w="13776" w:type="dxa"/>
            <w:gridSpan w:val="7"/>
            <w:tcBorders>
              <w:top w:val="nil"/>
              <w:left w:val="nil"/>
              <w:bottom w:val="single" w:sz="4" w:space="0" w:color="auto"/>
              <w:right w:val="nil"/>
            </w:tcBorders>
          </w:tcPr>
          <w:p w14:paraId="23B84A06"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6FFC7A9B"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43F86F84"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7B1DB830" w14:textId="77777777" w:rsidTr="00AB578C">
        <w:tc>
          <w:tcPr>
            <w:tcW w:w="6216" w:type="dxa"/>
            <w:tcBorders>
              <w:top w:val="single" w:sz="4" w:space="0" w:color="auto"/>
              <w:left w:val="single" w:sz="4" w:space="0" w:color="auto"/>
              <w:bottom w:val="single" w:sz="4" w:space="0" w:color="auto"/>
              <w:right w:val="single" w:sz="4" w:space="0" w:color="auto"/>
            </w:tcBorders>
            <w:hideMark/>
          </w:tcPr>
          <w:p w14:paraId="6402830A"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F6A13B0"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38226D9"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319197E"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4F3B544"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47DB7E9"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605470D"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53839CA8" w14:textId="46328D94"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AB578C" w:rsidRPr="00D05956" w14:paraId="313E1263" w14:textId="77777777" w:rsidTr="00AB578C">
        <w:tc>
          <w:tcPr>
            <w:tcW w:w="6216" w:type="dxa"/>
            <w:tcBorders>
              <w:top w:val="single" w:sz="4" w:space="0" w:color="auto"/>
              <w:left w:val="single" w:sz="4" w:space="0" w:color="auto"/>
              <w:bottom w:val="nil"/>
              <w:right w:val="single" w:sz="4" w:space="0" w:color="auto"/>
            </w:tcBorders>
          </w:tcPr>
          <w:p w14:paraId="476C9FCE" w14:textId="58A51BA2" w:rsidR="00AB578C" w:rsidRPr="00D05956" w:rsidRDefault="00AB578C"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сыйақы мөлшерлемелерін субсидиялау жөніндегі іс-шараларды аяқтау, млн. теңге</w:t>
            </w:r>
          </w:p>
        </w:tc>
        <w:tc>
          <w:tcPr>
            <w:tcW w:w="1399" w:type="dxa"/>
            <w:tcBorders>
              <w:top w:val="single" w:sz="4" w:space="0" w:color="auto"/>
              <w:left w:val="single" w:sz="4" w:space="0" w:color="auto"/>
              <w:bottom w:val="nil"/>
              <w:right w:val="single" w:sz="4" w:space="0" w:color="auto"/>
            </w:tcBorders>
            <w:vAlign w:val="center"/>
          </w:tcPr>
          <w:p w14:paraId="2D3B796E" w14:textId="77777777" w:rsidR="00AB578C" w:rsidRPr="00AB578C" w:rsidRDefault="00AB578C" w:rsidP="001D7D7A">
            <w:pPr>
              <w:pStyle w:val="TableParagraph"/>
              <w:jc w:val="center"/>
              <w:rPr>
                <w:sz w:val="24"/>
                <w:szCs w:val="24"/>
              </w:rPr>
            </w:pPr>
          </w:p>
        </w:tc>
        <w:tc>
          <w:tcPr>
            <w:tcW w:w="1266" w:type="dxa"/>
            <w:tcBorders>
              <w:top w:val="single" w:sz="4" w:space="0" w:color="auto"/>
              <w:left w:val="single" w:sz="4" w:space="0" w:color="auto"/>
              <w:bottom w:val="nil"/>
              <w:right w:val="single" w:sz="4" w:space="0" w:color="auto"/>
            </w:tcBorders>
            <w:vAlign w:val="center"/>
          </w:tcPr>
          <w:p w14:paraId="5DAE3166" w14:textId="77777777" w:rsidR="00AB578C" w:rsidRPr="00AB578C" w:rsidRDefault="00AB578C" w:rsidP="001D7D7A">
            <w:pPr>
              <w:pStyle w:val="TableParagraph"/>
              <w:jc w:val="center"/>
              <w:rPr>
                <w:sz w:val="24"/>
                <w:szCs w:val="24"/>
              </w:rPr>
            </w:pPr>
          </w:p>
        </w:tc>
        <w:tc>
          <w:tcPr>
            <w:tcW w:w="1263" w:type="dxa"/>
            <w:tcBorders>
              <w:top w:val="single" w:sz="4" w:space="0" w:color="auto"/>
              <w:left w:val="single" w:sz="4" w:space="0" w:color="auto"/>
              <w:bottom w:val="nil"/>
              <w:right w:val="single" w:sz="4" w:space="0" w:color="auto"/>
            </w:tcBorders>
            <w:vAlign w:val="center"/>
          </w:tcPr>
          <w:p w14:paraId="7EA9F7FC" w14:textId="77777777" w:rsidR="00AB578C" w:rsidRPr="00AB578C" w:rsidRDefault="00AB578C" w:rsidP="001D7D7A">
            <w:pPr>
              <w:jc w:val="center"/>
              <w:rPr>
                <w:rFonts w:ascii="Times New Roman" w:hAnsi="Times New Roman" w:cs="Times New Roman"/>
                <w:sz w:val="24"/>
                <w:szCs w:val="24"/>
              </w:rPr>
            </w:pPr>
          </w:p>
        </w:tc>
        <w:tc>
          <w:tcPr>
            <w:tcW w:w="1263" w:type="dxa"/>
            <w:tcBorders>
              <w:top w:val="single" w:sz="4" w:space="0" w:color="auto"/>
              <w:left w:val="single" w:sz="4" w:space="0" w:color="auto"/>
              <w:bottom w:val="nil"/>
              <w:right w:val="single" w:sz="4" w:space="0" w:color="auto"/>
            </w:tcBorders>
            <w:vAlign w:val="center"/>
          </w:tcPr>
          <w:p w14:paraId="599B67E5" w14:textId="77777777" w:rsidR="00AB578C" w:rsidRPr="00AB578C" w:rsidRDefault="00AB578C" w:rsidP="001D7D7A">
            <w:pPr>
              <w:jc w:val="center"/>
              <w:rPr>
                <w:rFonts w:ascii="Times New Roman" w:hAnsi="Times New Roman" w:cs="Times New Roman"/>
                <w:sz w:val="24"/>
                <w:szCs w:val="24"/>
              </w:rPr>
            </w:pPr>
          </w:p>
        </w:tc>
        <w:tc>
          <w:tcPr>
            <w:tcW w:w="1133" w:type="dxa"/>
            <w:tcBorders>
              <w:top w:val="single" w:sz="4" w:space="0" w:color="auto"/>
              <w:left w:val="single" w:sz="4" w:space="0" w:color="auto"/>
              <w:bottom w:val="nil"/>
              <w:right w:val="single" w:sz="4" w:space="0" w:color="auto"/>
            </w:tcBorders>
            <w:vAlign w:val="center"/>
          </w:tcPr>
          <w:p w14:paraId="39EDA504" w14:textId="77777777" w:rsidR="00AB578C" w:rsidRPr="00AB578C" w:rsidRDefault="00AB578C" w:rsidP="001D7D7A">
            <w:pPr>
              <w:pStyle w:val="TableParagraph"/>
              <w:jc w:val="center"/>
              <w:rPr>
                <w:sz w:val="24"/>
                <w:szCs w:val="24"/>
              </w:rPr>
            </w:pPr>
          </w:p>
        </w:tc>
        <w:tc>
          <w:tcPr>
            <w:tcW w:w="1236" w:type="dxa"/>
            <w:tcBorders>
              <w:top w:val="single" w:sz="4" w:space="0" w:color="auto"/>
              <w:left w:val="single" w:sz="4" w:space="0" w:color="auto"/>
              <w:bottom w:val="nil"/>
              <w:right w:val="single" w:sz="4" w:space="0" w:color="auto"/>
            </w:tcBorders>
            <w:vAlign w:val="center"/>
          </w:tcPr>
          <w:p w14:paraId="6CE068B6"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nil"/>
              <w:right w:val="single" w:sz="4" w:space="0" w:color="auto"/>
            </w:tcBorders>
            <w:vAlign w:val="center"/>
          </w:tcPr>
          <w:p w14:paraId="781DFB49" w14:textId="77777777" w:rsidR="00AB578C" w:rsidRDefault="00AB578C" w:rsidP="00CA2955">
            <w:pPr>
              <w:jc w:val="center"/>
              <w:rPr>
                <w:rFonts w:ascii="Times New Roman" w:eastAsia="Times New Roman" w:hAnsi="Times New Roman" w:cs="Times New Roman"/>
                <w:kern w:val="36"/>
                <w:sz w:val="24"/>
                <w:szCs w:val="24"/>
                <w:lang w:val="kk-KZ" w:eastAsia="ru-RU"/>
              </w:rPr>
            </w:pPr>
          </w:p>
        </w:tc>
      </w:tr>
      <w:tr w:rsidR="00AB578C" w:rsidRPr="00D05956" w14:paraId="3C145F01" w14:textId="340884F8" w:rsidTr="00AB578C">
        <w:tc>
          <w:tcPr>
            <w:tcW w:w="6216" w:type="dxa"/>
            <w:tcBorders>
              <w:top w:val="single" w:sz="4" w:space="0" w:color="auto"/>
              <w:left w:val="single" w:sz="4" w:space="0" w:color="auto"/>
              <w:bottom w:val="single" w:sz="4" w:space="0" w:color="auto"/>
              <w:right w:val="single" w:sz="4" w:space="0" w:color="auto"/>
            </w:tcBorders>
            <w:hideMark/>
          </w:tcPr>
          <w:p w14:paraId="20DB049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бағдарламаға қатысатын АӨК субъектілерінің саны,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D4C5EF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5E2F29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E8200D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C6744D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0C80AC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55229A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70</w:t>
            </w:r>
          </w:p>
        </w:tc>
        <w:tc>
          <w:tcPr>
            <w:tcW w:w="1133" w:type="dxa"/>
            <w:tcBorders>
              <w:top w:val="single" w:sz="4" w:space="0" w:color="auto"/>
              <w:left w:val="single" w:sz="4" w:space="0" w:color="auto"/>
              <w:bottom w:val="single" w:sz="4" w:space="0" w:color="auto"/>
              <w:right w:val="single" w:sz="4" w:space="0" w:color="auto"/>
            </w:tcBorders>
            <w:vAlign w:val="center"/>
          </w:tcPr>
          <w:p w14:paraId="45E1FEAD" w14:textId="1C6E3824"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7DA1A3B" w14:textId="09F411DC" w:rsidTr="00AB578C">
        <w:tc>
          <w:tcPr>
            <w:tcW w:w="6216" w:type="dxa"/>
            <w:tcBorders>
              <w:top w:val="single" w:sz="4" w:space="0" w:color="auto"/>
              <w:left w:val="single" w:sz="4" w:space="0" w:color="auto"/>
              <w:bottom w:val="single" w:sz="4" w:space="0" w:color="auto"/>
              <w:right w:val="single" w:sz="4" w:space="0" w:color="auto"/>
            </w:tcBorders>
            <w:hideMark/>
          </w:tcPr>
          <w:p w14:paraId="748D8ED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5-іс-шара.Агроөнеркәсіптік кешен субъектілерінің қарыздарын кепілдендіру, мың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5ACBF84" w14:textId="77777777" w:rsidR="00CA2955" w:rsidRPr="00D05956" w:rsidRDefault="00CA2955" w:rsidP="001D7D7A">
            <w:pPr>
              <w:pStyle w:val="TableParagraph"/>
              <w:jc w:val="center"/>
              <w:rPr>
                <w:sz w:val="24"/>
                <w:szCs w:val="24"/>
              </w:rPr>
            </w:pPr>
            <w:r w:rsidRPr="00D05956">
              <w:rPr>
                <w:sz w:val="24"/>
                <w:szCs w:val="24"/>
                <w:lang w:val="en-US"/>
              </w:rPr>
              <w:t>505</w:t>
            </w:r>
            <w:r w:rsidRPr="00D05956">
              <w:rPr>
                <w:sz w:val="24"/>
                <w:szCs w:val="24"/>
              </w:rPr>
              <w:t>,6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F3C11D3" w14:textId="77777777" w:rsidR="00CA2955" w:rsidRPr="00D05956" w:rsidRDefault="00CA2955" w:rsidP="001D7D7A">
            <w:pPr>
              <w:pStyle w:val="TableParagraph"/>
              <w:jc w:val="center"/>
              <w:rPr>
                <w:sz w:val="24"/>
                <w:szCs w:val="24"/>
                <w:lang w:val="en-US"/>
              </w:rPr>
            </w:pPr>
            <w:r w:rsidRPr="00D05956">
              <w:rPr>
                <w:sz w:val="24"/>
                <w:szCs w:val="24"/>
                <w:lang w:val="en-US"/>
              </w:rPr>
              <w:t>3000,0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E84DAF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9D2082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990B89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00701B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3505,6</w:t>
            </w:r>
          </w:p>
        </w:tc>
        <w:tc>
          <w:tcPr>
            <w:tcW w:w="1133" w:type="dxa"/>
            <w:tcBorders>
              <w:top w:val="single" w:sz="4" w:space="0" w:color="auto"/>
              <w:left w:val="single" w:sz="4" w:space="0" w:color="auto"/>
              <w:bottom w:val="single" w:sz="4" w:space="0" w:color="auto"/>
              <w:right w:val="single" w:sz="4" w:space="0" w:color="auto"/>
            </w:tcBorders>
            <w:vAlign w:val="center"/>
          </w:tcPr>
          <w:p w14:paraId="735DE4AF" w14:textId="4B6C7A9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3BF1386" w14:textId="741AFD84" w:rsidTr="00AB578C">
        <w:tc>
          <w:tcPr>
            <w:tcW w:w="6216" w:type="dxa"/>
            <w:tcBorders>
              <w:top w:val="single" w:sz="4" w:space="0" w:color="auto"/>
              <w:left w:val="single" w:sz="4" w:space="0" w:color="auto"/>
              <w:bottom w:val="single" w:sz="4" w:space="0" w:color="auto"/>
              <w:right w:val="single" w:sz="4" w:space="0" w:color="auto"/>
            </w:tcBorders>
            <w:hideMark/>
          </w:tcPr>
          <w:p w14:paraId="152D253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rPr>
              <w:t>- берілген кепілдіктер саны,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FF9C2B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BB0ADF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12</w:t>
            </w:r>
          </w:p>
        </w:tc>
        <w:tc>
          <w:tcPr>
            <w:tcW w:w="1263" w:type="dxa"/>
            <w:tcBorders>
              <w:top w:val="single" w:sz="4" w:space="0" w:color="auto"/>
              <w:left w:val="single" w:sz="4" w:space="0" w:color="auto"/>
              <w:bottom w:val="single" w:sz="4" w:space="0" w:color="auto"/>
              <w:right w:val="single" w:sz="4" w:space="0" w:color="auto"/>
            </w:tcBorders>
            <w:vAlign w:val="center"/>
          </w:tcPr>
          <w:p w14:paraId="340FC15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p>
        </w:tc>
        <w:tc>
          <w:tcPr>
            <w:tcW w:w="1263" w:type="dxa"/>
            <w:tcBorders>
              <w:top w:val="single" w:sz="4" w:space="0" w:color="auto"/>
              <w:left w:val="single" w:sz="4" w:space="0" w:color="auto"/>
              <w:bottom w:val="single" w:sz="4" w:space="0" w:color="auto"/>
              <w:right w:val="single" w:sz="4" w:space="0" w:color="auto"/>
            </w:tcBorders>
            <w:vAlign w:val="center"/>
          </w:tcPr>
          <w:p w14:paraId="5B78044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264A3A4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8AA2E4E"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16</w:t>
            </w:r>
          </w:p>
        </w:tc>
        <w:tc>
          <w:tcPr>
            <w:tcW w:w="1133" w:type="dxa"/>
            <w:tcBorders>
              <w:top w:val="single" w:sz="4" w:space="0" w:color="auto"/>
              <w:left w:val="single" w:sz="4" w:space="0" w:color="auto"/>
              <w:bottom w:val="single" w:sz="4" w:space="0" w:color="auto"/>
              <w:right w:val="single" w:sz="4" w:space="0" w:color="auto"/>
            </w:tcBorders>
            <w:vAlign w:val="center"/>
          </w:tcPr>
          <w:p w14:paraId="4A7C992E" w14:textId="1BA7F7E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2575690" w14:textId="290D46AA" w:rsidTr="00AB578C">
        <w:tc>
          <w:tcPr>
            <w:tcW w:w="6216" w:type="dxa"/>
            <w:tcBorders>
              <w:top w:val="single" w:sz="4" w:space="0" w:color="auto"/>
              <w:left w:val="single" w:sz="4" w:space="0" w:color="auto"/>
              <w:bottom w:val="single" w:sz="4" w:space="0" w:color="auto"/>
              <w:right w:val="single" w:sz="4" w:space="0" w:color="auto"/>
            </w:tcBorders>
            <w:hideMark/>
          </w:tcPr>
          <w:p w14:paraId="545C9D1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6-іс-шара.Агроөнеркәсіптік кешендегі сақтандыруды қолдау, млн.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003A260" w14:textId="77777777" w:rsidR="00CA2955" w:rsidRPr="00D05956" w:rsidRDefault="00CA2955" w:rsidP="001D7D7A">
            <w:pPr>
              <w:pStyle w:val="TableParagraph"/>
              <w:jc w:val="center"/>
              <w:rPr>
                <w:sz w:val="24"/>
                <w:szCs w:val="24"/>
                <w:lang w:val="en-US"/>
              </w:rPr>
            </w:pPr>
            <w:r w:rsidRPr="00D05956">
              <w:rPr>
                <w:sz w:val="24"/>
                <w:szCs w:val="24"/>
                <w:lang w:val="en-US"/>
              </w:rPr>
              <w:t>1024,0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678EBA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7F4668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735,0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0DB440" w14:textId="77777777" w:rsidR="00CA2955" w:rsidRPr="00D05956" w:rsidRDefault="00CA2955" w:rsidP="001D7D7A">
            <w:pPr>
              <w:pStyle w:val="TableParagraph"/>
              <w:jc w:val="center"/>
              <w:rPr>
                <w:sz w:val="24"/>
                <w:szCs w:val="24"/>
                <w:lang w:val="en-US"/>
              </w:rPr>
            </w:pPr>
            <w:r w:rsidRPr="00D05956">
              <w:rPr>
                <w:sz w:val="24"/>
                <w:szCs w:val="24"/>
                <w:lang w:val="en-US"/>
              </w:rPr>
              <w:t>1000</w:t>
            </w:r>
            <w:r w:rsidRPr="00D05956">
              <w:rPr>
                <w:sz w:val="24"/>
                <w:szCs w:val="24"/>
              </w:rPr>
              <w:t>,</w:t>
            </w:r>
            <w:r w:rsidRPr="00D05956">
              <w:rPr>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6C8D8BA" w14:textId="77777777" w:rsidR="00CA2955" w:rsidRPr="00D05956" w:rsidRDefault="00CA2955" w:rsidP="001D7D7A">
            <w:pPr>
              <w:pStyle w:val="TableParagraph"/>
              <w:jc w:val="center"/>
              <w:rPr>
                <w:sz w:val="24"/>
                <w:szCs w:val="24"/>
                <w:lang w:val="en-US"/>
              </w:rPr>
            </w:pPr>
            <w:r w:rsidRPr="00D05956">
              <w:rPr>
                <w:sz w:val="24"/>
                <w:szCs w:val="24"/>
                <w:lang w:val="en-US"/>
              </w:rPr>
              <w:t>1000,0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22F0EC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3759,0</w:t>
            </w:r>
          </w:p>
        </w:tc>
        <w:tc>
          <w:tcPr>
            <w:tcW w:w="1133" w:type="dxa"/>
            <w:tcBorders>
              <w:top w:val="single" w:sz="4" w:space="0" w:color="auto"/>
              <w:left w:val="single" w:sz="4" w:space="0" w:color="auto"/>
              <w:bottom w:val="single" w:sz="4" w:space="0" w:color="auto"/>
              <w:right w:val="single" w:sz="4" w:space="0" w:color="auto"/>
            </w:tcBorders>
            <w:vAlign w:val="center"/>
          </w:tcPr>
          <w:p w14:paraId="7D5CB023" w14:textId="15DF2FB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D17C94F" w14:textId="67DE1A62" w:rsidTr="00AB578C">
        <w:tc>
          <w:tcPr>
            <w:tcW w:w="6216" w:type="dxa"/>
            <w:tcBorders>
              <w:top w:val="single" w:sz="4" w:space="0" w:color="auto"/>
              <w:left w:val="single" w:sz="4" w:space="0" w:color="auto"/>
              <w:bottom w:val="single" w:sz="4" w:space="0" w:color="auto"/>
              <w:right w:val="single" w:sz="4" w:space="0" w:color="auto"/>
            </w:tcBorders>
            <w:hideMark/>
          </w:tcPr>
          <w:p w14:paraId="7BA0C3D3"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7-іс-шара. АӨК субъектілерін қаржыландыру үшін кейіннен «Аграрлық несие корпорациясы» АҚ жарғылық капиталын ұлғайта отырып «Бәйтерек» ҰБХ» АҚ-ның жарғылық капиталын ұлғайту, млн.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1857CF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91837F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127107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2AE6424" w14:textId="77777777" w:rsidR="00CA2955" w:rsidRPr="00D05956" w:rsidRDefault="00CA2955" w:rsidP="001D7D7A">
            <w:pPr>
              <w:pStyle w:val="TableParagraph"/>
              <w:jc w:val="center"/>
              <w:rPr>
                <w:sz w:val="24"/>
                <w:szCs w:val="24"/>
                <w:lang w:val="en-US"/>
              </w:rPr>
            </w:pPr>
            <w:r w:rsidRPr="00D05956">
              <w:rPr>
                <w:sz w:val="24"/>
                <w:szCs w:val="24"/>
                <w:lang w:val="en-US"/>
              </w:rPr>
              <w:t>30000</w:t>
            </w:r>
            <w:r w:rsidRPr="00D05956">
              <w:rPr>
                <w:sz w:val="24"/>
                <w:szCs w:val="24"/>
              </w:rPr>
              <w:t>,</w:t>
            </w:r>
            <w:r w:rsidRPr="00D05956">
              <w:rPr>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7448F8C" w14:textId="77777777" w:rsidR="00CA2955" w:rsidRPr="00D05956" w:rsidRDefault="00CA2955" w:rsidP="001D7D7A">
            <w:pPr>
              <w:pStyle w:val="TableParagraph"/>
              <w:jc w:val="center"/>
              <w:rPr>
                <w:sz w:val="24"/>
                <w:szCs w:val="24"/>
                <w:lang w:val="en-US"/>
              </w:rPr>
            </w:pPr>
            <w:r w:rsidRPr="00D05956">
              <w:rPr>
                <w:sz w:val="24"/>
                <w:szCs w:val="24"/>
                <w:lang w:val="en-US"/>
              </w:rPr>
              <w:t>30000,0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C43B8DD"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60000,0</w:t>
            </w:r>
          </w:p>
        </w:tc>
        <w:tc>
          <w:tcPr>
            <w:tcW w:w="1133" w:type="dxa"/>
            <w:tcBorders>
              <w:top w:val="single" w:sz="4" w:space="0" w:color="auto"/>
              <w:left w:val="single" w:sz="4" w:space="0" w:color="auto"/>
              <w:bottom w:val="single" w:sz="4" w:space="0" w:color="auto"/>
              <w:right w:val="single" w:sz="4" w:space="0" w:color="auto"/>
            </w:tcBorders>
            <w:vAlign w:val="center"/>
          </w:tcPr>
          <w:p w14:paraId="4EA7228D" w14:textId="2E36598C"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3B9F8F2" w14:textId="7CE56C36" w:rsidTr="00AB578C">
        <w:trPr>
          <w:trHeight w:val="413"/>
        </w:trPr>
        <w:tc>
          <w:tcPr>
            <w:tcW w:w="6216" w:type="dxa"/>
            <w:tcBorders>
              <w:top w:val="single" w:sz="4" w:space="0" w:color="auto"/>
              <w:left w:val="single" w:sz="4" w:space="0" w:color="auto"/>
              <w:bottom w:val="single" w:sz="4" w:space="0" w:color="auto"/>
              <w:right w:val="single" w:sz="4" w:space="0" w:color="auto"/>
            </w:tcBorders>
            <w:hideMark/>
          </w:tcPr>
          <w:p w14:paraId="6492991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кредит берілген АӨК субъектілерінің саны,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706F1F2" w14:textId="77777777" w:rsidR="00CA2955" w:rsidRPr="00D05956" w:rsidRDefault="00CA2955" w:rsidP="001D7D7A">
            <w:pPr>
              <w:pStyle w:val="TableParagraph"/>
              <w:jc w:val="center"/>
              <w:rPr>
                <w:sz w:val="24"/>
                <w:szCs w:val="24"/>
                <w:lang w:val="kk-KZ"/>
              </w:rPr>
            </w:pPr>
            <w:r w:rsidRPr="00D05956">
              <w:rPr>
                <w:sz w:val="24"/>
                <w:szCs w:val="24"/>
                <w:lang w:val="kk-KZ"/>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07CC9C7" w14:textId="77777777" w:rsidR="00CA2955" w:rsidRPr="00D05956" w:rsidRDefault="00CA2955" w:rsidP="001D7D7A">
            <w:pPr>
              <w:pStyle w:val="TableParagraph"/>
              <w:jc w:val="center"/>
              <w:rPr>
                <w:sz w:val="24"/>
                <w:szCs w:val="24"/>
                <w:lang w:val="kk-KZ"/>
              </w:rPr>
            </w:pPr>
            <w:r w:rsidRPr="00D05956">
              <w:rPr>
                <w:sz w:val="24"/>
                <w:szCs w:val="24"/>
                <w:lang w:val="kk-KZ"/>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E558A3F" w14:textId="77777777" w:rsidR="00CA2955" w:rsidRPr="00D05956" w:rsidRDefault="00CA2955" w:rsidP="001D7D7A">
            <w:pPr>
              <w:pStyle w:val="TableParagraph"/>
              <w:jc w:val="center"/>
              <w:rPr>
                <w:sz w:val="24"/>
                <w:szCs w:val="24"/>
                <w:lang w:val="kk-KZ"/>
              </w:rPr>
            </w:pPr>
            <w:r w:rsidRPr="00D05956">
              <w:rPr>
                <w:sz w:val="24"/>
                <w:szCs w:val="24"/>
                <w:lang w:val="kk-KZ"/>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A55A25" w14:textId="77777777" w:rsidR="00CA2955" w:rsidRPr="00D05956" w:rsidRDefault="00CA2955" w:rsidP="001D7D7A">
            <w:pPr>
              <w:pStyle w:val="TableParagraph"/>
              <w:jc w:val="center"/>
              <w:rPr>
                <w:sz w:val="24"/>
                <w:szCs w:val="24"/>
              </w:rPr>
            </w:pPr>
            <w:r w:rsidRPr="00D05956">
              <w:rPr>
                <w:sz w:val="24"/>
                <w:szCs w:val="24"/>
                <w:lang w:val="en-US"/>
              </w:rPr>
              <w:t>14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C800D51" w14:textId="77777777" w:rsidR="00CA2955" w:rsidRPr="00D05956" w:rsidRDefault="00CA2955" w:rsidP="001D7D7A">
            <w:pPr>
              <w:pStyle w:val="TableParagraph"/>
              <w:jc w:val="center"/>
              <w:rPr>
                <w:sz w:val="24"/>
                <w:szCs w:val="24"/>
                <w:lang w:val="en-US"/>
              </w:rPr>
            </w:pPr>
            <w:r w:rsidRPr="00D05956">
              <w:rPr>
                <w:sz w:val="24"/>
                <w:szCs w:val="24"/>
                <w:lang w:val="en-US"/>
              </w:rPr>
              <w:t>15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78BA80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29</w:t>
            </w:r>
          </w:p>
        </w:tc>
        <w:tc>
          <w:tcPr>
            <w:tcW w:w="1133" w:type="dxa"/>
            <w:tcBorders>
              <w:top w:val="single" w:sz="4" w:space="0" w:color="auto"/>
              <w:left w:val="single" w:sz="4" w:space="0" w:color="auto"/>
              <w:bottom w:val="single" w:sz="4" w:space="0" w:color="auto"/>
              <w:right w:val="single" w:sz="4" w:space="0" w:color="auto"/>
            </w:tcBorders>
            <w:vAlign w:val="center"/>
          </w:tcPr>
          <w:p w14:paraId="08755087" w14:textId="76161012"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058F18E" w14:textId="179EF6BB" w:rsidTr="00AB578C">
        <w:trPr>
          <w:trHeight w:val="1210"/>
        </w:trPr>
        <w:tc>
          <w:tcPr>
            <w:tcW w:w="6216" w:type="dxa"/>
            <w:tcBorders>
              <w:top w:val="single" w:sz="4" w:space="0" w:color="auto"/>
              <w:left w:val="single" w:sz="4" w:space="0" w:color="auto"/>
              <w:bottom w:val="single" w:sz="4" w:space="0" w:color="auto"/>
              <w:right w:val="single" w:sz="4" w:space="0" w:color="auto"/>
            </w:tcBorders>
            <w:hideMark/>
          </w:tcPr>
          <w:p w14:paraId="2090450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8-іс-шара. Агроөнеркәсіптік кешен субъектілерін қолдау бойынша көктемгі дала және егін жинау жөніндегі іс-шараларды өткізу үшін кредит беру (қысқа мерзімді/орта мерзімді бюджеттік кредит және форвардтық сатып алу), млн.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9B56467" w14:textId="77777777" w:rsidR="00CA2955" w:rsidRPr="00D05956" w:rsidRDefault="00CA2955" w:rsidP="001D7D7A">
            <w:pPr>
              <w:pStyle w:val="TableParagraph"/>
              <w:jc w:val="center"/>
              <w:rPr>
                <w:sz w:val="24"/>
                <w:szCs w:val="24"/>
                <w:lang w:val="en-US"/>
              </w:rPr>
            </w:pPr>
            <w:r w:rsidRPr="00D05956">
              <w:rPr>
                <w:sz w:val="24"/>
                <w:szCs w:val="24"/>
                <w:lang w:val="en-US"/>
              </w:rPr>
              <w:t>70000,0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ED9A01B" w14:textId="77777777" w:rsidR="00CA2955" w:rsidRPr="00D05956" w:rsidRDefault="00CA2955" w:rsidP="001D7D7A">
            <w:pPr>
              <w:pStyle w:val="TableParagraph"/>
              <w:jc w:val="center"/>
              <w:rPr>
                <w:sz w:val="24"/>
                <w:szCs w:val="24"/>
                <w:lang w:val="en-US"/>
              </w:rPr>
            </w:pPr>
            <w:r w:rsidRPr="00D05956">
              <w:rPr>
                <w:sz w:val="24"/>
                <w:szCs w:val="24"/>
                <w:lang w:val="en-US"/>
              </w:rPr>
              <w:t>70000,0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DDFF9BD" w14:textId="77777777" w:rsidR="00CA2955" w:rsidRPr="00D05956" w:rsidRDefault="00CA2955" w:rsidP="001D7D7A">
            <w:pPr>
              <w:pStyle w:val="TableParagraph"/>
              <w:jc w:val="center"/>
              <w:rPr>
                <w:sz w:val="24"/>
                <w:szCs w:val="24"/>
                <w:lang w:val="en-US"/>
              </w:rPr>
            </w:pPr>
            <w:r w:rsidRPr="00D05956">
              <w:rPr>
                <w:sz w:val="24"/>
                <w:szCs w:val="24"/>
                <w:lang w:val="en-US"/>
              </w:rPr>
              <w:t>70000,0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47C778A" w14:textId="77777777" w:rsidR="00CA2955" w:rsidRPr="00D05956" w:rsidRDefault="00CA2955" w:rsidP="001D7D7A">
            <w:pPr>
              <w:pStyle w:val="TableParagraph"/>
              <w:jc w:val="center"/>
              <w:rPr>
                <w:sz w:val="24"/>
                <w:szCs w:val="24"/>
                <w:lang w:val="en-US"/>
              </w:rPr>
            </w:pPr>
            <w:r w:rsidRPr="00D05956">
              <w:rPr>
                <w:sz w:val="24"/>
                <w:szCs w:val="24"/>
                <w:lang w:val="en-US"/>
              </w:rPr>
              <w:t>70000,0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602C599" w14:textId="77777777" w:rsidR="00CA2955" w:rsidRPr="00D05956" w:rsidRDefault="00CA2955" w:rsidP="001D7D7A">
            <w:pPr>
              <w:pStyle w:val="TableParagraph"/>
              <w:jc w:val="center"/>
              <w:rPr>
                <w:sz w:val="24"/>
                <w:szCs w:val="24"/>
                <w:lang w:val="en-US"/>
              </w:rPr>
            </w:pPr>
            <w:r w:rsidRPr="00D05956">
              <w:rPr>
                <w:sz w:val="24"/>
                <w:szCs w:val="24"/>
                <w:lang w:val="en-US"/>
              </w:rPr>
              <w:t>70000,0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363379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350000,0</w:t>
            </w:r>
          </w:p>
        </w:tc>
        <w:tc>
          <w:tcPr>
            <w:tcW w:w="1133" w:type="dxa"/>
            <w:tcBorders>
              <w:top w:val="single" w:sz="4" w:space="0" w:color="auto"/>
              <w:left w:val="single" w:sz="4" w:space="0" w:color="auto"/>
              <w:bottom w:val="single" w:sz="4" w:space="0" w:color="auto"/>
              <w:right w:val="single" w:sz="4" w:space="0" w:color="auto"/>
            </w:tcBorders>
            <w:vAlign w:val="center"/>
          </w:tcPr>
          <w:p w14:paraId="486C1370" w14:textId="477375E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1B4C942" w14:textId="75328FAB" w:rsidTr="00AB578C">
        <w:trPr>
          <w:trHeight w:val="609"/>
        </w:trPr>
        <w:tc>
          <w:tcPr>
            <w:tcW w:w="6216" w:type="dxa"/>
            <w:tcBorders>
              <w:top w:val="single" w:sz="4" w:space="0" w:color="auto"/>
              <w:left w:val="single" w:sz="4" w:space="0" w:color="auto"/>
              <w:bottom w:val="single" w:sz="4" w:space="0" w:color="auto"/>
              <w:right w:val="single" w:sz="4" w:space="0" w:color="auto"/>
            </w:tcBorders>
            <w:hideMark/>
          </w:tcPr>
          <w:p w14:paraId="0F37899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кредит берілген агроөнеркәсіптік кешен субъектілерінің және АШТӨ-нің саны,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0A51CE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952774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BB5A7F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2F9A72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E8DE5F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4BB54E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12000</w:t>
            </w:r>
          </w:p>
        </w:tc>
        <w:tc>
          <w:tcPr>
            <w:tcW w:w="1133" w:type="dxa"/>
            <w:tcBorders>
              <w:top w:val="single" w:sz="4" w:space="0" w:color="auto"/>
              <w:left w:val="single" w:sz="4" w:space="0" w:color="auto"/>
              <w:bottom w:val="single" w:sz="4" w:space="0" w:color="auto"/>
              <w:right w:val="single" w:sz="4" w:space="0" w:color="auto"/>
            </w:tcBorders>
            <w:vAlign w:val="center"/>
          </w:tcPr>
          <w:p w14:paraId="2FBE871D" w14:textId="337FFAD0"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D8C08AE" w14:textId="3B521DE8" w:rsidTr="00AB578C">
        <w:tc>
          <w:tcPr>
            <w:tcW w:w="6216" w:type="dxa"/>
            <w:tcBorders>
              <w:top w:val="single" w:sz="4" w:space="0" w:color="auto"/>
              <w:left w:val="single" w:sz="4" w:space="0" w:color="auto"/>
              <w:bottom w:val="single" w:sz="4" w:space="0" w:color="auto"/>
              <w:right w:val="single" w:sz="4" w:space="0" w:color="auto"/>
            </w:tcBorders>
            <w:hideMark/>
          </w:tcPr>
          <w:p w14:paraId="7F99AA4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bdr w:val="none" w:sz="0" w:space="0" w:color="auto" w:frame="1"/>
                <w:shd w:val="clear" w:color="auto" w:fill="FFFFFF"/>
                <w:lang w:val="kk-KZ"/>
              </w:rPr>
              <w:t>- оның ішінде жаңа қарыз алушылар,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527A7E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240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D608DC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2CBF4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BB1C28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387</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D81A64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387</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1D5438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1788</w:t>
            </w:r>
          </w:p>
        </w:tc>
        <w:tc>
          <w:tcPr>
            <w:tcW w:w="1133" w:type="dxa"/>
            <w:tcBorders>
              <w:top w:val="single" w:sz="4" w:space="0" w:color="auto"/>
              <w:left w:val="single" w:sz="4" w:space="0" w:color="auto"/>
              <w:bottom w:val="single" w:sz="4" w:space="0" w:color="auto"/>
              <w:right w:val="single" w:sz="4" w:space="0" w:color="auto"/>
            </w:tcBorders>
            <w:vAlign w:val="center"/>
          </w:tcPr>
          <w:p w14:paraId="585213DD" w14:textId="4FC5BEC0"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D7ED13B" w14:textId="5FD0E32B" w:rsidTr="00AB578C">
        <w:trPr>
          <w:trHeight w:val="902"/>
        </w:trPr>
        <w:tc>
          <w:tcPr>
            <w:tcW w:w="6216" w:type="dxa"/>
            <w:tcBorders>
              <w:top w:val="single" w:sz="4" w:space="0" w:color="auto"/>
              <w:left w:val="single" w:sz="4" w:space="0" w:color="auto"/>
              <w:bottom w:val="single" w:sz="4" w:space="0" w:color="auto"/>
              <w:right w:val="single" w:sz="4" w:space="0" w:color="auto"/>
            </w:tcBorders>
            <w:hideMark/>
          </w:tcPr>
          <w:p w14:paraId="5035BA0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9-іс-шара. Инвестициялық салымдар кезінде агроөнеркәсіптік кешен субъектісі шеккен шығыстардың бір бөлігін өтеу бойынша субсидиялау қағидаларына өзгерістер мен толықтырулар енгізу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82D741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2CB1A8D"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4C673A9"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C4FC51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B4964D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9AD6EC2"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6BA7D950" w14:textId="7033A6A3"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437C777" w14:textId="2148B319" w:rsidTr="00AB578C">
        <w:tc>
          <w:tcPr>
            <w:tcW w:w="6216" w:type="dxa"/>
            <w:tcBorders>
              <w:top w:val="single" w:sz="4" w:space="0" w:color="auto"/>
              <w:left w:val="single" w:sz="4" w:space="0" w:color="auto"/>
              <w:bottom w:val="single" w:sz="4" w:space="0" w:color="auto"/>
              <w:right w:val="single" w:sz="4" w:space="0" w:color="auto"/>
            </w:tcBorders>
            <w:hideMark/>
          </w:tcPr>
          <w:p w14:paraId="152DAC9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НҚА қабылдау,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442BC6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F4280F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559D9B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3015F5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6B2CEF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4B9BA9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33" w:type="dxa"/>
            <w:tcBorders>
              <w:top w:val="single" w:sz="4" w:space="0" w:color="auto"/>
              <w:left w:val="single" w:sz="4" w:space="0" w:color="auto"/>
              <w:bottom w:val="single" w:sz="4" w:space="0" w:color="auto"/>
              <w:right w:val="single" w:sz="4" w:space="0" w:color="auto"/>
            </w:tcBorders>
            <w:vAlign w:val="center"/>
          </w:tcPr>
          <w:p w14:paraId="7D0B823F" w14:textId="088CA1B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E513373" w14:textId="3D90A59F" w:rsidTr="00AB578C">
        <w:tc>
          <w:tcPr>
            <w:tcW w:w="6216" w:type="dxa"/>
            <w:tcBorders>
              <w:top w:val="single" w:sz="4" w:space="0" w:color="auto"/>
              <w:left w:val="single" w:sz="4" w:space="0" w:color="auto"/>
              <w:bottom w:val="single" w:sz="4" w:space="0" w:color="auto"/>
              <w:right w:val="single" w:sz="4" w:space="0" w:color="auto"/>
            </w:tcBorders>
            <w:hideMark/>
          </w:tcPr>
          <w:p w14:paraId="6AEBD1D5" w14:textId="0A6BAA39"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10-іс-шара. Агроөнеркәсіптік кешен субъектілеріне кредит беру, сондай-ақ ауыл шаруашылығы </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3DDBBA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C750FC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1EBD10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EBE3A0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2C4110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tcPr>
          <w:p w14:paraId="379C9D74" w14:textId="467A29CE" w:rsidR="00CA2955" w:rsidRPr="00AB578C" w:rsidRDefault="00CA2955" w:rsidP="00AB578C">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712E8C9E" w14:textId="1624D5E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14:paraId="1BE44AD8" w14:textId="77777777" w:rsidTr="00AB578C">
        <w:tc>
          <w:tcPr>
            <w:tcW w:w="13776" w:type="dxa"/>
            <w:gridSpan w:val="7"/>
            <w:tcBorders>
              <w:top w:val="nil"/>
              <w:left w:val="nil"/>
              <w:bottom w:val="single" w:sz="4" w:space="0" w:color="auto"/>
              <w:right w:val="nil"/>
            </w:tcBorders>
          </w:tcPr>
          <w:p w14:paraId="27208663"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25D04B26"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42DFB9B6"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616B741F" w14:textId="77777777" w:rsidTr="00AB578C">
        <w:tc>
          <w:tcPr>
            <w:tcW w:w="6216" w:type="dxa"/>
            <w:tcBorders>
              <w:top w:val="single" w:sz="4" w:space="0" w:color="auto"/>
              <w:left w:val="single" w:sz="4" w:space="0" w:color="auto"/>
              <w:bottom w:val="single" w:sz="4" w:space="0" w:color="auto"/>
              <w:right w:val="single" w:sz="4" w:space="0" w:color="auto"/>
            </w:tcBorders>
            <w:hideMark/>
          </w:tcPr>
          <w:p w14:paraId="2017FE23"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37D4AFF"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8B30104"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63AAAE7"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3BB3F74"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7E0F51"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C1E8FE3"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7B82BBCC" w14:textId="77777777" w:rsidR="00AB578C" w:rsidRDefault="00AB578C">
            <w:pPr>
              <w:jc w:val="center"/>
              <w:rPr>
                <w:rFonts w:ascii="Times New Roman" w:eastAsia="Times New Roman" w:hAnsi="Times New Roman" w:cs="Times New Roman"/>
                <w:kern w:val="36"/>
                <w:sz w:val="24"/>
                <w:szCs w:val="24"/>
                <w:lang w:val="kk-KZ" w:eastAsia="ru-RU"/>
              </w:rPr>
            </w:pPr>
          </w:p>
        </w:tc>
      </w:tr>
      <w:tr w:rsidR="00AB578C" w:rsidRPr="00D05956" w14:paraId="7E4A52AE" w14:textId="77777777" w:rsidTr="00AB578C">
        <w:tc>
          <w:tcPr>
            <w:tcW w:w="6216" w:type="dxa"/>
            <w:tcBorders>
              <w:top w:val="single" w:sz="4" w:space="0" w:color="auto"/>
              <w:left w:val="single" w:sz="4" w:space="0" w:color="auto"/>
              <w:bottom w:val="single" w:sz="4" w:space="0" w:color="auto"/>
              <w:right w:val="single" w:sz="4" w:space="0" w:color="auto"/>
            </w:tcBorders>
          </w:tcPr>
          <w:p w14:paraId="32FE799E" w14:textId="5F6DFA7D" w:rsidR="00AB578C" w:rsidRPr="00D05956" w:rsidRDefault="00AB578C"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жануарларын,техникасы мен технологиялық жабдығын сатып алуға лизинг кезінде сыйақы мөлшерлемелерін субсидиялау қағидаларына өзгерістер мен толықтырулар енгізу</w:t>
            </w:r>
          </w:p>
        </w:tc>
        <w:tc>
          <w:tcPr>
            <w:tcW w:w="1399" w:type="dxa"/>
            <w:tcBorders>
              <w:top w:val="single" w:sz="4" w:space="0" w:color="auto"/>
              <w:left w:val="single" w:sz="4" w:space="0" w:color="auto"/>
              <w:bottom w:val="single" w:sz="4" w:space="0" w:color="auto"/>
              <w:right w:val="single" w:sz="4" w:space="0" w:color="auto"/>
            </w:tcBorders>
            <w:vAlign w:val="center"/>
          </w:tcPr>
          <w:p w14:paraId="678C76FE"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266" w:type="dxa"/>
            <w:tcBorders>
              <w:top w:val="single" w:sz="4" w:space="0" w:color="auto"/>
              <w:left w:val="single" w:sz="4" w:space="0" w:color="auto"/>
              <w:bottom w:val="single" w:sz="4" w:space="0" w:color="auto"/>
              <w:right w:val="single" w:sz="4" w:space="0" w:color="auto"/>
            </w:tcBorders>
            <w:vAlign w:val="center"/>
          </w:tcPr>
          <w:p w14:paraId="12BDCAE3"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263" w:type="dxa"/>
            <w:tcBorders>
              <w:top w:val="single" w:sz="4" w:space="0" w:color="auto"/>
              <w:left w:val="single" w:sz="4" w:space="0" w:color="auto"/>
              <w:bottom w:val="single" w:sz="4" w:space="0" w:color="auto"/>
              <w:right w:val="single" w:sz="4" w:space="0" w:color="auto"/>
            </w:tcBorders>
            <w:vAlign w:val="center"/>
          </w:tcPr>
          <w:p w14:paraId="161D2D6D"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263" w:type="dxa"/>
            <w:tcBorders>
              <w:top w:val="single" w:sz="4" w:space="0" w:color="auto"/>
              <w:left w:val="single" w:sz="4" w:space="0" w:color="auto"/>
              <w:bottom w:val="single" w:sz="4" w:space="0" w:color="auto"/>
              <w:right w:val="single" w:sz="4" w:space="0" w:color="auto"/>
            </w:tcBorders>
            <w:vAlign w:val="center"/>
          </w:tcPr>
          <w:p w14:paraId="78646298"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3E2763AB"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236" w:type="dxa"/>
            <w:tcBorders>
              <w:top w:val="single" w:sz="4" w:space="0" w:color="auto"/>
              <w:left w:val="single" w:sz="4" w:space="0" w:color="auto"/>
              <w:bottom w:val="single" w:sz="4" w:space="0" w:color="auto"/>
              <w:right w:val="single" w:sz="4" w:space="0" w:color="auto"/>
            </w:tcBorders>
            <w:vAlign w:val="center"/>
          </w:tcPr>
          <w:p w14:paraId="08277A1B"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6D840F42" w14:textId="192F6694" w:rsidR="00AB578C"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CB3E197" w14:textId="21D56AA8" w:rsidTr="00AB578C">
        <w:tc>
          <w:tcPr>
            <w:tcW w:w="6216" w:type="dxa"/>
            <w:tcBorders>
              <w:top w:val="single" w:sz="4" w:space="0" w:color="auto"/>
              <w:left w:val="single" w:sz="4" w:space="0" w:color="auto"/>
              <w:bottom w:val="nil"/>
              <w:right w:val="single" w:sz="4" w:space="0" w:color="auto"/>
            </w:tcBorders>
            <w:hideMark/>
          </w:tcPr>
          <w:p w14:paraId="5C2F811E"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НҚА қабылдау, бірл.</w:t>
            </w:r>
          </w:p>
        </w:tc>
        <w:tc>
          <w:tcPr>
            <w:tcW w:w="1399" w:type="dxa"/>
            <w:tcBorders>
              <w:top w:val="single" w:sz="4" w:space="0" w:color="auto"/>
              <w:left w:val="single" w:sz="4" w:space="0" w:color="auto"/>
              <w:bottom w:val="nil"/>
              <w:right w:val="single" w:sz="4" w:space="0" w:color="auto"/>
            </w:tcBorders>
            <w:vAlign w:val="center"/>
            <w:hideMark/>
          </w:tcPr>
          <w:p w14:paraId="25793A8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nil"/>
              <w:right w:val="single" w:sz="4" w:space="0" w:color="auto"/>
            </w:tcBorders>
            <w:vAlign w:val="center"/>
            <w:hideMark/>
          </w:tcPr>
          <w:p w14:paraId="36C75D0E" w14:textId="77777777" w:rsidR="00CA2955" w:rsidRPr="00D05956" w:rsidRDefault="00CA2955" w:rsidP="001D7D7A">
            <w:pPr>
              <w:pStyle w:val="TableParagraph"/>
              <w:jc w:val="center"/>
              <w:rPr>
                <w:sz w:val="24"/>
                <w:szCs w:val="24"/>
              </w:rPr>
            </w:pPr>
            <w:r w:rsidRPr="00D05956">
              <w:rPr>
                <w:sz w:val="24"/>
                <w:szCs w:val="24"/>
              </w:rPr>
              <w:t>1</w:t>
            </w:r>
          </w:p>
        </w:tc>
        <w:tc>
          <w:tcPr>
            <w:tcW w:w="1263" w:type="dxa"/>
            <w:tcBorders>
              <w:top w:val="single" w:sz="4" w:space="0" w:color="auto"/>
              <w:left w:val="single" w:sz="4" w:space="0" w:color="auto"/>
              <w:bottom w:val="nil"/>
              <w:right w:val="single" w:sz="4" w:space="0" w:color="auto"/>
            </w:tcBorders>
            <w:vAlign w:val="center"/>
            <w:hideMark/>
          </w:tcPr>
          <w:p w14:paraId="1949C04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nil"/>
              <w:right w:val="single" w:sz="4" w:space="0" w:color="auto"/>
            </w:tcBorders>
            <w:vAlign w:val="center"/>
            <w:hideMark/>
          </w:tcPr>
          <w:p w14:paraId="3D61FD4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nil"/>
              <w:right w:val="single" w:sz="4" w:space="0" w:color="auto"/>
            </w:tcBorders>
            <w:vAlign w:val="center"/>
            <w:hideMark/>
          </w:tcPr>
          <w:p w14:paraId="733E109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nil"/>
              <w:right w:val="single" w:sz="4" w:space="0" w:color="auto"/>
            </w:tcBorders>
            <w:vAlign w:val="center"/>
            <w:hideMark/>
          </w:tcPr>
          <w:p w14:paraId="2F103AFE"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33" w:type="dxa"/>
            <w:tcBorders>
              <w:top w:val="single" w:sz="4" w:space="0" w:color="auto"/>
              <w:left w:val="single" w:sz="4" w:space="0" w:color="auto"/>
              <w:bottom w:val="nil"/>
              <w:right w:val="single" w:sz="4" w:space="0" w:color="auto"/>
            </w:tcBorders>
            <w:vAlign w:val="center"/>
          </w:tcPr>
          <w:p w14:paraId="1369802E" w14:textId="4A7EF51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094063B" w14:textId="2ECF1E62" w:rsidTr="00AB578C">
        <w:tc>
          <w:tcPr>
            <w:tcW w:w="6216" w:type="dxa"/>
            <w:tcBorders>
              <w:top w:val="single" w:sz="4" w:space="0" w:color="auto"/>
              <w:left w:val="single" w:sz="4" w:space="0" w:color="auto"/>
              <w:bottom w:val="single" w:sz="4" w:space="0" w:color="auto"/>
              <w:right w:val="single" w:sz="4" w:space="0" w:color="auto"/>
            </w:tcBorders>
            <w:hideMark/>
          </w:tcPr>
          <w:p w14:paraId="3BE223FD"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11-іс-шара. Агросақтандыру нарығын дамыту, оның ішінде сақтандыру сыйлықақыларын субсидиялаумен қамтылған сақтандыру өнімдері тізбесін кеңейту арқылы дамыту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D8B7B5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B07E86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96AFCC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86F22F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A9D806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753B002"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5ACD63FA" w14:textId="038D251D"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6849DB1" w14:textId="14814783" w:rsidTr="00AB578C">
        <w:tc>
          <w:tcPr>
            <w:tcW w:w="6216" w:type="dxa"/>
            <w:tcBorders>
              <w:top w:val="single" w:sz="4" w:space="0" w:color="auto"/>
              <w:left w:val="single" w:sz="4" w:space="0" w:color="auto"/>
              <w:bottom w:val="single" w:sz="4" w:space="0" w:color="auto"/>
              <w:right w:val="single" w:sz="4" w:space="0" w:color="auto"/>
            </w:tcBorders>
            <w:hideMark/>
          </w:tcPr>
          <w:p w14:paraId="59BFE68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12-іс-шара. АӨК субъектілерін мемлекеттік қолдау шеңберінде қарсы міндеттемелерді енгізу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1FC258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139A83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BF7ABA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7805BA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2486AB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F33851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3EA13053" w14:textId="58D56E0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58E18F1" w14:textId="48C7C1C9" w:rsidTr="00AB578C">
        <w:tc>
          <w:tcPr>
            <w:tcW w:w="6216" w:type="dxa"/>
            <w:tcBorders>
              <w:top w:val="single" w:sz="4" w:space="0" w:color="auto"/>
              <w:left w:val="single" w:sz="4" w:space="0" w:color="auto"/>
              <w:bottom w:val="single" w:sz="4" w:space="0" w:color="auto"/>
              <w:right w:val="single" w:sz="4" w:space="0" w:color="auto"/>
            </w:tcBorders>
            <w:hideMark/>
          </w:tcPr>
          <w:p w14:paraId="18A251D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13-іс-шара. Депозиттер мен капитал нарығының құралдарын қоса алғанда, Кредиттік одақтар мен МҚҰ-ны қаржыландыру көздерін әртараптандыру мақсатында олардың нормативтік базасын жетілдіру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62A63F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34A0A25" w14:textId="77777777" w:rsidR="00CA2955" w:rsidRPr="00D05956" w:rsidRDefault="00CA2955" w:rsidP="001D7D7A">
            <w:pPr>
              <w:jc w:val="center"/>
              <w:rPr>
                <w:rFonts w:ascii="Times New Roman" w:hAnsi="Times New Roman" w:cs="Times New Roman"/>
                <w:sz w:val="24"/>
                <w:szCs w:val="24"/>
                <w:lang w:val="kk-KZ"/>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73FA3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E53FD5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72A736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tcPr>
          <w:p w14:paraId="529B1CB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p w14:paraId="23A9D64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3262097F" w14:textId="0EEAC7A1"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81D58FC" w14:textId="76131FEE" w:rsidTr="00AB578C">
        <w:tc>
          <w:tcPr>
            <w:tcW w:w="6216" w:type="dxa"/>
            <w:tcBorders>
              <w:top w:val="single" w:sz="4" w:space="0" w:color="auto"/>
              <w:left w:val="single" w:sz="4" w:space="0" w:color="auto"/>
              <w:bottom w:val="single" w:sz="4" w:space="0" w:color="auto"/>
              <w:right w:val="single" w:sz="4" w:space="0" w:color="auto"/>
            </w:tcBorders>
            <w:hideMark/>
          </w:tcPr>
          <w:p w14:paraId="775FA36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14-іс-шара. Цифрлық шешімдерге арналған финтех (fintech) және агротех құралдарын пайдалануды пысықтау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B0C75B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80BE7E3"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BCBA81D"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EFD204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FCCF38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4A8504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56BCE2A6" w14:textId="5FF9311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9D32BB0" w14:textId="274FD771" w:rsidTr="00AB578C">
        <w:tc>
          <w:tcPr>
            <w:tcW w:w="6216" w:type="dxa"/>
            <w:tcBorders>
              <w:top w:val="single" w:sz="4" w:space="0" w:color="auto"/>
              <w:left w:val="single" w:sz="4" w:space="0" w:color="auto"/>
              <w:bottom w:val="single" w:sz="4" w:space="0" w:color="auto"/>
              <w:right w:val="single" w:sz="4" w:space="0" w:color="auto"/>
            </w:tcBorders>
            <w:hideMark/>
          </w:tcPr>
          <w:p w14:paraId="18EBB29C"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3-көрсеткіш. АӨК-те іске асырылған инвестициялық жобалардың саны,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52FD647"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73C1FD6"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89E1782"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3F883A3"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FDEBA89"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EA70E0F"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2319580,5</w:t>
            </w:r>
          </w:p>
        </w:tc>
        <w:tc>
          <w:tcPr>
            <w:tcW w:w="1133" w:type="dxa"/>
            <w:tcBorders>
              <w:top w:val="single" w:sz="4" w:space="0" w:color="auto"/>
              <w:left w:val="single" w:sz="4" w:space="0" w:color="auto"/>
              <w:bottom w:val="single" w:sz="4" w:space="0" w:color="auto"/>
              <w:right w:val="single" w:sz="4" w:space="0" w:color="auto"/>
            </w:tcBorders>
            <w:vAlign w:val="center"/>
          </w:tcPr>
          <w:p w14:paraId="3D08DB6C" w14:textId="7C9A6E84" w:rsidR="00CA2955" w:rsidRPr="00D05956" w:rsidRDefault="00AB578C" w:rsidP="00CA2955">
            <w:pPr>
              <w:spacing w:line="228" w:lineRule="auto"/>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63,7</w:t>
            </w:r>
          </w:p>
        </w:tc>
      </w:tr>
      <w:tr w:rsidR="00AB578C" w:rsidRPr="00D05956" w14:paraId="1110DBAC" w14:textId="17D6A21E" w:rsidTr="00AB578C">
        <w:tc>
          <w:tcPr>
            <w:tcW w:w="6216" w:type="dxa"/>
            <w:tcBorders>
              <w:top w:val="single" w:sz="4" w:space="0" w:color="auto"/>
              <w:left w:val="single" w:sz="4" w:space="0" w:color="auto"/>
              <w:bottom w:val="single" w:sz="4" w:space="0" w:color="auto"/>
              <w:right w:val="single" w:sz="4" w:space="0" w:color="auto"/>
            </w:tcBorders>
            <w:hideMark/>
          </w:tcPr>
          <w:p w14:paraId="354001C3"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АӨК-те іске асырылған инвестициялық жобалардың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3907539" w14:textId="77777777" w:rsidR="00CA2955" w:rsidRPr="00D05956" w:rsidRDefault="00CA2955" w:rsidP="00B42F86">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175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7EDEE51"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191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DDC4E66"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121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7B88902" w14:textId="77777777" w:rsidR="00CA2955" w:rsidRPr="00D05956" w:rsidRDefault="00CA2955" w:rsidP="00B42F86">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49</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D6CBF10" w14:textId="77777777" w:rsidR="00CA2955" w:rsidRPr="00D05956" w:rsidRDefault="00CA2955" w:rsidP="00B42F86">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46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FEA782A"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582</w:t>
            </w:r>
          </w:p>
        </w:tc>
        <w:tc>
          <w:tcPr>
            <w:tcW w:w="1133" w:type="dxa"/>
            <w:tcBorders>
              <w:top w:val="single" w:sz="4" w:space="0" w:color="auto"/>
              <w:left w:val="single" w:sz="4" w:space="0" w:color="auto"/>
              <w:bottom w:val="single" w:sz="4" w:space="0" w:color="auto"/>
              <w:right w:val="single" w:sz="4" w:space="0" w:color="auto"/>
            </w:tcBorders>
            <w:vAlign w:val="center"/>
          </w:tcPr>
          <w:p w14:paraId="2016113F" w14:textId="4B8EACEC"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CEDB396" w14:textId="09A06825" w:rsidTr="00AB578C">
        <w:tc>
          <w:tcPr>
            <w:tcW w:w="6216" w:type="dxa"/>
            <w:tcBorders>
              <w:top w:val="single" w:sz="4" w:space="0" w:color="auto"/>
              <w:left w:val="single" w:sz="4" w:space="0" w:color="auto"/>
              <w:bottom w:val="single" w:sz="4" w:space="0" w:color="auto"/>
              <w:right w:val="single" w:sz="4" w:space="0" w:color="auto"/>
            </w:tcBorders>
            <w:hideMark/>
          </w:tcPr>
          <w:p w14:paraId="4EC80510"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w:t>
            </w:r>
            <w:r w:rsidRPr="00D05956">
              <w:rPr>
                <w:rFonts w:ascii="Times New Roman" w:hAnsi="Times New Roman" w:cs="Times New Roman"/>
                <w:color w:val="000000"/>
                <w:spacing w:val="2"/>
                <w:sz w:val="24"/>
                <w:szCs w:val="24"/>
                <w:bdr w:val="none" w:sz="0" w:space="0" w:color="auto" w:frame="1"/>
                <w:shd w:val="clear" w:color="auto" w:fill="FFFFFF"/>
              </w:rPr>
              <w:t>пайдалануға берілген инвестжобалардың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A771DC3"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6BDB1B4"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75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6574DDC"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80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E52DA59"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85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B8F519E"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43AC03D"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380</w:t>
            </w:r>
          </w:p>
        </w:tc>
        <w:tc>
          <w:tcPr>
            <w:tcW w:w="1133" w:type="dxa"/>
            <w:tcBorders>
              <w:top w:val="single" w:sz="4" w:space="0" w:color="auto"/>
              <w:left w:val="single" w:sz="4" w:space="0" w:color="auto"/>
              <w:bottom w:val="single" w:sz="4" w:space="0" w:color="auto"/>
              <w:right w:val="single" w:sz="4" w:space="0" w:color="auto"/>
            </w:tcBorders>
            <w:vAlign w:val="center"/>
          </w:tcPr>
          <w:p w14:paraId="69C80724" w14:textId="3B8CB406"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B6E7C87" w14:textId="39C6D6A8" w:rsidTr="00AB578C">
        <w:tc>
          <w:tcPr>
            <w:tcW w:w="6216" w:type="dxa"/>
            <w:tcBorders>
              <w:top w:val="single" w:sz="4" w:space="0" w:color="auto"/>
              <w:left w:val="single" w:sz="4" w:space="0" w:color="auto"/>
              <w:bottom w:val="single" w:sz="4" w:space="0" w:color="auto"/>
              <w:right w:val="single" w:sz="4" w:space="0" w:color="auto"/>
            </w:tcBorders>
            <w:hideMark/>
          </w:tcPr>
          <w:p w14:paraId="360F49A6"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7 ірі экожүйенің қалыптасуын ақпараттық платформада қадам-қадаммен көрсету, сондай-ақ ҚР АШМ сайтында, оның ішінде экожүйелерді құру процесіне тартылған және қажетті стейкхолдерлер бойынша ақпаратты ай сайын орналастыру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3893C13"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2D2656A"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897C69"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1768702"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B2640C7"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58FDF19"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tcPr>
          <w:p w14:paraId="1C25B80F" w14:textId="1FE31F4D"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516FE20" w14:textId="6E12E6CC" w:rsidTr="00AB578C">
        <w:tc>
          <w:tcPr>
            <w:tcW w:w="6216" w:type="dxa"/>
            <w:tcBorders>
              <w:top w:val="single" w:sz="4" w:space="0" w:color="auto"/>
              <w:left w:val="single" w:sz="4" w:space="0" w:color="auto"/>
              <w:bottom w:val="single" w:sz="4" w:space="0" w:color="auto"/>
              <w:right w:val="single" w:sz="4" w:space="0" w:color="auto"/>
            </w:tcBorders>
            <w:hideMark/>
          </w:tcPr>
          <w:p w14:paraId="78AC1497"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ай сайын сайтта жаңартылып отыратын ақпарат</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C9EE4FB"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6C3623F"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09D0ED6"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4EFCA2"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53ECB56"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50B7F15"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tcPr>
          <w:p w14:paraId="662D07A9" w14:textId="67348DA2"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0C674B0" w14:textId="688BB96E" w:rsidTr="00AB578C">
        <w:tc>
          <w:tcPr>
            <w:tcW w:w="6216" w:type="dxa"/>
            <w:tcBorders>
              <w:top w:val="single" w:sz="4" w:space="0" w:color="auto"/>
              <w:left w:val="single" w:sz="4" w:space="0" w:color="auto"/>
              <w:bottom w:val="single" w:sz="4" w:space="0" w:color="auto"/>
              <w:right w:val="single" w:sz="4" w:space="0" w:color="auto"/>
            </w:tcBorders>
            <w:hideMark/>
          </w:tcPr>
          <w:p w14:paraId="0E2005FE"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 Ауыл шаруашылығы жерлерін айналымға тартудың жаңа нысандарын әзірлеу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D929831"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BE59578"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1A41E98" w14:textId="77777777" w:rsidR="00CA2955" w:rsidRPr="00D05956" w:rsidRDefault="00CA2955" w:rsidP="00B42F86">
            <w:pPr>
              <w:pStyle w:val="TableParagraph"/>
              <w:spacing w:line="228" w:lineRule="auto"/>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0368CC2"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7C2924B"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E731A59"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5355A566" w14:textId="662A76B0"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14:paraId="4362D2BE" w14:textId="77777777" w:rsidTr="00AB578C">
        <w:tc>
          <w:tcPr>
            <w:tcW w:w="13776" w:type="dxa"/>
            <w:gridSpan w:val="7"/>
            <w:tcBorders>
              <w:top w:val="nil"/>
              <w:left w:val="nil"/>
              <w:bottom w:val="single" w:sz="4" w:space="0" w:color="auto"/>
              <w:right w:val="nil"/>
            </w:tcBorders>
          </w:tcPr>
          <w:p w14:paraId="1A865E54"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2FDD747D"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5DCAAD2F"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59560C19" w14:textId="77777777" w:rsidTr="00AB578C">
        <w:tc>
          <w:tcPr>
            <w:tcW w:w="6216" w:type="dxa"/>
            <w:tcBorders>
              <w:top w:val="single" w:sz="4" w:space="0" w:color="auto"/>
              <w:left w:val="single" w:sz="4" w:space="0" w:color="auto"/>
              <w:bottom w:val="single" w:sz="4" w:space="0" w:color="auto"/>
              <w:right w:val="single" w:sz="4" w:space="0" w:color="auto"/>
            </w:tcBorders>
            <w:hideMark/>
          </w:tcPr>
          <w:p w14:paraId="413BA7BA"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89E6935"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036D98A"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3446152"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15646A0"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5E05F09"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AAC039"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709D3062" w14:textId="77777777" w:rsidR="00AB578C" w:rsidRDefault="00AB578C">
            <w:pPr>
              <w:jc w:val="center"/>
              <w:rPr>
                <w:rFonts w:ascii="Times New Roman" w:eastAsia="Times New Roman" w:hAnsi="Times New Roman" w:cs="Times New Roman"/>
                <w:kern w:val="36"/>
                <w:sz w:val="24"/>
                <w:szCs w:val="24"/>
                <w:lang w:val="kk-KZ" w:eastAsia="ru-RU"/>
              </w:rPr>
            </w:pPr>
          </w:p>
        </w:tc>
      </w:tr>
      <w:tr w:rsidR="00AB578C" w:rsidRPr="00D05956" w14:paraId="5FE7C2F8" w14:textId="17B71E3D" w:rsidTr="00AB578C">
        <w:tc>
          <w:tcPr>
            <w:tcW w:w="6216" w:type="dxa"/>
            <w:tcBorders>
              <w:top w:val="single" w:sz="4" w:space="0" w:color="auto"/>
              <w:left w:val="single" w:sz="4" w:space="0" w:color="auto"/>
              <w:bottom w:val="single" w:sz="4" w:space="0" w:color="auto"/>
              <w:right w:val="single" w:sz="4" w:space="0" w:color="auto"/>
            </w:tcBorders>
            <w:hideMark/>
          </w:tcPr>
          <w:p w14:paraId="08777229"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НҚА қабылдау, бірл.</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96349DC"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1157B41" w14:textId="77777777" w:rsidR="00CA2955" w:rsidRPr="00D05956" w:rsidRDefault="00CA2955" w:rsidP="00B42F86">
            <w:pPr>
              <w:pStyle w:val="TableParagraph"/>
              <w:spacing w:line="228" w:lineRule="auto"/>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0262988" w14:textId="77777777" w:rsidR="00CA2955" w:rsidRPr="00D05956" w:rsidRDefault="00CA2955" w:rsidP="00B42F86">
            <w:pPr>
              <w:pStyle w:val="TableParagraph"/>
              <w:spacing w:line="228" w:lineRule="auto"/>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31413BB"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445D829"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6824D99"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w:t>
            </w:r>
          </w:p>
        </w:tc>
        <w:tc>
          <w:tcPr>
            <w:tcW w:w="1133" w:type="dxa"/>
            <w:tcBorders>
              <w:top w:val="single" w:sz="4" w:space="0" w:color="auto"/>
              <w:left w:val="single" w:sz="4" w:space="0" w:color="auto"/>
              <w:bottom w:val="single" w:sz="4" w:space="0" w:color="auto"/>
              <w:right w:val="single" w:sz="4" w:space="0" w:color="auto"/>
            </w:tcBorders>
            <w:vAlign w:val="center"/>
          </w:tcPr>
          <w:p w14:paraId="670FB804" w14:textId="06181AED"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F086D78" w14:textId="61135196" w:rsidTr="00AB578C">
        <w:tc>
          <w:tcPr>
            <w:tcW w:w="6216" w:type="dxa"/>
            <w:tcBorders>
              <w:top w:val="single" w:sz="4" w:space="0" w:color="auto"/>
              <w:left w:val="single" w:sz="4" w:space="0" w:color="auto"/>
              <w:bottom w:val="single" w:sz="4" w:space="0" w:color="auto"/>
              <w:right w:val="single" w:sz="4" w:space="0" w:color="auto"/>
            </w:tcBorders>
            <w:hideMark/>
          </w:tcPr>
          <w:p w14:paraId="592F7C82"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3-іс-шара.Сүт өндіру мен өңдеу бойынша экожүйе құру шеңберінде 6500 жұмыс орнын құра отырып, жалпы қуаты 500 мың тоннадан астам сүт болатын 219 инвестициялық жобаны іске асыру,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DC86DF5" w14:textId="77777777" w:rsidR="00CA2955" w:rsidRPr="00D05956" w:rsidRDefault="00CA2955" w:rsidP="00B42F86">
            <w:pPr>
              <w:pStyle w:val="TableParagraph"/>
              <w:spacing w:line="228" w:lineRule="auto"/>
              <w:jc w:val="center"/>
              <w:rPr>
                <w:sz w:val="24"/>
                <w:szCs w:val="24"/>
              </w:rPr>
            </w:pPr>
            <w:r w:rsidRPr="00D05956">
              <w:rPr>
                <w:sz w:val="24"/>
                <w:szCs w:val="24"/>
                <w:lang w:val="en-US"/>
              </w:rPr>
              <w:t>126350</w:t>
            </w:r>
            <w:r w:rsidRPr="00D05956">
              <w:rPr>
                <w:sz w:val="24"/>
                <w:szCs w:val="24"/>
              </w:rPr>
              <w:t>,0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D2F049A" w14:textId="77777777" w:rsidR="00CA2955" w:rsidRPr="00D05956" w:rsidRDefault="00CA2955" w:rsidP="00B42F86">
            <w:pPr>
              <w:pStyle w:val="TableParagraph"/>
              <w:spacing w:line="228" w:lineRule="auto"/>
              <w:jc w:val="center"/>
              <w:rPr>
                <w:sz w:val="24"/>
                <w:szCs w:val="24"/>
              </w:rPr>
            </w:pPr>
            <w:r w:rsidRPr="00D05956">
              <w:rPr>
                <w:sz w:val="24"/>
                <w:szCs w:val="24"/>
                <w:lang w:val="en-US"/>
              </w:rPr>
              <w:t>269000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FD0756A" w14:textId="77777777" w:rsidR="00CA2955" w:rsidRPr="00D05956" w:rsidRDefault="00CA2955" w:rsidP="00B42F86">
            <w:pPr>
              <w:pStyle w:val="TableParagraph"/>
              <w:spacing w:line="228" w:lineRule="auto"/>
              <w:jc w:val="center"/>
              <w:rPr>
                <w:sz w:val="24"/>
                <w:szCs w:val="24"/>
              </w:rPr>
            </w:pPr>
            <w:r w:rsidRPr="00D05956">
              <w:rPr>
                <w:sz w:val="24"/>
                <w:szCs w:val="24"/>
                <w:lang w:val="en-US"/>
              </w:rPr>
              <w:t>96250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B354BCF" w14:textId="77777777" w:rsidR="00CA2955" w:rsidRPr="00D05956" w:rsidRDefault="00CA2955" w:rsidP="00B42F86">
            <w:pPr>
              <w:pStyle w:val="TableParagraph"/>
              <w:spacing w:line="228" w:lineRule="auto"/>
              <w:jc w:val="center"/>
              <w:rPr>
                <w:sz w:val="24"/>
                <w:szCs w:val="24"/>
              </w:rPr>
            </w:pPr>
            <w:r w:rsidRPr="00D05956">
              <w:rPr>
                <w:sz w:val="24"/>
                <w:szCs w:val="24"/>
                <w:lang w:val="en-US"/>
              </w:rPr>
              <w:t>22000</w:t>
            </w:r>
            <w:r w:rsidRPr="00D05956">
              <w:rPr>
                <w:sz w:val="24"/>
                <w:szCs w:val="24"/>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AA180B"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285961</w:t>
            </w:r>
            <w:r w:rsidRPr="00D05956">
              <w:rPr>
                <w:sz w:val="24"/>
                <w:szCs w:val="24"/>
              </w:rPr>
              <w:t>,</w:t>
            </w:r>
            <w:r w:rsidRPr="00D05956">
              <w:rPr>
                <w:sz w:val="24"/>
                <w:szCs w:val="24"/>
                <w:lang w:val="en-US"/>
              </w:rPr>
              <w:t>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66941A7" w14:textId="77777777" w:rsidR="00CA2955" w:rsidRPr="00D05956" w:rsidRDefault="00CA2955" w:rsidP="00B42F86">
            <w:pPr>
              <w:spacing w:line="228" w:lineRule="auto"/>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799561,3</w:t>
            </w:r>
          </w:p>
        </w:tc>
        <w:tc>
          <w:tcPr>
            <w:tcW w:w="1133" w:type="dxa"/>
            <w:tcBorders>
              <w:top w:val="single" w:sz="4" w:space="0" w:color="auto"/>
              <w:left w:val="single" w:sz="4" w:space="0" w:color="auto"/>
              <w:bottom w:val="single" w:sz="4" w:space="0" w:color="auto"/>
              <w:right w:val="single" w:sz="4" w:space="0" w:color="auto"/>
            </w:tcBorders>
            <w:vAlign w:val="center"/>
          </w:tcPr>
          <w:p w14:paraId="3D2DC30E" w14:textId="65CDB988"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4F20D5D" w14:textId="1FA0C894" w:rsidTr="00AB578C">
        <w:tc>
          <w:tcPr>
            <w:tcW w:w="6216" w:type="dxa"/>
            <w:tcBorders>
              <w:top w:val="single" w:sz="4" w:space="0" w:color="auto"/>
              <w:left w:val="single" w:sz="4" w:space="0" w:color="auto"/>
              <w:bottom w:val="nil"/>
              <w:right w:val="single" w:sz="4" w:space="0" w:color="auto"/>
            </w:tcBorders>
            <w:hideMark/>
          </w:tcPr>
          <w:p w14:paraId="015C9194"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Сүт өндіру мен өңдеу бойынша экожүйе құру шеңберінде 6500 жұмыс орнын құра отырып, жалпы қуаты 500 мың тоннадан астам сүт болатын 219 инвестициялық жобаны іске асыру, саны</w:t>
            </w:r>
          </w:p>
        </w:tc>
        <w:tc>
          <w:tcPr>
            <w:tcW w:w="1399" w:type="dxa"/>
            <w:tcBorders>
              <w:top w:val="single" w:sz="4" w:space="0" w:color="auto"/>
              <w:left w:val="single" w:sz="4" w:space="0" w:color="auto"/>
              <w:bottom w:val="nil"/>
              <w:right w:val="single" w:sz="4" w:space="0" w:color="auto"/>
            </w:tcBorders>
            <w:vAlign w:val="center"/>
            <w:hideMark/>
          </w:tcPr>
          <w:p w14:paraId="57498D57" w14:textId="77777777" w:rsidR="00CA2955" w:rsidRPr="00D05956" w:rsidRDefault="00CA2955" w:rsidP="00B42F86">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62</w:t>
            </w:r>
          </w:p>
        </w:tc>
        <w:tc>
          <w:tcPr>
            <w:tcW w:w="1266" w:type="dxa"/>
            <w:tcBorders>
              <w:top w:val="single" w:sz="4" w:space="0" w:color="auto"/>
              <w:left w:val="single" w:sz="4" w:space="0" w:color="auto"/>
              <w:bottom w:val="nil"/>
              <w:right w:val="single" w:sz="4" w:space="0" w:color="auto"/>
            </w:tcBorders>
            <w:vAlign w:val="center"/>
            <w:hideMark/>
          </w:tcPr>
          <w:p w14:paraId="3BC033C0"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79</w:t>
            </w:r>
          </w:p>
        </w:tc>
        <w:tc>
          <w:tcPr>
            <w:tcW w:w="1263" w:type="dxa"/>
            <w:tcBorders>
              <w:top w:val="single" w:sz="4" w:space="0" w:color="auto"/>
              <w:left w:val="single" w:sz="4" w:space="0" w:color="auto"/>
              <w:bottom w:val="nil"/>
              <w:right w:val="single" w:sz="4" w:space="0" w:color="auto"/>
            </w:tcBorders>
            <w:vAlign w:val="center"/>
            <w:hideMark/>
          </w:tcPr>
          <w:p w14:paraId="578E1654" w14:textId="77777777" w:rsidR="00CA2955" w:rsidRPr="00D05956" w:rsidRDefault="00CA2955" w:rsidP="00B42F86">
            <w:pPr>
              <w:pStyle w:val="TableParagraph"/>
              <w:spacing w:line="228" w:lineRule="auto"/>
              <w:jc w:val="center"/>
              <w:rPr>
                <w:sz w:val="24"/>
                <w:szCs w:val="24"/>
                <w:lang w:val="en-US"/>
              </w:rPr>
            </w:pPr>
            <w:r w:rsidRPr="00D05956">
              <w:rPr>
                <w:sz w:val="24"/>
                <w:szCs w:val="24"/>
                <w:lang w:val="en-US"/>
              </w:rPr>
              <w:t>45</w:t>
            </w:r>
          </w:p>
        </w:tc>
        <w:tc>
          <w:tcPr>
            <w:tcW w:w="1263" w:type="dxa"/>
            <w:tcBorders>
              <w:top w:val="single" w:sz="4" w:space="0" w:color="auto"/>
              <w:left w:val="single" w:sz="4" w:space="0" w:color="auto"/>
              <w:bottom w:val="nil"/>
              <w:right w:val="single" w:sz="4" w:space="0" w:color="auto"/>
            </w:tcBorders>
            <w:vAlign w:val="center"/>
            <w:hideMark/>
          </w:tcPr>
          <w:p w14:paraId="00FB7C98" w14:textId="77777777" w:rsidR="00CA2955" w:rsidRPr="00D05956" w:rsidRDefault="00CA2955" w:rsidP="00B42F86">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19</w:t>
            </w:r>
          </w:p>
        </w:tc>
        <w:tc>
          <w:tcPr>
            <w:tcW w:w="1133" w:type="dxa"/>
            <w:tcBorders>
              <w:top w:val="single" w:sz="4" w:space="0" w:color="auto"/>
              <w:left w:val="single" w:sz="4" w:space="0" w:color="auto"/>
              <w:bottom w:val="nil"/>
              <w:right w:val="single" w:sz="4" w:space="0" w:color="auto"/>
            </w:tcBorders>
            <w:vAlign w:val="center"/>
            <w:hideMark/>
          </w:tcPr>
          <w:p w14:paraId="4AE79228" w14:textId="77777777" w:rsidR="00CA2955" w:rsidRPr="00D05956" w:rsidRDefault="00CA2955" w:rsidP="00B42F86">
            <w:pPr>
              <w:spacing w:line="228" w:lineRule="auto"/>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14</w:t>
            </w:r>
          </w:p>
        </w:tc>
        <w:tc>
          <w:tcPr>
            <w:tcW w:w="1236" w:type="dxa"/>
            <w:tcBorders>
              <w:top w:val="single" w:sz="4" w:space="0" w:color="auto"/>
              <w:left w:val="single" w:sz="4" w:space="0" w:color="auto"/>
              <w:bottom w:val="nil"/>
              <w:right w:val="single" w:sz="4" w:space="0" w:color="auto"/>
            </w:tcBorders>
            <w:vAlign w:val="center"/>
            <w:hideMark/>
          </w:tcPr>
          <w:p w14:paraId="30DEF88D" w14:textId="77777777" w:rsidR="00CA2955" w:rsidRPr="00D05956" w:rsidRDefault="00CA2955" w:rsidP="00B42F86">
            <w:pPr>
              <w:spacing w:line="228" w:lineRule="auto"/>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219</w:t>
            </w:r>
          </w:p>
        </w:tc>
        <w:tc>
          <w:tcPr>
            <w:tcW w:w="1133" w:type="dxa"/>
            <w:tcBorders>
              <w:top w:val="single" w:sz="4" w:space="0" w:color="auto"/>
              <w:left w:val="single" w:sz="4" w:space="0" w:color="auto"/>
              <w:bottom w:val="nil"/>
              <w:right w:val="single" w:sz="4" w:space="0" w:color="auto"/>
            </w:tcBorders>
            <w:vAlign w:val="center"/>
          </w:tcPr>
          <w:p w14:paraId="763B9D18" w14:textId="20538288" w:rsidR="00CA2955" w:rsidRPr="00D05956" w:rsidRDefault="00AB578C" w:rsidP="00CA2955">
            <w:pPr>
              <w:spacing w:line="228" w:lineRule="auto"/>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F5CE8BA" w14:textId="068F1DD1" w:rsidTr="00AB578C">
        <w:tc>
          <w:tcPr>
            <w:tcW w:w="6216" w:type="dxa"/>
            <w:tcBorders>
              <w:top w:val="single" w:sz="4" w:space="0" w:color="auto"/>
              <w:left w:val="single" w:sz="4" w:space="0" w:color="auto"/>
              <w:bottom w:val="single" w:sz="4" w:space="0" w:color="auto"/>
              <w:right w:val="single" w:sz="4" w:space="0" w:color="auto"/>
            </w:tcBorders>
            <w:hideMark/>
          </w:tcPr>
          <w:p w14:paraId="04F7A851"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4-іс-шара. Ет өндіру мен өңдеу бойынша экожүйе құру шеңберінде 13,3 мың жұмыс орнын (45 мың маусымдық жұмыс орнын) құра отырып, жалпы қуаты 802 мың тоннадан астам ет болатын 207 инвестициялық жобаны іске асыру,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C00E4BF" w14:textId="77777777" w:rsidR="00CA2955" w:rsidRPr="00D05956" w:rsidRDefault="00CA2955" w:rsidP="001D7D7A">
            <w:pPr>
              <w:pStyle w:val="TableParagraph"/>
              <w:jc w:val="center"/>
              <w:rPr>
                <w:sz w:val="24"/>
                <w:szCs w:val="24"/>
              </w:rPr>
            </w:pPr>
            <w:r w:rsidRPr="00D05956">
              <w:rPr>
                <w:sz w:val="24"/>
                <w:szCs w:val="24"/>
                <w:lang w:val="en-US"/>
              </w:rPr>
              <w:t>55599</w:t>
            </w:r>
            <w:r w:rsidRPr="00D05956">
              <w:rPr>
                <w:sz w:val="24"/>
                <w:szCs w:val="24"/>
              </w:rPr>
              <w:t>,0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9544B81" w14:textId="77777777" w:rsidR="00CA2955" w:rsidRPr="00D05956" w:rsidRDefault="00CA2955" w:rsidP="001D7D7A">
            <w:pPr>
              <w:pStyle w:val="TableParagraph"/>
              <w:jc w:val="center"/>
              <w:rPr>
                <w:sz w:val="24"/>
                <w:szCs w:val="24"/>
              </w:rPr>
            </w:pPr>
            <w:r w:rsidRPr="00D05956">
              <w:rPr>
                <w:sz w:val="24"/>
                <w:szCs w:val="24"/>
                <w:lang w:val="en-US"/>
              </w:rPr>
              <w:t>54354</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1E15EB7" w14:textId="77777777" w:rsidR="00CA2955" w:rsidRPr="00D05956" w:rsidRDefault="00CA2955" w:rsidP="001D7D7A">
            <w:pPr>
              <w:pStyle w:val="TableParagraph"/>
              <w:jc w:val="center"/>
              <w:rPr>
                <w:sz w:val="24"/>
                <w:szCs w:val="24"/>
              </w:rPr>
            </w:pPr>
            <w:r w:rsidRPr="00D05956">
              <w:rPr>
                <w:sz w:val="24"/>
                <w:szCs w:val="24"/>
                <w:lang w:val="en-US"/>
              </w:rPr>
              <w:t>201300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DFB7DED" w14:textId="77777777" w:rsidR="00CA2955" w:rsidRPr="00D05956" w:rsidRDefault="00CA2955" w:rsidP="001D7D7A">
            <w:pPr>
              <w:pStyle w:val="TableParagraph"/>
              <w:jc w:val="center"/>
              <w:rPr>
                <w:sz w:val="24"/>
                <w:szCs w:val="24"/>
              </w:rPr>
            </w:pPr>
            <w:r w:rsidRPr="00D05956">
              <w:rPr>
                <w:sz w:val="24"/>
                <w:szCs w:val="24"/>
                <w:lang w:val="en-US"/>
              </w:rPr>
              <w:t>189350</w:t>
            </w:r>
            <w:r w:rsidRPr="00D05956">
              <w:rPr>
                <w:sz w:val="24"/>
                <w:szCs w:val="24"/>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41AD911" w14:textId="77777777" w:rsidR="00CA2955" w:rsidRPr="00D05956" w:rsidRDefault="00CA2955" w:rsidP="001D7D7A">
            <w:pPr>
              <w:pStyle w:val="TableParagraph"/>
              <w:jc w:val="center"/>
              <w:rPr>
                <w:sz w:val="24"/>
                <w:szCs w:val="24"/>
                <w:lang w:val="en-US"/>
              </w:rPr>
            </w:pPr>
            <w:r w:rsidRPr="00D05956">
              <w:rPr>
                <w:sz w:val="24"/>
                <w:szCs w:val="24"/>
                <w:lang w:val="en-US"/>
              </w:rPr>
              <w:t>102661</w:t>
            </w:r>
            <w:r w:rsidRPr="00D05956">
              <w:rPr>
                <w:sz w:val="24"/>
                <w:szCs w:val="24"/>
              </w:rPr>
              <w:t>,</w:t>
            </w:r>
            <w:r w:rsidRPr="00D05956">
              <w:rPr>
                <w:sz w:val="24"/>
                <w:szCs w:val="24"/>
                <w:lang w:val="en-US"/>
              </w:rPr>
              <w:t>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50657A2"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603264,0</w:t>
            </w:r>
          </w:p>
        </w:tc>
        <w:tc>
          <w:tcPr>
            <w:tcW w:w="1133" w:type="dxa"/>
            <w:tcBorders>
              <w:top w:val="single" w:sz="4" w:space="0" w:color="auto"/>
              <w:left w:val="single" w:sz="4" w:space="0" w:color="auto"/>
              <w:bottom w:val="single" w:sz="4" w:space="0" w:color="auto"/>
              <w:right w:val="single" w:sz="4" w:space="0" w:color="auto"/>
            </w:tcBorders>
            <w:vAlign w:val="center"/>
          </w:tcPr>
          <w:p w14:paraId="3B778F9A" w14:textId="0BCDCD44"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5A10D21" w14:textId="74CCD505" w:rsidTr="00AB578C">
        <w:tc>
          <w:tcPr>
            <w:tcW w:w="6216" w:type="dxa"/>
            <w:tcBorders>
              <w:top w:val="single" w:sz="4" w:space="0" w:color="auto"/>
              <w:left w:val="single" w:sz="4" w:space="0" w:color="auto"/>
              <w:bottom w:val="single" w:sz="4" w:space="0" w:color="auto"/>
              <w:right w:val="single" w:sz="4" w:space="0" w:color="auto"/>
            </w:tcBorders>
            <w:hideMark/>
          </w:tcPr>
          <w:p w14:paraId="7A58D93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Ет өндіру мен өңдеу бойынша экожүйе құру шеңберінде 13,3 мың жұмыс орнын (45 мың маусымдық жұмыс орнын) құра отырып, жалпы қуаты 802 мың тоннадан астам ет болатын 207 инвестициялық жобаны іске асыру,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D933023" w14:textId="77777777" w:rsidR="00CA2955" w:rsidRPr="00D05956" w:rsidRDefault="00CA2955"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60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2AA77EB" w14:textId="77777777" w:rsidR="00CA2955" w:rsidRPr="00D05956" w:rsidRDefault="00CA2955" w:rsidP="001D7D7A">
            <w:pPr>
              <w:pStyle w:val="TableParagraph"/>
              <w:jc w:val="center"/>
              <w:rPr>
                <w:sz w:val="24"/>
                <w:szCs w:val="24"/>
                <w:lang w:val="en-US"/>
              </w:rPr>
            </w:pPr>
            <w:r w:rsidRPr="00D05956">
              <w:rPr>
                <w:sz w:val="24"/>
                <w:szCs w:val="24"/>
                <w:lang w:val="en-US"/>
              </w:rPr>
              <w:t>59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0C75DF7" w14:textId="77777777" w:rsidR="00CA2955" w:rsidRPr="00D05956" w:rsidRDefault="00CA2955" w:rsidP="001D7D7A">
            <w:pPr>
              <w:pStyle w:val="TableParagraph"/>
              <w:jc w:val="center"/>
              <w:rPr>
                <w:sz w:val="24"/>
                <w:szCs w:val="24"/>
                <w:lang w:val="en-US"/>
              </w:rPr>
            </w:pPr>
            <w:r w:rsidRPr="00D05956">
              <w:rPr>
                <w:sz w:val="24"/>
                <w:szCs w:val="24"/>
                <w:lang w:val="en-US"/>
              </w:rPr>
              <w:t>42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B6CC6A4" w14:textId="77777777" w:rsidR="00CA2955" w:rsidRPr="00D05956" w:rsidRDefault="00CA2955"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22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70D4970" w14:textId="77777777" w:rsidR="00CA2955" w:rsidRPr="00D05956" w:rsidRDefault="00CA2955"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24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3C7089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207</w:t>
            </w:r>
          </w:p>
        </w:tc>
        <w:tc>
          <w:tcPr>
            <w:tcW w:w="1133" w:type="dxa"/>
            <w:tcBorders>
              <w:top w:val="single" w:sz="4" w:space="0" w:color="auto"/>
              <w:left w:val="single" w:sz="4" w:space="0" w:color="auto"/>
              <w:bottom w:val="single" w:sz="4" w:space="0" w:color="auto"/>
              <w:right w:val="single" w:sz="4" w:space="0" w:color="auto"/>
            </w:tcBorders>
            <w:vAlign w:val="center"/>
          </w:tcPr>
          <w:p w14:paraId="711504FE" w14:textId="714868B7"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348E93F" w14:textId="4E6D7EEE" w:rsidTr="00AB578C">
        <w:tc>
          <w:tcPr>
            <w:tcW w:w="6216" w:type="dxa"/>
            <w:tcBorders>
              <w:top w:val="single" w:sz="4" w:space="0" w:color="auto"/>
              <w:left w:val="single" w:sz="4" w:space="0" w:color="auto"/>
              <w:bottom w:val="single" w:sz="4" w:space="0" w:color="auto"/>
              <w:right w:val="single" w:sz="4" w:space="0" w:color="auto"/>
            </w:tcBorders>
            <w:hideMark/>
          </w:tcPr>
          <w:p w14:paraId="2E816C0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5-іс-шара. Жемістер өндіру мен өңдеу бойынша экожүйе құру шеңберінде 2,5 мың жұмыс орнын (19 мың маусымдық жұмыс орнын) құра отырып, жалпы қуаты 750 мың тонна жеміс болатын 56 инвестициялық жобаны іске асыру,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61A157F" w14:textId="77777777" w:rsidR="00CA2955" w:rsidRPr="00D05956" w:rsidRDefault="00CA2955" w:rsidP="001D7D7A">
            <w:pPr>
              <w:pStyle w:val="TableParagraph"/>
              <w:jc w:val="center"/>
              <w:rPr>
                <w:sz w:val="24"/>
                <w:szCs w:val="24"/>
              </w:rPr>
            </w:pPr>
            <w:r w:rsidRPr="00D05956">
              <w:rPr>
                <w:sz w:val="24"/>
                <w:szCs w:val="24"/>
                <w:lang w:val="en-US"/>
              </w:rPr>
              <w:t>33834</w:t>
            </w:r>
            <w:r w:rsidRPr="00D05956">
              <w:rPr>
                <w:sz w:val="24"/>
                <w:szCs w:val="24"/>
              </w:rPr>
              <w:t>,0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1B77185" w14:textId="77777777" w:rsidR="00CA2955" w:rsidRPr="00D05956" w:rsidRDefault="00CA2955" w:rsidP="001D7D7A">
            <w:pPr>
              <w:pStyle w:val="TableParagraph"/>
              <w:jc w:val="center"/>
              <w:rPr>
                <w:sz w:val="24"/>
                <w:szCs w:val="24"/>
              </w:rPr>
            </w:pPr>
            <w:r w:rsidRPr="00D05956">
              <w:rPr>
                <w:sz w:val="24"/>
                <w:szCs w:val="24"/>
                <w:lang w:val="en-US"/>
              </w:rPr>
              <w:t>42878</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58AC0A1" w14:textId="77777777" w:rsidR="00CA2955" w:rsidRPr="00D05956" w:rsidRDefault="00CA2955" w:rsidP="001D7D7A">
            <w:pPr>
              <w:pStyle w:val="TableParagraph"/>
              <w:jc w:val="center"/>
              <w:rPr>
                <w:sz w:val="24"/>
                <w:szCs w:val="24"/>
              </w:rPr>
            </w:pPr>
            <w:r w:rsidRPr="00D05956">
              <w:rPr>
                <w:sz w:val="24"/>
                <w:szCs w:val="24"/>
                <w:lang w:val="en-US"/>
              </w:rPr>
              <w:t>79430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70C94A4" w14:textId="77777777" w:rsidR="00CA2955" w:rsidRPr="00D05956" w:rsidRDefault="00CA2955" w:rsidP="001D7D7A">
            <w:pPr>
              <w:pStyle w:val="TableParagraph"/>
              <w:jc w:val="center"/>
              <w:rPr>
                <w:sz w:val="24"/>
                <w:szCs w:val="24"/>
              </w:rPr>
            </w:pPr>
            <w:r w:rsidRPr="00D05956">
              <w:rPr>
                <w:sz w:val="24"/>
                <w:szCs w:val="24"/>
                <w:lang w:val="en-US"/>
              </w:rPr>
              <w:t>62332</w:t>
            </w:r>
            <w:r w:rsidRPr="00D05956">
              <w:rPr>
                <w:sz w:val="24"/>
                <w:szCs w:val="24"/>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8AF1B3E" w14:textId="77777777" w:rsidR="00CA2955" w:rsidRPr="00D05956" w:rsidRDefault="00CA2955" w:rsidP="001D7D7A">
            <w:pPr>
              <w:pStyle w:val="TableParagraph"/>
              <w:jc w:val="center"/>
              <w:rPr>
                <w:sz w:val="24"/>
                <w:szCs w:val="24"/>
              </w:rPr>
            </w:pPr>
            <w:r w:rsidRPr="00D05956">
              <w:rPr>
                <w:sz w:val="24"/>
                <w:szCs w:val="24"/>
                <w:lang w:val="en-US"/>
              </w:rPr>
              <w:t>61274</w:t>
            </w:r>
            <w:r w:rsidRPr="00D05956">
              <w:rPr>
                <w:sz w:val="24"/>
                <w:szCs w:val="24"/>
              </w:rPr>
              <w:t>,2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0B4CDD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279748,2</w:t>
            </w:r>
          </w:p>
        </w:tc>
        <w:tc>
          <w:tcPr>
            <w:tcW w:w="1133" w:type="dxa"/>
            <w:tcBorders>
              <w:top w:val="single" w:sz="4" w:space="0" w:color="auto"/>
              <w:left w:val="single" w:sz="4" w:space="0" w:color="auto"/>
              <w:bottom w:val="single" w:sz="4" w:space="0" w:color="auto"/>
              <w:right w:val="single" w:sz="4" w:space="0" w:color="auto"/>
            </w:tcBorders>
            <w:vAlign w:val="center"/>
          </w:tcPr>
          <w:p w14:paraId="59AB57A3" w14:textId="01E62B79"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99036E8" w14:textId="1D4DE6A0" w:rsidTr="00AB578C">
        <w:tc>
          <w:tcPr>
            <w:tcW w:w="6216" w:type="dxa"/>
            <w:tcBorders>
              <w:top w:val="single" w:sz="4" w:space="0" w:color="auto"/>
              <w:left w:val="single" w:sz="4" w:space="0" w:color="auto"/>
              <w:bottom w:val="single" w:sz="4" w:space="0" w:color="auto"/>
              <w:right w:val="single" w:sz="4" w:space="0" w:color="auto"/>
            </w:tcBorders>
            <w:hideMark/>
          </w:tcPr>
          <w:p w14:paraId="4F290EAC"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5-іс-шара. Жемістер өндіру мен өңдеу бойынша экожүйе құру шеңберінде 2,5 мың жұмыс орнын (19 мың маусымдық жұмыс орнын) құра отырып, жалпы қуаты 750 мың тонна жеміс болатын 56 инвестициялық жобаны іске асыру,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524AED4" w14:textId="77777777" w:rsidR="00CA2955" w:rsidRPr="00D05956" w:rsidRDefault="00CA2955" w:rsidP="001D7D7A">
            <w:pPr>
              <w:jc w:val="center"/>
              <w:rPr>
                <w:rFonts w:ascii="Times New Roman" w:hAnsi="Times New Roman" w:cs="Times New Roman"/>
                <w:sz w:val="24"/>
                <w:szCs w:val="24"/>
                <w:lang w:val="en-US"/>
              </w:rPr>
            </w:pPr>
            <w:r w:rsidRPr="00D05956">
              <w:rPr>
                <w:rFonts w:ascii="Times New Roman" w:hAnsi="Times New Roman" w:cs="Times New Roman"/>
                <w:sz w:val="24"/>
                <w:szCs w:val="24"/>
                <w:lang w:val="en-US"/>
              </w:rPr>
              <w:t>19</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B53ECC2" w14:textId="77777777" w:rsidR="00CA2955" w:rsidRPr="00D05956" w:rsidRDefault="00CA2955" w:rsidP="001D7D7A">
            <w:pPr>
              <w:pStyle w:val="TableParagraph"/>
              <w:jc w:val="center"/>
              <w:rPr>
                <w:sz w:val="24"/>
                <w:szCs w:val="24"/>
                <w:lang w:val="en-US"/>
              </w:rPr>
            </w:pPr>
            <w:r w:rsidRPr="00D05956">
              <w:rPr>
                <w:sz w:val="24"/>
                <w:szCs w:val="24"/>
                <w:lang w:val="en-US"/>
              </w:rPr>
              <w:t>15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DAE9DF9" w14:textId="77777777" w:rsidR="00CA2955" w:rsidRPr="00D05956" w:rsidRDefault="00CA2955" w:rsidP="001D7D7A">
            <w:pPr>
              <w:pStyle w:val="TableParagraph"/>
              <w:jc w:val="center"/>
              <w:rPr>
                <w:sz w:val="24"/>
                <w:szCs w:val="24"/>
                <w:lang w:val="en-US"/>
              </w:rPr>
            </w:pPr>
            <w:r w:rsidRPr="00D05956">
              <w:rPr>
                <w:sz w:val="24"/>
                <w:szCs w:val="24"/>
                <w:lang w:val="en-US"/>
              </w:rPr>
              <w:t>13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EEF4EF2" w14:textId="77777777" w:rsidR="00CA2955" w:rsidRPr="00D05956" w:rsidRDefault="00CA2955" w:rsidP="001D7D7A">
            <w:pPr>
              <w:jc w:val="center"/>
              <w:rPr>
                <w:rFonts w:ascii="Times New Roman" w:hAnsi="Times New Roman" w:cs="Times New Roman"/>
                <w:w w:val="99"/>
                <w:sz w:val="24"/>
                <w:szCs w:val="24"/>
                <w:lang w:val="en-US"/>
              </w:rPr>
            </w:pPr>
            <w:r w:rsidRPr="00D05956">
              <w:rPr>
                <w:rFonts w:ascii="Times New Roman" w:hAnsi="Times New Roman" w:cs="Times New Roman"/>
                <w:w w:val="99"/>
                <w:sz w:val="24"/>
                <w:szCs w:val="24"/>
                <w:lang w:val="en-US"/>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DB46C90" w14:textId="77777777" w:rsidR="00CA2955" w:rsidRPr="00D05956" w:rsidRDefault="00CA2955" w:rsidP="001D7D7A">
            <w:pPr>
              <w:jc w:val="center"/>
              <w:rPr>
                <w:rFonts w:ascii="Times New Roman" w:hAnsi="Times New Roman" w:cs="Times New Roman"/>
                <w:w w:val="99"/>
                <w:sz w:val="24"/>
                <w:szCs w:val="24"/>
                <w:lang w:val="en-US"/>
              </w:rPr>
            </w:pPr>
            <w:r w:rsidRPr="00D05956">
              <w:rPr>
                <w:rFonts w:ascii="Times New Roman" w:hAnsi="Times New Roman" w:cs="Times New Roman"/>
                <w:w w:val="99"/>
                <w:sz w:val="24"/>
                <w:szCs w:val="24"/>
                <w:lang w:val="en-US"/>
              </w:rPr>
              <w:t>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DB5913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56</w:t>
            </w:r>
          </w:p>
        </w:tc>
        <w:tc>
          <w:tcPr>
            <w:tcW w:w="1133" w:type="dxa"/>
            <w:tcBorders>
              <w:top w:val="single" w:sz="4" w:space="0" w:color="auto"/>
              <w:left w:val="single" w:sz="4" w:space="0" w:color="auto"/>
              <w:bottom w:val="single" w:sz="4" w:space="0" w:color="auto"/>
              <w:right w:val="single" w:sz="4" w:space="0" w:color="auto"/>
            </w:tcBorders>
            <w:vAlign w:val="center"/>
          </w:tcPr>
          <w:p w14:paraId="50955CDE" w14:textId="761E5F2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705C379" w14:textId="77777777" w:rsidTr="00AB578C">
        <w:tc>
          <w:tcPr>
            <w:tcW w:w="6216" w:type="dxa"/>
            <w:tcBorders>
              <w:top w:val="single" w:sz="4" w:space="0" w:color="auto"/>
              <w:left w:val="single" w:sz="4" w:space="0" w:color="auto"/>
              <w:bottom w:val="single" w:sz="4" w:space="0" w:color="auto"/>
              <w:right w:val="single" w:sz="4" w:space="0" w:color="auto"/>
            </w:tcBorders>
          </w:tcPr>
          <w:p w14:paraId="3E24E80F" w14:textId="084C653E" w:rsidR="00AB578C" w:rsidRPr="00D05956" w:rsidRDefault="00AB578C"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6-іс-шара. Астық дақылдарын өндіру мен өңдеу бойынша</w:t>
            </w:r>
          </w:p>
        </w:tc>
        <w:tc>
          <w:tcPr>
            <w:tcW w:w="1399" w:type="dxa"/>
            <w:tcBorders>
              <w:top w:val="single" w:sz="4" w:space="0" w:color="auto"/>
              <w:left w:val="single" w:sz="4" w:space="0" w:color="auto"/>
              <w:bottom w:val="single" w:sz="4" w:space="0" w:color="auto"/>
              <w:right w:val="single" w:sz="4" w:space="0" w:color="auto"/>
            </w:tcBorders>
            <w:vAlign w:val="center"/>
          </w:tcPr>
          <w:p w14:paraId="28E75C7F" w14:textId="77777777" w:rsidR="00AB578C" w:rsidRPr="00D81216" w:rsidRDefault="00AB578C" w:rsidP="001D7D7A">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4ED42DD5" w14:textId="77777777" w:rsidR="00AB578C" w:rsidRPr="00D81216" w:rsidRDefault="00AB578C" w:rsidP="001D7D7A">
            <w:pPr>
              <w:pStyle w:val="TableParagraph"/>
              <w:jc w:val="center"/>
              <w:rPr>
                <w:sz w:val="24"/>
                <w:szCs w:val="24"/>
              </w:rPr>
            </w:pPr>
          </w:p>
        </w:tc>
        <w:tc>
          <w:tcPr>
            <w:tcW w:w="1263" w:type="dxa"/>
            <w:tcBorders>
              <w:top w:val="single" w:sz="4" w:space="0" w:color="auto"/>
              <w:left w:val="single" w:sz="4" w:space="0" w:color="auto"/>
              <w:bottom w:val="single" w:sz="4" w:space="0" w:color="auto"/>
              <w:right w:val="single" w:sz="4" w:space="0" w:color="auto"/>
            </w:tcBorders>
            <w:vAlign w:val="center"/>
          </w:tcPr>
          <w:p w14:paraId="3CEF18F9" w14:textId="77777777" w:rsidR="00AB578C" w:rsidRPr="00D81216" w:rsidRDefault="00AB578C" w:rsidP="001D7D7A">
            <w:pPr>
              <w:pStyle w:val="TableParagraph"/>
              <w:jc w:val="center"/>
              <w:rPr>
                <w:sz w:val="24"/>
                <w:szCs w:val="24"/>
              </w:rPr>
            </w:pPr>
          </w:p>
        </w:tc>
        <w:tc>
          <w:tcPr>
            <w:tcW w:w="1263" w:type="dxa"/>
            <w:tcBorders>
              <w:top w:val="single" w:sz="4" w:space="0" w:color="auto"/>
              <w:left w:val="single" w:sz="4" w:space="0" w:color="auto"/>
              <w:bottom w:val="single" w:sz="4" w:space="0" w:color="auto"/>
              <w:right w:val="single" w:sz="4" w:space="0" w:color="auto"/>
            </w:tcBorders>
            <w:vAlign w:val="center"/>
          </w:tcPr>
          <w:p w14:paraId="3B9DE512" w14:textId="77777777" w:rsidR="00AB578C" w:rsidRPr="00D81216" w:rsidRDefault="00AB578C" w:rsidP="001D7D7A">
            <w:pPr>
              <w:jc w:val="center"/>
              <w:rPr>
                <w:rFonts w:ascii="Times New Roman" w:hAnsi="Times New Roman" w:cs="Times New Roman"/>
                <w:w w:val="99"/>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14:paraId="3369AA7F" w14:textId="77777777" w:rsidR="00AB578C" w:rsidRPr="00D81216" w:rsidRDefault="00AB578C" w:rsidP="001D7D7A">
            <w:pPr>
              <w:jc w:val="center"/>
              <w:rPr>
                <w:rFonts w:ascii="Times New Roman" w:hAnsi="Times New Roman" w:cs="Times New Roman"/>
                <w:w w:val="99"/>
                <w:sz w:val="24"/>
                <w:szCs w:val="24"/>
              </w:rPr>
            </w:pPr>
          </w:p>
        </w:tc>
        <w:tc>
          <w:tcPr>
            <w:tcW w:w="1236" w:type="dxa"/>
            <w:tcBorders>
              <w:top w:val="single" w:sz="4" w:space="0" w:color="auto"/>
              <w:left w:val="single" w:sz="4" w:space="0" w:color="auto"/>
              <w:bottom w:val="single" w:sz="4" w:space="0" w:color="auto"/>
              <w:right w:val="single" w:sz="4" w:space="0" w:color="auto"/>
            </w:tcBorders>
            <w:vAlign w:val="center"/>
          </w:tcPr>
          <w:p w14:paraId="77BEA47F"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67B99E96" w14:textId="77777777" w:rsidR="00AB578C" w:rsidRDefault="00AB578C" w:rsidP="00CA2955">
            <w:pPr>
              <w:jc w:val="center"/>
              <w:rPr>
                <w:rFonts w:ascii="Times New Roman" w:eastAsia="Times New Roman" w:hAnsi="Times New Roman" w:cs="Times New Roman"/>
                <w:kern w:val="36"/>
                <w:sz w:val="24"/>
                <w:szCs w:val="24"/>
                <w:lang w:val="kk-KZ" w:eastAsia="ru-RU"/>
              </w:rPr>
            </w:pPr>
          </w:p>
        </w:tc>
      </w:tr>
      <w:tr w:rsidR="00AB578C" w14:paraId="79D3311A" w14:textId="77777777" w:rsidTr="00AB578C">
        <w:tc>
          <w:tcPr>
            <w:tcW w:w="13776" w:type="dxa"/>
            <w:gridSpan w:val="7"/>
            <w:tcBorders>
              <w:top w:val="nil"/>
              <w:left w:val="nil"/>
              <w:bottom w:val="single" w:sz="4" w:space="0" w:color="auto"/>
              <w:right w:val="nil"/>
            </w:tcBorders>
          </w:tcPr>
          <w:p w14:paraId="42A5D26C"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6E8643D3"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2FE4DBDB"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5178B760" w14:textId="77777777" w:rsidTr="00AB578C">
        <w:tc>
          <w:tcPr>
            <w:tcW w:w="6216" w:type="dxa"/>
            <w:tcBorders>
              <w:top w:val="single" w:sz="4" w:space="0" w:color="auto"/>
              <w:left w:val="single" w:sz="4" w:space="0" w:color="auto"/>
              <w:bottom w:val="single" w:sz="4" w:space="0" w:color="auto"/>
              <w:right w:val="single" w:sz="4" w:space="0" w:color="auto"/>
            </w:tcBorders>
            <w:hideMark/>
          </w:tcPr>
          <w:p w14:paraId="360FBCC4"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4C96AAC"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E0DF632"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8AA87FF"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1302571"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F1937CB"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57E351F"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15C8BFF4" w14:textId="77777777" w:rsidR="00AB578C" w:rsidRDefault="00AB578C">
            <w:pPr>
              <w:jc w:val="center"/>
              <w:rPr>
                <w:rFonts w:ascii="Times New Roman" w:eastAsia="Times New Roman" w:hAnsi="Times New Roman" w:cs="Times New Roman"/>
                <w:kern w:val="36"/>
                <w:sz w:val="24"/>
                <w:szCs w:val="24"/>
                <w:lang w:val="kk-KZ" w:eastAsia="ru-RU"/>
              </w:rPr>
            </w:pPr>
          </w:p>
        </w:tc>
      </w:tr>
      <w:tr w:rsidR="00AB578C" w:rsidRPr="00D05956" w14:paraId="3590FB92" w14:textId="0D189B33" w:rsidTr="00AB578C">
        <w:tc>
          <w:tcPr>
            <w:tcW w:w="6216" w:type="dxa"/>
            <w:tcBorders>
              <w:top w:val="single" w:sz="4" w:space="0" w:color="auto"/>
              <w:left w:val="single" w:sz="4" w:space="0" w:color="auto"/>
              <w:bottom w:val="single" w:sz="4" w:space="0" w:color="auto"/>
              <w:right w:val="single" w:sz="4" w:space="0" w:color="auto"/>
            </w:tcBorders>
            <w:hideMark/>
          </w:tcPr>
          <w:p w14:paraId="6C9732FA" w14:textId="11E138CA"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экожүйе құру шеңберінде 3 мың жұмыс орнын (36,5 мың маусымдық жұмыс орнын) құра отырып, жалпы қуаты 600 мың тонна астық болатын 48 инвестициялық жобаны іске асыру,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F8B92B5" w14:textId="77777777" w:rsidR="00CA2955" w:rsidRPr="00D05956" w:rsidRDefault="00CA2955" w:rsidP="001D7D7A">
            <w:pPr>
              <w:pStyle w:val="TableParagraph"/>
              <w:jc w:val="center"/>
              <w:rPr>
                <w:sz w:val="24"/>
                <w:szCs w:val="24"/>
              </w:rPr>
            </w:pPr>
            <w:r w:rsidRPr="00D05956">
              <w:rPr>
                <w:sz w:val="24"/>
                <w:szCs w:val="24"/>
                <w:lang w:val="en-US"/>
              </w:rPr>
              <w:t>76380</w:t>
            </w:r>
            <w:r w:rsidRPr="00D05956">
              <w:rPr>
                <w:sz w:val="24"/>
                <w:szCs w:val="24"/>
              </w:rPr>
              <w:t>,0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8882D8E" w14:textId="77777777" w:rsidR="00CA2955" w:rsidRPr="00D05956" w:rsidRDefault="00CA2955" w:rsidP="001D7D7A">
            <w:pPr>
              <w:pStyle w:val="TableParagraph"/>
              <w:jc w:val="center"/>
              <w:rPr>
                <w:sz w:val="24"/>
                <w:szCs w:val="24"/>
              </w:rPr>
            </w:pPr>
            <w:r w:rsidRPr="00D05956">
              <w:rPr>
                <w:sz w:val="24"/>
                <w:szCs w:val="24"/>
                <w:lang w:val="en-US"/>
              </w:rPr>
              <w:t>113000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B48678C" w14:textId="77777777" w:rsidR="00CA2955" w:rsidRPr="00D05956" w:rsidRDefault="00CA2955" w:rsidP="001D7D7A">
            <w:pPr>
              <w:pStyle w:val="TableParagraph"/>
              <w:jc w:val="center"/>
              <w:rPr>
                <w:sz w:val="24"/>
                <w:szCs w:val="24"/>
              </w:rPr>
            </w:pPr>
            <w:r w:rsidRPr="00D05956">
              <w:rPr>
                <w:sz w:val="24"/>
                <w:szCs w:val="24"/>
                <w:lang w:val="en-US"/>
              </w:rPr>
              <w:t>55000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3B919D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F21E903" w14:textId="77777777" w:rsidR="00CA2955" w:rsidRPr="00D05956" w:rsidRDefault="00CA2955" w:rsidP="001D7D7A">
            <w:pPr>
              <w:pStyle w:val="TableParagraph"/>
              <w:jc w:val="center"/>
              <w:rPr>
                <w:sz w:val="24"/>
                <w:szCs w:val="24"/>
              </w:rPr>
            </w:pPr>
            <w:r w:rsidRPr="00D05956">
              <w:rPr>
                <w:sz w:val="24"/>
                <w:szCs w:val="24"/>
                <w:lang w:val="en-US"/>
              </w:rPr>
              <w:t>38620</w:t>
            </w:r>
            <w:r w:rsidRPr="00D05956">
              <w:rPr>
                <w:sz w:val="24"/>
                <w:szCs w:val="24"/>
              </w:rPr>
              <w:t>,0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2F4D4B4"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283000,0</w:t>
            </w:r>
          </w:p>
        </w:tc>
        <w:tc>
          <w:tcPr>
            <w:tcW w:w="1133" w:type="dxa"/>
            <w:tcBorders>
              <w:top w:val="single" w:sz="4" w:space="0" w:color="auto"/>
              <w:left w:val="single" w:sz="4" w:space="0" w:color="auto"/>
              <w:bottom w:val="single" w:sz="4" w:space="0" w:color="auto"/>
              <w:right w:val="single" w:sz="4" w:space="0" w:color="auto"/>
            </w:tcBorders>
            <w:vAlign w:val="center"/>
          </w:tcPr>
          <w:p w14:paraId="0406B23F" w14:textId="06353CBB"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E2B6C0C" w14:textId="0FF0CFA4" w:rsidTr="00AB578C">
        <w:tc>
          <w:tcPr>
            <w:tcW w:w="6216" w:type="dxa"/>
            <w:tcBorders>
              <w:top w:val="single" w:sz="4" w:space="0" w:color="auto"/>
              <w:left w:val="single" w:sz="4" w:space="0" w:color="auto"/>
              <w:bottom w:val="single" w:sz="4" w:space="0" w:color="auto"/>
              <w:right w:val="single" w:sz="4" w:space="0" w:color="auto"/>
            </w:tcBorders>
            <w:hideMark/>
          </w:tcPr>
          <w:p w14:paraId="160FE563"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6-іс-шара. Астық дақылдарын өндіру мен өңдеу бойынша экожүйе құру шеңберінде 3 мың жұмыс орнын (36,5 мың маусымдық жұмыс орнын) құра отырып, жалпы қуаты 600 мың тонна астық болатын 48 инвестициялық жобаны іске асыру,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ADFB62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18</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35C7A17" w14:textId="77777777" w:rsidR="00CA2955" w:rsidRPr="00D05956" w:rsidRDefault="00CA2955" w:rsidP="001D7D7A">
            <w:pPr>
              <w:pStyle w:val="TableParagraph"/>
              <w:jc w:val="center"/>
              <w:rPr>
                <w:sz w:val="24"/>
                <w:szCs w:val="24"/>
                <w:lang w:val="en-US"/>
              </w:rPr>
            </w:pPr>
            <w:r w:rsidRPr="00D05956">
              <w:rPr>
                <w:sz w:val="24"/>
                <w:szCs w:val="24"/>
                <w:lang w:val="en-US"/>
              </w:rPr>
              <w:t>21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DC4C8E7" w14:textId="77777777" w:rsidR="00CA2955" w:rsidRPr="00D05956" w:rsidRDefault="00CA2955" w:rsidP="001D7D7A">
            <w:pPr>
              <w:pStyle w:val="TableParagraph"/>
              <w:jc w:val="center"/>
              <w:rPr>
                <w:sz w:val="24"/>
                <w:szCs w:val="24"/>
                <w:lang w:val="en-US"/>
              </w:rPr>
            </w:pPr>
            <w:r w:rsidRPr="00D05956">
              <w:rPr>
                <w:w w:val="99"/>
                <w:sz w:val="24"/>
                <w:szCs w:val="24"/>
                <w:lang w:val="en-US"/>
              </w:rPr>
              <w:t>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15C2C3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81851A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802600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48</w:t>
            </w:r>
          </w:p>
        </w:tc>
        <w:tc>
          <w:tcPr>
            <w:tcW w:w="1133" w:type="dxa"/>
            <w:tcBorders>
              <w:top w:val="single" w:sz="4" w:space="0" w:color="auto"/>
              <w:left w:val="single" w:sz="4" w:space="0" w:color="auto"/>
              <w:bottom w:val="single" w:sz="4" w:space="0" w:color="auto"/>
              <w:right w:val="single" w:sz="4" w:space="0" w:color="auto"/>
            </w:tcBorders>
            <w:vAlign w:val="center"/>
          </w:tcPr>
          <w:p w14:paraId="245A7543" w14:textId="4367892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9CFAB37" w14:textId="3D514509" w:rsidTr="00AB578C">
        <w:tc>
          <w:tcPr>
            <w:tcW w:w="6216" w:type="dxa"/>
            <w:tcBorders>
              <w:top w:val="single" w:sz="4" w:space="0" w:color="auto"/>
              <w:left w:val="single" w:sz="4" w:space="0" w:color="auto"/>
              <w:bottom w:val="nil"/>
              <w:right w:val="single" w:sz="4" w:space="0" w:color="auto"/>
            </w:tcBorders>
            <w:hideMark/>
          </w:tcPr>
          <w:p w14:paraId="62DCF15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7-іс-шара. Жемістер және көкөністер өндіру мен өңдеу бойынша экожүйе құру шеңберінде 2 мың жұмыс орнын (42 мың маусымдық жұмыс орнын) құра отырып, жалпы қуаты 162 мың тонна жемістер мен көкөністер болатын 29 инвестициялық жобаны іске асыру, млн.тг</w:t>
            </w:r>
          </w:p>
        </w:tc>
        <w:tc>
          <w:tcPr>
            <w:tcW w:w="1399" w:type="dxa"/>
            <w:tcBorders>
              <w:top w:val="single" w:sz="4" w:space="0" w:color="auto"/>
              <w:left w:val="single" w:sz="4" w:space="0" w:color="auto"/>
              <w:bottom w:val="nil"/>
              <w:right w:val="single" w:sz="4" w:space="0" w:color="auto"/>
            </w:tcBorders>
            <w:vAlign w:val="center"/>
            <w:hideMark/>
          </w:tcPr>
          <w:p w14:paraId="51233626" w14:textId="77777777" w:rsidR="00CA2955" w:rsidRPr="00D05956" w:rsidRDefault="00CA2955" w:rsidP="001D7D7A">
            <w:pPr>
              <w:pStyle w:val="TableParagraph"/>
              <w:jc w:val="center"/>
              <w:rPr>
                <w:sz w:val="24"/>
                <w:szCs w:val="24"/>
              </w:rPr>
            </w:pPr>
            <w:r w:rsidRPr="00D05956">
              <w:rPr>
                <w:sz w:val="24"/>
                <w:szCs w:val="24"/>
                <w:lang w:val="en-US"/>
              </w:rPr>
              <w:t>6500</w:t>
            </w:r>
            <w:r w:rsidRPr="00D05956">
              <w:rPr>
                <w:sz w:val="24"/>
                <w:szCs w:val="24"/>
              </w:rPr>
              <w:t>,0</w:t>
            </w:r>
          </w:p>
        </w:tc>
        <w:tc>
          <w:tcPr>
            <w:tcW w:w="1266" w:type="dxa"/>
            <w:tcBorders>
              <w:top w:val="single" w:sz="4" w:space="0" w:color="auto"/>
              <w:left w:val="single" w:sz="4" w:space="0" w:color="auto"/>
              <w:bottom w:val="nil"/>
              <w:right w:val="single" w:sz="4" w:space="0" w:color="auto"/>
            </w:tcBorders>
            <w:vAlign w:val="center"/>
            <w:hideMark/>
          </w:tcPr>
          <w:p w14:paraId="4EE13BB3" w14:textId="77777777" w:rsidR="00CA2955" w:rsidRPr="00D05956" w:rsidRDefault="00CA2955" w:rsidP="001D7D7A">
            <w:pPr>
              <w:pStyle w:val="TableParagraph"/>
              <w:jc w:val="center"/>
              <w:rPr>
                <w:sz w:val="24"/>
                <w:szCs w:val="24"/>
              </w:rPr>
            </w:pPr>
            <w:r w:rsidRPr="00D05956">
              <w:rPr>
                <w:sz w:val="24"/>
                <w:szCs w:val="24"/>
                <w:lang w:val="en-US"/>
              </w:rPr>
              <w:t>7200</w:t>
            </w:r>
            <w:r w:rsidRPr="00D05956">
              <w:rPr>
                <w:sz w:val="24"/>
                <w:szCs w:val="24"/>
              </w:rPr>
              <w:t>,0</w:t>
            </w:r>
          </w:p>
        </w:tc>
        <w:tc>
          <w:tcPr>
            <w:tcW w:w="1263" w:type="dxa"/>
            <w:tcBorders>
              <w:top w:val="single" w:sz="4" w:space="0" w:color="auto"/>
              <w:left w:val="single" w:sz="4" w:space="0" w:color="auto"/>
              <w:bottom w:val="nil"/>
              <w:right w:val="single" w:sz="4" w:space="0" w:color="auto"/>
            </w:tcBorders>
            <w:vAlign w:val="center"/>
            <w:hideMark/>
          </w:tcPr>
          <w:p w14:paraId="31BC3172" w14:textId="77777777" w:rsidR="00CA2955" w:rsidRPr="00D05956" w:rsidRDefault="00CA2955" w:rsidP="001D7D7A">
            <w:pPr>
              <w:pStyle w:val="TableParagraph"/>
              <w:jc w:val="center"/>
              <w:rPr>
                <w:sz w:val="24"/>
                <w:szCs w:val="24"/>
                <w:lang w:val="en-US"/>
              </w:rPr>
            </w:pPr>
            <w:r w:rsidRPr="00D05956">
              <w:rPr>
                <w:sz w:val="24"/>
                <w:szCs w:val="24"/>
                <w:lang w:val="en-US"/>
              </w:rPr>
              <w:t>7370</w:t>
            </w:r>
            <w:r w:rsidRPr="00D05956">
              <w:rPr>
                <w:sz w:val="24"/>
                <w:szCs w:val="24"/>
              </w:rPr>
              <w:t>,</w:t>
            </w:r>
            <w:r w:rsidRPr="00D05956">
              <w:rPr>
                <w:sz w:val="24"/>
                <w:szCs w:val="24"/>
                <w:lang w:val="en-US"/>
              </w:rPr>
              <w:t>0</w:t>
            </w:r>
          </w:p>
        </w:tc>
        <w:tc>
          <w:tcPr>
            <w:tcW w:w="1263" w:type="dxa"/>
            <w:tcBorders>
              <w:top w:val="single" w:sz="4" w:space="0" w:color="auto"/>
              <w:left w:val="single" w:sz="4" w:space="0" w:color="auto"/>
              <w:bottom w:val="nil"/>
              <w:right w:val="single" w:sz="4" w:space="0" w:color="auto"/>
            </w:tcBorders>
            <w:vAlign w:val="center"/>
            <w:hideMark/>
          </w:tcPr>
          <w:p w14:paraId="1BC1C014" w14:textId="77777777" w:rsidR="00CA2955" w:rsidRPr="00D05956" w:rsidRDefault="00CA2955" w:rsidP="001D7D7A">
            <w:pPr>
              <w:pStyle w:val="TableParagraph"/>
              <w:jc w:val="center"/>
              <w:rPr>
                <w:sz w:val="24"/>
                <w:szCs w:val="24"/>
              </w:rPr>
            </w:pPr>
            <w:r w:rsidRPr="00D05956">
              <w:rPr>
                <w:sz w:val="24"/>
                <w:szCs w:val="24"/>
                <w:lang w:val="en-US"/>
              </w:rPr>
              <w:t>9600</w:t>
            </w:r>
            <w:r w:rsidRPr="00D05956">
              <w:rPr>
                <w:sz w:val="24"/>
                <w:szCs w:val="24"/>
              </w:rPr>
              <w:t>,0</w:t>
            </w:r>
          </w:p>
        </w:tc>
        <w:tc>
          <w:tcPr>
            <w:tcW w:w="1133" w:type="dxa"/>
            <w:tcBorders>
              <w:top w:val="single" w:sz="4" w:space="0" w:color="auto"/>
              <w:left w:val="single" w:sz="4" w:space="0" w:color="auto"/>
              <w:bottom w:val="nil"/>
              <w:right w:val="single" w:sz="4" w:space="0" w:color="auto"/>
            </w:tcBorders>
            <w:vAlign w:val="center"/>
            <w:hideMark/>
          </w:tcPr>
          <w:p w14:paraId="72F274B0" w14:textId="77777777" w:rsidR="00CA2955" w:rsidRPr="00D05956" w:rsidRDefault="00CA2955" w:rsidP="001D7D7A">
            <w:pPr>
              <w:pStyle w:val="TableParagraph"/>
              <w:jc w:val="center"/>
              <w:rPr>
                <w:kern w:val="36"/>
                <w:sz w:val="24"/>
                <w:szCs w:val="24"/>
                <w:lang w:val="kk-KZ" w:eastAsia="ru-RU"/>
              </w:rPr>
            </w:pPr>
            <w:r w:rsidRPr="00D05956">
              <w:rPr>
                <w:sz w:val="24"/>
                <w:szCs w:val="24"/>
                <w:lang w:val="en-US"/>
              </w:rPr>
              <w:t>5000</w:t>
            </w:r>
            <w:r w:rsidRPr="00D05956">
              <w:rPr>
                <w:sz w:val="24"/>
                <w:szCs w:val="24"/>
              </w:rPr>
              <w:t>,0</w:t>
            </w:r>
          </w:p>
        </w:tc>
        <w:tc>
          <w:tcPr>
            <w:tcW w:w="1236" w:type="dxa"/>
            <w:tcBorders>
              <w:top w:val="single" w:sz="4" w:space="0" w:color="auto"/>
              <w:left w:val="single" w:sz="4" w:space="0" w:color="auto"/>
              <w:bottom w:val="nil"/>
              <w:right w:val="single" w:sz="4" w:space="0" w:color="auto"/>
            </w:tcBorders>
            <w:vAlign w:val="center"/>
            <w:hideMark/>
          </w:tcPr>
          <w:p w14:paraId="5A73715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35670,0</w:t>
            </w:r>
          </w:p>
        </w:tc>
        <w:tc>
          <w:tcPr>
            <w:tcW w:w="1133" w:type="dxa"/>
            <w:tcBorders>
              <w:top w:val="single" w:sz="4" w:space="0" w:color="auto"/>
              <w:left w:val="single" w:sz="4" w:space="0" w:color="auto"/>
              <w:bottom w:val="nil"/>
              <w:right w:val="single" w:sz="4" w:space="0" w:color="auto"/>
            </w:tcBorders>
            <w:vAlign w:val="center"/>
          </w:tcPr>
          <w:p w14:paraId="71D23EDC" w14:textId="76059859"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305BEEE" w14:textId="421B477A" w:rsidTr="00AB578C">
        <w:tc>
          <w:tcPr>
            <w:tcW w:w="6216" w:type="dxa"/>
            <w:tcBorders>
              <w:top w:val="single" w:sz="4" w:space="0" w:color="auto"/>
              <w:left w:val="single" w:sz="4" w:space="0" w:color="auto"/>
              <w:bottom w:val="single" w:sz="4" w:space="0" w:color="auto"/>
              <w:right w:val="single" w:sz="4" w:space="0" w:color="auto"/>
            </w:tcBorders>
            <w:hideMark/>
          </w:tcPr>
          <w:p w14:paraId="4EE80E9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7-іс-шара. Жемістер және көкөністер өндіру мен өңдеу бойынша экожүйе құру шеңберінде 2 мың жұмыс орнын (42 мың маусымдық жұмыс орнын) құра отырып, жалпы қуаты 162 мың тонна жемістер мен көкөністер болатын 29 инвестициялық жобаны іске асыру,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7844D6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8</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99A8278" w14:textId="77777777" w:rsidR="00CA2955" w:rsidRPr="00D05956" w:rsidRDefault="00CA2955" w:rsidP="001D7D7A">
            <w:pPr>
              <w:pStyle w:val="TableParagraph"/>
              <w:jc w:val="center"/>
              <w:rPr>
                <w:sz w:val="24"/>
                <w:szCs w:val="24"/>
                <w:lang w:val="en-US"/>
              </w:rPr>
            </w:pPr>
            <w:r w:rsidRPr="00D05956">
              <w:rPr>
                <w:w w:val="99"/>
                <w:sz w:val="24"/>
                <w:szCs w:val="24"/>
                <w:lang w:val="en-US"/>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8C20D0" w14:textId="77777777" w:rsidR="00CA2955" w:rsidRPr="00D05956" w:rsidRDefault="00CA2955" w:rsidP="001D7D7A">
            <w:pPr>
              <w:pStyle w:val="TableParagraph"/>
              <w:jc w:val="center"/>
              <w:rPr>
                <w:sz w:val="24"/>
                <w:szCs w:val="24"/>
                <w:lang w:val="en-US"/>
              </w:rPr>
            </w:pPr>
            <w:r w:rsidRPr="00D05956">
              <w:rPr>
                <w:w w:val="99"/>
                <w:sz w:val="24"/>
                <w:szCs w:val="24"/>
                <w:lang w:val="en-US"/>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5D3C8F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8D294A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2</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19DEFD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29</w:t>
            </w:r>
          </w:p>
        </w:tc>
        <w:tc>
          <w:tcPr>
            <w:tcW w:w="1133" w:type="dxa"/>
            <w:tcBorders>
              <w:top w:val="single" w:sz="4" w:space="0" w:color="auto"/>
              <w:left w:val="single" w:sz="4" w:space="0" w:color="auto"/>
              <w:bottom w:val="single" w:sz="4" w:space="0" w:color="auto"/>
              <w:right w:val="single" w:sz="4" w:space="0" w:color="auto"/>
            </w:tcBorders>
            <w:vAlign w:val="center"/>
          </w:tcPr>
          <w:p w14:paraId="2B91E42B" w14:textId="75D4B66A"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CBC91F1" w14:textId="16EB1F17" w:rsidTr="00AB578C">
        <w:tc>
          <w:tcPr>
            <w:tcW w:w="6216" w:type="dxa"/>
            <w:tcBorders>
              <w:top w:val="single" w:sz="4" w:space="0" w:color="auto"/>
              <w:left w:val="single" w:sz="4" w:space="0" w:color="auto"/>
              <w:bottom w:val="single" w:sz="4" w:space="0" w:color="auto"/>
              <w:right w:val="single" w:sz="4" w:space="0" w:color="auto"/>
            </w:tcBorders>
            <w:hideMark/>
          </w:tcPr>
          <w:p w14:paraId="5E7A650F"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8-іс-шара. Қант өндіру бойынша экожүйе құру шеңберінде 850 жұмыс орнын (20 мың маусымдық жұмыс орнын) құра отырып, жалпы қуаты жылына 360 мың тонна болатын 4 инвестициялық жобаны іске асыру,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883DDE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5E568AD" w14:textId="77777777" w:rsidR="00CA2955" w:rsidRPr="00D05956" w:rsidRDefault="00CA2955" w:rsidP="001D7D7A">
            <w:pPr>
              <w:pStyle w:val="TableParagraph"/>
              <w:jc w:val="center"/>
              <w:rPr>
                <w:sz w:val="24"/>
                <w:szCs w:val="24"/>
              </w:rPr>
            </w:pPr>
            <w:r w:rsidRPr="00D05956">
              <w:rPr>
                <w:sz w:val="24"/>
                <w:szCs w:val="24"/>
                <w:lang w:val="en-US"/>
              </w:rPr>
              <w:t>3017</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ED6255" w14:textId="77777777" w:rsidR="00CA2955" w:rsidRPr="00D05956" w:rsidRDefault="00CA2955" w:rsidP="001D7D7A">
            <w:pPr>
              <w:pStyle w:val="TableParagraph"/>
              <w:jc w:val="center"/>
              <w:rPr>
                <w:sz w:val="24"/>
                <w:szCs w:val="24"/>
              </w:rPr>
            </w:pPr>
            <w:r w:rsidRPr="00D05956">
              <w:rPr>
                <w:sz w:val="24"/>
                <w:szCs w:val="24"/>
                <w:lang w:val="en-US"/>
              </w:rPr>
              <w:t>219000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9E2142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12CA5C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8E10D0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222017,0</w:t>
            </w:r>
          </w:p>
        </w:tc>
        <w:tc>
          <w:tcPr>
            <w:tcW w:w="1133" w:type="dxa"/>
            <w:tcBorders>
              <w:top w:val="single" w:sz="4" w:space="0" w:color="auto"/>
              <w:left w:val="single" w:sz="4" w:space="0" w:color="auto"/>
              <w:bottom w:val="single" w:sz="4" w:space="0" w:color="auto"/>
              <w:right w:val="single" w:sz="4" w:space="0" w:color="auto"/>
            </w:tcBorders>
            <w:vAlign w:val="center"/>
          </w:tcPr>
          <w:p w14:paraId="5514642F" w14:textId="7C66F7DD"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1391045" w14:textId="0A544D13" w:rsidTr="00AB578C">
        <w:tc>
          <w:tcPr>
            <w:tcW w:w="6216" w:type="dxa"/>
            <w:tcBorders>
              <w:top w:val="single" w:sz="4" w:space="0" w:color="auto"/>
              <w:left w:val="single" w:sz="4" w:space="0" w:color="auto"/>
              <w:bottom w:val="single" w:sz="4" w:space="0" w:color="auto"/>
              <w:right w:val="single" w:sz="4" w:space="0" w:color="auto"/>
            </w:tcBorders>
            <w:hideMark/>
          </w:tcPr>
          <w:p w14:paraId="59379554"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8-іс-шара. Қант өндіру бойынша экожүйе құру шеңберінде 850 жұмыс орнын (20 мың маусымдық жұмыс орнын) құра отырып, жалпы қуаты жылына 360 мың тонна болатын 4 инвестициялық жобаны іске асыру,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4689BF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354F5D" w14:textId="77777777" w:rsidR="00CA2955" w:rsidRPr="00D05956" w:rsidRDefault="00CA2955" w:rsidP="001D7D7A">
            <w:pPr>
              <w:pStyle w:val="TableParagraph"/>
              <w:jc w:val="center"/>
              <w:rPr>
                <w:w w:val="99"/>
                <w:sz w:val="24"/>
                <w:szCs w:val="24"/>
                <w:lang w:val="en-US"/>
              </w:rPr>
            </w:pPr>
            <w:r w:rsidRPr="00D05956">
              <w:rPr>
                <w:w w:val="99"/>
                <w:sz w:val="24"/>
                <w:szCs w:val="24"/>
                <w:lang w:val="en-US"/>
              </w:rPr>
              <w:t>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43298CD" w14:textId="77777777" w:rsidR="00CA2955" w:rsidRPr="00D05956" w:rsidRDefault="00CA2955" w:rsidP="001D7D7A">
            <w:pPr>
              <w:pStyle w:val="TableParagraph"/>
              <w:jc w:val="center"/>
              <w:rPr>
                <w:w w:val="99"/>
                <w:sz w:val="24"/>
                <w:szCs w:val="24"/>
                <w:lang w:val="en-US"/>
              </w:rPr>
            </w:pPr>
            <w:r w:rsidRPr="00D05956">
              <w:rPr>
                <w:w w:val="99"/>
                <w:sz w:val="24"/>
                <w:szCs w:val="24"/>
                <w:lang w:val="en-US"/>
              </w:rPr>
              <w:t>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1CA73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A48ED4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tcPr>
          <w:p w14:paraId="7AC2E0D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5F1D77E4" w14:textId="153FE721"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495586E" w14:textId="088D4331" w:rsidTr="00AB578C">
        <w:tc>
          <w:tcPr>
            <w:tcW w:w="6216" w:type="dxa"/>
            <w:tcBorders>
              <w:top w:val="single" w:sz="4" w:space="0" w:color="auto"/>
              <w:left w:val="single" w:sz="4" w:space="0" w:color="auto"/>
              <w:bottom w:val="single" w:sz="4" w:space="0" w:color="auto"/>
              <w:right w:val="single" w:sz="4" w:space="0" w:color="auto"/>
            </w:tcBorders>
            <w:hideMark/>
          </w:tcPr>
          <w:p w14:paraId="2531F153" w14:textId="1951B604"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9-іс-шара. Майлы дақылдар өндіру мен өңдеу бойынша экожүйе құру шеңберінде 850 жұмыс орнын (34,5 мың </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803B0DB" w14:textId="77777777" w:rsidR="00CA2955" w:rsidRPr="00D05956" w:rsidRDefault="00CA2955" w:rsidP="001D7D7A">
            <w:pPr>
              <w:pStyle w:val="TableParagraph"/>
              <w:jc w:val="center"/>
              <w:rPr>
                <w:sz w:val="24"/>
                <w:szCs w:val="24"/>
              </w:rPr>
            </w:pPr>
            <w:r w:rsidRPr="00D05956">
              <w:rPr>
                <w:sz w:val="24"/>
                <w:szCs w:val="24"/>
                <w:lang w:val="en-US"/>
              </w:rPr>
              <w:t>41784</w:t>
            </w:r>
            <w:r w:rsidRPr="00D05956">
              <w:rPr>
                <w:sz w:val="24"/>
                <w:szCs w:val="24"/>
              </w:rPr>
              <w:t>,0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0A481C6" w14:textId="77777777" w:rsidR="00CA2955" w:rsidRPr="00D05956" w:rsidRDefault="00CA2955" w:rsidP="001D7D7A">
            <w:pPr>
              <w:pStyle w:val="TableParagraph"/>
              <w:jc w:val="center"/>
              <w:rPr>
                <w:sz w:val="24"/>
                <w:szCs w:val="24"/>
              </w:rPr>
            </w:pPr>
            <w:r w:rsidRPr="00D05956">
              <w:rPr>
                <w:sz w:val="24"/>
                <w:szCs w:val="24"/>
                <w:lang w:val="en-US"/>
              </w:rPr>
              <w:t>35786</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21355F6" w14:textId="77777777" w:rsidR="00CA2955" w:rsidRPr="00D05956" w:rsidRDefault="00CA2955" w:rsidP="001D7D7A">
            <w:pPr>
              <w:pStyle w:val="TableParagraph"/>
              <w:jc w:val="center"/>
              <w:rPr>
                <w:sz w:val="24"/>
                <w:szCs w:val="24"/>
              </w:rPr>
            </w:pPr>
            <w:r w:rsidRPr="00D05956">
              <w:rPr>
                <w:sz w:val="24"/>
                <w:szCs w:val="24"/>
                <w:lang w:val="en-US"/>
              </w:rPr>
              <w:t>18750</w:t>
            </w:r>
            <w:r w:rsidRPr="00D05956">
              <w:rPr>
                <w:sz w:val="24"/>
                <w:szCs w:val="24"/>
              </w:rPr>
              <w:t>,0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D5675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7EACF3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61D7EC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96320,0</w:t>
            </w:r>
          </w:p>
        </w:tc>
        <w:tc>
          <w:tcPr>
            <w:tcW w:w="1133" w:type="dxa"/>
            <w:tcBorders>
              <w:top w:val="single" w:sz="4" w:space="0" w:color="auto"/>
              <w:left w:val="single" w:sz="4" w:space="0" w:color="auto"/>
              <w:bottom w:val="single" w:sz="4" w:space="0" w:color="auto"/>
              <w:right w:val="single" w:sz="4" w:space="0" w:color="auto"/>
            </w:tcBorders>
            <w:vAlign w:val="center"/>
          </w:tcPr>
          <w:p w14:paraId="2E576EB7" w14:textId="4F928A9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14:paraId="748EA077" w14:textId="77777777" w:rsidTr="00AB578C">
        <w:tc>
          <w:tcPr>
            <w:tcW w:w="13776" w:type="dxa"/>
            <w:gridSpan w:val="7"/>
            <w:tcBorders>
              <w:top w:val="nil"/>
              <w:left w:val="nil"/>
              <w:bottom w:val="single" w:sz="4" w:space="0" w:color="auto"/>
              <w:right w:val="nil"/>
            </w:tcBorders>
          </w:tcPr>
          <w:p w14:paraId="6F411B1F"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2FBA5B8D"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1B570605"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219E81FE" w14:textId="77777777" w:rsidTr="00AB578C">
        <w:tc>
          <w:tcPr>
            <w:tcW w:w="6216" w:type="dxa"/>
            <w:tcBorders>
              <w:top w:val="single" w:sz="4" w:space="0" w:color="auto"/>
              <w:left w:val="single" w:sz="4" w:space="0" w:color="auto"/>
              <w:bottom w:val="single" w:sz="4" w:space="0" w:color="auto"/>
              <w:right w:val="single" w:sz="4" w:space="0" w:color="auto"/>
            </w:tcBorders>
            <w:hideMark/>
          </w:tcPr>
          <w:p w14:paraId="1EAEED58"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7D4030A"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B8567B4"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7E852C3"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6BBCBAC"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D814E3D"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4A36250"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2AFF5CF9" w14:textId="19CA2731"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8</w:t>
            </w:r>
          </w:p>
        </w:tc>
      </w:tr>
      <w:tr w:rsidR="00AB578C" w:rsidRPr="00D05956" w14:paraId="64B4A042" w14:textId="77777777" w:rsidTr="00AB578C">
        <w:tc>
          <w:tcPr>
            <w:tcW w:w="6216" w:type="dxa"/>
            <w:tcBorders>
              <w:top w:val="single" w:sz="4" w:space="0" w:color="auto"/>
              <w:left w:val="single" w:sz="4" w:space="0" w:color="auto"/>
              <w:bottom w:val="single" w:sz="4" w:space="0" w:color="auto"/>
              <w:right w:val="single" w:sz="4" w:space="0" w:color="auto"/>
            </w:tcBorders>
          </w:tcPr>
          <w:p w14:paraId="324CB1FF" w14:textId="6EC085FA" w:rsidR="00AB578C" w:rsidRPr="00D05956" w:rsidRDefault="00AB578C"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маусымдық жұмыс орнын) құра отырып, жалпы қуаты жылына 1300 мың тонна болатын 19 инвестициялық жобаны іске асыру, млн тг</w:t>
            </w:r>
          </w:p>
        </w:tc>
        <w:tc>
          <w:tcPr>
            <w:tcW w:w="1399" w:type="dxa"/>
            <w:tcBorders>
              <w:top w:val="single" w:sz="4" w:space="0" w:color="auto"/>
              <w:left w:val="single" w:sz="4" w:space="0" w:color="auto"/>
              <w:bottom w:val="single" w:sz="4" w:space="0" w:color="auto"/>
              <w:right w:val="single" w:sz="4" w:space="0" w:color="auto"/>
            </w:tcBorders>
            <w:vAlign w:val="center"/>
          </w:tcPr>
          <w:p w14:paraId="43555E9A" w14:textId="77777777" w:rsidR="00AB578C" w:rsidRPr="00AB578C" w:rsidRDefault="00AB578C" w:rsidP="001D7D7A">
            <w:pPr>
              <w:pStyle w:val="TableParagraph"/>
              <w:jc w:val="center"/>
              <w:rPr>
                <w:sz w:val="24"/>
                <w:szCs w:val="24"/>
              </w:rPr>
            </w:pPr>
          </w:p>
        </w:tc>
        <w:tc>
          <w:tcPr>
            <w:tcW w:w="1266" w:type="dxa"/>
            <w:tcBorders>
              <w:top w:val="single" w:sz="4" w:space="0" w:color="auto"/>
              <w:left w:val="single" w:sz="4" w:space="0" w:color="auto"/>
              <w:bottom w:val="single" w:sz="4" w:space="0" w:color="auto"/>
              <w:right w:val="single" w:sz="4" w:space="0" w:color="auto"/>
            </w:tcBorders>
            <w:vAlign w:val="center"/>
          </w:tcPr>
          <w:p w14:paraId="3D1B010E" w14:textId="77777777" w:rsidR="00AB578C" w:rsidRPr="00AB578C" w:rsidRDefault="00AB578C" w:rsidP="001D7D7A">
            <w:pPr>
              <w:pStyle w:val="TableParagraph"/>
              <w:jc w:val="center"/>
              <w:rPr>
                <w:sz w:val="24"/>
                <w:szCs w:val="24"/>
              </w:rPr>
            </w:pPr>
          </w:p>
        </w:tc>
        <w:tc>
          <w:tcPr>
            <w:tcW w:w="1263" w:type="dxa"/>
            <w:tcBorders>
              <w:top w:val="single" w:sz="4" w:space="0" w:color="auto"/>
              <w:left w:val="single" w:sz="4" w:space="0" w:color="auto"/>
              <w:bottom w:val="single" w:sz="4" w:space="0" w:color="auto"/>
              <w:right w:val="single" w:sz="4" w:space="0" w:color="auto"/>
            </w:tcBorders>
            <w:vAlign w:val="center"/>
          </w:tcPr>
          <w:p w14:paraId="50043806" w14:textId="77777777" w:rsidR="00AB578C" w:rsidRPr="00AB578C" w:rsidRDefault="00AB578C" w:rsidP="001D7D7A">
            <w:pPr>
              <w:pStyle w:val="TableParagraph"/>
              <w:jc w:val="center"/>
              <w:rPr>
                <w:sz w:val="24"/>
                <w:szCs w:val="24"/>
              </w:rPr>
            </w:pPr>
          </w:p>
        </w:tc>
        <w:tc>
          <w:tcPr>
            <w:tcW w:w="1263" w:type="dxa"/>
            <w:tcBorders>
              <w:top w:val="single" w:sz="4" w:space="0" w:color="auto"/>
              <w:left w:val="single" w:sz="4" w:space="0" w:color="auto"/>
              <w:bottom w:val="single" w:sz="4" w:space="0" w:color="auto"/>
              <w:right w:val="single" w:sz="4" w:space="0" w:color="auto"/>
            </w:tcBorders>
            <w:vAlign w:val="center"/>
          </w:tcPr>
          <w:p w14:paraId="4CE61206"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314E53D6"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236" w:type="dxa"/>
            <w:tcBorders>
              <w:top w:val="single" w:sz="4" w:space="0" w:color="auto"/>
              <w:left w:val="single" w:sz="4" w:space="0" w:color="auto"/>
              <w:bottom w:val="single" w:sz="4" w:space="0" w:color="auto"/>
              <w:right w:val="single" w:sz="4" w:space="0" w:color="auto"/>
            </w:tcBorders>
            <w:vAlign w:val="center"/>
          </w:tcPr>
          <w:p w14:paraId="24F3028C"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14:paraId="19B58B7B" w14:textId="77777777" w:rsidR="00AB578C" w:rsidRDefault="00AB578C" w:rsidP="00CA2955">
            <w:pPr>
              <w:jc w:val="center"/>
              <w:rPr>
                <w:rFonts w:ascii="Times New Roman" w:eastAsia="Times New Roman" w:hAnsi="Times New Roman" w:cs="Times New Roman"/>
                <w:kern w:val="36"/>
                <w:sz w:val="24"/>
                <w:szCs w:val="24"/>
                <w:lang w:val="kk-KZ" w:eastAsia="ru-RU"/>
              </w:rPr>
            </w:pPr>
          </w:p>
        </w:tc>
      </w:tr>
      <w:tr w:rsidR="00AB578C" w:rsidRPr="00D05956" w14:paraId="7C7AE397" w14:textId="6B3F39FF" w:rsidTr="00AB578C">
        <w:tc>
          <w:tcPr>
            <w:tcW w:w="6216" w:type="dxa"/>
            <w:tcBorders>
              <w:top w:val="single" w:sz="4" w:space="0" w:color="auto"/>
              <w:left w:val="single" w:sz="4" w:space="0" w:color="auto"/>
              <w:bottom w:val="single" w:sz="4" w:space="0" w:color="auto"/>
              <w:right w:val="single" w:sz="4" w:space="0" w:color="auto"/>
            </w:tcBorders>
            <w:hideMark/>
          </w:tcPr>
          <w:p w14:paraId="206E6062"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9-іс-шара. Майлы дақылдар өндіру мен өңдеу бойынша экожүйе құру шеңберінде 850 жұмыс орнын (34,5 мың маусымдық жұмыс орнын) құра отырып, жалпы қуаты жылына 1300 мың тонна болатын 19 инвестициялық жобаны іске асыру, саны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574632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w w:val="99"/>
                <w:sz w:val="24"/>
                <w:szCs w:val="24"/>
                <w:lang w:val="en-US"/>
              </w:rPr>
              <w:t>8</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D0C7097" w14:textId="77777777" w:rsidR="00CA2955" w:rsidRPr="00D05956" w:rsidRDefault="00CA2955" w:rsidP="001D7D7A">
            <w:pPr>
              <w:pStyle w:val="TableParagraph"/>
              <w:jc w:val="center"/>
              <w:rPr>
                <w:sz w:val="24"/>
                <w:szCs w:val="24"/>
                <w:lang w:val="en-US"/>
              </w:rPr>
            </w:pPr>
            <w:r w:rsidRPr="00D05956">
              <w:rPr>
                <w:w w:val="99"/>
                <w:sz w:val="24"/>
                <w:szCs w:val="24"/>
                <w:lang w:val="en-US"/>
              </w:rPr>
              <w:t>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14804C9" w14:textId="77777777" w:rsidR="00CA2955" w:rsidRPr="00D05956" w:rsidRDefault="00CA2955" w:rsidP="001D7D7A">
            <w:pPr>
              <w:pStyle w:val="TableParagraph"/>
              <w:jc w:val="center"/>
              <w:rPr>
                <w:sz w:val="24"/>
                <w:szCs w:val="24"/>
                <w:lang w:val="en-US"/>
              </w:rPr>
            </w:pPr>
            <w:r w:rsidRPr="00D05956">
              <w:rPr>
                <w:w w:val="99"/>
                <w:sz w:val="24"/>
                <w:szCs w:val="24"/>
                <w:lang w:val="en-US"/>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2EC41C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CA42FF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1D0A5F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19</w:t>
            </w:r>
          </w:p>
        </w:tc>
        <w:tc>
          <w:tcPr>
            <w:tcW w:w="1133" w:type="dxa"/>
            <w:tcBorders>
              <w:top w:val="single" w:sz="4" w:space="0" w:color="auto"/>
              <w:left w:val="single" w:sz="4" w:space="0" w:color="auto"/>
              <w:bottom w:val="single" w:sz="4" w:space="0" w:color="auto"/>
              <w:right w:val="single" w:sz="4" w:space="0" w:color="auto"/>
            </w:tcBorders>
            <w:vAlign w:val="center"/>
          </w:tcPr>
          <w:p w14:paraId="73A0CB78" w14:textId="7B4E549F"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AF5D841" w14:textId="7AAAA0B8" w:rsidTr="00AB578C">
        <w:tc>
          <w:tcPr>
            <w:tcW w:w="6216" w:type="dxa"/>
            <w:tcBorders>
              <w:top w:val="single" w:sz="4" w:space="0" w:color="auto"/>
              <w:left w:val="single" w:sz="4" w:space="0" w:color="auto"/>
              <w:bottom w:val="single" w:sz="4" w:space="0" w:color="auto"/>
              <w:right w:val="single" w:sz="4" w:space="0" w:color="auto"/>
            </w:tcBorders>
            <w:hideMark/>
          </w:tcPr>
          <w:p w14:paraId="117A1E48"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10-іс-шара. Балық өндіру мен өңдеу бойынша экожүйе құру шеңберінде Каспий теңізінің "Інжу-Маржан" және "Ащысор" тарихи бұғаздарын қалпына келтіру және 8 мыңға дейін жаңа жұмыс орнын құра отырып, жылына 30 мың тоннаға дейін (І фаза) және жылына 70 мың тоннаға дейін (ІІ фаза) балықтардың албырт және бекіре түрлерін өндіруді ұйымдастыру ұсынылады</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4E85E6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179D894"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A766CB9"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35CF9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768F02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FD0DE8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Талап етілмейді</w:t>
            </w:r>
          </w:p>
        </w:tc>
        <w:tc>
          <w:tcPr>
            <w:tcW w:w="1133" w:type="dxa"/>
            <w:tcBorders>
              <w:top w:val="single" w:sz="4" w:space="0" w:color="auto"/>
              <w:left w:val="single" w:sz="4" w:space="0" w:color="auto"/>
              <w:bottom w:val="single" w:sz="4" w:space="0" w:color="auto"/>
              <w:right w:val="single" w:sz="4" w:space="0" w:color="auto"/>
            </w:tcBorders>
            <w:vAlign w:val="center"/>
          </w:tcPr>
          <w:p w14:paraId="7EE4A2DC" w14:textId="07113F17"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8258A3B" w14:textId="2448C10B" w:rsidTr="00AB578C">
        <w:tc>
          <w:tcPr>
            <w:tcW w:w="6216" w:type="dxa"/>
            <w:tcBorders>
              <w:top w:val="single" w:sz="4" w:space="0" w:color="auto"/>
              <w:left w:val="single" w:sz="4" w:space="0" w:color="auto"/>
              <w:bottom w:val="single" w:sz="4" w:space="0" w:color="auto"/>
              <w:right w:val="single" w:sz="4" w:space="0" w:color="auto"/>
            </w:tcBorders>
            <w:hideMark/>
          </w:tcPr>
          <w:p w14:paraId="04760F28"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4-көрсеткіш. Ауыл шаруашылығы кооперативтері өндірген өнімдер көлемінің 110%-ға өсуі, млн.тг </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030275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261AB64"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7F8E80E"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2EB3AED"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54067C6"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2D9C9F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color w:val="FF0000"/>
                <w:kern w:val="36"/>
                <w:sz w:val="24"/>
                <w:szCs w:val="24"/>
                <w:lang w:val="kk-KZ" w:eastAsia="ru-RU"/>
              </w:rPr>
              <w:t>90000,0</w:t>
            </w:r>
          </w:p>
        </w:tc>
        <w:tc>
          <w:tcPr>
            <w:tcW w:w="1133" w:type="dxa"/>
            <w:tcBorders>
              <w:top w:val="single" w:sz="4" w:space="0" w:color="auto"/>
              <w:left w:val="single" w:sz="4" w:space="0" w:color="auto"/>
              <w:bottom w:val="single" w:sz="4" w:space="0" w:color="auto"/>
              <w:right w:val="single" w:sz="4" w:space="0" w:color="auto"/>
            </w:tcBorders>
            <w:vAlign w:val="center"/>
          </w:tcPr>
          <w:p w14:paraId="162284DC" w14:textId="6CF6820B" w:rsidR="00CA2955" w:rsidRPr="00D05956" w:rsidRDefault="00AB578C"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2,47</w:t>
            </w:r>
          </w:p>
        </w:tc>
      </w:tr>
      <w:tr w:rsidR="00AB578C" w:rsidRPr="00D05956" w14:paraId="0A95F5FA" w14:textId="454FB8CC" w:rsidTr="00AB578C">
        <w:tc>
          <w:tcPr>
            <w:tcW w:w="6216" w:type="dxa"/>
            <w:tcBorders>
              <w:top w:val="single" w:sz="4" w:space="0" w:color="auto"/>
              <w:left w:val="single" w:sz="4" w:space="0" w:color="auto"/>
              <w:bottom w:val="nil"/>
              <w:right w:val="single" w:sz="4" w:space="0" w:color="auto"/>
            </w:tcBorders>
            <w:hideMark/>
          </w:tcPr>
          <w:p w14:paraId="6334C52F" w14:textId="77777777" w:rsidR="00CA2955" w:rsidRPr="00D05956" w:rsidRDefault="00CA2955" w:rsidP="00B42F86">
            <w:pPr>
              <w:spacing w:line="228" w:lineRule="auto"/>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4-көрсеткіш. Ауыл шаруашылығы кооперативтері өндірген өнімдер көлемінің 110%-ға өсуі, %</w:t>
            </w:r>
          </w:p>
        </w:tc>
        <w:tc>
          <w:tcPr>
            <w:tcW w:w="1399" w:type="dxa"/>
            <w:tcBorders>
              <w:top w:val="single" w:sz="4" w:space="0" w:color="auto"/>
              <w:left w:val="single" w:sz="4" w:space="0" w:color="auto"/>
              <w:bottom w:val="nil"/>
              <w:right w:val="single" w:sz="4" w:space="0" w:color="auto"/>
            </w:tcBorders>
            <w:vAlign w:val="center"/>
            <w:hideMark/>
          </w:tcPr>
          <w:p w14:paraId="7A7D8E6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110</w:t>
            </w:r>
          </w:p>
        </w:tc>
        <w:tc>
          <w:tcPr>
            <w:tcW w:w="1266" w:type="dxa"/>
            <w:tcBorders>
              <w:top w:val="single" w:sz="4" w:space="0" w:color="auto"/>
              <w:left w:val="single" w:sz="4" w:space="0" w:color="auto"/>
              <w:bottom w:val="nil"/>
              <w:right w:val="single" w:sz="4" w:space="0" w:color="auto"/>
            </w:tcBorders>
            <w:vAlign w:val="center"/>
            <w:hideMark/>
          </w:tcPr>
          <w:p w14:paraId="3DCD5964" w14:textId="77777777" w:rsidR="00CA2955" w:rsidRPr="00D05956" w:rsidRDefault="00CA2955" w:rsidP="001D7D7A">
            <w:pPr>
              <w:pStyle w:val="TableParagraph"/>
              <w:jc w:val="center"/>
              <w:rPr>
                <w:sz w:val="24"/>
                <w:szCs w:val="24"/>
                <w:lang w:val="kk-KZ"/>
              </w:rPr>
            </w:pPr>
            <w:r w:rsidRPr="00D05956">
              <w:rPr>
                <w:sz w:val="24"/>
                <w:szCs w:val="24"/>
                <w:lang w:val="en-US"/>
              </w:rPr>
              <w:t>110</w:t>
            </w:r>
          </w:p>
        </w:tc>
        <w:tc>
          <w:tcPr>
            <w:tcW w:w="1263" w:type="dxa"/>
            <w:tcBorders>
              <w:top w:val="single" w:sz="4" w:space="0" w:color="auto"/>
              <w:left w:val="single" w:sz="4" w:space="0" w:color="auto"/>
              <w:bottom w:val="nil"/>
              <w:right w:val="single" w:sz="4" w:space="0" w:color="auto"/>
            </w:tcBorders>
            <w:vAlign w:val="center"/>
            <w:hideMark/>
          </w:tcPr>
          <w:p w14:paraId="09EB25ED" w14:textId="77777777" w:rsidR="00CA2955" w:rsidRPr="00D05956" w:rsidRDefault="00CA2955" w:rsidP="001D7D7A">
            <w:pPr>
              <w:pStyle w:val="TableParagraph"/>
              <w:jc w:val="center"/>
              <w:rPr>
                <w:sz w:val="24"/>
                <w:szCs w:val="24"/>
                <w:lang w:val="kk-KZ"/>
              </w:rPr>
            </w:pPr>
            <w:r w:rsidRPr="00D05956">
              <w:rPr>
                <w:sz w:val="24"/>
                <w:szCs w:val="24"/>
                <w:lang w:val="en-US"/>
              </w:rPr>
              <w:t>110</w:t>
            </w:r>
          </w:p>
        </w:tc>
        <w:tc>
          <w:tcPr>
            <w:tcW w:w="1263" w:type="dxa"/>
            <w:tcBorders>
              <w:top w:val="single" w:sz="4" w:space="0" w:color="auto"/>
              <w:left w:val="single" w:sz="4" w:space="0" w:color="auto"/>
              <w:bottom w:val="nil"/>
              <w:right w:val="single" w:sz="4" w:space="0" w:color="auto"/>
            </w:tcBorders>
            <w:vAlign w:val="center"/>
            <w:hideMark/>
          </w:tcPr>
          <w:p w14:paraId="1D1AAB59" w14:textId="77777777" w:rsidR="00CA2955" w:rsidRPr="00D05956" w:rsidRDefault="00CA2955" w:rsidP="001D7D7A">
            <w:pPr>
              <w:pStyle w:val="TableParagraph"/>
              <w:jc w:val="center"/>
              <w:rPr>
                <w:sz w:val="24"/>
                <w:szCs w:val="24"/>
                <w:lang w:val="kk-KZ"/>
              </w:rPr>
            </w:pPr>
            <w:r w:rsidRPr="00D05956">
              <w:rPr>
                <w:sz w:val="24"/>
                <w:szCs w:val="24"/>
                <w:lang w:val="en-US"/>
              </w:rPr>
              <w:t>110</w:t>
            </w:r>
          </w:p>
        </w:tc>
        <w:tc>
          <w:tcPr>
            <w:tcW w:w="1133" w:type="dxa"/>
            <w:tcBorders>
              <w:top w:val="single" w:sz="4" w:space="0" w:color="auto"/>
              <w:left w:val="single" w:sz="4" w:space="0" w:color="auto"/>
              <w:bottom w:val="nil"/>
              <w:right w:val="single" w:sz="4" w:space="0" w:color="auto"/>
            </w:tcBorders>
            <w:vAlign w:val="center"/>
            <w:hideMark/>
          </w:tcPr>
          <w:p w14:paraId="232C3C4B" w14:textId="77777777" w:rsidR="00CA2955" w:rsidRPr="00D05956" w:rsidRDefault="00CA2955" w:rsidP="001D7D7A">
            <w:pPr>
              <w:pStyle w:val="TableParagraph"/>
              <w:jc w:val="center"/>
              <w:rPr>
                <w:sz w:val="24"/>
                <w:szCs w:val="24"/>
                <w:lang w:val="kk-KZ"/>
              </w:rPr>
            </w:pPr>
            <w:r w:rsidRPr="00D05956">
              <w:rPr>
                <w:sz w:val="24"/>
                <w:szCs w:val="24"/>
                <w:lang w:val="en-US"/>
              </w:rPr>
              <w:t>110</w:t>
            </w:r>
          </w:p>
        </w:tc>
        <w:tc>
          <w:tcPr>
            <w:tcW w:w="1236" w:type="dxa"/>
            <w:tcBorders>
              <w:top w:val="single" w:sz="4" w:space="0" w:color="auto"/>
              <w:left w:val="single" w:sz="4" w:space="0" w:color="auto"/>
              <w:bottom w:val="nil"/>
              <w:right w:val="single" w:sz="4" w:space="0" w:color="auto"/>
            </w:tcBorders>
            <w:vAlign w:val="center"/>
          </w:tcPr>
          <w:p w14:paraId="7311BD3E"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p>
        </w:tc>
        <w:tc>
          <w:tcPr>
            <w:tcW w:w="1133" w:type="dxa"/>
            <w:tcBorders>
              <w:top w:val="single" w:sz="4" w:space="0" w:color="auto"/>
              <w:left w:val="single" w:sz="4" w:space="0" w:color="auto"/>
              <w:bottom w:val="nil"/>
              <w:right w:val="single" w:sz="4" w:space="0" w:color="auto"/>
            </w:tcBorders>
            <w:vAlign w:val="center"/>
          </w:tcPr>
          <w:p w14:paraId="1E7151E3" w14:textId="47E7DB1A" w:rsidR="00CA2955" w:rsidRPr="00D05956" w:rsidRDefault="00AB578C" w:rsidP="00CA2955">
            <w:pPr>
              <w:jc w:val="cente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w:t>
            </w:r>
          </w:p>
        </w:tc>
      </w:tr>
      <w:tr w:rsidR="00AB578C" w:rsidRPr="00D05956" w14:paraId="039A9743" w14:textId="24DE3755" w:rsidTr="00AB578C">
        <w:tc>
          <w:tcPr>
            <w:tcW w:w="6216" w:type="dxa"/>
            <w:tcBorders>
              <w:top w:val="single" w:sz="4" w:space="0" w:color="auto"/>
              <w:left w:val="single" w:sz="4" w:space="0" w:color="auto"/>
              <w:bottom w:val="single" w:sz="4" w:space="0" w:color="auto"/>
              <w:right w:val="single" w:sz="4" w:space="0" w:color="auto"/>
            </w:tcBorders>
            <w:hideMark/>
          </w:tcPr>
          <w:p w14:paraId="360A347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Ауыл халқына, оның ішінде ауыл халқының табысын арттыру жөніндегі жобаны масштабтау үшін микрокредиттер беру,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08A848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D0A1E36"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835ACD3" w14:textId="77777777" w:rsidR="00CA2955" w:rsidRPr="00D05956" w:rsidRDefault="00CA2955" w:rsidP="001D7D7A">
            <w:pPr>
              <w:pStyle w:val="TableParagraph"/>
              <w:jc w:val="center"/>
              <w:rPr>
                <w:sz w:val="24"/>
                <w:szCs w:val="24"/>
                <w:lang w:val="en-US"/>
              </w:rPr>
            </w:pPr>
            <w:r w:rsidRPr="00D05956">
              <w:rPr>
                <w:sz w:val="24"/>
                <w:szCs w:val="24"/>
                <w:lang w:val="en-US"/>
              </w:rPr>
              <w:t>30000,0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E33DEC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30000,0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6F5BCF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30000,0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C5E9582"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90000,0</w:t>
            </w:r>
          </w:p>
        </w:tc>
        <w:tc>
          <w:tcPr>
            <w:tcW w:w="1133" w:type="dxa"/>
            <w:tcBorders>
              <w:top w:val="single" w:sz="4" w:space="0" w:color="auto"/>
              <w:left w:val="single" w:sz="4" w:space="0" w:color="auto"/>
              <w:bottom w:val="single" w:sz="4" w:space="0" w:color="auto"/>
              <w:right w:val="single" w:sz="4" w:space="0" w:color="auto"/>
            </w:tcBorders>
            <w:vAlign w:val="center"/>
          </w:tcPr>
          <w:p w14:paraId="7BFD71CC" w14:textId="24CD5F12"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01BBCCB" w14:textId="4503889C" w:rsidTr="00AB578C">
        <w:tc>
          <w:tcPr>
            <w:tcW w:w="6216" w:type="dxa"/>
            <w:tcBorders>
              <w:top w:val="single" w:sz="4" w:space="0" w:color="auto"/>
              <w:left w:val="single" w:sz="4" w:space="0" w:color="auto"/>
              <w:bottom w:val="single" w:sz="4" w:space="0" w:color="auto"/>
              <w:right w:val="single" w:sz="4" w:space="0" w:color="auto"/>
            </w:tcBorders>
            <w:hideMark/>
          </w:tcPr>
          <w:p w14:paraId="5CA9A28E"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берілген микрокредиттердің саны, бірлік</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2CE0AC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5809BC1"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1E43A1F" w14:textId="77777777" w:rsidR="00CA2955" w:rsidRPr="00D05956" w:rsidRDefault="00CA2955" w:rsidP="001D7D7A">
            <w:pPr>
              <w:pStyle w:val="TableParagraph"/>
              <w:jc w:val="center"/>
              <w:rPr>
                <w:sz w:val="24"/>
                <w:szCs w:val="24"/>
                <w:lang w:val="en-US"/>
              </w:rPr>
            </w:pPr>
            <w:r w:rsidRPr="00D05956">
              <w:rPr>
                <w:sz w:val="24"/>
                <w:szCs w:val="24"/>
                <w:lang w:val="en-US"/>
              </w:rPr>
              <w:t>7500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B96662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7500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3DA4E3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7500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8F7A902"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22500</w:t>
            </w:r>
          </w:p>
        </w:tc>
        <w:tc>
          <w:tcPr>
            <w:tcW w:w="1133" w:type="dxa"/>
            <w:tcBorders>
              <w:top w:val="single" w:sz="4" w:space="0" w:color="auto"/>
              <w:left w:val="single" w:sz="4" w:space="0" w:color="auto"/>
              <w:bottom w:val="single" w:sz="4" w:space="0" w:color="auto"/>
              <w:right w:val="single" w:sz="4" w:space="0" w:color="auto"/>
            </w:tcBorders>
            <w:vAlign w:val="center"/>
          </w:tcPr>
          <w:p w14:paraId="339C98EC" w14:textId="75C4FB3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6390DAF" w14:textId="19A35DD1" w:rsidTr="00AB578C">
        <w:tc>
          <w:tcPr>
            <w:tcW w:w="6216" w:type="dxa"/>
            <w:tcBorders>
              <w:top w:val="single" w:sz="4" w:space="0" w:color="auto"/>
              <w:left w:val="single" w:sz="4" w:space="0" w:color="auto"/>
              <w:bottom w:val="single" w:sz="4" w:space="0" w:color="auto"/>
              <w:right w:val="single" w:sz="4" w:space="0" w:color="auto"/>
            </w:tcBorders>
            <w:hideMark/>
          </w:tcPr>
          <w:p w14:paraId="53269661"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 70 мың отбасылық шаруашылық құру, бірлік</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A63F0E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6370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71D12A7" w14:textId="77777777" w:rsidR="00CA2955" w:rsidRPr="00D05956" w:rsidRDefault="00CA2955" w:rsidP="001D7D7A">
            <w:pPr>
              <w:pStyle w:val="TableParagraph"/>
              <w:jc w:val="center"/>
              <w:rPr>
                <w:sz w:val="24"/>
                <w:szCs w:val="24"/>
                <w:lang w:val="en-US"/>
              </w:rPr>
            </w:pPr>
            <w:r w:rsidRPr="00D05956">
              <w:rPr>
                <w:sz w:val="24"/>
                <w:szCs w:val="24"/>
                <w:lang w:val="en-US"/>
              </w:rPr>
              <w:t>8310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1615081" w14:textId="77777777" w:rsidR="00CA2955" w:rsidRPr="00D05956" w:rsidRDefault="00CA2955" w:rsidP="001D7D7A">
            <w:pPr>
              <w:pStyle w:val="TableParagraph"/>
              <w:jc w:val="center"/>
              <w:rPr>
                <w:sz w:val="24"/>
                <w:szCs w:val="24"/>
                <w:lang w:val="en-US"/>
              </w:rPr>
            </w:pPr>
            <w:r w:rsidRPr="00D05956">
              <w:rPr>
                <w:sz w:val="24"/>
                <w:szCs w:val="24"/>
                <w:lang w:val="en-US"/>
              </w:rPr>
              <w:t>11345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D5A5BC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17800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E7F9EF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26175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10209A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70000</w:t>
            </w:r>
          </w:p>
        </w:tc>
        <w:tc>
          <w:tcPr>
            <w:tcW w:w="1133" w:type="dxa"/>
            <w:tcBorders>
              <w:top w:val="single" w:sz="4" w:space="0" w:color="auto"/>
              <w:left w:val="single" w:sz="4" w:space="0" w:color="auto"/>
              <w:bottom w:val="single" w:sz="4" w:space="0" w:color="auto"/>
              <w:right w:val="single" w:sz="4" w:space="0" w:color="auto"/>
            </w:tcBorders>
            <w:vAlign w:val="center"/>
          </w:tcPr>
          <w:p w14:paraId="2B52EABA" w14:textId="20E690B3"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470776C" w14:textId="2703A635" w:rsidTr="00AB578C">
        <w:tc>
          <w:tcPr>
            <w:tcW w:w="6216" w:type="dxa"/>
            <w:tcBorders>
              <w:top w:val="single" w:sz="4" w:space="0" w:color="auto"/>
              <w:left w:val="single" w:sz="4" w:space="0" w:color="auto"/>
              <w:bottom w:val="single" w:sz="4" w:space="0" w:color="auto"/>
              <w:right w:val="single" w:sz="4" w:space="0" w:color="auto"/>
            </w:tcBorders>
            <w:hideMark/>
          </w:tcPr>
          <w:p w14:paraId="25CEA70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5-көрсеткіш. Цифрландырылған жер деректерінің үлесі, 27,5-35,3%-бен,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3EA70B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3F2E6A9"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887B47E"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9240A1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6A4A0D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4BA919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16805,2</w:t>
            </w:r>
          </w:p>
        </w:tc>
        <w:tc>
          <w:tcPr>
            <w:tcW w:w="1133" w:type="dxa"/>
            <w:tcBorders>
              <w:top w:val="single" w:sz="4" w:space="0" w:color="auto"/>
              <w:left w:val="single" w:sz="4" w:space="0" w:color="auto"/>
              <w:bottom w:val="single" w:sz="4" w:space="0" w:color="auto"/>
              <w:right w:val="single" w:sz="4" w:space="0" w:color="auto"/>
            </w:tcBorders>
            <w:vAlign w:val="center"/>
          </w:tcPr>
          <w:p w14:paraId="520C016A" w14:textId="20DC702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0,46</w:t>
            </w:r>
          </w:p>
        </w:tc>
      </w:tr>
      <w:tr w:rsidR="00AB578C" w:rsidRPr="00D05956" w14:paraId="1A5B5477" w14:textId="319F2842" w:rsidTr="00AB578C">
        <w:tc>
          <w:tcPr>
            <w:tcW w:w="6216" w:type="dxa"/>
            <w:tcBorders>
              <w:top w:val="single" w:sz="4" w:space="0" w:color="auto"/>
              <w:left w:val="single" w:sz="4" w:space="0" w:color="auto"/>
              <w:bottom w:val="single" w:sz="4" w:space="0" w:color="auto"/>
              <w:right w:val="single" w:sz="4" w:space="0" w:color="auto"/>
            </w:tcBorders>
            <w:hideMark/>
          </w:tcPr>
          <w:p w14:paraId="09A21FBD"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5-көрсеткіш. Цифрландырылған жер деректерінің үлесі, 27,5-35,3%-бен</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BA83D4C" w14:textId="77777777" w:rsidR="00CA2955" w:rsidRPr="00D05956" w:rsidRDefault="00CA2955" w:rsidP="001D7D7A">
            <w:pPr>
              <w:jc w:val="center"/>
              <w:rPr>
                <w:rFonts w:ascii="Times New Roman" w:hAnsi="Times New Roman" w:cs="Times New Roman"/>
                <w:sz w:val="24"/>
                <w:szCs w:val="24"/>
                <w:lang w:val="kk-KZ"/>
              </w:rPr>
            </w:pPr>
            <w:r w:rsidRPr="00D05956">
              <w:rPr>
                <w:rFonts w:ascii="Times New Roman" w:hAnsi="Times New Roman" w:cs="Times New Roman"/>
                <w:sz w:val="24"/>
                <w:szCs w:val="24"/>
                <w:lang w:val="en-US"/>
              </w:rPr>
              <w:t>27,5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04469D1" w14:textId="77777777" w:rsidR="00CA2955" w:rsidRPr="00D05956" w:rsidRDefault="00CA2955" w:rsidP="001D7D7A">
            <w:pPr>
              <w:pStyle w:val="TableParagraph"/>
              <w:jc w:val="center"/>
              <w:rPr>
                <w:sz w:val="24"/>
                <w:szCs w:val="24"/>
                <w:lang w:val="kk-KZ"/>
              </w:rPr>
            </w:pPr>
            <w:r w:rsidRPr="00D05956">
              <w:rPr>
                <w:sz w:val="24"/>
                <w:szCs w:val="24"/>
                <w:lang w:val="en-US"/>
              </w:rPr>
              <w:t>35,3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B9C75A2" w14:textId="77777777" w:rsidR="00CA2955" w:rsidRPr="00D05956" w:rsidRDefault="00CA2955" w:rsidP="001D7D7A">
            <w:pPr>
              <w:pStyle w:val="TableParagraph"/>
              <w:jc w:val="center"/>
              <w:rPr>
                <w:sz w:val="24"/>
                <w:szCs w:val="24"/>
                <w:lang w:val="kk-KZ"/>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C59815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0C30CD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5D07D1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tcPr>
          <w:p w14:paraId="41D84345" w14:textId="43C8468A"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2810BE0" w14:textId="209978FF" w:rsidTr="00AB578C">
        <w:tc>
          <w:tcPr>
            <w:tcW w:w="6216" w:type="dxa"/>
            <w:tcBorders>
              <w:top w:val="single" w:sz="4" w:space="0" w:color="auto"/>
              <w:left w:val="single" w:sz="4" w:space="0" w:color="auto"/>
              <w:bottom w:val="single" w:sz="4" w:space="0" w:color="auto"/>
              <w:right w:val="single" w:sz="4" w:space="0" w:color="auto"/>
            </w:tcBorders>
            <w:hideMark/>
          </w:tcPr>
          <w:p w14:paraId="3CC417CC"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1-іс-шара. Топырақтық зерттеп-қарау жүргізу,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9D1BA49" w14:textId="77777777" w:rsidR="00CA2955" w:rsidRPr="00D05956" w:rsidRDefault="00CA2955" w:rsidP="001D7D7A">
            <w:pPr>
              <w:pStyle w:val="TableParagraph"/>
              <w:jc w:val="center"/>
              <w:rPr>
                <w:sz w:val="24"/>
                <w:szCs w:val="24"/>
                <w:lang w:val="en-US"/>
              </w:rPr>
            </w:pPr>
            <w:r w:rsidRPr="00D05956">
              <w:rPr>
                <w:sz w:val="24"/>
                <w:szCs w:val="24"/>
                <w:lang w:val="en-US"/>
              </w:rPr>
              <w:t>2715</w:t>
            </w:r>
            <w:r w:rsidRPr="00D05956">
              <w:rPr>
                <w:sz w:val="24"/>
                <w:szCs w:val="24"/>
              </w:rPr>
              <w:t>,</w:t>
            </w:r>
            <w:r w:rsidRPr="00D05956">
              <w:rPr>
                <w:sz w:val="24"/>
                <w:szCs w:val="24"/>
                <w:lang w:val="en-US"/>
              </w:rPr>
              <w:t>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DE45FCF" w14:textId="77777777" w:rsidR="00CA2955" w:rsidRPr="00D05956" w:rsidRDefault="00CA2955" w:rsidP="001D7D7A">
            <w:pPr>
              <w:pStyle w:val="TableParagraph"/>
              <w:jc w:val="center"/>
              <w:rPr>
                <w:sz w:val="24"/>
                <w:szCs w:val="24"/>
              </w:rPr>
            </w:pPr>
            <w:r w:rsidRPr="00D05956">
              <w:rPr>
                <w:sz w:val="24"/>
                <w:szCs w:val="24"/>
                <w:lang w:val="en-US"/>
              </w:rPr>
              <w:t>2323</w:t>
            </w:r>
            <w:r w:rsidRPr="00D05956">
              <w:rPr>
                <w:sz w:val="24"/>
                <w:szCs w:val="24"/>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D3C4126"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B9C041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B5552B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3536CC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5038,5</w:t>
            </w:r>
          </w:p>
        </w:tc>
        <w:tc>
          <w:tcPr>
            <w:tcW w:w="1133" w:type="dxa"/>
            <w:tcBorders>
              <w:top w:val="single" w:sz="4" w:space="0" w:color="auto"/>
              <w:left w:val="single" w:sz="4" w:space="0" w:color="auto"/>
              <w:bottom w:val="single" w:sz="4" w:space="0" w:color="auto"/>
              <w:right w:val="single" w:sz="4" w:space="0" w:color="auto"/>
            </w:tcBorders>
            <w:vAlign w:val="center"/>
          </w:tcPr>
          <w:p w14:paraId="3AC39AB1" w14:textId="7546EDF4"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BE39F60" w14:textId="7D1239C9" w:rsidTr="00AB578C">
        <w:tc>
          <w:tcPr>
            <w:tcW w:w="6216" w:type="dxa"/>
            <w:tcBorders>
              <w:top w:val="single" w:sz="4" w:space="0" w:color="auto"/>
              <w:left w:val="single" w:sz="4" w:space="0" w:color="auto"/>
              <w:bottom w:val="single" w:sz="4" w:space="0" w:color="auto"/>
              <w:right w:val="single" w:sz="4" w:space="0" w:color="auto"/>
            </w:tcBorders>
            <w:hideMark/>
          </w:tcPr>
          <w:p w14:paraId="7BB1545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CFD376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7200,0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943C4FB" w14:textId="77777777" w:rsidR="00CA2955" w:rsidRPr="00D05956" w:rsidRDefault="00CA2955" w:rsidP="001D7D7A">
            <w:pPr>
              <w:pStyle w:val="TableParagraph"/>
              <w:jc w:val="center"/>
              <w:rPr>
                <w:sz w:val="24"/>
                <w:szCs w:val="24"/>
                <w:lang w:val="en-US"/>
              </w:rPr>
            </w:pPr>
            <w:r w:rsidRPr="00D05956">
              <w:rPr>
                <w:sz w:val="24"/>
                <w:szCs w:val="24"/>
                <w:lang w:val="en-US"/>
              </w:rPr>
              <w:t>5600,0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7E8CB78"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8D27ED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595D3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55AEA8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12800</w:t>
            </w:r>
          </w:p>
        </w:tc>
        <w:tc>
          <w:tcPr>
            <w:tcW w:w="1133" w:type="dxa"/>
            <w:tcBorders>
              <w:top w:val="single" w:sz="4" w:space="0" w:color="auto"/>
              <w:left w:val="single" w:sz="4" w:space="0" w:color="auto"/>
              <w:bottom w:val="single" w:sz="4" w:space="0" w:color="auto"/>
              <w:right w:val="single" w:sz="4" w:space="0" w:color="auto"/>
            </w:tcBorders>
            <w:vAlign w:val="center"/>
          </w:tcPr>
          <w:p w14:paraId="3F3FCAC8" w14:textId="3D2390F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14:paraId="0D12B295" w14:textId="77777777" w:rsidTr="00AB578C">
        <w:tc>
          <w:tcPr>
            <w:tcW w:w="13776" w:type="dxa"/>
            <w:gridSpan w:val="7"/>
            <w:tcBorders>
              <w:top w:val="nil"/>
              <w:left w:val="nil"/>
              <w:bottom w:val="single" w:sz="4" w:space="0" w:color="auto"/>
              <w:right w:val="nil"/>
            </w:tcBorders>
          </w:tcPr>
          <w:p w14:paraId="22846FB6"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4DBE6E9C"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1DA63A2E"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7981635B" w14:textId="77777777" w:rsidTr="00AB578C">
        <w:tc>
          <w:tcPr>
            <w:tcW w:w="6216" w:type="dxa"/>
            <w:tcBorders>
              <w:top w:val="single" w:sz="4" w:space="0" w:color="auto"/>
              <w:left w:val="single" w:sz="4" w:space="0" w:color="auto"/>
              <w:bottom w:val="single" w:sz="4" w:space="0" w:color="auto"/>
              <w:right w:val="single" w:sz="4" w:space="0" w:color="auto"/>
            </w:tcBorders>
            <w:hideMark/>
          </w:tcPr>
          <w:p w14:paraId="2159B6A1"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9BFF052"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3732540"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368C937"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5FC08F7"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0F0B83C"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DD89ABB"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09B4D5F9" w14:textId="77777777" w:rsidR="00AB578C" w:rsidRDefault="00AB578C">
            <w:pPr>
              <w:jc w:val="center"/>
              <w:rPr>
                <w:rFonts w:ascii="Times New Roman" w:eastAsia="Times New Roman" w:hAnsi="Times New Roman" w:cs="Times New Roman"/>
                <w:kern w:val="36"/>
                <w:sz w:val="24"/>
                <w:szCs w:val="24"/>
                <w:lang w:val="kk-KZ" w:eastAsia="ru-RU"/>
              </w:rPr>
            </w:pPr>
          </w:p>
        </w:tc>
      </w:tr>
      <w:tr w:rsidR="00AB578C" w:rsidRPr="00D05956" w14:paraId="6A32F063" w14:textId="0D5330C1" w:rsidTr="00AB578C">
        <w:tc>
          <w:tcPr>
            <w:tcW w:w="6216" w:type="dxa"/>
            <w:tcBorders>
              <w:top w:val="single" w:sz="4" w:space="0" w:color="auto"/>
              <w:left w:val="single" w:sz="4" w:space="0" w:color="auto"/>
              <w:bottom w:val="single" w:sz="4" w:space="0" w:color="auto"/>
              <w:right w:val="single" w:sz="4" w:space="0" w:color="auto"/>
            </w:tcBorders>
            <w:hideMark/>
          </w:tcPr>
          <w:p w14:paraId="3665DC0D"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2-іс-шара. Геоботаникалық зерттеп-қараулар жүргізу,млн.тг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CB79EB5" w14:textId="77777777" w:rsidR="00CA2955" w:rsidRPr="00D05956" w:rsidRDefault="00CA2955" w:rsidP="001D7D7A">
            <w:pPr>
              <w:pStyle w:val="TableParagraph"/>
              <w:jc w:val="center"/>
              <w:rPr>
                <w:sz w:val="24"/>
                <w:szCs w:val="24"/>
              </w:rPr>
            </w:pPr>
            <w:r w:rsidRPr="00D05956">
              <w:rPr>
                <w:sz w:val="24"/>
                <w:szCs w:val="24"/>
                <w:lang w:val="en-US"/>
              </w:rPr>
              <w:t>758</w:t>
            </w:r>
            <w:r w:rsidRPr="00D05956">
              <w:rPr>
                <w:sz w:val="24"/>
                <w:szCs w:val="24"/>
              </w:rPr>
              <w:t>,4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B508A9A" w14:textId="77777777" w:rsidR="00CA2955" w:rsidRPr="00D05956" w:rsidRDefault="00CA2955" w:rsidP="001D7D7A">
            <w:pPr>
              <w:pStyle w:val="TableParagraph"/>
              <w:jc w:val="center"/>
              <w:rPr>
                <w:sz w:val="24"/>
                <w:szCs w:val="24"/>
              </w:rPr>
            </w:pPr>
            <w:r w:rsidRPr="00D05956">
              <w:rPr>
                <w:sz w:val="24"/>
                <w:szCs w:val="24"/>
                <w:lang w:val="en-US"/>
              </w:rPr>
              <w:t>686</w:t>
            </w:r>
            <w:r w:rsidRPr="00D05956">
              <w:rPr>
                <w:sz w:val="24"/>
                <w:szCs w:val="24"/>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BE211BB"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ACF205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71817D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257B7CD"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1444,8</w:t>
            </w:r>
          </w:p>
        </w:tc>
        <w:tc>
          <w:tcPr>
            <w:tcW w:w="1133" w:type="dxa"/>
            <w:tcBorders>
              <w:top w:val="single" w:sz="4" w:space="0" w:color="auto"/>
              <w:left w:val="single" w:sz="4" w:space="0" w:color="auto"/>
              <w:bottom w:val="single" w:sz="4" w:space="0" w:color="auto"/>
              <w:right w:val="single" w:sz="4" w:space="0" w:color="auto"/>
            </w:tcBorders>
            <w:vAlign w:val="center"/>
          </w:tcPr>
          <w:p w14:paraId="4B820446" w14:textId="187D4028"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601F25C6" w14:textId="55EAD90E" w:rsidTr="00AB578C">
        <w:tc>
          <w:tcPr>
            <w:tcW w:w="6216" w:type="dxa"/>
            <w:tcBorders>
              <w:top w:val="single" w:sz="4" w:space="0" w:color="auto"/>
              <w:left w:val="single" w:sz="4" w:space="0" w:color="auto"/>
              <w:bottom w:val="single" w:sz="4" w:space="0" w:color="auto"/>
              <w:right w:val="single" w:sz="4" w:space="0" w:color="auto"/>
            </w:tcBorders>
            <w:hideMark/>
          </w:tcPr>
          <w:p w14:paraId="3F3CF9A8"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14266E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7300,0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B720FE6" w14:textId="77777777" w:rsidR="00CA2955" w:rsidRPr="00D05956" w:rsidRDefault="00CA2955" w:rsidP="001D7D7A">
            <w:pPr>
              <w:pStyle w:val="TableParagraph"/>
              <w:jc w:val="center"/>
              <w:rPr>
                <w:sz w:val="24"/>
                <w:szCs w:val="24"/>
                <w:lang w:val="en-US"/>
              </w:rPr>
            </w:pPr>
            <w:r w:rsidRPr="00D05956">
              <w:rPr>
                <w:sz w:val="24"/>
                <w:szCs w:val="24"/>
                <w:lang w:val="en-US"/>
              </w:rPr>
              <w:t>6000,0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1D8A094"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E95262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AE6997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B9938A7"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13300</w:t>
            </w:r>
          </w:p>
        </w:tc>
        <w:tc>
          <w:tcPr>
            <w:tcW w:w="1133" w:type="dxa"/>
            <w:tcBorders>
              <w:top w:val="single" w:sz="4" w:space="0" w:color="auto"/>
              <w:left w:val="single" w:sz="4" w:space="0" w:color="auto"/>
              <w:bottom w:val="single" w:sz="4" w:space="0" w:color="auto"/>
              <w:right w:val="single" w:sz="4" w:space="0" w:color="auto"/>
            </w:tcBorders>
            <w:vAlign w:val="center"/>
          </w:tcPr>
          <w:p w14:paraId="2D95CFF2" w14:textId="5CA3811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1D77498" w14:textId="675732EE" w:rsidTr="00AB578C">
        <w:tc>
          <w:tcPr>
            <w:tcW w:w="6216" w:type="dxa"/>
            <w:tcBorders>
              <w:top w:val="single" w:sz="4" w:space="0" w:color="auto"/>
              <w:left w:val="single" w:sz="4" w:space="0" w:color="auto"/>
              <w:bottom w:val="single" w:sz="4" w:space="0" w:color="auto"/>
              <w:right w:val="single" w:sz="4" w:space="0" w:color="auto"/>
            </w:tcBorders>
            <w:hideMark/>
          </w:tcPr>
          <w:p w14:paraId="25F9053B"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3-іс-шара. Топырақ бонитетін анықтау,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D4A7C47" w14:textId="77777777" w:rsidR="00CA2955" w:rsidRPr="00D05956" w:rsidRDefault="00CA2955" w:rsidP="001D7D7A">
            <w:pPr>
              <w:pStyle w:val="TableParagraph"/>
              <w:jc w:val="center"/>
              <w:rPr>
                <w:sz w:val="24"/>
                <w:szCs w:val="24"/>
              </w:rPr>
            </w:pPr>
            <w:r w:rsidRPr="00D05956">
              <w:rPr>
                <w:sz w:val="24"/>
                <w:szCs w:val="24"/>
                <w:lang w:val="en-US"/>
              </w:rPr>
              <w:t>3041</w:t>
            </w:r>
            <w:r w:rsidRPr="00D05956">
              <w:rPr>
                <w:sz w:val="24"/>
                <w:szCs w:val="24"/>
              </w:rPr>
              <w:t>,1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D8E9373" w14:textId="77777777" w:rsidR="00CA2955" w:rsidRPr="00D05956" w:rsidRDefault="00CA2955" w:rsidP="001D7D7A">
            <w:pPr>
              <w:pStyle w:val="TableParagraph"/>
              <w:jc w:val="center"/>
              <w:rPr>
                <w:sz w:val="24"/>
                <w:szCs w:val="24"/>
                <w:lang w:val="en-US"/>
              </w:rPr>
            </w:pPr>
            <w:r w:rsidRPr="00D05956">
              <w:rPr>
                <w:sz w:val="24"/>
                <w:szCs w:val="24"/>
                <w:lang w:val="en-US"/>
              </w:rPr>
              <w:t>2176</w:t>
            </w:r>
            <w:r w:rsidRPr="00D05956">
              <w:rPr>
                <w:sz w:val="24"/>
                <w:szCs w:val="24"/>
              </w:rPr>
              <w:t>,</w:t>
            </w:r>
            <w:r w:rsidRPr="00D05956">
              <w:rPr>
                <w:sz w:val="24"/>
                <w:szCs w:val="24"/>
                <w:lang w:val="en-US"/>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1BB6C95"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E4166B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E0F865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4A10F5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5217,6</w:t>
            </w:r>
          </w:p>
        </w:tc>
        <w:tc>
          <w:tcPr>
            <w:tcW w:w="1133" w:type="dxa"/>
            <w:tcBorders>
              <w:top w:val="single" w:sz="4" w:space="0" w:color="auto"/>
              <w:left w:val="single" w:sz="4" w:space="0" w:color="auto"/>
              <w:bottom w:val="single" w:sz="4" w:space="0" w:color="auto"/>
              <w:right w:val="single" w:sz="4" w:space="0" w:color="auto"/>
            </w:tcBorders>
            <w:vAlign w:val="center"/>
          </w:tcPr>
          <w:p w14:paraId="1749C142" w14:textId="079C1CD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C417008" w14:textId="0387D0EE" w:rsidTr="00AB578C">
        <w:tc>
          <w:tcPr>
            <w:tcW w:w="6216" w:type="dxa"/>
            <w:tcBorders>
              <w:top w:val="single" w:sz="4" w:space="0" w:color="auto"/>
              <w:left w:val="single" w:sz="4" w:space="0" w:color="auto"/>
              <w:bottom w:val="single" w:sz="4" w:space="0" w:color="auto"/>
              <w:right w:val="single" w:sz="4" w:space="0" w:color="auto"/>
            </w:tcBorders>
            <w:hideMark/>
          </w:tcPr>
          <w:p w14:paraId="51A0D731"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26C42D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6927,5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E4C7231" w14:textId="77777777" w:rsidR="00CA2955" w:rsidRPr="00D05956" w:rsidRDefault="00CA2955" w:rsidP="001D7D7A">
            <w:pPr>
              <w:pStyle w:val="TableParagraph"/>
              <w:jc w:val="center"/>
              <w:rPr>
                <w:sz w:val="24"/>
                <w:szCs w:val="24"/>
                <w:lang w:val="en-US"/>
              </w:rPr>
            </w:pPr>
            <w:r w:rsidRPr="00D05956">
              <w:rPr>
                <w:sz w:val="24"/>
                <w:szCs w:val="24"/>
                <w:lang w:val="en-US"/>
              </w:rPr>
              <w:t>4506,1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C59DF6"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949D03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FC6A74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30B1C1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11433,6</w:t>
            </w:r>
          </w:p>
        </w:tc>
        <w:tc>
          <w:tcPr>
            <w:tcW w:w="1133" w:type="dxa"/>
            <w:tcBorders>
              <w:top w:val="single" w:sz="4" w:space="0" w:color="auto"/>
              <w:left w:val="single" w:sz="4" w:space="0" w:color="auto"/>
              <w:bottom w:val="single" w:sz="4" w:space="0" w:color="auto"/>
              <w:right w:val="single" w:sz="4" w:space="0" w:color="auto"/>
            </w:tcBorders>
            <w:vAlign w:val="center"/>
          </w:tcPr>
          <w:p w14:paraId="0C66E6AC" w14:textId="0B0AEA2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F168B46" w14:textId="62AC0E67" w:rsidTr="00AB578C">
        <w:tc>
          <w:tcPr>
            <w:tcW w:w="6216" w:type="dxa"/>
            <w:tcBorders>
              <w:top w:val="single" w:sz="4" w:space="0" w:color="auto"/>
              <w:left w:val="single" w:sz="4" w:space="0" w:color="auto"/>
              <w:bottom w:val="single" w:sz="4" w:space="0" w:color="auto"/>
              <w:right w:val="single" w:sz="4" w:space="0" w:color="auto"/>
            </w:tcBorders>
            <w:hideMark/>
          </w:tcPr>
          <w:p w14:paraId="457395E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4-іс-шара. Топырақтық карталарды электрондық түрде жасау,млн.тг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E4BC00C" w14:textId="77777777" w:rsidR="00CA2955" w:rsidRPr="00D05956" w:rsidRDefault="00CA2955" w:rsidP="001D7D7A">
            <w:pPr>
              <w:pStyle w:val="TableParagraph"/>
              <w:jc w:val="center"/>
              <w:rPr>
                <w:sz w:val="24"/>
                <w:szCs w:val="24"/>
              </w:rPr>
            </w:pPr>
            <w:r w:rsidRPr="00D05956">
              <w:rPr>
                <w:sz w:val="24"/>
                <w:szCs w:val="24"/>
                <w:lang w:val="en-US"/>
              </w:rPr>
              <w:t>196</w:t>
            </w:r>
            <w:r w:rsidRPr="00D05956">
              <w:rPr>
                <w:sz w:val="24"/>
                <w:szCs w:val="24"/>
              </w:rPr>
              <w:t>,5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B137E7A" w14:textId="77777777" w:rsidR="00CA2955" w:rsidRPr="00D05956" w:rsidRDefault="00CA2955" w:rsidP="001D7D7A">
            <w:pPr>
              <w:pStyle w:val="TableParagraph"/>
              <w:jc w:val="center"/>
              <w:rPr>
                <w:sz w:val="24"/>
                <w:szCs w:val="24"/>
              </w:rPr>
            </w:pPr>
            <w:r w:rsidRPr="00D05956">
              <w:rPr>
                <w:sz w:val="24"/>
                <w:szCs w:val="24"/>
                <w:lang w:val="en-US"/>
              </w:rPr>
              <w:t>168</w:t>
            </w:r>
            <w:r w:rsidRPr="00D05956">
              <w:rPr>
                <w:sz w:val="24"/>
                <w:szCs w:val="24"/>
              </w:rPr>
              <w:t>,6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5E7DA5F"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AB1565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04AFE2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8062718"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365,1</w:t>
            </w:r>
          </w:p>
        </w:tc>
        <w:tc>
          <w:tcPr>
            <w:tcW w:w="1133" w:type="dxa"/>
            <w:tcBorders>
              <w:top w:val="single" w:sz="4" w:space="0" w:color="auto"/>
              <w:left w:val="single" w:sz="4" w:space="0" w:color="auto"/>
              <w:bottom w:val="single" w:sz="4" w:space="0" w:color="auto"/>
              <w:right w:val="single" w:sz="4" w:space="0" w:color="auto"/>
            </w:tcBorders>
            <w:vAlign w:val="center"/>
          </w:tcPr>
          <w:p w14:paraId="7DB16EEA" w14:textId="3CC68F2C"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E6796F6" w14:textId="1AF8FD9F" w:rsidTr="00AB578C">
        <w:tc>
          <w:tcPr>
            <w:tcW w:w="6216" w:type="dxa"/>
            <w:tcBorders>
              <w:top w:val="single" w:sz="4" w:space="0" w:color="auto"/>
              <w:left w:val="single" w:sz="4" w:space="0" w:color="auto"/>
              <w:bottom w:val="single" w:sz="4" w:space="0" w:color="auto"/>
              <w:right w:val="single" w:sz="4" w:space="0" w:color="auto"/>
            </w:tcBorders>
            <w:hideMark/>
          </w:tcPr>
          <w:p w14:paraId="7EE9E82C"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E7CE7D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7200,0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8D695FE" w14:textId="77777777" w:rsidR="00CA2955" w:rsidRPr="00D05956" w:rsidRDefault="00CA2955" w:rsidP="001D7D7A">
            <w:pPr>
              <w:pStyle w:val="TableParagraph"/>
              <w:jc w:val="center"/>
              <w:rPr>
                <w:sz w:val="24"/>
                <w:szCs w:val="24"/>
                <w:lang w:val="en-US"/>
              </w:rPr>
            </w:pPr>
            <w:r w:rsidRPr="00D05956">
              <w:rPr>
                <w:sz w:val="24"/>
                <w:szCs w:val="24"/>
                <w:lang w:val="en-US"/>
              </w:rPr>
              <w:t>5600,0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B45135A"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4045AF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6232F9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EE69178"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12800</w:t>
            </w:r>
          </w:p>
        </w:tc>
        <w:tc>
          <w:tcPr>
            <w:tcW w:w="1133" w:type="dxa"/>
            <w:tcBorders>
              <w:top w:val="single" w:sz="4" w:space="0" w:color="auto"/>
              <w:left w:val="single" w:sz="4" w:space="0" w:color="auto"/>
              <w:bottom w:val="single" w:sz="4" w:space="0" w:color="auto"/>
              <w:right w:val="single" w:sz="4" w:space="0" w:color="auto"/>
            </w:tcBorders>
            <w:vAlign w:val="center"/>
          </w:tcPr>
          <w:p w14:paraId="5D2684EB" w14:textId="286F681F"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203668D7" w14:textId="29C60224" w:rsidTr="00AB578C">
        <w:tc>
          <w:tcPr>
            <w:tcW w:w="6216" w:type="dxa"/>
            <w:tcBorders>
              <w:top w:val="single" w:sz="4" w:space="0" w:color="auto"/>
              <w:left w:val="single" w:sz="4" w:space="0" w:color="auto"/>
              <w:bottom w:val="single" w:sz="4" w:space="0" w:color="auto"/>
              <w:right w:val="single" w:sz="4" w:space="0" w:color="auto"/>
            </w:tcBorders>
            <w:hideMark/>
          </w:tcPr>
          <w:p w14:paraId="67174A8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5-іс-шара.Геоботаникалық карталарды электрондық түрде жасау,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3943F12" w14:textId="77777777" w:rsidR="00CA2955" w:rsidRPr="00D05956" w:rsidRDefault="00CA2955" w:rsidP="001D7D7A">
            <w:pPr>
              <w:jc w:val="center"/>
              <w:rPr>
                <w:rFonts w:ascii="Times New Roman" w:eastAsia="Times New Roman" w:hAnsi="Times New Roman" w:cs="Times New Roman"/>
                <w:kern w:val="36"/>
                <w:sz w:val="24"/>
                <w:szCs w:val="24"/>
                <w:lang w:eastAsia="ru-RU"/>
              </w:rPr>
            </w:pPr>
            <w:r w:rsidRPr="00D05956">
              <w:rPr>
                <w:rFonts w:ascii="Times New Roman" w:hAnsi="Times New Roman" w:cs="Times New Roman"/>
                <w:sz w:val="24"/>
                <w:szCs w:val="24"/>
                <w:lang w:val="en-US"/>
              </w:rPr>
              <w:t>60</w:t>
            </w:r>
            <w:r w:rsidRPr="00D05956">
              <w:rPr>
                <w:rFonts w:ascii="Times New Roman" w:hAnsi="Times New Roman" w:cs="Times New Roman"/>
                <w:sz w:val="24"/>
                <w:szCs w:val="24"/>
              </w:rPr>
              <w:t>,6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9445753" w14:textId="77777777" w:rsidR="00CA2955" w:rsidRPr="00D05956" w:rsidRDefault="00CA2955" w:rsidP="001D7D7A">
            <w:pPr>
              <w:pStyle w:val="TableParagraph"/>
              <w:jc w:val="center"/>
              <w:rPr>
                <w:sz w:val="24"/>
                <w:szCs w:val="24"/>
              </w:rPr>
            </w:pPr>
            <w:r w:rsidRPr="00D05956">
              <w:rPr>
                <w:sz w:val="24"/>
                <w:szCs w:val="24"/>
                <w:lang w:val="en-US"/>
              </w:rPr>
              <w:t>55</w:t>
            </w:r>
            <w:r w:rsidRPr="00D05956">
              <w:rPr>
                <w:sz w:val="24"/>
                <w:szCs w:val="24"/>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DD6F76C"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ADED62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1C99F6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EF5367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116,4</w:t>
            </w:r>
          </w:p>
        </w:tc>
        <w:tc>
          <w:tcPr>
            <w:tcW w:w="1133" w:type="dxa"/>
            <w:tcBorders>
              <w:top w:val="single" w:sz="4" w:space="0" w:color="auto"/>
              <w:left w:val="single" w:sz="4" w:space="0" w:color="auto"/>
              <w:bottom w:val="single" w:sz="4" w:space="0" w:color="auto"/>
              <w:right w:val="single" w:sz="4" w:space="0" w:color="auto"/>
            </w:tcBorders>
            <w:vAlign w:val="center"/>
          </w:tcPr>
          <w:p w14:paraId="2C4CDF98" w14:textId="54FA3EA2"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CD4DD8F" w14:textId="1C2A8CC2" w:rsidTr="00AB578C">
        <w:tc>
          <w:tcPr>
            <w:tcW w:w="6216" w:type="dxa"/>
            <w:tcBorders>
              <w:top w:val="single" w:sz="4" w:space="0" w:color="auto"/>
              <w:left w:val="single" w:sz="4" w:space="0" w:color="auto"/>
              <w:bottom w:val="single" w:sz="4" w:space="0" w:color="auto"/>
              <w:right w:val="single" w:sz="4" w:space="0" w:color="auto"/>
            </w:tcBorders>
            <w:hideMark/>
          </w:tcPr>
          <w:p w14:paraId="6260C736"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5C74AE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7300,0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991ED37" w14:textId="77777777" w:rsidR="00CA2955" w:rsidRPr="00D05956" w:rsidRDefault="00CA2955" w:rsidP="001D7D7A">
            <w:pPr>
              <w:pStyle w:val="TableParagraph"/>
              <w:jc w:val="center"/>
              <w:rPr>
                <w:sz w:val="24"/>
                <w:szCs w:val="24"/>
                <w:lang w:val="en-US"/>
              </w:rPr>
            </w:pPr>
            <w:r w:rsidRPr="00D05956">
              <w:rPr>
                <w:sz w:val="24"/>
                <w:szCs w:val="24"/>
                <w:lang w:val="en-US"/>
              </w:rPr>
              <w:t>6000,0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E463AA3"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744490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1B21B6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8D34A4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13300</w:t>
            </w:r>
          </w:p>
        </w:tc>
        <w:tc>
          <w:tcPr>
            <w:tcW w:w="1133" w:type="dxa"/>
            <w:tcBorders>
              <w:top w:val="single" w:sz="4" w:space="0" w:color="auto"/>
              <w:left w:val="single" w:sz="4" w:space="0" w:color="auto"/>
              <w:bottom w:val="single" w:sz="4" w:space="0" w:color="auto"/>
              <w:right w:val="single" w:sz="4" w:space="0" w:color="auto"/>
            </w:tcBorders>
            <w:vAlign w:val="center"/>
          </w:tcPr>
          <w:p w14:paraId="2766AD58" w14:textId="1F41B0BC"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60484846" w14:textId="2914CBA8" w:rsidTr="00AB578C">
        <w:tc>
          <w:tcPr>
            <w:tcW w:w="6216" w:type="dxa"/>
            <w:tcBorders>
              <w:top w:val="single" w:sz="4" w:space="0" w:color="auto"/>
              <w:left w:val="single" w:sz="4" w:space="0" w:color="auto"/>
              <w:bottom w:val="single" w:sz="4" w:space="0" w:color="auto"/>
              <w:right w:val="single" w:sz="4" w:space="0" w:color="auto"/>
            </w:tcBorders>
            <w:hideMark/>
          </w:tcPr>
          <w:p w14:paraId="4D447C08"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6-іс-шара. Аэроғарыштық түсірілімдер жүргізу,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7572AE0" w14:textId="77777777" w:rsidR="00CA2955" w:rsidRPr="00D05956" w:rsidRDefault="00CA2955" w:rsidP="001D7D7A">
            <w:pPr>
              <w:pStyle w:val="TableParagraph"/>
              <w:jc w:val="center"/>
              <w:rPr>
                <w:sz w:val="24"/>
                <w:szCs w:val="24"/>
              </w:rPr>
            </w:pPr>
            <w:r w:rsidRPr="00D05956">
              <w:rPr>
                <w:sz w:val="24"/>
                <w:szCs w:val="24"/>
                <w:lang w:val="en-US"/>
              </w:rPr>
              <w:t>145</w:t>
            </w:r>
            <w:r w:rsidRPr="00D05956">
              <w:rPr>
                <w:sz w:val="24"/>
                <w:szCs w:val="24"/>
              </w:rPr>
              <w:t>,1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614C9C3" w14:textId="77777777" w:rsidR="00CA2955" w:rsidRPr="00D05956" w:rsidRDefault="00CA2955" w:rsidP="001D7D7A">
            <w:pPr>
              <w:pStyle w:val="TableParagraph"/>
              <w:jc w:val="center"/>
              <w:rPr>
                <w:sz w:val="24"/>
                <w:szCs w:val="24"/>
              </w:rPr>
            </w:pPr>
            <w:r w:rsidRPr="00D05956">
              <w:rPr>
                <w:sz w:val="24"/>
                <w:szCs w:val="24"/>
                <w:lang w:val="en-US"/>
              </w:rPr>
              <w:t>96</w:t>
            </w:r>
            <w:r w:rsidRPr="00D05956">
              <w:rPr>
                <w:sz w:val="24"/>
                <w:szCs w:val="24"/>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68D1762"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DC6C06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CFF2E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0A7612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241,9</w:t>
            </w:r>
          </w:p>
        </w:tc>
        <w:tc>
          <w:tcPr>
            <w:tcW w:w="1133" w:type="dxa"/>
            <w:tcBorders>
              <w:top w:val="single" w:sz="4" w:space="0" w:color="auto"/>
              <w:left w:val="single" w:sz="4" w:space="0" w:color="auto"/>
              <w:bottom w:val="single" w:sz="4" w:space="0" w:color="auto"/>
              <w:right w:val="single" w:sz="4" w:space="0" w:color="auto"/>
            </w:tcBorders>
            <w:vAlign w:val="center"/>
          </w:tcPr>
          <w:p w14:paraId="1DD5B8D6" w14:textId="3625D4A5"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D3ACDFF" w14:textId="2B20A430" w:rsidTr="00AB578C">
        <w:tc>
          <w:tcPr>
            <w:tcW w:w="6216" w:type="dxa"/>
            <w:tcBorders>
              <w:top w:val="single" w:sz="4" w:space="0" w:color="auto"/>
              <w:left w:val="single" w:sz="4" w:space="0" w:color="auto"/>
              <w:bottom w:val="single" w:sz="4" w:space="0" w:color="auto"/>
              <w:right w:val="single" w:sz="4" w:space="0" w:color="auto"/>
            </w:tcBorders>
            <w:hideMark/>
          </w:tcPr>
          <w:p w14:paraId="50099D8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BED977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10618,5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4D986E2" w14:textId="77777777" w:rsidR="00CA2955" w:rsidRPr="00D05956" w:rsidRDefault="00CA2955" w:rsidP="001D7D7A">
            <w:pPr>
              <w:pStyle w:val="TableParagraph"/>
              <w:jc w:val="center"/>
              <w:rPr>
                <w:sz w:val="24"/>
                <w:szCs w:val="24"/>
                <w:lang w:val="en-US"/>
              </w:rPr>
            </w:pPr>
            <w:r w:rsidRPr="00D05956">
              <w:rPr>
                <w:sz w:val="24"/>
                <w:szCs w:val="24"/>
                <w:lang w:val="en-US"/>
              </w:rPr>
              <w:t>5993,0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81831DE"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33DDA1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E50A1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BC0C46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16611,5</w:t>
            </w:r>
          </w:p>
        </w:tc>
        <w:tc>
          <w:tcPr>
            <w:tcW w:w="1133" w:type="dxa"/>
            <w:tcBorders>
              <w:top w:val="single" w:sz="4" w:space="0" w:color="auto"/>
              <w:left w:val="single" w:sz="4" w:space="0" w:color="auto"/>
              <w:bottom w:val="single" w:sz="4" w:space="0" w:color="auto"/>
              <w:right w:val="single" w:sz="4" w:space="0" w:color="auto"/>
            </w:tcBorders>
            <w:vAlign w:val="center"/>
          </w:tcPr>
          <w:p w14:paraId="1E4792FE" w14:textId="645B8832"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1AFB22B" w14:textId="3ADECDAD" w:rsidTr="00AB578C">
        <w:tc>
          <w:tcPr>
            <w:tcW w:w="6216" w:type="dxa"/>
            <w:tcBorders>
              <w:top w:val="single" w:sz="4" w:space="0" w:color="auto"/>
              <w:left w:val="single" w:sz="4" w:space="0" w:color="auto"/>
              <w:bottom w:val="single" w:sz="4" w:space="0" w:color="auto"/>
              <w:right w:val="single" w:sz="4" w:space="0" w:color="auto"/>
            </w:tcBorders>
            <w:hideMark/>
          </w:tcPr>
          <w:p w14:paraId="53FDAD24"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7-іс-шара. Ауыл шаруашылығы контурларын дешифрлеуді және ауыл шаруашылығы карталарын жасауды жүргізу,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5E82182" w14:textId="77777777" w:rsidR="00CA2955" w:rsidRPr="00D05956" w:rsidRDefault="00CA2955" w:rsidP="001D7D7A">
            <w:pPr>
              <w:pStyle w:val="TableParagraph"/>
              <w:jc w:val="center"/>
              <w:rPr>
                <w:sz w:val="24"/>
                <w:szCs w:val="24"/>
              </w:rPr>
            </w:pPr>
            <w:r w:rsidRPr="00D05956">
              <w:rPr>
                <w:sz w:val="24"/>
                <w:szCs w:val="24"/>
                <w:lang w:val="en-US"/>
              </w:rPr>
              <w:t>724</w:t>
            </w:r>
            <w:r w:rsidRPr="00D05956">
              <w:rPr>
                <w:sz w:val="24"/>
                <w:szCs w:val="24"/>
              </w:rPr>
              <w:t>,9</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55A537C" w14:textId="77777777" w:rsidR="00CA2955" w:rsidRPr="00D05956" w:rsidRDefault="00CA2955" w:rsidP="001D7D7A">
            <w:pPr>
              <w:pStyle w:val="TableParagraph"/>
              <w:jc w:val="center"/>
              <w:rPr>
                <w:sz w:val="24"/>
                <w:szCs w:val="24"/>
              </w:rPr>
            </w:pPr>
            <w:r w:rsidRPr="00D05956">
              <w:rPr>
                <w:sz w:val="24"/>
                <w:szCs w:val="24"/>
                <w:lang w:val="en-US"/>
              </w:rPr>
              <w:t>712</w:t>
            </w:r>
            <w:r w:rsidRPr="00D05956">
              <w:rPr>
                <w:sz w:val="24"/>
                <w:szCs w:val="24"/>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541C564"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3E653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FBDF1A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4EC8B7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1437,2</w:t>
            </w:r>
          </w:p>
        </w:tc>
        <w:tc>
          <w:tcPr>
            <w:tcW w:w="1133" w:type="dxa"/>
            <w:tcBorders>
              <w:top w:val="single" w:sz="4" w:space="0" w:color="auto"/>
              <w:left w:val="single" w:sz="4" w:space="0" w:color="auto"/>
              <w:bottom w:val="single" w:sz="4" w:space="0" w:color="auto"/>
              <w:right w:val="single" w:sz="4" w:space="0" w:color="auto"/>
            </w:tcBorders>
            <w:vAlign w:val="center"/>
          </w:tcPr>
          <w:p w14:paraId="1085308E" w14:textId="2684C03B"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CBB52B0" w14:textId="60A46EBB" w:rsidTr="00AB578C">
        <w:tc>
          <w:tcPr>
            <w:tcW w:w="6216" w:type="dxa"/>
            <w:tcBorders>
              <w:top w:val="single" w:sz="4" w:space="0" w:color="auto"/>
              <w:left w:val="single" w:sz="4" w:space="0" w:color="auto"/>
              <w:bottom w:val="single" w:sz="4" w:space="0" w:color="auto"/>
              <w:right w:val="single" w:sz="4" w:space="0" w:color="auto"/>
            </w:tcBorders>
            <w:hideMark/>
          </w:tcPr>
          <w:p w14:paraId="5C52F63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5BC403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13385,6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1F9876E" w14:textId="77777777" w:rsidR="00CA2955" w:rsidRPr="00D05956" w:rsidRDefault="00CA2955" w:rsidP="001D7D7A">
            <w:pPr>
              <w:pStyle w:val="TableParagraph"/>
              <w:jc w:val="center"/>
              <w:rPr>
                <w:sz w:val="24"/>
                <w:szCs w:val="24"/>
                <w:lang w:val="en-US"/>
              </w:rPr>
            </w:pPr>
            <w:r w:rsidRPr="00D05956">
              <w:rPr>
                <w:sz w:val="24"/>
                <w:szCs w:val="24"/>
                <w:lang w:val="en-US"/>
              </w:rPr>
              <w:t>13046,4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CCD5901"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DC779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0E4E23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7C6B28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26431,6</w:t>
            </w:r>
          </w:p>
        </w:tc>
        <w:tc>
          <w:tcPr>
            <w:tcW w:w="1133" w:type="dxa"/>
            <w:tcBorders>
              <w:top w:val="single" w:sz="4" w:space="0" w:color="auto"/>
              <w:left w:val="single" w:sz="4" w:space="0" w:color="auto"/>
              <w:bottom w:val="single" w:sz="4" w:space="0" w:color="auto"/>
              <w:right w:val="single" w:sz="4" w:space="0" w:color="auto"/>
            </w:tcBorders>
            <w:vAlign w:val="center"/>
          </w:tcPr>
          <w:p w14:paraId="1F38F026" w14:textId="4DCF57A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2CDF96B" w14:textId="6661B114" w:rsidTr="00AB578C">
        <w:tc>
          <w:tcPr>
            <w:tcW w:w="6216" w:type="dxa"/>
            <w:tcBorders>
              <w:top w:val="single" w:sz="4" w:space="0" w:color="auto"/>
              <w:left w:val="single" w:sz="4" w:space="0" w:color="auto"/>
              <w:bottom w:val="single" w:sz="4" w:space="0" w:color="auto"/>
              <w:right w:val="single" w:sz="4" w:space="0" w:color="auto"/>
            </w:tcBorders>
            <w:hideMark/>
          </w:tcPr>
          <w:p w14:paraId="595FF098"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8-іс-шара.Жоспарлы-биіктік тану белгілерін байланыстыруды орындау, </w:t>
            </w:r>
            <w:r w:rsidRPr="00D05956">
              <w:rPr>
                <w:rFonts w:ascii="Times New Roman" w:hAnsi="Times New Roman" w:cs="Times New Roman"/>
                <w:color w:val="FF0000"/>
                <w:spacing w:val="2"/>
                <w:sz w:val="24"/>
                <w:szCs w:val="24"/>
                <w:shd w:val="clear" w:color="auto" w:fill="FFFFFF"/>
                <w:lang w:val="kk-KZ"/>
              </w:rPr>
              <w:t>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09DDC1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3108B1C" w14:textId="77777777" w:rsidR="00CA2955" w:rsidRPr="00D05956" w:rsidRDefault="00CA2955" w:rsidP="001D7D7A">
            <w:pPr>
              <w:pStyle w:val="TableParagraph"/>
              <w:jc w:val="center"/>
              <w:rPr>
                <w:sz w:val="24"/>
                <w:szCs w:val="24"/>
                <w:lang w:val="en-US"/>
              </w:rPr>
            </w:pPr>
            <w:r w:rsidRPr="00D05956">
              <w:rPr>
                <w:sz w:val="24"/>
                <w:szCs w:val="24"/>
                <w:lang w:val="en-US"/>
              </w:rPr>
              <w:t>41</w:t>
            </w:r>
            <w:r w:rsidRPr="00D05956">
              <w:rPr>
                <w:sz w:val="24"/>
                <w:szCs w:val="24"/>
              </w:rPr>
              <w:t>,</w:t>
            </w:r>
            <w:r w:rsidRPr="00D05956">
              <w:rPr>
                <w:sz w:val="24"/>
                <w:szCs w:val="24"/>
                <w:lang w:val="en-US"/>
              </w:rPr>
              <w:t>44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CB59294"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C516B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004B03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EE7EF23"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41,44</w:t>
            </w:r>
          </w:p>
        </w:tc>
        <w:tc>
          <w:tcPr>
            <w:tcW w:w="1133" w:type="dxa"/>
            <w:tcBorders>
              <w:top w:val="single" w:sz="4" w:space="0" w:color="auto"/>
              <w:left w:val="single" w:sz="4" w:space="0" w:color="auto"/>
              <w:bottom w:val="single" w:sz="4" w:space="0" w:color="auto"/>
              <w:right w:val="single" w:sz="4" w:space="0" w:color="auto"/>
            </w:tcBorders>
            <w:vAlign w:val="center"/>
          </w:tcPr>
          <w:p w14:paraId="4CD32CD9" w14:textId="26624855"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7BA55CE" w14:textId="5C6C5FD7" w:rsidTr="00AB578C">
        <w:tc>
          <w:tcPr>
            <w:tcW w:w="6216" w:type="dxa"/>
            <w:tcBorders>
              <w:top w:val="single" w:sz="4" w:space="0" w:color="auto"/>
              <w:left w:val="single" w:sz="4" w:space="0" w:color="auto"/>
              <w:bottom w:val="nil"/>
              <w:right w:val="single" w:sz="4" w:space="0" w:color="auto"/>
            </w:tcBorders>
            <w:hideMark/>
          </w:tcPr>
          <w:p w14:paraId="32E6405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тану белгілерінің саны, бірл.</w:t>
            </w:r>
          </w:p>
        </w:tc>
        <w:tc>
          <w:tcPr>
            <w:tcW w:w="1399" w:type="dxa"/>
            <w:tcBorders>
              <w:top w:val="single" w:sz="4" w:space="0" w:color="auto"/>
              <w:left w:val="single" w:sz="4" w:space="0" w:color="auto"/>
              <w:bottom w:val="nil"/>
              <w:right w:val="single" w:sz="4" w:space="0" w:color="auto"/>
            </w:tcBorders>
            <w:vAlign w:val="center"/>
            <w:hideMark/>
          </w:tcPr>
          <w:p w14:paraId="463EDB2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nil"/>
              <w:right w:val="single" w:sz="4" w:space="0" w:color="auto"/>
            </w:tcBorders>
            <w:vAlign w:val="center"/>
            <w:hideMark/>
          </w:tcPr>
          <w:p w14:paraId="7469D1E3" w14:textId="77777777" w:rsidR="00CA2955" w:rsidRPr="00D05956" w:rsidRDefault="00CA2955" w:rsidP="001D7D7A">
            <w:pPr>
              <w:pStyle w:val="TableParagraph"/>
              <w:jc w:val="center"/>
              <w:rPr>
                <w:sz w:val="24"/>
                <w:szCs w:val="24"/>
                <w:lang w:val="en-US"/>
              </w:rPr>
            </w:pPr>
            <w:r w:rsidRPr="00D05956">
              <w:rPr>
                <w:sz w:val="24"/>
                <w:szCs w:val="24"/>
                <w:lang w:val="en-US"/>
              </w:rPr>
              <w:t>1571,0</w:t>
            </w:r>
          </w:p>
        </w:tc>
        <w:tc>
          <w:tcPr>
            <w:tcW w:w="1263" w:type="dxa"/>
            <w:tcBorders>
              <w:top w:val="single" w:sz="4" w:space="0" w:color="auto"/>
              <w:left w:val="single" w:sz="4" w:space="0" w:color="auto"/>
              <w:bottom w:val="nil"/>
              <w:right w:val="single" w:sz="4" w:space="0" w:color="auto"/>
            </w:tcBorders>
            <w:vAlign w:val="center"/>
            <w:hideMark/>
          </w:tcPr>
          <w:p w14:paraId="1AA5DB31"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nil"/>
              <w:right w:val="single" w:sz="4" w:space="0" w:color="auto"/>
            </w:tcBorders>
            <w:vAlign w:val="center"/>
            <w:hideMark/>
          </w:tcPr>
          <w:p w14:paraId="67D6A5A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nil"/>
              <w:right w:val="single" w:sz="4" w:space="0" w:color="auto"/>
            </w:tcBorders>
            <w:vAlign w:val="center"/>
            <w:hideMark/>
          </w:tcPr>
          <w:p w14:paraId="309E53CF"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nil"/>
              <w:right w:val="single" w:sz="4" w:space="0" w:color="auto"/>
            </w:tcBorders>
            <w:vAlign w:val="center"/>
            <w:hideMark/>
          </w:tcPr>
          <w:p w14:paraId="4501F90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1571,0</w:t>
            </w:r>
          </w:p>
        </w:tc>
        <w:tc>
          <w:tcPr>
            <w:tcW w:w="1133" w:type="dxa"/>
            <w:tcBorders>
              <w:top w:val="single" w:sz="4" w:space="0" w:color="auto"/>
              <w:left w:val="single" w:sz="4" w:space="0" w:color="auto"/>
              <w:bottom w:val="nil"/>
              <w:right w:val="single" w:sz="4" w:space="0" w:color="auto"/>
            </w:tcBorders>
            <w:vAlign w:val="center"/>
          </w:tcPr>
          <w:p w14:paraId="44A5A13C" w14:textId="237DB43B"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69B4D32" w14:textId="14076DB4" w:rsidTr="00AB578C">
        <w:tc>
          <w:tcPr>
            <w:tcW w:w="6216" w:type="dxa"/>
            <w:tcBorders>
              <w:top w:val="single" w:sz="4" w:space="0" w:color="auto"/>
              <w:left w:val="single" w:sz="4" w:space="0" w:color="auto"/>
              <w:bottom w:val="single" w:sz="4" w:space="0" w:color="auto"/>
              <w:right w:val="single" w:sz="4" w:space="0" w:color="auto"/>
            </w:tcBorders>
            <w:hideMark/>
          </w:tcPr>
          <w:p w14:paraId="427AB3C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xml:space="preserve">9-іс-шара. Цифрлық ортофотожоспарлар әзірлеу, </w:t>
            </w:r>
            <w:r w:rsidRPr="00D05956">
              <w:rPr>
                <w:rFonts w:ascii="Times New Roman" w:hAnsi="Times New Roman" w:cs="Times New Roman"/>
                <w:color w:val="FF0000"/>
                <w:spacing w:val="2"/>
                <w:sz w:val="24"/>
                <w:szCs w:val="24"/>
                <w:shd w:val="clear" w:color="auto" w:fill="FFFFFF"/>
                <w:lang w:val="kk-KZ"/>
              </w:rPr>
              <w:t>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84EA69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59C086" w14:textId="77777777" w:rsidR="00CA2955" w:rsidRPr="00D05956" w:rsidRDefault="00CA2955" w:rsidP="001D7D7A">
            <w:pPr>
              <w:pStyle w:val="TableParagraph"/>
              <w:jc w:val="center"/>
              <w:rPr>
                <w:sz w:val="24"/>
                <w:szCs w:val="24"/>
                <w:lang w:val="en-US"/>
              </w:rPr>
            </w:pPr>
            <w:r w:rsidRPr="00D05956">
              <w:rPr>
                <w:sz w:val="24"/>
                <w:szCs w:val="24"/>
                <w:lang w:val="en-US"/>
              </w:rPr>
              <w:t>206</w:t>
            </w:r>
            <w:r w:rsidRPr="00D05956">
              <w:rPr>
                <w:sz w:val="24"/>
                <w:szCs w:val="24"/>
              </w:rPr>
              <w:t>,</w:t>
            </w:r>
            <w:r w:rsidRPr="00D05956">
              <w:rPr>
                <w:sz w:val="24"/>
                <w:szCs w:val="24"/>
                <w:lang w:val="en-US"/>
              </w:rPr>
              <w:t>305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A3BD46F"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45174A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3F3F0D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06B7CB1"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206,305</w:t>
            </w:r>
          </w:p>
        </w:tc>
        <w:tc>
          <w:tcPr>
            <w:tcW w:w="1133" w:type="dxa"/>
            <w:tcBorders>
              <w:top w:val="single" w:sz="4" w:space="0" w:color="auto"/>
              <w:left w:val="single" w:sz="4" w:space="0" w:color="auto"/>
              <w:bottom w:val="single" w:sz="4" w:space="0" w:color="auto"/>
              <w:right w:val="single" w:sz="4" w:space="0" w:color="auto"/>
            </w:tcBorders>
            <w:vAlign w:val="center"/>
          </w:tcPr>
          <w:p w14:paraId="7C084D35" w14:textId="2877FC9F"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6E1B5E77" w14:textId="6586DAA5" w:rsidTr="00AB578C">
        <w:tc>
          <w:tcPr>
            <w:tcW w:w="6216" w:type="dxa"/>
            <w:tcBorders>
              <w:top w:val="single" w:sz="4" w:space="0" w:color="auto"/>
              <w:left w:val="single" w:sz="4" w:space="0" w:color="auto"/>
              <w:bottom w:val="single" w:sz="4" w:space="0" w:color="auto"/>
              <w:right w:val="single" w:sz="4" w:space="0" w:color="auto"/>
            </w:tcBorders>
            <w:hideMark/>
          </w:tcPr>
          <w:p w14:paraId="7EED4829"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FF63FC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4F8E0D9" w14:textId="77777777" w:rsidR="00CA2955" w:rsidRPr="00D05956" w:rsidRDefault="00CA2955" w:rsidP="001D7D7A">
            <w:pPr>
              <w:pStyle w:val="TableParagraph"/>
              <w:jc w:val="center"/>
              <w:rPr>
                <w:sz w:val="24"/>
                <w:szCs w:val="24"/>
                <w:lang w:val="en-US"/>
              </w:rPr>
            </w:pPr>
            <w:r w:rsidRPr="00D05956">
              <w:rPr>
                <w:sz w:val="24"/>
                <w:szCs w:val="24"/>
                <w:lang w:val="en-US"/>
              </w:rPr>
              <w:t>15752,0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AD6C9E8"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D0CCAC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CB498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7D05360"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15752,0</w:t>
            </w:r>
          </w:p>
        </w:tc>
        <w:tc>
          <w:tcPr>
            <w:tcW w:w="1133" w:type="dxa"/>
            <w:tcBorders>
              <w:top w:val="single" w:sz="4" w:space="0" w:color="auto"/>
              <w:left w:val="single" w:sz="4" w:space="0" w:color="auto"/>
              <w:bottom w:val="single" w:sz="4" w:space="0" w:color="auto"/>
              <w:right w:val="single" w:sz="4" w:space="0" w:color="auto"/>
            </w:tcBorders>
            <w:vAlign w:val="center"/>
          </w:tcPr>
          <w:p w14:paraId="017ED778" w14:textId="1E233AA7"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39F0CAA" w14:textId="7A1CBCCE" w:rsidTr="00AB578C">
        <w:tc>
          <w:tcPr>
            <w:tcW w:w="6216" w:type="dxa"/>
            <w:tcBorders>
              <w:top w:val="single" w:sz="4" w:space="0" w:color="auto"/>
              <w:left w:val="single" w:sz="4" w:space="0" w:color="auto"/>
              <w:bottom w:val="single" w:sz="4" w:space="0" w:color="auto"/>
              <w:right w:val="single" w:sz="4" w:space="0" w:color="auto"/>
            </w:tcBorders>
            <w:hideMark/>
          </w:tcPr>
          <w:p w14:paraId="2B03FE35"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10-іс-шара. МЖК ААЖ-ның «Архив» кіші жүйесін пайдалана отырып, жер-кадастрлық істерді сканерлеу,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33BFE36" w14:textId="77777777" w:rsidR="00CA2955" w:rsidRPr="00D05956" w:rsidRDefault="00CA2955" w:rsidP="001D7D7A">
            <w:pPr>
              <w:jc w:val="center"/>
              <w:rPr>
                <w:rFonts w:ascii="Times New Roman" w:eastAsia="Times New Roman" w:hAnsi="Times New Roman" w:cs="Times New Roman"/>
                <w:kern w:val="36"/>
                <w:sz w:val="24"/>
                <w:szCs w:val="24"/>
                <w:lang w:eastAsia="ru-RU"/>
              </w:rPr>
            </w:pPr>
            <w:r w:rsidRPr="00D05956">
              <w:rPr>
                <w:rFonts w:ascii="Times New Roman" w:hAnsi="Times New Roman" w:cs="Times New Roman"/>
                <w:sz w:val="24"/>
                <w:szCs w:val="24"/>
                <w:lang w:val="en-US"/>
              </w:rPr>
              <w:t>65</w:t>
            </w:r>
            <w:r w:rsidRPr="00D05956">
              <w:rPr>
                <w:rFonts w:ascii="Times New Roman" w:hAnsi="Times New Roman" w:cs="Times New Roman"/>
                <w:sz w:val="24"/>
                <w:szCs w:val="24"/>
              </w:rPr>
              <w:t>,5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F9437FB" w14:textId="77777777" w:rsidR="00CA2955" w:rsidRPr="00D05956" w:rsidRDefault="00CA2955" w:rsidP="001D7D7A">
            <w:pPr>
              <w:pStyle w:val="TableParagraph"/>
              <w:jc w:val="center"/>
              <w:rPr>
                <w:sz w:val="24"/>
                <w:szCs w:val="24"/>
                <w:lang w:val="en-US"/>
              </w:rPr>
            </w:pPr>
            <w:r w:rsidRPr="00D05956">
              <w:rPr>
                <w:sz w:val="24"/>
                <w:szCs w:val="24"/>
                <w:lang w:val="en-US"/>
              </w:rPr>
              <w:t>77</w:t>
            </w:r>
            <w:r w:rsidRPr="00D05956">
              <w:rPr>
                <w:sz w:val="24"/>
                <w:szCs w:val="24"/>
              </w:rPr>
              <w:t>,</w:t>
            </w:r>
            <w:r w:rsidRPr="00D05956">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4347446"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B5D5DF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7EAEA4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A2B8BC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142,6</w:t>
            </w:r>
          </w:p>
        </w:tc>
        <w:tc>
          <w:tcPr>
            <w:tcW w:w="1133" w:type="dxa"/>
            <w:tcBorders>
              <w:top w:val="single" w:sz="4" w:space="0" w:color="auto"/>
              <w:left w:val="single" w:sz="4" w:space="0" w:color="auto"/>
              <w:bottom w:val="single" w:sz="4" w:space="0" w:color="auto"/>
              <w:right w:val="single" w:sz="4" w:space="0" w:color="auto"/>
            </w:tcBorders>
            <w:vAlign w:val="center"/>
          </w:tcPr>
          <w:p w14:paraId="3B841D1A" w14:textId="488DD8CE"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7024ED59" w14:textId="565D53F9" w:rsidTr="00AB578C">
        <w:tc>
          <w:tcPr>
            <w:tcW w:w="6216" w:type="dxa"/>
            <w:tcBorders>
              <w:top w:val="single" w:sz="4" w:space="0" w:color="auto"/>
              <w:left w:val="single" w:sz="4" w:space="0" w:color="auto"/>
              <w:bottom w:val="single" w:sz="4" w:space="0" w:color="auto"/>
              <w:right w:val="single" w:sz="4" w:space="0" w:color="auto"/>
            </w:tcBorders>
            <w:hideMark/>
          </w:tcPr>
          <w:p w14:paraId="37B5C3D4"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жер-кадастр істерінің саны, мың дана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3266F6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110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48CEF5B" w14:textId="77777777" w:rsidR="00CA2955" w:rsidRPr="00D05956" w:rsidRDefault="00CA2955" w:rsidP="001D7D7A">
            <w:pPr>
              <w:pStyle w:val="TableParagraph"/>
              <w:jc w:val="center"/>
              <w:rPr>
                <w:sz w:val="24"/>
                <w:szCs w:val="24"/>
                <w:lang w:val="en-US"/>
              </w:rPr>
            </w:pPr>
            <w:r w:rsidRPr="00D05956">
              <w:rPr>
                <w:sz w:val="24"/>
                <w:szCs w:val="24"/>
                <w:lang w:val="en-US"/>
              </w:rPr>
              <w:t>110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DC7323A"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DDEAF70"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2FD49C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A036AC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220</w:t>
            </w:r>
          </w:p>
        </w:tc>
        <w:tc>
          <w:tcPr>
            <w:tcW w:w="1133" w:type="dxa"/>
            <w:tcBorders>
              <w:top w:val="single" w:sz="4" w:space="0" w:color="auto"/>
              <w:left w:val="single" w:sz="4" w:space="0" w:color="auto"/>
              <w:bottom w:val="single" w:sz="4" w:space="0" w:color="auto"/>
              <w:right w:val="single" w:sz="4" w:space="0" w:color="auto"/>
            </w:tcBorders>
            <w:vAlign w:val="center"/>
          </w:tcPr>
          <w:p w14:paraId="556B5604" w14:textId="04C34343"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7C1C7F2" w14:textId="11CFBA23" w:rsidTr="00AB578C">
        <w:tc>
          <w:tcPr>
            <w:tcW w:w="6216" w:type="dxa"/>
            <w:tcBorders>
              <w:top w:val="single" w:sz="4" w:space="0" w:color="auto"/>
              <w:left w:val="single" w:sz="4" w:space="0" w:color="auto"/>
              <w:bottom w:val="single" w:sz="4" w:space="0" w:color="auto"/>
              <w:right w:val="single" w:sz="4" w:space="0" w:color="auto"/>
            </w:tcBorders>
            <w:hideMark/>
          </w:tcPr>
          <w:p w14:paraId="53B2560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11-іс-шара.</w:t>
            </w:r>
            <w:r w:rsidRPr="00D05956">
              <w:rPr>
                <w:rFonts w:ascii="Times New Roman" w:hAnsi="Times New Roman" w:cs="Times New Roman"/>
                <w:color w:val="000000"/>
                <w:spacing w:val="2"/>
                <w:sz w:val="24"/>
                <w:szCs w:val="24"/>
                <w:shd w:val="clear" w:color="auto" w:fill="FFFFFF"/>
                <w:lang w:val="kk-KZ"/>
              </w:rPr>
              <w:t xml:space="preserve"> </w:t>
            </w:r>
            <w:r w:rsidRPr="00D05956">
              <w:rPr>
                <w:rFonts w:ascii="Times New Roman" w:hAnsi="Times New Roman" w:cs="Times New Roman"/>
                <w:color w:val="000000"/>
                <w:spacing w:val="2"/>
                <w:sz w:val="24"/>
                <w:szCs w:val="24"/>
                <w:shd w:val="clear" w:color="auto" w:fill="FFFFFF"/>
              </w:rPr>
              <w:t>Жер мониторингін жүргізу,</w:t>
            </w:r>
            <w:r w:rsidRPr="00D05956">
              <w:rPr>
                <w:rFonts w:ascii="Times New Roman" w:hAnsi="Times New Roman" w:cs="Times New Roman"/>
                <w:color w:val="000000"/>
                <w:spacing w:val="2"/>
                <w:sz w:val="24"/>
                <w:szCs w:val="24"/>
                <w:shd w:val="clear" w:color="auto" w:fill="FFFFFF"/>
                <w:lang w:val="kk-KZ"/>
              </w:rPr>
              <w:t xml:space="preserve"> млн.тг</w:t>
            </w:r>
            <w:r w:rsidRPr="00D05956">
              <w:rPr>
                <w:rFonts w:ascii="Times New Roman" w:hAnsi="Times New Roman" w:cs="Times New Roman"/>
                <w:color w:val="000000"/>
                <w:spacing w:val="2"/>
                <w:sz w:val="24"/>
                <w:szCs w:val="24"/>
                <w:shd w:val="clear" w:color="auto" w:fill="FFFFFF"/>
              </w:rPr>
              <w:t> </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B9C587C" w14:textId="77777777" w:rsidR="00CA2955" w:rsidRPr="00D05956" w:rsidRDefault="00CA2955" w:rsidP="001D7D7A">
            <w:pPr>
              <w:pStyle w:val="TableParagraph"/>
              <w:jc w:val="center"/>
              <w:rPr>
                <w:sz w:val="24"/>
                <w:szCs w:val="24"/>
                <w:lang w:val="en-US"/>
              </w:rPr>
            </w:pPr>
            <w:r w:rsidRPr="00D05956">
              <w:rPr>
                <w:sz w:val="24"/>
                <w:szCs w:val="24"/>
                <w:lang w:val="en-US"/>
              </w:rPr>
              <w:t>104,0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7FB817C" w14:textId="77777777" w:rsidR="00CA2955" w:rsidRPr="00D05956" w:rsidRDefault="00CA2955" w:rsidP="001D7D7A">
            <w:pPr>
              <w:pStyle w:val="TableParagraph"/>
              <w:jc w:val="center"/>
              <w:rPr>
                <w:sz w:val="24"/>
                <w:szCs w:val="24"/>
                <w:lang w:val="en-US"/>
              </w:rPr>
            </w:pPr>
            <w:r w:rsidRPr="00D05956">
              <w:rPr>
                <w:sz w:val="24"/>
                <w:szCs w:val="24"/>
                <w:lang w:val="en-US"/>
              </w:rPr>
              <w:t>115,0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A3563A"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32FC34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A63CE0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1E34B0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219,0</w:t>
            </w:r>
          </w:p>
        </w:tc>
        <w:tc>
          <w:tcPr>
            <w:tcW w:w="1133" w:type="dxa"/>
            <w:tcBorders>
              <w:top w:val="single" w:sz="4" w:space="0" w:color="auto"/>
              <w:left w:val="single" w:sz="4" w:space="0" w:color="auto"/>
              <w:bottom w:val="single" w:sz="4" w:space="0" w:color="auto"/>
              <w:right w:val="single" w:sz="4" w:space="0" w:color="auto"/>
            </w:tcBorders>
            <w:vAlign w:val="center"/>
          </w:tcPr>
          <w:p w14:paraId="69248CA8" w14:textId="51F80E72"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F3DA6CE" w14:textId="3A34EEDC" w:rsidTr="00AB578C">
        <w:tc>
          <w:tcPr>
            <w:tcW w:w="6216" w:type="dxa"/>
            <w:tcBorders>
              <w:top w:val="single" w:sz="4" w:space="0" w:color="auto"/>
              <w:left w:val="single" w:sz="4" w:space="0" w:color="auto"/>
              <w:bottom w:val="single" w:sz="4" w:space="0" w:color="auto"/>
              <w:right w:val="single" w:sz="4" w:space="0" w:color="auto"/>
            </w:tcBorders>
            <w:hideMark/>
          </w:tcPr>
          <w:p w14:paraId="7020738A" w14:textId="77777777" w:rsidR="00CA2955" w:rsidRPr="00D05956" w:rsidRDefault="00CA2955" w:rsidP="001D7D7A">
            <w:pPr>
              <w:rPr>
                <w:rFonts w:ascii="Times New Roman" w:hAnsi="Times New Roman" w:cs="Times New Roman"/>
                <w:color w:val="000000"/>
                <w:spacing w:val="2"/>
                <w:sz w:val="24"/>
                <w:szCs w:val="24"/>
                <w:shd w:val="clear" w:color="auto" w:fill="FFFFFF"/>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7FD732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10000,0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137D9AA" w14:textId="77777777" w:rsidR="00CA2955" w:rsidRPr="00D05956" w:rsidRDefault="00CA2955" w:rsidP="001D7D7A">
            <w:pPr>
              <w:pStyle w:val="TableParagraph"/>
              <w:jc w:val="center"/>
              <w:rPr>
                <w:sz w:val="24"/>
                <w:szCs w:val="24"/>
                <w:lang w:val="en-US"/>
              </w:rPr>
            </w:pPr>
            <w:r w:rsidRPr="00D05956">
              <w:rPr>
                <w:sz w:val="24"/>
                <w:szCs w:val="24"/>
                <w:lang w:val="en-US"/>
              </w:rPr>
              <w:t>10000,0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6A62C92"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008A067"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5FE4E3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80B295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20000,0</w:t>
            </w:r>
          </w:p>
        </w:tc>
        <w:tc>
          <w:tcPr>
            <w:tcW w:w="1133" w:type="dxa"/>
            <w:tcBorders>
              <w:top w:val="single" w:sz="4" w:space="0" w:color="auto"/>
              <w:left w:val="single" w:sz="4" w:space="0" w:color="auto"/>
              <w:bottom w:val="single" w:sz="4" w:space="0" w:color="auto"/>
              <w:right w:val="single" w:sz="4" w:space="0" w:color="auto"/>
            </w:tcBorders>
            <w:vAlign w:val="center"/>
          </w:tcPr>
          <w:p w14:paraId="1BBC41FE" w14:textId="344F1297"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9FB9D78" w14:textId="77777777" w:rsidTr="00AB578C">
        <w:tc>
          <w:tcPr>
            <w:tcW w:w="6216" w:type="dxa"/>
            <w:tcBorders>
              <w:top w:val="single" w:sz="4" w:space="0" w:color="auto"/>
              <w:left w:val="nil"/>
              <w:bottom w:val="nil"/>
              <w:right w:val="nil"/>
            </w:tcBorders>
          </w:tcPr>
          <w:p w14:paraId="5C2BFE5D" w14:textId="77777777" w:rsidR="00AB578C" w:rsidRPr="00D05956" w:rsidRDefault="00AB578C" w:rsidP="001D7D7A">
            <w:pPr>
              <w:rPr>
                <w:rFonts w:ascii="Times New Roman" w:hAnsi="Times New Roman" w:cs="Times New Roman"/>
                <w:color w:val="000000"/>
                <w:spacing w:val="2"/>
                <w:sz w:val="24"/>
                <w:szCs w:val="24"/>
                <w:shd w:val="clear" w:color="auto" w:fill="FFFFFF"/>
              </w:rPr>
            </w:pPr>
          </w:p>
        </w:tc>
        <w:tc>
          <w:tcPr>
            <w:tcW w:w="1399" w:type="dxa"/>
            <w:tcBorders>
              <w:top w:val="single" w:sz="4" w:space="0" w:color="auto"/>
              <w:left w:val="nil"/>
              <w:bottom w:val="nil"/>
              <w:right w:val="nil"/>
            </w:tcBorders>
            <w:vAlign w:val="center"/>
          </w:tcPr>
          <w:p w14:paraId="1ECA158C" w14:textId="77777777" w:rsidR="00AB578C" w:rsidRPr="00D05956" w:rsidRDefault="00AB578C" w:rsidP="001D7D7A">
            <w:pPr>
              <w:jc w:val="center"/>
              <w:rPr>
                <w:rFonts w:ascii="Times New Roman" w:hAnsi="Times New Roman" w:cs="Times New Roman"/>
                <w:sz w:val="24"/>
                <w:szCs w:val="24"/>
                <w:lang w:val="en-US"/>
              </w:rPr>
            </w:pPr>
          </w:p>
        </w:tc>
        <w:tc>
          <w:tcPr>
            <w:tcW w:w="1266" w:type="dxa"/>
            <w:tcBorders>
              <w:top w:val="single" w:sz="4" w:space="0" w:color="auto"/>
              <w:left w:val="nil"/>
              <w:bottom w:val="nil"/>
              <w:right w:val="nil"/>
            </w:tcBorders>
            <w:vAlign w:val="center"/>
          </w:tcPr>
          <w:p w14:paraId="49A95494" w14:textId="77777777" w:rsidR="00AB578C" w:rsidRPr="00D05956" w:rsidRDefault="00AB578C" w:rsidP="001D7D7A">
            <w:pPr>
              <w:pStyle w:val="TableParagraph"/>
              <w:jc w:val="center"/>
              <w:rPr>
                <w:sz w:val="24"/>
                <w:szCs w:val="24"/>
                <w:lang w:val="en-US"/>
              </w:rPr>
            </w:pPr>
          </w:p>
        </w:tc>
        <w:tc>
          <w:tcPr>
            <w:tcW w:w="1263" w:type="dxa"/>
            <w:tcBorders>
              <w:top w:val="single" w:sz="4" w:space="0" w:color="auto"/>
              <w:left w:val="nil"/>
              <w:bottom w:val="nil"/>
              <w:right w:val="nil"/>
            </w:tcBorders>
            <w:vAlign w:val="center"/>
          </w:tcPr>
          <w:p w14:paraId="001E9EDE" w14:textId="77777777" w:rsidR="00AB578C" w:rsidRPr="00D05956" w:rsidRDefault="00AB578C" w:rsidP="001D7D7A">
            <w:pPr>
              <w:pStyle w:val="TableParagraph"/>
              <w:jc w:val="center"/>
              <w:rPr>
                <w:kern w:val="36"/>
                <w:sz w:val="24"/>
                <w:szCs w:val="24"/>
                <w:lang w:val="kk-KZ" w:eastAsia="ru-RU"/>
              </w:rPr>
            </w:pPr>
          </w:p>
        </w:tc>
        <w:tc>
          <w:tcPr>
            <w:tcW w:w="1263" w:type="dxa"/>
            <w:tcBorders>
              <w:top w:val="single" w:sz="4" w:space="0" w:color="auto"/>
              <w:left w:val="nil"/>
              <w:bottom w:val="nil"/>
              <w:right w:val="nil"/>
            </w:tcBorders>
            <w:vAlign w:val="center"/>
          </w:tcPr>
          <w:p w14:paraId="31C149BF"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nil"/>
              <w:bottom w:val="nil"/>
              <w:right w:val="nil"/>
            </w:tcBorders>
            <w:vAlign w:val="center"/>
          </w:tcPr>
          <w:p w14:paraId="5F36E679"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236" w:type="dxa"/>
            <w:tcBorders>
              <w:top w:val="single" w:sz="4" w:space="0" w:color="auto"/>
              <w:left w:val="nil"/>
              <w:bottom w:val="nil"/>
              <w:right w:val="nil"/>
            </w:tcBorders>
            <w:vAlign w:val="center"/>
          </w:tcPr>
          <w:p w14:paraId="5834A020" w14:textId="77777777" w:rsidR="00AB578C" w:rsidRPr="00D05956" w:rsidRDefault="00AB578C" w:rsidP="001D7D7A">
            <w:pPr>
              <w:jc w:val="center"/>
              <w:rPr>
                <w:rFonts w:ascii="Times New Roman" w:eastAsia="Times New Roman" w:hAnsi="Times New Roman" w:cs="Times New Roman"/>
                <w:kern w:val="36"/>
                <w:sz w:val="24"/>
                <w:szCs w:val="24"/>
                <w:lang w:val="kk-KZ" w:eastAsia="ru-RU"/>
              </w:rPr>
            </w:pPr>
          </w:p>
        </w:tc>
        <w:tc>
          <w:tcPr>
            <w:tcW w:w="1133" w:type="dxa"/>
            <w:tcBorders>
              <w:top w:val="single" w:sz="4" w:space="0" w:color="auto"/>
              <w:left w:val="nil"/>
              <w:bottom w:val="nil"/>
              <w:right w:val="nil"/>
            </w:tcBorders>
            <w:vAlign w:val="center"/>
          </w:tcPr>
          <w:p w14:paraId="75EFC23D" w14:textId="77777777" w:rsidR="00AB578C" w:rsidRDefault="00AB578C" w:rsidP="00CA2955">
            <w:pPr>
              <w:jc w:val="center"/>
              <w:rPr>
                <w:rFonts w:ascii="Times New Roman" w:eastAsia="Times New Roman" w:hAnsi="Times New Roman" w:cs="Times New Roman"/>
                <w:kern w:val="36"/>
                <w:sz w:val="24"/>
                <w:szCs w:val="24"/>
                <w:lang w:val="kk-KZ" w:eastAsia="ru-RU"/>
              </w:rPr>
            </w:pPr>
          </w:p>
        </w:tc>
      </w:tr>
      <w:tr w:rsidR="00AB578C" w14:paraId="15803D53" w14:textId="77777777" w:rsidTr="00AB578C">
        <w:tc>
          <w:tcPr>
            <w:tcW w:w="13771" w:type="dxa"/>
            <w:gridSpan w:val="7"/>
            <w:tcBorders>
              <w:top w:val="nil"/>
              <w:left w:val="nil"/>
              <w:bottom w:val="single" w:sz="4" w:space="0" w:color="auto"/>
              <w:right w:val="nil"/>
            </w:tcBorders>
          </w:tcPr>
          <w:p w14:paraId="4B393BD6" w14:textId="77777777" w:rsidR="00AB578C" w:rsidRDefault="00AB578C">
            <w:pPr>
              <w:ind w:hanging="94"/>
              <w:rPr>
                <w:rFonts w:ascii="Times New Roman" w:eastAsia="Times New Roman" w:hAnsi="Times New Roman" w:cs="Times New Roman"/>
                <w:kern w:val="36"/>
                <w:sz w:val="28"/>
                <w:szCs w:val="28"/>
                <w:lang w:val="kk-KZ" w:eastAsia="ru-RU"/>
              </w:rPr>
            </w:pPr>
            <w:r>
              <w:rPr>
                <w:rFonts w:ascii="Times New Roman" w:eastAsia="Times New Roman" w:hAnsi="Times New Roman" w:cs="Times New Roman"/>
                <w:kern w:val="36"/>
                <w:sz w:val="28"/>
                <w:szCs w:val="28"/>
                <w:lang w:val="kk-KZ" w:eastAsia="ru-RU"/>
              </w:rPr>
              <w:t>В.1-кестенің жалғасы</w:t>
            </w:r>
          </w:p>
          <w:p w14:paraId="6DB954E2" w14:textId="77777777" w:rsidR="00AB578C" w:rsidRDefault="00AB578C">
            <w:pPr>
              <w:ind w:hanging="122"/>
              <w:rPr>
                <w:rFonts w:ascii="Times New Roman" w:eastAsia="Times New Roman" w:hAnsi="Times New Roman" w:cs="Times New Roman"/>
                <w:kern w:val="36"/>
                <w:sz w:val="16"/>
                <w:szCs w:val="16"/>
                <w:lang w:val="kk-KZ" w:eastAsia="ru-RU"/>
              </w:rPr>
            </w:pPr>
          </w:p>
        </w:tc>
        <w:tc>
          <w:tcPr>
            <w:tcW w:w="1133" w:type="dxa"/>
            <w:tcBorders>
              <w:top w:val="nil"/>
              <w:left w:val="nil"/>
              <w:bottom w:val="single" w:sz="4" w:space="0" w:color="auto"/>
              <w:right w:val="nil"/>
            </w:tcBorders>
            <w:vAlign w:val="center"/>
          </w:tcPr>
          <w:p w14:paraId="79FA61A0" w14:textId="77777777" w:rsidR="00AB578C" w:rsidRDefault="00AB578C">
            <w:pPr>
              <w:ind w:hanging="94"/>
              <w:jc w:val="center"/>
              <w:rPr>
                <w:rFonts w:ascii="Times New Roman" w:eastAsia="Times New Roman" w:hAnsi="Times New Roman" w:cs="Times New Roman"/>
                <w:kern w:val="36"/>
                <w:sz w:val="28"/>
                <w:szCs w:val="28"/>
                <w:lang w:val="kk-KZ" w:eastAsia="ru-RU"/>
              </w:rPr>
            </w:pPr>
          </w:p>
        </w:tc>
      </w:tr>
      <w:tr w:rsidR="00AB578C" w14:paraId="32A73392" w14:textId="77777777" w:rsidTr="00AB578C">
        <w:tc>
          <w:tcPr>
            <w:tcW w:w="6213" w:type="dxa"/>
            <w:tcBorders>
              <w:top w:val="single" w:sz="4" w:space="0" w:color="auto"/>
              <w:left w:val="single" w:sz="4" w:space="0" w:color="auto"/>
              <w:bottom w:val="single" w:sz="4" w:space="0" w:color="auto"/>
              <w:right w:val="single" w:sz="4" w:space="0" w:color="auto"/>
            </w:tcBorders>
            <w:hideMark/>
          </w:tcPr>
          <w:p w14:paraId="73BD58EA" w14:textId="77777777" w:rsidR="00AB578C" w:rsidRDefault="00AB578C">
            <w:pPr>
              <w:jc w:val="center"/>
              <w:rPr>
                <w:rFonts w:ascii="Times New Roman" w:hAnsi="Times New Roman" w:cs="Times New Roman"/>
                <w:color w:val="000000"/>
                <w:spacing w:val="2"/>
                <w:sz w:val="24"/>
                <w:szCs w:val="24"/>
                <w:bdr w:val="none" w:sz="0" w:space="0" w:color="auto" w:frame="1"/>
                <w:shd w:val="clear" w:color="auto" w:fill="FFFFFF"/>
                <w:lang w:val="kk-KZ"/>
              </w:rPr>
            </w:pPr>
            <w:r>
              <w:rPr>
                <w:rFonts w:ascii="Times New Roman" w:hAnsi="Times New Roman" w:cs="Times New Roman"/>
                <w:color w:val="000000"/>
                <w:spacing w:val="2"/>
                <w:sz w:val="24"/>
                <w:szCs w:val="24"/>
                <w:bdr w:val="none" w:sz="0" w:space="0" w:color="auto" w:frame="1"/>
                <w:shd w:val="clear" w:color="auto" w:fill="FFFFFF"/>
                <w:lang w:val="kk-KZ"/>
              </w:rPr>
              <w:t>1</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208F8F3"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D436A80" w14:textId="77777777" w:rsidR="00AB578C" w:rsidRDefault="00AB578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E59A3BD"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FEB7196" w14:textId="77777777" w:rsidR="00AB578C" w:rsidRDefault="00AB578C">
            <w:pPr>
              <w:jc w:val="center"/>
              <w:rPr>
                <w:rFonts w:ascii="Times New Roman" w:hAnsi="Times New Roman" w:cs="Times New Roman"/>
                <w:w w:val="99"/>
                <w:sz w:val="24"/>
                <w:szCs w:val="24"/>
                <w:lang w:val="kk-KZ"/>
              </w:rPr>
            </w:pPr>
            <w:r>
              <w:rPr>
                <w:rFonts w:ascii="Times New Roman" w:hAnsi="Times New Roman" w:cs="Times New Roman"/>
                <w:w w:val="99"/>
                <w:sz w:val="24"/>
                <w:szCs w:val="24"/>
                <w:lang w:val="kk-KZ"/>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6715EDB"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6</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650EFD2" w14:textId="77777777" w:rsidR="00AB578C" w:rsidRDefault="00AB578C">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14:paraId="0A0D1339" w14:textId="77777777" w:rsidR="00AB578C" w:rsidRDefault="00AB578C">
            <w:pPr>
              <w:jc w:val="center"/>
              <w:rPr>
                <w:rFonts w:ascii="Times New Roman" w:eastAsia="Times New Roman" w:hAnsi="Times New Roman" w:cs="Times New Roman"/>
                <w:kern w:val="36"/>
                <w:sz w:val="24"/>
                <w:szCs w:val="24"/>
                <w:lang w:val="kk-KZ" w:eastAsia="ru-RU"/>
              </w:rPr>
            </w:pPr>
          </w:p>
        </w:tc>
      </w:tr>
      <w:tr w:rsidR="00AB578C" w:rsidRPr="00D05956" w14:paraId="67B8F8F8" w14:textId="203C7F79" w:rsidTr="00AB578C">
        <w:tc>
          <w:tcPr>
            <w:tcW w:w="6216" w:type="dxa"/>
            <w:tcBorders>
              <w:top w:val="single" w:sz="4" w:space="0" w:color="auto"/>
              <w:left w:val="single" w:sz="4" w:space="0" w:color="auto"/>
              <w:bottom w:val="single" w:sz="4" w:space="0" w:color="auto"/>
              <w:right w:val="single" w:sz="4" w:space="0" w:color="auto"/>
            </w:tcBorders>
            <w:hideMark/>
          </w:tcPr>
          <w:p w14:paraId="4B34E92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12-іс-шара. Жерлерді паспорттау үшін топырақтық материалдарды жаңарту, млн. теңге</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7E15F79" w14:textId="77777777" w:rsidR="00CA2955" w:rsidRPr="00D05956" w:rsidRDefault="00CA2955" w:rsidP="001D7D7A">
            <w:pPr>
              <w:pStyle w:val="TableParagraph"/>
              <w:jc w:val="center"/>
              <w:rPr>
                <w:sz w:val="24"/>
                <w:szCs w:val="24"/>
              </w:rPr>
            </w:pPr>
            <w:r w:rsidRPr="00D05956">
              <w:rPr>
                <w:sz w:val="24"/>
                <w:szCs w:val="24"/>
                <w:lang w:val="en-US"/>
              </w:rPr>
              <w:t>226</w:t>
            </w:r>
            <w:r w:rsidRPr="00D05956">
              <w:rPr>
                <w:sz w:val="24"/>
                <w:szCs w:val="24"/>
              </w:rPr>
              <w:t>,0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C188AC9"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911517"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CE2E58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78D360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F5E8248"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226,0</w:t>
            </w:r>
          </w:p>
        </w:tc>
        <w:tc>
          <w:tcPr>
            <w:tcW w:w="1133" w:type="dxa"/>
            <w:tcBorders>
              <w:top w:val="single" w:sz="4" w:space="0" w:color="auto"/>
              <w:left w:val="single" w:sz="4" w:space="0" w:color="auto"/>
              <w:bottom w:val="single" w:sz="4" w:space="0" w:color="auto"/>
              <w:right w:val="single" w:sz="4" w:space="0" w:color="auto"/>
            </w:tcBorders>
            <w:vAlign w:val="center"/>
          </w:tcPr>
          <w:p w14:paraId="4BF30266" w14:textId="58890944"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798354E" w14:textId="44AFDACC" w:rsidTr="00AB578C">
        <w:tc>
          <w:tcPr>
            <w:tcW w:w="6216" w:type="dxa"/>
            <w:tcBorders>
              <w:top w:val="single" w:sz="4" w:space="0" w:color="auto"/>
              <w:left w:val="single" w:sz="4" w:space="0" w:color="auto"/>
              <w:bottom w:val="single" w:sz="4" w:space="0" w:color="auto"/>
              <w:right w:val="single" w:sz="4" w:space="0" w:color="auto"/>
            </w:tcBorders>
            <w:hideMark/>
          </w:tcPr>
          <w:p w14:paraId="3E3422D4" w14:textId="77777777" w:rsidR="00CA2955" w:rsidRPr="00D05956" w:rsidRDefault="00CA2955" w:rsidP="001D7D7A">
            <w:pPr>
              <w:rPr>
                <w:rFonts w:ascii="Times New Roman" w:hAnsi="Times New Roman" w:cs="Times New Roman"/>
                <w:color w:val="000000"/>
                <w:spacing w:val="2"/>
                <w:sz w:val="24"/>
                <w:szCs w:val="24"/>
                <w:shd w:val="clear" w:color="auto" w:fill="FFFFFF"/>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128E59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8FCFC78"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C6E5200"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F4C8BA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695CA8C"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8850F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600,0</w:t>
            </w:r>
          </w:p>
        </w:tc>
        <w:tc>
          <w:tcPr>
            <w:tcW w:w="1133" w:type="dxa"/>
            <w:tcBorders>
              <w:top w:val="single" w:sz="4" w:space="0" w:color="auto"/>
              <w:left w:val="single" w:sz="4" w:space="0" w:color="auto"/>
              <w:bottom w:val="single" w:sz="4" w:space="0" w:color="auto"/>
              <w:right w:val="single" w:sz="4" w:space="0" w:color="auto"/>
            </w:tcBorders>
            <w:vAlign w:val="center"/>
          </w:tcPr>
          <w:p w14:paraId="2969927C" w14:textId="1C354A73"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5569ACF2" w14:textId="522578BC" w:rsidTr="00AB578C">
        <w:tc>
          <w:tcPr>
            <w:tcW w:w="6216" w:type="dxa"/>
            <w:tcBorders>
              <w:top w:val="single" w:sz="4" w:space="0" w:color="auto"/>
              <w:left w:val="single" w:sz="4" w:space="0" w:color="auto"/>
              <w:bottom w:val="single" w:sz="4" w:space="0" w:color="auto"/>
              <w:right w:val="single" w:sz="4" w:space="0" w:color="auto"/>
            </w:tcBorders>
            <w:hideMark/>
          </w:tcPr>
          <w:p w14:paraId="3541D60A"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13-іс-шара. Жерлерді паспорттау үшін топырақтың бонитетін анықтау,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9BD1C45" w14:textId="77777777" w:rsidR="00CA2955" w:rsidRPr="00D05956" w:rsidRDefault="00CA2955" w:rsidP="001D7D7A">
            <w:pPr>
              <w:pStyle w:val="TableParagraph"/>
              <w:jc w:val="center"/>
              <w:rPr>
                <w:sz w:val="24"/>
                <w:szCs w:val="24"/>
              </w:rPr>
            </w:pPr>
            <w:r w:rsidRPr="00D05956">
              <w:rPr>
                <w:sz w:val="24"/>
                <w:szCs w:val="24"/>
                <w:lang w:val="en-US"/>
              </w:rPr>
              <w:t>263</w:t>
            </w:r>
            <w:r w:rsidRPr="00D05956">
              <w:rPr>
                <w:sz w:val="24"/>
                <w:szCs w:val="24"/>
              </w:rPr>
              <w:t>,4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6F2465B"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781C8E2"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90445F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3FBFF1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5764609"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263,4</w:t>
            </w:r>
          </w:p>
        </w:tc>
        <w:tc>
          <w:tcPr>
            <w:tcW w:w="1133" w:type="dxa"/>
            <w:tcBorders>
              <w:top w:val="single" w:sz="4" w:space="0" w:color="auto"/>
              <w:left w:val="single" w:sz="4" w:space="0" w:color="auto"/>
              <w:bottom w:val="single" w:sz="4" w:space="0" w:color="auto"/>
              <w:right w:val="single" w:sz="4" w:space="0" w:color="auto"/>
            </w:tcBorders>
            <w:vAlign w:val="center"/>
          </w:tcPr>
          <w:p w14:paraId="0295AE66" w14:textId="4375E1F6"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08A3805" w14:textId="43503A53" w:rsidTr="00AB578C">
        <w:tc>
          <w:tcPr>
            <w:tcW w:w="6216" w:type="dxa"/>
            <w:tcBorders>
              <w:top w:val="single" w:sz="4" w:space="0" w:color="auto"/>
              <w:left w:val="single" w:sz="4" w:space="0" w:color="auto"/>
              <w:bottom w:val="single" w:sz="4" w:space="0" w:color="auto"/>
              <w:right w:val="single" w:sz="4" w:space="0" w:color="auto"/>
            </w:tcBorders>
            <w:hideMark/>
          </w:tcPr>
          <w:p w14:paraId="521CAC7C" w14:textId="77777777" w:rsidR="00CA2955" w:rsidRPr="00D05956" w:rsidRDefault="00CA2955" w:rsidP="001D7D7A">
            <w:pPr>
              <w:rPr>
                <w:rFonts w:ascii="Times New Roman" w:hAnsi="Times New Roman" w:cs="Times New Roman"/>
                <w:color w:val="000000"/>
                <w:spacing w:val="2"/>
                <w:sz w:val="24"/>
                <w:szCs w:val="24"/>
                <w:shd w:val="clear" w:color="auto" w:fill="FFFFFF"/>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111F27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600,0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88F2B14"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7745710"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53CCE8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8CB5F4B"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D1382B5"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600,0</w:t>
            </w:r>
          </w:p>
        </w:tc>
        <w:tc>
          <w:tcPr>
            <w:tcW w:w="1133" w:type="dxa"/>
            <w:tcBorders>
              <w:top w:val="single" w:sz="4" w:space="0" w:color="auto"/>
              <w:left w:val="single" w:sz="4" w:space="0" w:color="auto"/>
              <w:bottom w:val="single" w:sz="4" w:space="0" w:color="auto"/>
              <w:right w:val="single" w:sz="4" w:space="0" w:color="auto"/>
            </w:tcBorders>
            <w:vAlign w:val="center"/>
          </w:tcPr>
          <w:p w14:paraId="77DA4FA1" w14:textId="1C6A7F73"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1ADC69C7" w14:textId="0D2DBD4A" w:rsidTr="00AB578C">
        <w:tc>
          <w:tcPr>
            <w:tcW w:w="6216" w:type="dxa"/>
            <w:tcBorders>
              <w:top w:val="single" w:sz="4" w:space="0" w:color="auto"/>
              <w:left w:val="single" w:sz="4" w:space="0" w:color="auto"/>
              <w:bottom w:val="single" w:sz="4" w:space="0" w:color="auto"/>
              <w:right w:val="single" w:sz="4" w:space="0" w:color="auto"/>
            </w:tcBorders>
            <w:hideMark/>
          </w:tcPr>
          <w:p w14:paraId="5193B842"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14-іс-шара. Қалалар мен елді мекендердің жерлерінде қалыптастырылған есепке алынған орамдардың электрондық карталарын жасау,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B10AEC5" w14:textId="77777777" w:rsidR="00CA2955" w:rsidRPr="00D05956" w:rsidRDefault="00CA2955" w:rsidP="001D7D7A">
            <w:pPr>
              <w:pStyle w:val="TableParagraph"/>
              <w:jc w:val="center"/>
              <w:rPr>
                <w:sz w:val="24"/>
                <w:szCs w:val="24"/>
              </w:rPr>
            </w:pPr>
            <w:r w:rsidRPr="00D05956">
              <w:rPr>
                <w:sz w:val="24"/>
                <w:szCs w:val="24"/>
                <w:lang w:val="en-US"/>
              </w:rPr>
              <w:t>480</w:t>
            </w:r>
            <w:r w:rsidRPr="00D05956">
              <w:rPr>
                <w:sz w:val="24"/>
                <w:szCs w:val="24"/>
              </w:rPr>
              <w:t>,7</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A0D84FF" w14:textId="77777777" w:rsidR="00CA2955" w:rsidRPr="00D05956" w:rsidRDefault="00CA2955" w:rsidP="001D7D7A">
            <w:pPr>
              <w:pStyle w:val="TableParagraph"/>
              <w:jc w:val="center"/>
              <w:rPr>
                <w:sz w:val="24"/>
                <w:szCs w:val="24"/>
              </w:rPr>
            </w:pPr>
            <w:r w:rsidRPr="00D05956">
              <w:rPr>
                <w:sz w:val="24"/>
                <w:szCs w:val="24"/>
                <w:lang w:val="en-US"/>
              </w:rPr>
              <w:t>528</w:t>
            </w:r>
            <w:r w:rsidRPr="00D05956">
              <w:rPr>
                <w:sz w:val="24"/>
                <w:szCs w:val="24"/>
              </w:rPr>
              <w:t>,8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3B404C7"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280D7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799CA3A"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1EFE2CB"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1009,5</w:t>
            </w:r>
          </w:p>
        </w:tc>
        <w:tc>
          <w:tcPr>
            <w:tcW w:w="1133" w:type="dxa"/>
            <w:tcBorders>
              <w:top w:val="single" w:sz="4" w:space="0" w:color="auto"/>
              <w:left w:val="single" w:sz="4" w:space="0" w:color="auto"/>
              <w:bottom w:val="single" w:sz="4" w:space="0" w:color="auto"/>
              <w:right w:val="single" w:sz="4" w:space="0" w:color="auto"/>
            </w:tcBorders>
            <w:vAlign w:val="center"/>
          </w:tcPr>
          <w:p w14:paraId="2EC385A4" w14:textId="3CA81387"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6B7A0A8E" w14:textId="1DEAC28A" w:rsidTr="00AB578C">
        <w:tc>
          <w:tcPr>
            <w:tcW w:w="6216" w:type="dxa"/>
            <w:tcBorders>
              <w:top w:val="single" w:sz="4" w:space="0" w:color="auto"/>
              <w:left w:val="single" w:sz="4" w:space="0" w:color="auto"/>
              <w:bottom w:val="single" w:sz="4" w:space="0" w:color="auto"/>
              <w:right w:val="single" w:sz="4" w:space="0" w:color="auto"/>
            </w:tcBorders>
            <w:hideMark/>
          </w:tcPr>
          <w:p w14:paraId="14D2BDA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 мемлекеттік жер кадастры мәліметтерінің саны, мың дана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3C278A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150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69B4F00" w14:textId="77777777" w:rsidR="00CA2955" w:rsidRPr="00D05956" w:rsidRDefault="00CA2955" w:rsidP="001D7D7A">
            <w:pPr>
              <w:pStyle w:val="TableParagraph"/>
              <w:jc w:val="center"/>
              <w:rPr>
                <w:sz w:val="24"/>
                <w:szCs w:val="24"/>
                <w:lang w:val="en-US"/>
              </w:rPr>
            </w:pPr>
            <w:r w:rsidRPr="00D05956">
              <w:rPr>
                <w:sz w:val="24"/>
                <w:szCs w:val="24"/>
                <w:lang w:val="en-US"/>
              </w:rPr>
              <w:t>150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F326CA0"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7DDD64"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3A2FFB3"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F383C9C"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300,0</w:t>
            </w:r>
          </w:p>
        </w:tc>
        <w:tc>
          <w:tcPr>
            <w:tcW w:w="1133" w:type="dxa"/>
            <w:tcBorders>
              <w:top w:val="single" w:sz="4" w:space="0" w:color="auto"/>
              <w:left w:val="single" w:sz="4" w:space="0" w:color="auto"/>
              <w:bottom w:val="single" w:sz="4" w:space="0" w:color="auto"/>
              <w:right w:val="single" w:sz="4" w:space="0" w:color="auto"/>
            </w:tcBorders>
            <w:vAlign w:val="center"/>
          </w:tcPr>
          <w:p w14:paraId="5235F96E" w14:textId="1701F717"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42B72E19" w14:textId="7BAECDDE" w:rsidTr="00AB578C">
        <w:tc>
          <w:tcPr>
            <w:tcW w:w="6216" w:type="dxa"/>
            <w:tcBorders>
              <w:top w:val="single" w:sz="4" w:space="0" w:color="auto"/>
              <w:left w:val="single" w:sz="4" w:space="0" w:color="auto"/>
              <w:bottom w:val="single" w:sz="4" w:space="0" w:color="auto"/>
              <w:right w:val="single" w:sz="4" w:space="0" w:color="auto"/>
            </w:tcBorders>
            <w:hideMark/>
          </w:tcPr>
          <w:p w14:paraId="43F3DA47"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lang w:val="kk-KZ"/>
              </w:rPr>
              <w:t>15-іс-шара. Ауыл шаруашылығы карталарын жасау, млн.тг</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D09B6D2" w14:textId="77777777" w:rsidR="00CA2955" w:rsidRPr="00D05956" w:rsidRDefault="00CA2955" w:rsidP="001D7D7A">
            <w:pPr>
              <w:pStyle w:val="TableParagraph"/>
              <w:jc w:val="center"/>
              <w:rPr>
                <w:sz w:val="24"/>
                <w:szCs w:val="24"/>
              </w:rPr>
            </w:pPr>
            <w:r w:rsidRPr="00D05956">
              <w:rPr>
                <w:sz w:val="24"/>
                <w:szCs w:val="24"/>
                <w:lang w:val="en-US"/>
              </w:rPr>
              <w:t>378</w:t>
            </w:r>
            <w:r w:rsidRPr="00D05956">
              <w:rPr>
                <w:sz w:val="24"/>
                <w:szCs w:val="24"/>
              </w:rPr>
              <w:t>,3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8B79F1B" w14:textId="77777777" w:rsidR="00CA2955" w:rsidRPr="00D05956" w:rsidRDefault="00CA2955" w:rsidP="001D7D7A">
            <w:pPr>
              <w:pStyle w:val="TableParagraph"/>
              <w:jc w:val="center"/>
              <w:rPr>
                <w:sz w:val="24"/>
                <w:szCs w:val="24"/>
                <w:lang w:val="en-US"/>
              </w:rPr>
            </w:pPr>
            <w:r w:rsidRPr="00D05956">
              <w:rPr>
                <w:sz w:val="24"/>
                <w:szCs w:val="24"/>
                <w:lang w:val="en-US"/>
              </w:rPr>
              <w:t>456</w:t>
            </w:r>
            <w:r w:rsidRPr="00D05956">
              <w:rPr>
                <w:sz w:val="24"/>
                <w:szCs w:val="24"/>
              </w:rPr>
              <w:t>,</w:t>
            </w:r>
            <w:r w:rsidRPr="00D05956">
              <w:rPr>
                <w:sz w:val="24"/>
                <w:szCs w:val="24"/>
                <w:lang w:val="en-US"/>
              </w:rPr>
              <w:t>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75FC293"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FB84D4D"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7A8341"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30A06E4"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834,9</w:t>
            </w:r>
          </w:p>
        </w:tc>
        <w:tc>
          <w:tcPr>
            <w:tcW w:w="1133" w:type="dxa"/>
            <w:tcBorders>
              <w:top w:val="single" w:sz="4" w:space="0" w:color="auto"/>
              <w:left w:val="single" w:sz="4" w:space="0" w:color="auto"/>
              <w:bottom w:val="single" w:sz="4" w:space="0" w:color="auto"/>
              <w:right w:val="single" w:sz="4" w:space="0" w:color="auto"/>
            </w:tcBorders>
            <w:vAlign w:val="center"/>
          </w:tcPr>
          <w:p w14:paraId="7C1CC6D7" w14:textId="4170E70D"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68989230" w14:textId="7705166C" w:rsidTr="00AB578C">
        <w:tc>
          <w:tcPr>
            <w:tcW w:w="6216" w:type="dxa"/>
            <w:tcBorders>
              <w:top w:val="single" w:sz="4" w:space="0" w:color="auto"/>
              <w:left w:val="single" w:sz="4" w:space="0" w:color="auto"/>
              <w:bottom w:val="single" w:sz="4" w:space="0" w:color="auto"/>
              <w:right w:val="single" w:sz="4" w:space="0" w:color="auto"/>
            </w:tcBorders>
            <w:hideMark/>
          </w:tcPr>
          <w:p w14:paraId="087043AF"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 мың га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5E158CE"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10530,5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118B492" w14:textId="77777777" w:rsidR="00CA2955" w:rsidRPr="00D05956" w:rsidRDefault="00CA2955" w:rsidP="001D7D7A">
            <w:pPr>
              <w:pStyle w:val="TableParagraph"/>
              <w:jc w:val="center"/>
              <w:rPr>
                <w:sz w:val="24"/>
                <w:szCs w:val="24"/>
                <w:lang w:val="en-US"/>
              </w:rPr>
            </w:pPr>
            <w:r w:rsidRPr="00D05956">
              <w:rPr>
                <w:sz w:val="24"/>
                <w:szCs w:val="24"/>
                <w:lang w:val="en-US"/>
              </w:rPr>
              <w:t>8852,8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BD427CB" w14:textId="77777777" w:rsidR="00CA2955" w:rsidRPr="00D05956" w:rsidRDefault="00CA2955" w:rsidP="001D7D7A">
            <w:pPr>
              <w:pStyle w:val="TableParagraph"/>
              <w:jc w:val="center"/>
              <w:rPr>
                <w:sz w:val="24"/>
                <w:szCs w:val="24"/>
                <w:lang w:val="en-US"/>
              </w:rPr>
            </w:pPr>
            <w:r w:rsidRPr="00D05956">
              <w:rPr>
                <w:kern w:val="36"/>
                <w:sz w:val="24"/>
                <w:szCs w:val="24"/>
                <w:lang w:val="kk-KZ" w:eastAsia="ru-RU"/>
              </w:rPr>
              <w: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078005"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BC7219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eastAsia="Times New Roman" w:hAnsi="Times New Roman" w:cs="Times New Roman"/>
                <w:kern w:val="36"/>
                <w:sz w:val="24"/>
                <w:szCs w:val="24"/>
                <w:lang w:val="kk-KZ" w:eastAsia="ru-RU"/>
              </w:rPr>
              <w:t>-</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160C5FF"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19383,3</w:t>
            </w:r>
          </w:p>
        </w:tc>
        <w:tc>
          <w:tcPr>
            <w:tcW w:w="1133" w:type="dxa"/>
            <w:tcBorders>
              <w:top w:val="single" w:sz="4" w:space="0" w:color="auto"/>
              <w:left w:val="single" w:sz="4" w:space="0" w:color="auto"/>
              <w:bottom w:val="single" w:sz="4" w:space="0" w:color="auto"/>
              <w:right w:val="single" w:sz="4" w:space="0" w:color="auto"/>
            </w:tcBorders>
            <w:vAlign w:val="center"/>
          </w:tcPr>
          <w:p w14:paraId="193A11DE" w14:textId="235CB252"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011C9BC5" w14:textId="63CC2306" w:rsidTr="00AB578C">
        <w:tc>
          <w:tcPr>
            <w:tcW w:w="6216" w:type="dxa"/>
            <w:tcBorders>
              <w:top w:val="single" w:sz="4" w:space="0" w:color="auto"/>
              <w:left w:val="single" w:sz="4" w:space="0" w:color="auto"/>
              <w:bottom w:val="single" w:sz="4" w:space="0" w:color="auto"/>
              <w:right w:val="single" w:sz="4" w:space="0" w:color="auto"/>
            </w:tcBorders>
            <w:hideMark/>
          </w:tcPr>
          <w:p w14:paraId="402D3160" w14:textId="77777777" w:rsidR="00CA2955" w:rsidRPr="00D05956" w:rsidRDefault="00CA2955" w:rsidP="001D7D7A">
            <w:pPr>
              <w:rPr>
                <w:rFonts w:ascii="Times New Roman" w:hAnsi="Times New Roman" w:cs="Times New Roman"/>
                <w:color w:val="000000"/>
                <w:spacing w:val="2"/>
                <w:sz w:val="24"/>
                <w:szCs w:val="24"/>
                <w:shd w:val="clear" w:color="auto" w:fill="FFFFFF"/>
                <w:lang w:val="kk-KZ"/>
              </w:rPr>
            </w:pPr>
            <w:r w:rsidRPr="00D05956">
              <w:rPr>
                <w:rFonts w:ascii="Times New Roman" w:hAnsi="Times New Roman" w:cs="Times New Roman"/>
                <w:color w:val="000000"/>
                <w:spacing w:val="2"/>
                <w:sz w:val="24"/>
                <w:szCs w:val="24"/>
                <w:shd w:val="clear" w:color="auto" w:fill="FFFFFF"/>
              </w:rPr>
              <w:t>Тұрақты жұмыс орындарын құру </w:t>
            </w:r>
          </w:p>
        </w:tc>
        <w:tc>
          <w:tcPr>
            <w:tcW w:w="1399" w:type="dxa"/>
            <w:tcBorders>
              <w:top w:val="single" w:sz="4" w:space="0" w:color="auto"/>
              <w:left w:val="single" w:sz="4" w:space="0" w:color="auto"/>
              <w:bottom w:val="single" w:sz="4" w:space="0" w:color="auto"/>
              <w:right w:val="single" w:sz="4" w:space="0" w:color="auto"/>
            </w:tcBorders>
            <w:vAlign w:val="center"/>
            <w:hideMark/>
          </w:tcPr>
          <w:p w14:paraId="20CC05F8"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4619,0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E0DC99E" w14:textId="77777777" w:rsidR="00CA2955" w:rsidRPr="00D05956" w:rsidRDefault="00CA2955" w:rsidP="001D7D7A">
            <w:pPr>
              <w:pStyle w:val="TableParagraph"/>
              <w:jc w:val="center"/>
              <w:rPr>
                <w:sz w:val="24"/>
                <w:szCs w:val="24"/>
                <w:lang w:val="en-US"/>
              </w:rPr>
            </w:pPr>
            <w:r w:rsidRPr="00D05956">
              <w:rPr>
                <w:sz w:val="24"/>
                <w:szCs w:val="24"/>
                <w:lang w:val="en-US"/>
              </w:rPr>
              <w:t>8564,0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1FC9A07" w14:textId="77777777" w:rsidR="00CA2955" w:rsidRPr="00D05956" w:rsidRDefault="00CA2955" w:rsidP="001D7D7A">
            <w:pPr>
              <w:pStyle w:val="TableParagraph"/>
              <w:jc w:val="center"/>
              <w:rPr>
                <w:sz w:val="24"/>
                <w:szCs w:val="24"/>
                <w:lang w:val="en-US"/>
              </w:rPr>
            </w:pPr>
            <w:r w:rsidRPr="00D05956">
              <w:rPr>
                <w:sz w:val="24"/>
                <w:szCs w:val="24"/>
                <w:lang w:val="en-US"/>
              </w:rPr>
              <w:t>16752,0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ADBA09"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25694,0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DC6CDA6"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31258,0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ECC5D1A"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86887,0</w:t>
            </w:r>
          </w:p>
        </w:tc>
        <w:tc>
          <w:tcPr>
            <w:tcW w:w="1133" w:type="dxa"/>
            <w:tcBorders>
              <w:top w:val="single" w:sz="4" w:space="0" w:color="auto"/>
              <w:left w:val="single" w:sz="4" w:space="0" w:color="auto"/>
              <w:bottom w:val="single" w:sz="4" w:space="0" w:color="auto"/>
              <w:right w:val="single" w:sz="4" w:space="0" w:color="auto"/>
            </w:tcBorders>
            <w:vAlign w:val="center"/>
          </w:tcPr>
          <w:p w14:paraId="296891EB" w14:textId="3631AA0A" w:rsidR="00CA2955" w:rsidRPr="00D05956" w:rsidRDefault="00AB578C" w:rsidP="00CA2955">
            <w:pPr>
              <w:jc w:val="center"/>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w:t>
            </w:r>
          </w:p>
        </w:tc>
      </w:tr>
      <w:tr w:rsidR="00AB578C" w:rsidRPr="00D05956" w14:paraId="3AE4FF40" w14:textId="2BB2BE10" w:rsidTr="00AB578C">
        <w:tc>
          <w:tcPr>
            <w:tcW w:w="6216" w:type="dxa"/>
            <w:tcBorders>
              <w:top w:val="single" w:sz="4" w:space="0" w:color="auto"/>
              <w:left w:val="single" w:sz="4" w:space="0" w:color="auto"/>
              <w:bottom w:val="single" w:sz="4" w:space="0" w:color="auto"/>
              <w:right w:val="single" w:sz="4" w:space="0" w:color="auto"/>
            </w:tcBorders>
            <w:hideMark/>
          </w:tcPr>
          <w:p w14:paraId="419088A4" w14:textId="77777777" w:rsidR="00CA2955" w:rsidRPr="00D05956" w:rsidRDefault="00CA2955" w:rsidP="001D7D7A">
            <w:pPr>
              <w:rPr>
                <w:rFonts w:ascii="Times New Roman" w:hAnsi="Times New Roman" w:cs="Times New Roman"/>
                <w:color w:val="000000"/>
                <w:spacing w:val="2"/>
                <w:sz w:val="24"/>
                <w:szCs w:val="24"/>
                <w:shd w:val="clear" w:color="auto" w:fill="FFFFFF"/>
              </w:rPr>
            </w:pPr>
            <w:r w:rsidRPr="00D05956">
              <w:rPr>
                <w:rFonts w:ascii="Times New Roman" w:hAnsi="Times New Roman" w:cs="Times New Roman"/>
                <w:color w:val="000000"/>
                <w:spacing w:val="2"/>
                <w:sz w:val="24"/>
                <w:szCs w:val="24"/>
                <w:shd w:val="clear" w:color="auto" w:fill="FFFFFF"/>
              </w:rPr>
              <w:t>Уақытша жұмыс орындарын құру</w:t>
            </w:r>
          </w:p>
        </w:tc>
        <w:tc>
          <w:tcPr>
            <w:tcW w:w="1399" w:type="dxa"/>
            <w:tcBorders>
              <w:top w:val="single" w:sz="4" w:space="0" w:color="auto"/>
              <w:left w:val="single" w:sz="4" w:space="0" w:color="auto"/>
              <w:bottom w:val="single" w:sz="4" w:space="0" w:color="auto"/>
              <w:right w:val="single" w:sz="4" w:space="0" w:color="auto"/>
            </w:tcBorders>
            <w:vAlign w:val="center"/>
            <w:hideMark/>
          </w:tcPr>
          <w:p w14:paraId="60D6DEA2" w14:textId="77777777" w:rsidR="00CA2955" w:rsidRPr="00D05956" w:rsidRDefault="00CA2955" w:rsidP="001D7D7A">
            <w:pPr>
              <w:jc w:val="center"/>
              <w:rPr>
                <w:rFonts w:ascii="Times New Roman" w:eastAsia="Times New Roman" w:hAnsi="Times New Roman" w:cs="Times New Roman"/>
                <w:kern w:val="36"/>
                <w:sz w:val="24"/>
                <w:szCs w:val="24"/>
                <w:lang w:val="kk-KZ" w:eastAsia="ru-RU"/>
              </w:rPr>
            </w:pPr>
            <w:r w:rsidRPr="00D05956">
              <w:rPr>
                <w:rFonts w:ascii="Times New Roman" w:hAnsi="Times New Roman" w:cs="Times New Roman"/>
                <w:sz w:val="24"/>
                <w:szCs w:val="24"/>
                <w:lang w:val="en-US"/>
              </w:rPr>
              <w:t>28764,0</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E27D71A" w14:textId="77777777" w:rsidR="00CA2955" w:rsidRPr="00D05956" w:rsidRDefault="00CA2955" w:rsidP="001D7D7A">
            <w:pPr>
              <w:pStyle w:val="TableParagraph"/>
              <w:jc w:val="center"/>
              <w:rPr>
                <w:sz w:val="24"/>
                <w:szCs w:val="24"/>
                <w:lang w:val="en-US"/>
              </w:rPr>
            </w:pPr>
            <w:r w:rsidRPr="00D05956">
              <w:rPr>
                <w:sz w:val="24"/>
                <w:szCs w:val="24"/>
                <w:lang w:val="en-US"/>
              </w:rPr>
              <w:t>45715,0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973C9A6" w14:textId="77777777" w:rsidR="00CA2955" w:rsidRPr="00D05956" w:rsidRDefault="00CA2955" w:rsidP="001D7D7A">
            <w:pPr>
              <w:pStyle w:val="TableParagraph"/>
              <w:jc w:val="center"/>
              <w:rPr>
                <w:sz w:val="24"/>
                <w:szCs w:val="24"/>
                <w:lang w:val="en-US"/>
              </w:rPr>
            </w:pPr>
            <w:r w:rsidRPr="00D05956">
              <w:rPr>
                <w:sz w:val="24"/>
                <w:szCs w:val="24"/>
                <w:lang w:val="en-US"/>
              </w:rPr>
              <w:t>73701,0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A0BD0E6" w14:textId="77777777" w:rsidR="00CA2955" w:rsidRPr="00D05956" w:rsidRDefault="00CA2955" w:rsidP="001D7D7A">
            <w:pPr>
              <w:pStyle w:val="TableParagraph"/>
              <w:jc w:val="center"/>
              <w:rPr>
                <w:sz w:val="24"/>
                <w:szCs w:val="24"/>
                <w:lang w:val="en-US"/>
              </w:rPr>
            </w:pPr>
            <w:r w:rsidRPr="00D05956">
              <w:rPr>
                <w:sz w:val="24"/>
                <w:szCs w:val="24"/>
                <w:lang w:val="en-US"/>
              </w:rPr>
              <w:t>104985,0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25A0177" w14:textId="77777777" w:rsidR="00CA2955" w:rsidRPr="00D05956" w:rsidRDefault="00CA2955" w:rsidP="001D7D7A">
            <w:pPr>
              <w:pStyle w:val="TableParagraph"/>
              <w:jc w:val="center"/>
              <w:rPr>
                <w:sz w:val="24"/>
                <w:szCs w:val="24"/>
                <w:lang w:val="en-US"/>
              </w:rPr>
            </w:pPr>
            <w:r w:rsidRPr="00D05956">
              <w:rPr>
                <w:sz w:val="24"/>
                <w:szCs w:val="24"/>
                <w:lang w:val="en-US"/>
              </w:rPr>
              <w:t>128241,0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1F6FA16" w14:textId="77777777" w:rsidR="00CA2955" w:rsidRPr="00D05956" w:rsidRDefault="00CA2955" w:rsidP="001D7D7A">
            <w:pPr>
              <w:jc w:val="center"/>
              <w:rPr>
                <w:rFonts w:ascii="Times New Roman" w:eastAsia="Times New Roman" w:hAnsi="Times New Roman" w:cs="Times New Roman"/>
                <w:color w:val="FF0000"/>
                <w:kern w:val="36"/>
                <w:sz w:val="24"/>
                <w:szCs w:val="24"/>
                <w:lang w:val="kk-KZ" w:eastAsia="ru-RU"/>
              </w:rPr>
            </w:pPr>
            <w:r w:rsidRPr="00D05956">
              <w:rPr>
                <w:rFonts w:ascii="Times New Roman" w:eastAsia="Times New Roman" w:hAnsi="Times New Roman" w:cs="Times New Roman"/>
                <w:kern w:val="36"/>
                <w:sz w:val="24"/>
                <w:szCs w:val="24"/>
                <w:lang w:val="kk-KZ" w:eastAsia="ru-RU"/>
              </w:rPr>
              <w:t>381406,0</w:t>
            </w:r>
          </w:p>
        </w:tc>
        <w:tc>
          <w:tcPr>
            <w:tcW w:w="1133" w:type="dxa"/>
            <w:tcBorders>
              <w:top w:val="single" w:sz="4" w:space="0" w:color="auto"/>
              <w:left w:val="single" w:sz="4" w:space="0" w:color="auto"/>
              <w:bottom w:val="single" w:sz="4" w:space="0" w:color="auto"/>
              <w:right w:val="single" w:sz="4" w:space="0" w:color="auto"/>
            </w:tcBorders>
            <w:vAlign w:val="center"/>
          </w:tcPr>
          <w:p w14:paraId="03322F8D" w14:textId="77777777" w:rsidR="00CA2955" w:rsidRPr="00D05956" w:rsidRDefault="00CA2955" w:rsidP="00CA2955">
            <w:pPr>
              <w:jc w:val="center"/>
              <w:rPr>
                <w:rFonts w:ascii="Times New Roman" w:eastAsia="Times New Roman" w:hAnsi="Times New Roman" w:cs="Times New Roman"/>
                <w:kern w:val="36"/>
                <w:sz w:val="24"/>
                <w:szCs w:val="24"/>
                <w:lang w:val="kk-KZ" w:eastAsia="ru-RU"/>
              </w:rPr>
            </w:pPr>
          </w:p>
        </w:tc>
      </w:tr>
    </w:tbl>
    <w:p w14:paraId="7E210B3E" w14:textId="1B376339" w:rsidR="001D7D7A" w:rsidRDefault="001D7D7A" w:rsidP="001D7D7A">
      <w:pPr>
        <w:spacing w:after="0" w:line="240" w:lineRule="auto"/>
        <w:rPr>
          <w:lang w:val="kk-KZ"/>
        </w:rPr>
      </w:pPr>
    </w:p>
    <w:p w14:paraId="1D3E7909" w14:textId="77777777" w:rsidR="001D7D7A" w:rsidRPr="00457CE9" w:rsidRDefault="001D7D7A" w:rsidP="00457CE9">
      <w:pPr>
        <w:spacing w:after="0" w:line="240" w:lineRule="auto"/>
        <w:ind w:firstLine="567"/>
        <w:jc w:val="right"/>
        <w:rPr>
          <w:rFonts w:ascii="Times New Roman" w:eastAsia="Times New Roman" w:hAnsi="Times New Roman" w:cs="Times New Roman"/>
          <w:kern w:val="36"/>
          <w:sz w:val="28"/>
          <w:szCs w:val="28"/>
          <w:lang w:val="kk-KZ" w:eastAsia="ru-RU"/>
        </w:rPr>
      </w:pPr>
    </w:p>
    <w:sectPr w:rsidR="001D7D7A" w:rsidRPr="00457CE9" w:rsidSect="00D03D0E">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83EAC" w14:textId="77777777" w:rsidR="0097172E" w:rsidRDefault="0097172E" w:rsidP="009F364E">
      <w:pPr>
        <w:spacing w:after="0" w:line="240" w:lineRule="auto"/>
      </w:pPr>
      <w:r>
        <w:separator/>
      </w:r>
    </w:p>
  </w:endnote>
  <w:endnote w:type="continuationSeparator" w:id="0">
    <w:p w14:paraId="5B640AA8" w14:textId="77777777" w:rsidR="0097172E" w:rsidRDefault="0097172E" w:rsidP="009F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023001"/>
      <w:docPartObj>
        <w:docPartGallery w:val="Page Numbers (Bottom of Page)"/>
        <w:docPartUnique/>
      </w:docPartObj>
    </w:sdtPr>
    <w:sdtEndPr>
      <w:rPr>
        <w:rFonts w:ascii="Times New Roman" w:eastAsia="Arial Unicode MS" w:hAnsi="Times New Roman" w:cs="Times New Roman"/>
        <w:sz w:val="24"/>
        <w:szCs w:val="24"/>
      </w:rPr>
    </w:sdtEndPr>
    <w:sdtContent>
      <w:p w14:paraId="65E4B642" w14:textId="65708C7A" w:rsidR="00D05956" w:rsidRPr="001D7D7A" w:rsidRDefault="00D05956" w:rsidP="001D7D7A">
        <w:pPr>
          <w:pStyle w:val="ab"/>
          <w:jc w:val="center"/>
          <w:rPr>
            <w:rFonts w:ascii="Times New Roman" w:eastAsia="Arial Unicode MS" w:hAnsi="Times New Roman" w:cs="Times New Roman"/>
            <w:sz w:val="24"/>
            <w:szCs w:val="24"/>
          </w:rPr>
        </w:pPr>
        <w:r w:rsidRPr="009F364E">
          <w:rPr>
            <w:rFonts w:ascii="Times New Roman" w:eastAsia="Arial Unicode MS" w:hAnsi="Times New Roman" w:cs="Times New Roman"/>
            <w:sz w:val="24"/>
            <w:szCs w:val="24"/>
          </w:rPr>
          <w:fldChar w:fldCharType="begin"/>
        </w:r>
        <w:r w:rsidRPr="009F364E">
          <w:rPr>
            <w:rFonts w:ascii="Times New Roman" w:eastAsia="Arial Unicode MS" w:hAnsi="Times New Roman" w:cs="Times New Roman"/>
            <w:sz w:val="24"/>
            <w:szCs w:val="24"/>
          </w:rPr>
          <w:instrText xml:space="preserve"> PAGE   \* MERGEFORMAT </w:instrText>
        </w:r>
        <w:r w:rsidRPr="009F364E">
          <w:rPr>
            <w:rFonts w:ascii="Times New Roman" w:eastAsia="Arial Unicode MS" w:hAnsi="Times New Roman" w:cs="Times New Roman"/>
            <w:sz w:val="24"/>
            <w:szCs w:val="24"/>
          </w:rPr>
          <w:fldChar w:fldCharType="separate"/>
        </w:r>
        <w:r w:rsidR="0097172E">
          <w:rPr>
            <w:rFonts w:ascii="Times New Roman" w:eastAsia="Arial Unicode MS" w:hAnsi="Times New Roman" w:cs="Times New Roman"/>
            <w:noProof/>
            <w:sz w:val="24"/>
            <w:szCs w:val="24"/>
          </w:rPr>
          <w:t>1</w:t>
        </w:r>
        <w:r w:rsidRPr="009F364E">
          <w:rPr>
            <w:rFonts w:ascii="Times New Roman" w:eastAsia="Arial Unicode MS"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08D0F" w14:textId="77777777" w:rsidR="0097172E" w:rsidRDefault="0097172E" w:rsidP="009F364E">
      <w:pPr>
        <w:spacing w:after="0" w:line="240" w:lineRule="auto"/>
      </w:pPr>
      <w:r>
        <w:separator/>
      </w:r>
    </w:p>
  </w:footnote>
  <w:footnote w:type="continuationSeparator" w:id="0">
    <w:p w14:paraId="526180F8" w14:textId="77777777" w:rsidR="0097172E" w:rsidRDefault="0097172E" w:rsidP="009F3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5DE"/>
    <w:multiLevelType w:val="hybridMultilevel"/>
    <w:tmpl w:val="182E25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45056B"/>
    <w:multiLevelType w:val="hybridMultilevel"/>
    <w:tmpl w:val="26A275E4"/>
    <w:lvl w:ilvl="0" w:tplc="4A225206">
      <w:start w:val="1"/>
      <w:numFmt w:val="bullet"/>
      <w:lvlText w:val=""/>
      <w:lvlJc w:val="left"/>
      <w:pPr>
        <w:ind w:left="0" w:firstLine="0"/>
      </w:pPr>
      <w:rPr>
        <w:rFonts w:ascii="Symbol" w:hAnsi="Symbol" w:cs="Symbol" w:hint="default"/>
        <w:caps w:val="0"/>
        <w:strike w:val="0"/>
        <w:dstrike w:val="0"/>
        <w:vanish w:val="0"/>
        <w:webHidden w:val="0"/>
        <w:color w:val="000000"/>
        <w:u w:val="none"/>
        <w:effect w:val="none"/>
        <w:vertAlign w:val="baseline"/>
        <w:specVanish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A405EC7"/>
    <w:multiLevelType w:val="hybridMultilevel"/>
    <w:tmpl w:val="A5B49E0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562238"/>
    <w:multiLevelType w:val="hybridMultilevel"/>
    <w:tmpl w:val="120E164A"/>
    <w:lvl w:ilvl="0" w:tplc="4A225206">
      <w:start w:val="1"/>
      <w:numFmt w:val="bullet"/>
      <w:lvlText w:val=""/>
      <w:lvlJc w:val="left"/>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0996A49"/>
    <w:multiLevelType w:val="hybridMultilevel"/>
    <w:tmpl w:val="96B41B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4B244F"/>
    <w:multiLevelType w:val="hybridMultilevel"/>
    <w:tmpl w:val="25D24C5E"/>
    <w:lvl w:ilvl="0" w:tplc="0419000F">
      <w:start w:val="1"/>
      <w:numFmt w:val="decimal"/>
      <w:lvlText w:val="%1."/>
      <w:lvlJc w:val="left"/>
      <w:pPr>
        <w:ind w:left="720" w:hanging="360"/>
      </w:pPr>
      <w:rPr>
        <w:rFonts w:hint="default"/>
        <w:caps w:val="0"/>
        <w:strike w:val="0"/>
        <w:dstrike w:val="0"/>
        <w:vanish w:val="0"/>
        <w:webHidden w:val="0"/>
        <w:color w:val="000000"/>
        <w:u w:val="none"/>
        <w:effect w:val="none"/>
        <w:vertAlign w:val="baseline"/>
        <w:specVanish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8290B51"/>
    <w:multiLevelType w:val="hybridMultilevel"/>
    <w:tmpl w:val="99DC02D6"/>
    <w:lvl w:ilvl="0" w:tplc="4A225206">
      <w:start w:val="1"/>
      <w:numFmt w:val="bullet"/>
      <w:lvlText w:val=""/>
      <w:lvlJc w:val="left"/>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504B2E"/>
    <w:multiLevelType w:val="hybridMultilevel"/>
    <w:tmpl w:val="CCB23FA8"/>
    <w:lvl w:ilvl="0" w:tplc="4DB80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A682D05"/>
    <w:multiLevelType w:val="hybridMultilevel"/>
    <w:tmpl w:val="C7080FF0"/>
    <w:lvl w:ilvl="0" w:tplc="4A225206">
      <w:start w:val="1"/>
      <w:numFmt w:val="bullet"/>
      <w:lvlText w:val=""/>
      <w:lvlJc w:val="left"/>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AF55531"/>
    <w:multiLevelType w:val="hybridMultilevel"/>
    <w:tmpl w:val="C5F6EA84"/>
    <w:lvl w:ilvl="0" w:tplc="9656FD32">
      <w:start w:val="1"/>
      <w:numFmt w:val="bullet"/>
      <w:lvlText w:val="–"/>
      <w:lvlJc w:val="left"/>
      <w:pPr>
        <w:ind w:left="928" w:hanging="360"/>
      </w:pPr>
      <w:rPr>
        <w:rFonts w:ascii="Times New Roman" w:hAnsi="Times New Roman" w:cs="Times New Roman" w:hint="default"/>
        <w:caps w:val="0"/>
        <w:strike w:val="0"/>
        <w:dstrike w:val="0"/>
        <w:vanish w:val="0"/>
        <w:webHidden w:val="0"/>
        <w:color w:val="000000"/>
        <w:u w:val="none"/>
        <w:effect w:val="none"/>
        <w:vertAlign w:val="baseli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033D18"/>
    <w:multiLevelType w:val="hybridMultilevel"/>
    <w:tmpl w:val="8E502002"/>
    <w:lvl w:ilvl="0" w:tplc="FFFFFFFF">
      <w:start w:val="1"/>
      <w:numFmt w:val="bullet"/>
      <w:lvlText w:val="–"/>
      <w:lvlJc w:val="left"/>
      <w:pPr>
        <w:ind w:left="1429" w:hanging="360"/>
      </w:pPr>
      <w:rPr>
        <w:rFonts w:ascii="Times New Roman" w:hAnsi="Times New Roman" w:cs="Times New Roman" w:hint="default"/>
        <w:caps w:val="0"/>
        <w:strike w:val="0"/>
        <w:dstrike w:val="0"/>
        <w:vanish w:val="0"/>
        <w:color w:val="000000"/>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9656FD32">
      <w:start w:val="1"/>
      <w:numFmt w:val="bullet"/>
      <w:lvlText w:val="–"/>
      <w:lvlJc w:val="left"/>
      <w:pPr>
        <w:ind w:left="1429" w:hanging="360"/>
      </w:pPr>
      <w:rPr>
        <w:rFonts w:ascii="Times New Roman" w:hAnsi="Times New Roman" w:cs="Times New Roman" w:hint="default"/>
        <w:caps w:val="0"/>
        <w:strike w:val="0"/>
        <w:dstrike w:val="0"/>
        <w:vanish w:val="0"/>
        <w:color w:val="000000"/>
        <w:vertAlign w:val="baseline"/>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1D673AA2"/>
    <w:multiLevelType w:val="hybridMultilevel"/>
    <w:tmpl w:val="1102B9AA"/>
    <w:lvl w:ilvl="0" w:tplc="2F7059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23330B59"/>
    <w:multiLevelType w:val="hybridMultilevel"/>
    <w:tmpl w:val="176A91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3955541"/>
    <w:multiLevelType w:val="hybridMultilevel"/>
    <w:tmpl w:val="CE0A06AE"/>
    <w:lvl w:ilvl="0" w:tplc="CBA643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5031039"/>
    <w:multiLevelType w:val="hybridMultilevel"/>
    <w:tmpl w:val="13A02D6E"/>
    <w:lvl w:ilvl="0" w:tplc="9656FD32">
      <w:start w:val="1"/>
      <w:numFmt w:val="bullet"/>
      <w:lvlText w:val="–"/>
      <w:lvlJc w:val="left"/>
      <w:pPr>
        <w:ind w:left="1429" w:hanging="360"/>
      </w:pPr>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E2375F"/>
    <w:multiLevelType w:val="hybridMultilevel"/>
    <w:tmpl w:val="007E4390"/>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E161FF"/>
    <w:multiLevelType w:val="hybridMultilevel"/>
    <w:tmpl w:val="1BAAA518"/>
    <w:lvl w:ilvl="0" w:tplc="4A225206">
      <w:start w:val="1"/>
      <w:numFmt w:val="bullet"/>
      <w:lvlText w:val=""/>
      <w:lvlJc w:val="left"/>
      <w:pPr>
        <w:ind w:left="1287" w:hanging="360"/>
      </w:pPr>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9EC6BA0"/>
    <w:multiLevelType w:val="hybridMultilevel"/>
    <w:tmpl w:val="C3F2C1D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4190011">
      <w:start w:val="1"/>
      <w:numFmt w:val="decimal"/>
      <w:lvlText w:val="%4)"/>
      <w:lvlJc w:val="left"/>
      <w:pPr>
        <w:ind w:left="142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2A2B70A3"/>
    <w:multiLevelType w:val="hybridMultilevel"/>
    <w:tmpl w:val="F894F0B4"/>
    <w:lvl w:ilvl="0" w:tplc="7CF89B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B424030"/>
    <w:multiLevelType w:val="hybridMultilevel"/>
    <w:tmpl w:val="567EA48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2C5F783A"/>
    <w:multiLevelType w:val="hybridMultilevel"/>
    <w:tmpl w:val="E82A1578"/>
    <w:lvl w:ilvl="0" w:tplc="0419000F">
      <w:start w:val="1"/>
      <w:numFmt w:val="decimal"/>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21" w15:restartNumberingAfterBreak="0">
    <w:nsid w:val="2F5C23F9"/>
    <w:multiLevelType w:val="hybridMultilevel"/>
    <w:tmpl w:val="C0FE820A"/>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F796EEB"/>
    <w:multiLevelType w:val="hybridMultilevel"/>
    <w:tmpl w:val="9D30B99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04190011">
      <w:start w:val="1"/>
      <w:numFmt w:val="decimal"/>
      <w:lvlText w:val="%4)"/>
      <w:lvlJc w:val="left"/>
      <w:pPr>
        <w:ind w:left="142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304C0690"/>
    <w:multiLevelType w:val="hybridMultilevel"/>
    <w:tmpl w:val="E620179A"/>
    <w:lvl w:ilvl="0" w:tplc="0D500BB2">
      <w:start w:val="1"/>
      <w:numFmt w:val="bullet"/>
      <w:lvlText w:val="–"/>
      <w:lvlJc w:val="left"/>
      <w:pPr>
        <w:ind w:left="1287" w:hanging="360"/>
      </w:pPr>
      <w:rPr>
        <w:rFonts w:ascii="Times New Roman" w:eastAsiaTheme="minorHAnsi" w:hAnsi="Times New Roman" w:cs="Times New Roman" w:hint="default"/>
        <w:color w:val="000000"/>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1972BE3"/>
    <w:multiLevelType w:val="hybridMultilevel"/>
    <w:tmpl w:val="2084B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1CC247E"/>
    <w:multiLevelType w:val="hybridMultilevel"/>
    <w:tmpl w:val="3DB6B808"/>
    <w:lvl w:ilvl="0" w:tplc="4A225206">
      <w:start w:val="1"/>
      <w:numFmt w:val="bullet"/>
      <w:lvlText w:val=""/>
      <w:lvlJc w:val="left"/>
      <w:pPr>
        <w:ind w:left="1429" w:hanging="360"/>
      </w:pPr>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B4369C"/>
    <w:multiLevelType w:val="hybridMultilevel"/>
    <w:tmpl w:val="0134643E"/>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39203519"/>
    <w:multiLevelType w:val="hybridMultilevel"/>
    <w:tmpl w:val="5358B04C"/>
    <w:lvl w:ilvl="0" w:tplc="9656FD32">
      <w:numFmt w:val="decimal"/>
      <w:lvlText w:val="–"/>
      <w:lvlJc w:val="left"/>
      <w:pPr>
        <w:ind w:left="0" w:firstLine="0"/>
      </w:pPr>
      <w:rPr>
        <w:rFonts w:ascii="Times New Roman" w:hAnsi="Times New Roman" w:cs="Times New Roman" w:hint="default"/>
        <w:caps w:val="0"/>
        <w:strike w:val="0"/>
        <w:dstrike w:val="0"/>
        <w:vanish w:val="0"/>
        <w:webHidden w:val="0"/>
        <w:color w:val="000000"/>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397045EA"/>
    <w:multiLevelType w:val="hybridMultilevel"/>
    <w:tmpl w:val="2E00189A"/>
    <w:lvl w:ilvl="0" w:tplc="0419000F">
      <w:start w:val="1"/>
      <w:numFmt w:val="decimal"/>
      <w:lvlText w:val="%1."/>
      <w:lvlJc w:val="left"/>
      <w:pPr>
        <w:ind w:left="1211" w:hanging="360"/>
      </w:pPr>
      <w:rPr>
        <w:rFonts w:hint="default"/>
      </w:rPr>
    </w:lvl>
    <w:lvl w:ilvl="1" w:tplc="FFFFFFFF">
      <w:numFmt w:val="bullet"/>
      <w:lvlText w:val="-"/>
      <w:lvlJc w:val="left"/>
      <w:pPr>
        <w:ind w:left="2442" w:hanging="795"/>
      </w:pPr>
      <w:rPr>
        <w:rFonts w:ascii="Times New Roman" w:eastAsia="SimSu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398E360F"/>
    <w:multiLevelType w:val="hybridMultilevel"/>
    <w:tmpl w:val="197E386A"/>
    <w:lvl w:ilvl="0" w:tplc="0D500BB2">
      <w:start w:val="1"/>
      <w:numFmt w:val="bullet"/>
      <w:lvlText w:val="–"/>
      <w:lvlJc w:val="left"/>
      <w:pPr>
        <w:ind w:left="1429" w:hanging="360"/>
      </w:pPr>
      <w:rPr>
        <w:rFonts w:ascii="Times New Roman" w:eastAsiaTheme="minorHAnsi" w:hAnsi="Times New Roman" w:cs="Times New Roman" w:hint="default"/>
        <w:color w:val="000000"/>
        <w:sz w:val="20"/>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0" w15:restartNumberingAfterBreak="0">
    <w:nsid w:val="3BEF6F73"/>
    <w:multiLevelType w:val="hybridMultilevel"/>
    <w:tmpl w:val="A43C39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CDC0875"/>
    <w:multiLevelType w:val="hybridMultilevel"/>
    <w:tmpl w:val="4FACEAAA"/>
    <w:lvl w:ilvl="0" w:tplc="4A225206">
      <w:start w:val="1"/>
      <w:numFmt w:val="bullet"/>
      <w:lvlText w:val=""/>
      <w:lvlJc w:val="left"/>
      <w:pPr>
        <w:ind w:left="1287" w:hanging="360"/>
      </w:pPr>
      <w:rPr>
        <w:rFonts w:ascii="Symbol" w:hAnsi="Symbol" w:cs="Symbol" w:hint="default"/>
        <w:caps w:val="0"/>
        <w:strike w:val="0"/>
        <w:dstrike w:val="0"/>
        <w:vanish w:val="0"/>
        <w:webHidden w:val="0"/>
        <w:color w:val="000000"/>
        <w:u w:val="none"/>
        <w:effect w:val="none"/>
        <w:vertAlign w:val="baseline"/>
        <w:specVanish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11A3DDE"/>
    <w:multiLevelType w:val="hybridMultilevel"/>
    <w:tmpl w:val="678240F6"/>
    <w:lvl w:ilvl="0" w:tplc="4A225206">
      <w:start w:val="1"/>
      <w:numFmt w:val="bullet"/>
      <w:lvlText w:val=""/>
      <w:lvlJc w:val="left"/>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1B61436"/>
    <w:multiLevelType w:val="hybridMultilevel"/>
    <w:tmpl w:val="063C891C"/>
    <w:lvl w:ilvl="0" w:tplc="0419000F">
      <w:start w:val="1"/>
      <w:numFmt w:val="decimal"/>
      <w:lvlText w:val="%1."/>
      <w:lvlJc w:val="left"/>
      <w:rPr>
        <w:rFonts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39E4221"/>
    <w:multiLevelType w:val="hybridMultilevel"/>
    <w:tmpl w:val="3B129806"/>
    <w:lvl w:ilvl="0" w:tplc="4A225206">
      <w:start w:val="1"/>
      <w:numFmt w:val="bullet"/>
      <w:lvlText w:val=""/>
      <w:lvlJc w:val="left"/>
      <w:pPr>
        <w:ind w:left="1287" w:hanging="360"/>
      </w:pPr>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89C3CBE"/>
    <w:multiLevelType w:val="hybridMultilevel"/>
    <w:tmpl w:val="352E87DA"/>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97BC6C6C">
      <w:numFmt w:val="bullet"/>
      <w:lvlText w:val="-"/>
      <w:lvlJc w:val="left"/>
      <w:pPr>
        <w:ind w:left="2007" w:hanging="360"/>
      </w:pPr>
      <w:rPr>
        <w:rFonts w:ascii="Times New Roman" w:eastAsia="SimSu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A1139C7"/>
    <w:multiLevelType w:val="hybridMultilevel"/>
    <w:tmpl w:val="3BB05C24"/>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A9D1D02"/>
    <w:multiLevelType w:val="hybridMultilevel"/>
    <w:tmpl w:val="47026918"/>
    <w:lvl w:ilvl="0" w:tplc="35CE7E94">
      <w:start w:val="1"/>
      <w:numFmt w:val="bullet"/>
      <w:lvlText w:val="–"/>
      <w:lvlJc w:val="left"/>
      <w:pPr>
        <w:ind w:left="1356" w:hanging="360"/>
      </w:pPr>
      <w:rPr>
        <w:rFonts w:ascii="Times New Roman" w:eastAsiaTheme="minorHAnsi" w:hAnsi="Times New Roman" w:cs="Times New Roman" w:hint="default"/>
        <w:color w:val="000000"/>
        <w:sz w:val="28"/>
        <w:szCs w:val="28"/>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8" w15:restartNumberingAfterBreak="0">
    <w:nsid w:val="50690EEB"/>
    <w:multiLevelType w:val="hybridMultilevel"/>
    <w:tmpl w:val="F90CE5B2"/>
    <w:lvl w:ilvl="0" w:tplc="4A225206">
      <w:start w:val="1"/>
      <w:numFmt w:val="bullet"/>
      <w:lvlText w:val=""/>
      <w:lvlJc w:val="left"/>
      <w:pPr>
        <w:ind w:left="1428" w:hanging="360"/>
      </w:pPr>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51FF7C9F"/>
    <w:multiLevelType w:val="hybridMultilevel"/>
    <w:tmpl w:val="660E87A0"/>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55986B6E"/>
    <w:multiLevelType w:val="hybridMultilevel"/>
    <w:tmpl w:val="ED8A4C66"/>
    <w:lvl w:ilvl="0" w:tplc="359AD556">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5BE2319"/>
    <w:multiLevelType w:val="hybridMultilevel"/>
    <w:tmpl w:val="A9EA109C"/>
    <w:lvl w:ilvl="0" w:tplc="9656FD32">
      <w:start w:val="1"/>
      <w:numFmt w:val="bullet"/>
      <w:lvlText w:val="–"/>
      <w:lvlJc w:val="left"/>
      <w:pPr>
        <w:ind w:left="1429" w:hanging="360"/>
      </w:pPr>
      <w:rPr>
        <w:rFonts w:ascii="Times New Roman" w:hAnsi="Times New Roman" w:cs="Times New Roman"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42" w15:restartNumberingAfterBreak="0">
    <w:nsid w:val="55D04AA0"/>
    <w:multiLevelType w:val="hybridMultilevel"/>
    <w:tmpl w:val="F744B264"/>
    <w:lvl w:ilvl="0" w:tplc="4A225206">
      <w:start w:val="1"/>
      <w:numFmt w:val="bullet"/>
      <w:lvlText w:val=""/>
      <w:lvlJc w:val="left"/>
      <w:rPr>
        <w:rFonts w:ascii="Symbol" w:hAnsi="Symbol" w:cs="Symbol" w:hint="default"/>
        <w:caps w:val="0"/>
        <w:strike w:val="0"/>
        <w:dstrike w:val="0"/>
        <w:vanish w:val="0"/>
        <w:webHidden w:val="0"/>
        <w:color w:val="000000"/>
        <w:u w:val="none"/>
        <w:effect w:val="none"/>
        <w:vertAlign w:val="baseline"/>
        <w:specVanish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55E91415"/>
    <w:multiLevelType w:val="hybridMultilevel"/>
    <w:tmpl w:val="C6D69788"/>
    <w:lvl w:ilvl="0" w:tplc="B21EBBEE">
      <w:start w:val="1"/>
      <w:numFmt w:val="decimal"/>
      <w:lvlText w:val="%1"/>
      <w:lvlJc w:val="left"/>
      <w:pPr>
        <w:ind w:left="107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86180E"/>
    <w:multiLevelType w:val="hybridMultilevel"/>
    <w:tmpl w:val="F4E6E654"/>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56FF2EEA"/>
    <w:multiLevelType w:val="hybridMultilevel"/>
    <w:tmpl w:val="62D046D8"/>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576F1751"/>
    <w:multiLevelType w:val="hybridMultilevel"/>
    <w:tmpl w:val="56D6DF70"/>
    <w:lvl w:ilvl="0" w:tplc="717AE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879757F"/>
    <w:multiLevelType w:val="hybridMultilevel"/>
    <w:tmpl w:val="00E007B4"/>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5ACE5F74"/>
    <w:multiLevelType w:val="hybridMultilevel"/>
    <w:tmpl w:val="632C2700"/>
    <w:lvl w:ilvl="0" w:tplc="4A225206">
      <w:start w:val="1"/>
      <w:numFmt w:val="bullet"/>
      <w:lvlText w:val=""/>
      <w:lvlJc w:val="left"/>
      <w:pPr>
        <w:ind w:left="1429" w:hanging="360"/>
      </w:pPr>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C2F5053"/>
    <w:multiLevelType w:val="hybridMultilevel"/>
    <w:tmpl w:val="A1E8BCCE"/>
    <w:lvl w:ilvl="0" w:tplc="4A225206">
      <w:numFmt w:val="decimal"/>
      <w:lvlText w:val=""/>
      <w:lvlJc w:val="left"/>
      <w:pPr>
        <w:ind w:left="0" w:firstLine="0"/>
      </w:pPr>
      <w:rPr>
        <w:rFonts w:ascii="Symbol" w:hAnsi="Symbol" w:cs="Symbol" w:hint="default"/>
        <w:caps w:val="0"/>
        <w:strike w:val="0"/>
        <w:dstrike w:val="0"/>
        <w:vanish w:val="0"/>
        <w:webHidden w:val="0"/>
        <w:color w:val="000000"/>
        <w:u w:val="none"/>
        <w:effect w:val="none"/>
        <w:vertAlign w:val="baseline"/>
        <w:specVanish w:val="0"/>
      </w:rPr>
    </w:lvl>
    <w:lvl w:ilvl="1" w:tplc="EBDE52AE">
      <w:numFmt w:val="bullet"/>
      <w:lvlText w:val="·"/>
      <w:lvlJc w:val="left"/>
      <w:pPr>
        <w:ind w:left="2149" w:hanging="360"/>
      </w:pPr>
      <w:rPr>
        <w:rFonts w:ascii="Times New Roman" w:eastAsiaTheme="minorHAnsi" w:hAnsi="Times New Roman" w:cs="Times New Roman" w:hint="default"/>
      </w:rPr>
    </w:lvl>
    <w:lvl w:ilvl="2" w:tplc="A4805A4E">
      <w:numFmt w:val="bullet"/>
      <w:lvlText w:val=""/>
      <w:lvlJc w:val="left"/>
      <w:pPr>
        <w:ind w:left="3589" w:hanging="1080"/>
      </w:pPr>
      <w:rPr>
        <w:rFonts w:ascii="Symbol" w:eastAsiaTheme="minorHAnsi" w:hAnsi="Symbol"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5D280236"/>
    <w:multiLevelType w:val="hybridMultilevel"/>
    <w:tmpl w:val="FA0400F4"/>
    <w:lvl w:ilvl="0" w:tplc="0419000F">
      <w:start w:val="1"/>
      <w:numFmt w:val="decimal"/>
      <w:lvlText w:val="%1."/>
      <w:lvlJc w:val="left"/>
      <w:pPr>
        <w:ind w:left="720" w:hanging="360"/>
      </w:pPr>
      <w:rPr>
        <w:rFonts w:hint="default"/>
        <w:caps w:val="0"/>
        <w:strike w:val="0"/>
        <w:dstrike w:val="0"/>
        <w:vanish w:val="0"/>
        <w:webHidden w:val="0"/>
        <w:color w:val="000000"/>
        <w:u w:val="none"/>
        <w:effect w:val="none"/>
        <w:vertAlign w:val="baseline"/>
        <w:specVanish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5E580DC0"/>
    <w:multiLevelType w:val="hybridMultilevel"/>
    <w:tmpl w:val="569C0516"/>
    <w:lvl w:ilvl="0" w:tplc="0419000F">
      <w:start w:val="1"/>
      <w:numFmt w:val="decimal"/>
      <w:lvlText w:val="%1."/>
      <w:lvlJc w:val="left"/>
      <w:pPr>
        <w:ind w:left="0" w:firstLine="0"/>
      </w:pPr>
      <w:rPr>
        <w:rFonts w:hint="default"/>
        <w:caps w:val="0"/>
        <w:strike w:val="0"/>
        <w:dstrike w:val="0"/>
        <w:vanish w:val="0"/>
        <w:webHidden w:val="0"/>
        <w:color w:val="000000"/>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650B107F"/>
    <w:multiLevelType w:val="hybridMultilevel"/>
    <w:tmpl w:val="74FE9A8C"/>
    <w:lvl w:ilvl="0" w:tplc="4A225206">
      <w:numFmt w:val="decimal"/>
      <w:lvlText w:val=""/>
      <w:lvlJc w:val="left"/>
      <w:pPr>
        <w:ind w:left="0" w:firstLine="0"/>
      </w:pPr>
      <w:rPr>
        <w:rFonts w:ascii="Symbol" w:hAnsi="Symbol" w:cs="Symbol" w:hint="default"/>
        <w:caps w:val="0"/>
        <w:strike w:val="0"/>
        <w:dstrike w:val="0"/>
        <w:vanish w:val="0"/>
        <w:webHidden w:val="0"/>
        <w:color w:val="000000"/>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67E86C36"/>
    <w:multiLevelType w:val="hybridMultilevel"/>
    <w:tmpl w:val="214838DC"/>
    <w:lvl w:ilvl="0" w:tplc="4DB8065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4" w15:restartNumberingAfterBreak="0">
    <w:nsid w:val="6B1D72F9"/>
    <w:multiLevelType w:val="hybridMultilevel"/>
    <w:tmpl w:val="21E4B21C"/>
    <w:lvl w:ilvl="0" w:tplc="801AE1F0">
      <w:start w:val="1"/>
      <w:numFmt w:val="decimal"/>
      <w:lvlText w:val="%1"/>
      <w:lvlJc w:val="left"/>
      <w:pPr>
        <w:ind w:left="928" w:hanging="360"/>
      </w:pPr>
      <w:rPr>
        <w:rFonts w:ascii="Times New Roman" w:hAnsi="Times New Roman" w:cs="Times New Roman" w:hint="default"/>
        <w:b w:val="0"/>
        <w:color w:val="auto"/>
        <w:sz w:val="28"/>
        <w:szCs w:val="28"/>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F66700E"/>
    <w:multiLevelType w:val="hybridMultilevel"/>
    <w:tmpl w:val="26E440BC"/>
    <w:lvl w:ilvl="0" w:tplc="0419000F">
      <w:start w:val="1"/>
      <w:numFmt w:val="decimal"/>
      <w:lvlText w:val="%1."/>
      <w:lvlJc w:val="left"/>
      <w:pPr>
        <w:ind w:left="3447" w:hanging="360"/>
      </w:pPr>
    </w:lvl>
    <w:lvl w:ilvl="1" w:tplc="04190019" w:tentative="1">
      <w:start w:val="1"/>
      <w:numFmt w:val="lowerLetter"/>
      <w:lvlText w:val="%2."/>
      <w:lvlJc w:val="left"/>
      <w:pPr>
        <w:ind w:left="4167" w:hanging="360"/>
      </w:pPr>
    </w:lvl>
    <w:lvl w:ilvl="2" w:tplc="0419001B" w:tentative="1">
      <w:start w:val="1"/>
      <w:numFmt w:val="lowerRoman"/>
      <w:lvlText w:val="%3."/>
      <w:lvlJc w:val="right"/>
      <w:pPr>
        <w:ind w:left="4887" w:hanging="180"/>
      </w:pPr>
    </w:lvl>
    <w:lvl w:ilvl="3" w:tplc="0419000F" w:tentative="1">
      <w:start w:val="1"/>
      <w:numFmt w:val="decimal"/>
      <w:lvlText w:val="%4."/>
      <w:lvlJc w:val="left"/>
      <w:pPr>
        <w:ind w:left="5607" w:hanging="360"/>
      </w:pPr>
    </w:lvl>
    <w:lvl w:ilvl="4" w:tplc="04190019" w:tentative="1">
      <w:start w:val="1"/>
      <w:numFmt w:val="lowerLetter"/>
      <w:lvlText w:val="%5."/>
      <w:lvlJc w:val="left"/>
      <w:pPr>
        <w:ind w:left="6327" w:hanging="360"/>
      </w:pPr>
    </w:lvl>
    <w:lvl w:ilvl="5" w:tplc="0419001B" w:tentative="1">
      <w:start w:val="1"/>
      <w:numFmt w:val="lowerRoman"/>
      <w:lvlText w:val="%6."/>
      <w:lvlJc w:val="right"/>
      <w:pPr>
        <w:ind w:left="7047" w:hanging="180"/>
      </w:pPr>
    </w:lvl>
    <w:lvl w:ilvl="6" w:tplc="0419000F" w:tentative="1">
      <w:start w:val="1"/>
      <w:numFmt w:val="decimal"/>
      <w:lvlText w:val="%7."/>
      <w:lvlJc w:val="left"/>
      <w:pPr>
        <w:ind w:left="7767" w:hanging="360"/>
      </w:pPr>
    </w:lvl>
    <w:lvl w:ilvl="7" w:tplc="04190019" w:tentative="1">
      <w:start w:val="1"/>
      <w:numFmt w:val="lowerLetter"/>
      <w:lvlText w:val="%8."/>
      <w:lvlJc w:val="left"/>
      <w:pPr>
        <w:ind w:left="8487" w:hanging="360"/>
      </w:pPr>
    </w:lvl>
    <w:lvl w:ilvl="8" w:tplc="0419001B" w:tentative="1">
      <w:start w:val="1"/>
      <w:numFmt w:val="lowerRoman"/>
      <w:lvlText w:val="%9."/>
      <w:lvlJc w:val="right"/>
      <w:pPr>
        <w:ind w:left="9207" w:hanging="180"/>
      </w:pPr>
    </w:lvl>
  </w:abstractNum>
  <w:abstractNum w:abstractNumId="56" w15:restartNumberingAfterBreak="0">
    <w:nsid w:val="71516E67"/>
    <w:multiLevelType w:val="hybridMultilevel"/>
    <w:tmpl w:val="5358B04C"/>
    <w:lvl w:ilvl="0" w:tplc="9656FD32">
      <w:start w:val="1"/>
      <w:numFmt w:val="bullet"/>
      <w:lvlText w:val="–"/>
      <w:lvlJc w:val="left"/>
      <w:rPr>
        <w:rFonts w:ascii="Times New Roman" w:hAnsi="Times New Roman" w:cs="Times New Roman" w:hint="default"/>
        <w:caps w:val="0"/>
        <w:strike w:val="0"/>
        <w:dstrike w:val="0"/>
        <w:vanish w:val="0"/>
        <w:webHidden w:val="0"/>
        <w:color w:val="000000"/>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71D2564F"/>
    <w:multiLevelType w:val="hybridMultilevel"/>
    <w:tmpl w:val="A3240AF8"/>
    <w:lvl w:ilvl="0" w:tplc="9656FD32">
      <w:start w:val="1"/>
      <w:numFmt w:val="bullet"/>
      <w:lvlText w:val="–"/>
      <w:lvlJc w:val="left"/>
      <w:pPr>
        <w:ind w:left="1500" w:hanging="360"/>
      </w:pPr>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8" w15:restartNumberingAfterBreak="0">
    <w:nsid w:val="775550C4"/>
    <w:multiLevelType w:val="hybridMultilevel"/>
    <w:tmpl w:val="2EFE301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59" w15:restartNumberingAfterBreak="0">
    <w:nsid w:val="78390793"/>
    <w:multiLevelType w:val="hybridMultilevel"/>
    <w:tmpl w:val="41441F02"/>
    <w:lvl w:ilvl="0" w:tplc="4DB8065E">
      <w:start w:val="1"/>
      <w:numFmt w:val="bullet"/>
      <w:lvlText w:val=""/>
      <w:lvlJc w:val="left"/>
      <w:pPr>
        <w:ind w:left="1414" w:hanging="360"/>
      </w:pPr>
      <w:rPr>
        <w:rFonts w:ascii="Symbol" w:hAnsi="Symbol" w:hint="default"/>
      </w:rPr>
    </w:lvl>
    <w:lvl w:ilvl="1" w:tplc="04190003">
      <w:start w:val="1"/>
      <w:numFmt w:val="bullet"/>
      <w:lvlText w:val="o"/>
      <w:lvlJc w:val="left"/>
      <w:pPr>
        <w:ind w:left="2134" w:hanging="360"/>
      </w:pPr>
      <w:rPr>
        <w:rFonts w:ascii="Courier New" w:hAnsi="Courier New" w:cs="Courier New" w:hint="default"/>
      </w:rPr>
    </w:lvl>
    <w:lvl w:ilvl="2" w:tplc="04190005">
      <w:start w:val="1"/>
      <w:numFmt w:val="bullet"/>
      <w:lvlText w:val=""/>
      <w:lvlJc w:val="left"/>
      <w:pPr>
        <w:ind w:left="2854" w:hanging="360"/>
      </w:pPr>
      <w:rPr>
        <w:rFonts w:ascii="Wingdings" w:hAnsi="Wingdings" w:hint="default"/>
      </w:rPr>
    </w:lvl>
    <w:lvl w:ilvl="3" w:tplc="04190001">
      <w:start w:val="1"/>
      <w:numFmt w:val="bullet"/>
      <w:lvlText w:val=""/>
      <w:lvlJc w:val="left"/>
      <w:pPr>
        <w:ind w:left="3574" w:hanging="360"/>
      </w:pPr>
      <w:rPr>
        <w:rFonts w:ascii="Symbol" w:hAnsi="Symbol" w:hint="default"/>
      </w:rPr>
    </w:lvl>
    <w:lvl w:ilvl="4" w:tplc="04190003">
      <w:start w:val="1"/>
      <w:numFmt w:val="bullet"/>
      <w:lvlText w:val="o"/>
      <w:lvlJc w:val="left"/>
      <w:pPr>
        <w:ind w:left="4294" w:hanging="360"/>
      </w:pPr>
      <w:rPr>
        <w:rFonts w:ascii="Courier New" w:hAnsi="Courier New" w:cs="Courier New" w:hint="default"/>
      </w:rPr>
    </w:lvl>
    <w:lvl w:ilvl="5" w:tplc="04190005">
      <w:start w:val="1"/>
      <w:numFmt w:val="bullet"/>
      <w:lvlText w:val=""/>
      <w:lvlJc w:val="left"/>
      <w:pPr>
        <w:ind w:left="5014" w:hanging="360"/>
      </w:pPr>
      <w:rPr>
        <w:rFonts w:ascii="Wingdings" w:hAnsi="Wingdings" w:hint="default"/>
      </w:rPr>
    </w:lvl>
    <w:lvl w:ilvl="6" w:tplc="04190001">
      <w:start w:val="1"/>
      <w:numFmt w:val="bullet"/>
      <w:lvlText w:val=""/>
      <w:lvlJc w:val="left"/>
      <w:pPr>
        <w:ind w:left="5734" w:hanging="360"/>
      </w:pPr>
      <w:rPr>
        <w:rFonts w:ascii="Symbol" w:hAnsi="Symbol" w:hint="default"/>
      </w:rPr>
    </w:lvl>
    <w:lvl w:ilvl="7" w:tplc="04190003">
      <w:start w:val="1"/>
      <w:numFmt w:val="bullet"/>
      <w:lvlText w:val="o"/>
      <w:lvlJc w:val="left"/>
      <w:pPr>
        <w:ind w:left="6454" w:hanging="360"/>
      </w:pPr>
      <w:rPr>
        <w:rFonts w:ascii="Courier New" w:hAnsi="Courier New" w:cs="Courier New" w:hint="default"/>
      </w:rPr>
    </w:lvl>
    <w:lvl w:ilvl="8" w:tplc="04190005">
      <w:start w:val="1"/>
      <w:numFmt w:val="bullet"/>
      <w:lvlText w:val=""/>
      <w:lvlJc w:val="left"/>
      <w:pPr>
        <w:ind w:left="7174" w:hanging="360"/>
      </w:pPr>
      <w:rPr>
        <w:rFonts w:ascii="Wingdings" w:hAnsi="Wingdings" w:hint="default"/>
      </w:rPr>
    </w:lvl>
  </w:abstractNum>
  <w:abstractNum w:abstractNumId="60" w15:restartNumberingAfterBreak="0">
    <w:nsid w:val="7BC4628E"/>
    <w:multiLevelType w:val="hybridMultilevel"/>
    <w:tmpl w:val="7BBEC212"/>
    <w:lvl w:ilvl="0" w:tplc="4A225206">
      <w:start w:val="1"/>
      <w:numFmt w:val="bullet"/>
      <w:lvlText w:val=""/>
      <w:lvlJc w:val="left"/>
      <w:rPr>
        <w:rFonts w:ascii="Symbol" w:hAnsi="Symbol" w:cs="Symbol"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7C6D3C2A"/>
    <w:multiLevelType w:val="hybridMultilevel"/>
    <w:tmpl w:val="E780A6BA"/>
    <w:lvl w:ilvl="0" w:tplc="9656FD32">
      <w:start w:val="1"/>
      <w:numFmt w:val="bullet"/>
      <w:lvlText w:val="–"/>
      <w:lvlJc w:val="left"/>
      <w:rPr>
        <w:rFonts w:ascii="Times New Roman" w:hAnsi="Times New Roman" w:cs="Times New Roman" w:hint="default"/>
        <w:caps w:val="0"/>
        <w:strike w:val="0"/>
        <w:dstrike w:val="0"/>
        <w:vanish w:val="0"/>
        <w:color w:val="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D9919C4"/>
    <w:multiLevelType w:val="hybridMultilevel"/>
    <w:tmpl w:val="45E27022"/>
    <w:lvl w:ilvl="0" w:tplc="4DB8065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3" w15:restartNumberingAfterBreak="0">
    <w:nsid w:val="7EB955A5"/>
    <w:multiLevelType w:val="hybridMultilevel"/>
    <w:tmpl w:val="B4E8B7D2"/>
    <w:lvl w:ilvl="0" w:tplc="4DB806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6"/>
  </w:num>
  <w:num w:numId="2">
    <w:abstractNumId w:val="18"/>
  </w:num>
  <w:num w:numId="3">
    <w:abstractNumId w:val="13"/>
  </w:num>
  <w:num w:numId="4">
    <w:abstractNumId w:val="60"/>
  </w:num>
  <w:num w:numId="5">
    <w:abstractNumId w:val="21"/>
  </w:num>
  <w:num w:numId="6">
    <w:abstractNumId w:val="36"/>
  </w:num>
  <w:num w:numId="7">
    <w:abstractNumId w:val="44"/>
  </w:num>
  <w:num w:numId="8">
    <w:abstractNumId w:val="15"/>
  </w:num>
  <w:num w:numId="9">
    <w:abstractNumId w:val="61"/>
  </w:num>
  <w:num w:numId="10">
    <w:abstractNumId w:val="32"/>
  </w:num>
  <w:num w:numId="11">
    <w:abstractNumId w:val="35"/>
  </w:num>
  <w:num w:numId="12">
    <w:abstractNumId w:val="45"/>
  </w:num>
  <w:num w:numId="13">
    <w:abstractNumId w:val="8"/>
  </w:num>
  <w:num w:numId="14">
    <w:abstractNumId w:val="3"/>
  </w:num>
  <w:num w:numId="15">
    <w:abstractNumId w:val="47"/>
  </w:num>
  <w:num w:numId="16">
    <w:abstractNumId w:val="39"/>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63"/>
  </w:num>
  <w:num w:numId="20">
    <w:abstractNumId w:val="37"/>
  </w:num>
  <w:num w:numId="21">
    <w:abstractNumId w:val="23"/>
  </w:num>
  <w:num w:numId="22">
    <w:abstractNumId w:val="49"/>
  </w:num>
  <w:num w:numId="23">
    <w:abstractNumId w:val="52"/>
  </w:num>
  <w:num w:numId="2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1"/>
  </w:num>
  <w:num w:numId="27">
    <w:abstractNumId w:val="42"/>
  </w:num>
  <w:num w:numId="28">
    <w:abstractNumId w:val="53"/>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58"/>
  </w:num>
  <w:num w:numId="33">
    <w:abstractNumId w:val="20"/>
  </w:num>
  <w:num w:numId="34">
    <w:abstractNumId w:val="38"/>
  </w:num>
  <w:num w:numId="3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34"/>
  </w:num>
  <w:num w:numId="38">
    <w:abstractNumId w:val="16"/>
  </w:num>
  <w:num w:numId="39">
    <w:abstractNumId w:val="24"/>
  </w:num>
  <w:num w:numId="40">
    <w:abstractNumId w:val="62"/>
  </w:num>
  <w:num w:numId="41">
    <w:abstractNumId w:val="14"/>
  </w:num>
  <w:num w:numId="42">
    <w:abstractNumId w:val="47"/>
  </w:num>
  <w:num w:numId="43">
    <w:abstractNumId w:val="25"/>
  </w:num>
  <w:num w:numId="44">
    <w:abstractNumId w:val="51"/>
  </w:num>
  <w:num w:numId="45">
    <w:abstractNumId w:val="2"/>
  </w:num>
  <w:num w:numId="46">
    <w:abstractNumId w:val="33"/>
  </w:num>
  <w:num w:numId="47">
    <w:abstractNumId w:val="50"/>
  </w:num>
  <w:num w:numId="48">
    <w:abstractNumId w:val="5"/>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59"/>
  </w:num>
  <w:num w:numId="54">
    <w:abstractNumId w:val="29"/>
  </w:num>
  <w:num w:numId="55">
    <w:abstractNumId w:val="1"/>
  </w:num>
  <w:num w:numId="56">
    <w:abstractNumId w:val="28"/>
    <w:lvlOverride w:ilvl="0">
      <w:startOverride w:val="1"/>
    </w:lvlOverride>
    <w:lvlOverride w:ilvl="1"/>
    <w:lvlOverride w:ilvl="2"/>
    <w:lvlOverride w:ilvl="3"/>
    <w:lvlOverride w:ilvl="4"/>
    <w:lvlOverride w:ilvl="5"/>
    <w:lvlOverride w:ilvl="6"/>
    <w:lvlOverride w:ilvl="7"/>
    <w:lvlOverride w:ilvl="8"/>
  </w:num>
  <w:num w:numId="57">
    <w:abstractNumId w:val="40"/>
  </w:num>
  <w:num w:numId="58">
    <w:abstractNumId w:val="22"/>
  </w:num>
  <w:num w:numId="59">
    <w:abstractNumId w:val="10"/>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num>
  <w:num w:numId="64">
    <w:abstractNumId w:val="57"/>
  </w:num>
  <w:num w:numId="65">
    <w:abstractNumId w:val="0"/>
  </w:num>
  <w:num w:numId="66">
    <w:abstractNumId w:val="41"/>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DD"/>
    <w:rsid w:val="000000C2"/>
    <w:rsid w:val="00000133"/>
    <w:rsid w:val="000001C0"/>
    <w:rsid w:val="00000509"/>
    <w:rsid w:val="00001076"/>
    <w:rsid w:val="00001116"/>
    <w:rsid w:val="00001840"/>
    <w:rsid w:val="00002003"/>
    <w:rsid w:val="00002494"/>
    <w:rsid w:val="00002644"/>
    <w:rsid w:val="00002705"/>
    <w:rsid w:val="000029A7"/>
    <w:rsid w:val="00002A7B"/>
    <w:rsid w:val="0000357F"/>
    <w:rsid w:val="000037B1"/>
    <w:rsid w:val="00003A2D"/>
    <w:rsid w:val="00003FA1"/>
    <w:rsid w:val="00004329"/>
    <w:rsid w:val="00004409"/>
    <w:rsid w:val="00004C78"/>
    <w:rsid w:val="00004FA5"/>
    <w:rsid w:val="00005151"/>
    <w:rsid w:val="000052FA"/>
    <w:rsid w:val="0000573B"/>
    <w:rsid w:val="00006813"/>
    <w:rsid w:val="00006B0F"/>
    <w:rsid w:val="000070C2"/>
    <w:rsid w:val="00007102"/>
    <w:rsid w:val="00007520"/>
    <w:rsid w:val="00007ABE"/>
    <w:rsid w:val="00007DE0"/>
    <w:rsid w:val="00010469"/>
    <w:rsid w:val="000106E9"/>
    <w:rsid w:val="00010E4E"/>
    <w:rsid w:val="00010EEC"/>
    <w:rsid w:val="000110A7"/>
    <w:rsid w:val="00011521"/>
    <w:rsid w:val="00011ABE"/>
    <w:rsid w:val="00011D9B"/>
    <w:rsid w:val="00011E82"/>
    <w:rsid w:val="00011EB2"/>
    <w:rsid w:val="00011EBD"/>
    <w:rsid w:val="00012332"/>
    <w:rsid w:val="00012487"/>
    <w:rsid w:val="000124C8"/>
    <w:rsid w:val="00012B0E"/>
    <w:rsid w:val="00012BE5"/>
    <w:rsid w:val="00012FCD"/>
    <w:rsid w:val="00013321"/>
    <w:rsid w:val="000134E9"/>
    <w:rsid w:val="00013944"/>
    <w:rsid w:val="00013A85"/>
    <w:rsid w:val="000147DD"/>
    <w:rsid w:val="00014DEF"/>
    <w:rsid w:val="000151DB"/>
    <w:rsid w:val="00015483"/>
    <w:rsid w:val="00015DD2"/>
    <w:rsid w:val="000160DE"/>
    <w:rsid w:val="0001633C"/>
    <w:rsid w:val="000163A3"/>
    <w:rsid w:val="000163F6"/>
    <w:rsid w:val="00016AD8"/>
    <w:rsid w:val="00017B3E"/>
    <w:rsid w:val="00017BC6"/>
    <w:rsid w:val="00017D79"/>
    <w:rsid w:val="000202D1"/>
    <w:rsid w:val="0002031B"/>
    <w:rsid w:val="000207DF"/>
    <w:rsid w:val="00020C0C"/>
    <w:rsid w:val="00020C9F"/>
    <w:rsid w:val="00021053"/>
    <w:rsid w:val="00021085"/>
    <w:rsid w:val="000218FA"/>
    <w:rsid w:val="00021C8A"/>
    <w:rsid w:val="00021DAF"/>
    <w:rsid w:val="00022234"/>
    <w:rsid w:val="000222F0"/>
    <w:rsid w:val="00022773"/>
    <w:rsid w:val="0002283B"/>
    <w:rsid w:val="00022D60"/>
    <w:rsid w:val="00022F6A"/>
    <w:rsid w:val="00023296"/>
    <w:rsid w:val="00023BDD"/>
    <w:rsid w:val="00023D96"/>
    <w:rsid w:val="00023EA4"/>
    <w:rsid w:val="0002407B"/>
    <w:rsid w:val="00024368"/>
    <w:rsid w:val="00024686"/>
    <w:rsid w:val="00024C36"/>
    <w:rsid w:val="00024E02"/>
    <w:rsid w:val="000258A6"/>
    <w:rsid w:val="000259A3"/>
    <w:rsid w:val="00025E0E"/>
    <w:rsid w:val="000262EB"/>
    <w:rsid w:val="000268EA"/>
    <w:rsid w:val="00026981"/>
    <w:rsid w:val="000269DB"/>
    <w:rsid w:val="0002736D"/>
    <w:rsid w:val="00027502"/>
    <w:rsid w:val="000276ED"/>
    <w:rsid w:val="00027A82"/>
    <w:rsid w:val="00027AE2"/>
    <w:rsid w:val="000300BD"/>
    <w:rsid w:val="00030113"/>
    <w:rsid w:val="000301C0"/>
    <w:rsid w:val="0003058C"/>
    <w:rsid w:val="0003088B"/>
    <w:rsid w:val="0003094A"/>
    <w:rsid w:val="0003147A"/>
    <w:rsid w:val="000314F9"/>
    <w:rsid w:val="00031A9F"/>
    <w:rsid w:val="00031F5E"/>
    <w:rsid w:val="0003223A"/>
    <w:rsid w:val="00032841"/>
    <w:rsid w:val="0003299B"/>
    <w:rsid w:val="00032C65"/>
    <w:rsid w:val="0003367E"/>
    <w:rsid w:val="00033715"/>
    <w:rsid w:val="00033B20"/>
    <w:rsid w:val="00033B57"/>
    <w:rsid w:val="00033EBF"/>
    <w:rsid w:val="0003413E"/>
    <w:rsid w:val="0003464B"/>
    <w:rsid w:val="00034790"/>
    <w:rsid w:val="00035485"/>
    <w:rsid w:val="00035A71"/>
    <w:rsid w:val="00035A93"/>
    <w:rsid w:val="00035AC9"/>
    <w:rsid w:val="00035EBA"/>
    <w:rsid w:val="00035EF2"/>
    <w:rsid w:val="00036229"/>
    <w:rsid w:val="00036265"/>
    <w:rsid w:val="00037481"/>
    <w:rsid w:val="00037597"/>
    <w:rsid w:val="00037668"/>
    <w:rsid w:val="00037847"/>
    <w:rsid w:val="000378ED"/>
    <w:rsid w:val="00037961"/>
    <w:rsid w:val="00037C03"/>
    <w:rsid w:val="0004038F"/>
    <w:rsid w:val="000406C3"/>
    <w:rsid w:val="0004090F"/>
    <w:rsid w:val="00040CE5"/>
    <w:rsid w:val="00040FF6"/>
    <w:rsid w:val="00041405"/>
    <w:rsid w:val="000414C7"/>
    <w:rsid w:val="00041AA4"/>
    <w:rsid w:val="00041AB9"/>
    <w:rsid w:val="00041CF1"/>
    <w:rsid w:val="00041DD8"/>
    <w:rsid w:val="00042D93"/>
    <w:rsid w:val="00043A96"/>
    <w:rsid w:val="00043D7F"/>
    <w:rsid w:val="00044D14"/>
    <w:rsid w:val="000456E3"/>
    <w:rsid w:val="000456FC"/>
    <w:rsid w:val="000459B2"/>
    <w:rsid w:val="00045C05"/>
    <w:rsid w:val="00046169"/>
    <w:rsid w:val="000462B3"/>
    <w:rsid w:val="000462F2"/>
    <w:rsid w:val="000464F2"/>
    <w:rsid w:val="00046ACF"/>
    <w:rsid w:val="00046D48"/>
    <w:rsid w:val="0004702C"/>
    <w:rsid w:val="00047C4F"/>
    <w:rsid w:val="00047E98"/>
    <w:rsid w:val="0005032F"/>
    <w:rsid w:val="00050B65"/>
    <w:rsid w:val="00050C12"/>
    <w:rsid w:val="000511D4"/>
    <w:rsid w:val="00051D1B"/>
    <w:rsid w:val="00052C2E"/>
    <w:rsid w:val="00052D12"/>
    <w:rsid w:val="0005341D"/>
    <w:rsid w:val="0005370A"/>
    <w:rsid w:val="000537DF"/>
    <w:rsid w:val="00053950"/>
    <w:rsid w:val="00053DAC"/>
    <w:rsid w:val="00054094"/>
    <w:rsid w:val="000540DF"/>
    <w:rsid w:val="00054253"/>
    <w:rsid w:val="0005431F"/>
    <w:rsid w:val="00054523"/>
    <w:rsid w:val="00054707"/>
    <w:rsid w:val="00054792"/>
    <w:rsid w:val="000548DE"/>
    <w:rsid w:val="00054F61"/>
    <w:rsid w:val="00055122"/>
    <w:rsid w:val="0005540F"/>
    <w:rsid w:val="000556C4"/>
    <w:rsid w:val="00055A77"/>
    <w:rsid w:val="000560AC"/>
    <w:rsid w:val="000562A4"/>
    <w:rsid w:val="00056ADE"/>
    <w:rsid w:val="00056F5E"/>
    <w:rsid w:val="00057285"/>
    <w:rsid w:val="00057336"/>
    <w:rsid w:val="000578F5"/>
    <w:rsid w:val="00057AC2"/>
    <w:rsid w:val="00060324"/>
    <w:rsid w:val="000604C0"/>
    <w:rsid w:val="000608AA"/>
    <w:rsid w:val="00061208"/>
    <w:rsid w:val="00061351"/>
    <w:rsid w:val="00061643"/>
    <w:rsid w:val="0006186B"/>
    <w:rsid w:val="00061890"/>
    <w:rsid w:val="000619EE"/>
    <w:rsid w:val="00061D8D"/>
    <w:rsid w:val="00061F2F"/>
    <w:rsid w:val="000622D5"/>
    <w:rsid w:val="000627FB"/>
    <w:rsid w:val="00062867"/>
    <w:rsid w:val="00062DA6"/>
    <w:rsid w:val="00062F1F"/>
    <w:rsid w:val="00062FA1"/>
    <w:rsid w:val="0006316B"/>
    <w:rsid w:val="000636A9"/>
    <w:rsid w:val="00063814"/>
    <w:rsid w:val="00063AAB"/>
    <w:rsid w:val="00063DB3"/>
    <w:rsid w:val="0006416C"/>
    <w:rsid w:val="000642EC"/>
    <w:rsid w:val="00064643"/>
    <w:rsid w:val="00064671"/>
    <w:rsid w:val="00064AAF"/>
    <w:rsid w:val="00064AF2"/>
    <w:rsid w:val="0006509B"/>
    <w:rsid w:val="000656B1"/>
    <w:rsid w:val="00065B0F"/>
    <w:rsid w:val="00065D5E"/>
    <w:rsid w:val="00065D86"/>
    <w:rsid w:val="000662FF"/>
    <w:rsid w:val="00066697"/>
    <w:rsid w:val="000666B4"/>
    <w:rsid w:val="00066C58"/>
    <w:rsid w:val="000677A9"/>
    <w:rsid w:val="00067E24"/>
    <w:rsid w:val="0007055F"/>
    <w:rsid w:val="000706AC"/>
    <w:rsid w:val="000706C8"/>
    <w:rsid w:val="00070AD0"/>
    <w:rsid w:val="00070C70"/>
    <w:rsid w:val="00070CD4"/>
    <w:rsid w:val="000710E1"/>
    <w:rsid w:val="00071267"/>
    <w:rsid w:val="00071781"/>
    <w:rsid w:val="000717EC"/>
    <w:rsid w:val="00071C79"/>
    <w:rsid w:val="00071CE4"/>
    <w:rsid w:val="00071F05"/>
    <w:rsid w:val="000724E4"/>
    <w:rsid w:val="00072924"/>
    <w:rsid w:val="00072E28"/>
    <w:rsid w:val="0007348A"/>
    <w:rsid w:val="00073664"/>
    <w:rsid w:val="00073A08"/>
    <w:rsid w:val="000740E9"/>
    <w:rsid w:val="0007431C"/>
    <w:rsid w:val="000744D5"/>
    <w:rsid w:val="0007477B"/>
    <w:rsid w:val="00074E4E"/>
    <w:rsid w:val="0007540C"/>
    <w:rsid w:val="0007549F"/>
    <w:rsid w:val="000758EE"/>
    <w:rsid w:val="00075FEE"/>
    <w:rsid w:val="000761EA"/>
    <w:rsid w:val="0007656E"/>
    <w:rsid w:val="00076C47"/>
    <w:rsid w:val="0007705F"/>
    <w:rsid w:val="00077650"/>
    <w:rsid w:val="000806B6"/>
    <w:rsid w:val="00080A62"/>
    <w:rsid w:val="00080B05"/>
    <w:rsid w:val="000810DC"/>
    <w:rsid w:val="00081228"/>
    <w:rsid w:val="00081557"/>
    <w:rsid w:val="00081A43"/>
    <w:rsid w:val="00081A55"/>
    <w:rsid w:val="00081CB3"/>
    <w:rsid w:val="00081FA7"/>
    <w:rsid w:val="000827DB"/>
    <w:rsid w:val="00082BA3"/>
    <w:rsid w:val="0008315B"/>
    <w:rsid w:val="000835B9"/>
    <w:rsid w:val="00083C12"/>
    <w:rsid w:val="00084064"/>
    <w:rsid w:val="00084393"/>
    <w:rsid w:val="0008473C"/>
    <w:rsid w:val="000849A6"/>
    <w:rsid w:val="00084CA0"/>
    <w:rsid w:val="00084D10"/>
    <w:rsid w:val="00084DEB"/>
    <w:rsid w:val="00085324"/>
    <w:rsid w:val="00085340"/>
    <w:rsid w:val="00085657"/>
    <w:rsid w:val="00085928"/>
    <w:rsid w:val="0008623D"/>
    <w:rsid w:val="00086517"/>
    <w:rsid w:val="00086675"/>
    <w:rsid w:val="00086974"/>
    <w:rsid w:val="0008699B"/>
    <w:rsid w:val="00086CD6"/>
    <w:rsid w:val="000878E7"/>
    <w:rsid w:val="00087B78"/>
    <w:rsid w:val="00087DAE"/>
    <w:rsid w:val="00090CC4"/>
    <w:rsid w:val="00090EA6"/>
    <w:rsid w:val="00090F0F"/>
    <w:rsid w:val="00091487"/>
    <w:rsid w:val="000914CB"/>
    <w:rsid w:val="00091656"/>
    <w:rsid w:val="00091ACC"/>
    <w:rsid w:val="00091BAC"/>
    <w:rsid w:val="00091CDA"/>
    <w:rsid w:val="00092160"/>
    <w:rsid w:val="000926F4"/>
    <w:rsid w:val="00092839"/>
    <w:rsid w:val="000928D7"/>
    <w:rsid w:val="00093294"/>
    <w:rsid w:val="000939CD"/>
    <w:rsid w:val="00093A4C"/>
    <w:rsid w:val="00093D19"/>
    <w:rsid w:val="00093E02"/>
    <w:rsid w:val="00094181"/>
    <w:rsid w:val="000942F6"/>
    <w:rsid w:val="00094366"/>
    <w:rsid w:val="00094877"/>
    <w:rsid w:val="00094889"/>
    <w:rsid w:val="000948CA"/>
    <w:rsid w:val="000956E6"/>
    <w:rsid w:val="00096E64"/>
    <w:rsid w:val="000A0716"/>
    <w:rsid w:val="000A198F"/>
    <w:rsid w:val="000A220D"/>
    <w:rsid w:val="000A2BAE"/>
    <w:rsid w:val="000A2CBE"/>
    <w:rsid w:val="000A3423"/>
    <w:rsid w:val="000A34B2"/>
    <w:rsid w:val="000A392A"/>
    <w:rsid w:val="000A3BB3"/>
    <w:rsid w:val="000A3D70"/>
    <w:rsid w:val="000A481E"/>
    <w:rsid w:val="000A4A15"/>
    <w:rsid w:val="000A523E"/>
    <w:rsid w:val="000A5677"/>
    <w:rsid w:val="000A59D4"/>
    <w:rsid w:val="000A6228"/>
    <w:rsid w:val="000A6466"/>
    <w:rsid w:val="000A65EB"/>
    <w:rsid w:val="000A6761"/>
    <w:rsid w:val="000A693F"/>
    <w:rsid w:val="000A694C"/>
    <w:rsid w:val="000A69C5"/>
    <w:rsid w:val="000A6F01"/>
    <w:rsid w:val="000A7048"/>
    <w:rsid w:val="000A7632"/>
    <w:rsid w:val="000A77A4"/>
    <w:rsid w:val="000B0B6A"/>
    <w:rsid w:val="000B0F98"/>
    <w:rsid w:val="000B1401"/>
    <w:rsid w:val="000B1649"/>
    <w:rsid w:val="000B1BB0"/>
    <w:rsid w:val="000B1E52"/>
    <w:rsid w:val="000B1FD4"/>
    <w:rsid w:val="000B2490"/>
    <w:rsid w:val="000B252B"/>
    <w:rsid w:val="000B28AB"/>
    <w:rsid w:val="000B28D3"/>
    <w:rsid w:val="000B2C7C"/>
    <w:rsid w:val="000B3270"/>
    <w:rsid w:val="000B33C0"/>
    <w:rsid w:val="000B3968"/>
    <w:rsid w:val="000B3A67"/>
    <w:rsid w:val="000B3B50"/>
    <w:rsid w:val="000B3B8D"/>
    <w:rsid w:val="000B3F71"/>
    <w:rsid w:val="000B40CB"/>
    <w:rsid w:val="000B410E"/>
    <w:rsid w:val="000B4758"/>
    <w:rsid w:val="000B4C8B"/>
    <w:rsid w:val="000B4DDF"/>
    <w:rsid w:val="000B4EA7"/>
    <w:rsid w:val="000B51F7"/>
    <w:rsid w:val="000B53D2"/>
    <w:rsid w:val="000B5407"/>
    <w:rsid w:val="000B55C0"/>
    <w:rsid w:val="000B5B6F"/>
    <w:rsid w:val="000B5BCA"/>
    <w:rsid w:val="000B601C"/>
    <w:rsid w:val="000B7AC3"/>
    <w:rsid w:val="000C0486"/>
    <w:rsid w:val="000C067F"/>
    <w:rsid w:val="000C0906"/>
    <w:rsid w:val="000C0A40"/>
    <w:rsid w:val="000C0B90"/>
    <w:rsid w:val="000C0BB5"/>
    <w:rsid w:val="000C1199"/>
    <w:rsid w:val="000C203E"/>
    <w:rsid w:val="000C2410"/>
    <w:rsid w:val="000C257E"/>
    <w:rsid w:val="000C2AD5"/>
    <w:rsid w:val="000C2EF6"/>
    <w:rsid w:val="000C3011"/>
    <w:rsid w:val="000C3209"/>
    <w:rsid w:val="000C3E99"/>
    <w:rsid w:val="000C459F"/>
    <w:rsid w:val="000C58C2"/>
    <w:rsid w:val="000C5A2A"/>
    <w:rsid w:val="000C5E2D"/>
    <w:rsid w:val="000C5F4B"/>
    <w:rsid w:val="000C6BAC"/>
    <w:rsid w:val="000C6E98"/>
    <w:rsid w:val="000C6EA9"/>
    <w:rsid w:val="000C6FBF"/>
    <w:rsid w:val="000C70E1"/>
    <w:rsid w:val="000C77C7"/>
    <w:rsid w:val="000C796C"/>
    <w:rsid w:val="000C7F16"/>
    <w:rsid w:val="000D035A"/>
    <w:rsid w:val="000D05E9"/>
    <w:rsid w:val="000D0C15"/>
    <w:rsid w:val="000D13ED"/>
    <w:rsid w:val="000D171F"/>
    <w:rsid w:val="000D22CB"/>
    <w:rsid w:val="000D231C"/>
    <w:rsid w:val="000D2925"/>
    <w:rsid w:val="000D2BB1"/>
    <w:rsid w:val="000D2C6B"/>
    <w:rsid w:val="000D2F0C"/>
    <w:rsid w:val="000D3070"/>
    <w:rsid w:val="000D396F"/>
    <w:rsid w:val="000D3B82"/>
    <w:rsid w:val="000D3DB2"/>
    <w:rsid w:val="000D3F10"/>
    <w:rsid w:val="000D4005"/>
    <w:rsid w:val="000D4937"/>
    <w:rsid w:val="000D504E"/>
    <w:rsid w:val="000D511B"/>
    <w:rsid w:val="000D5273"/>
    <w:rsid w:val="000D5490"/>
    <w:rsid w:val="000D557F"/>
    <w:rsid w:val="000D577B"/>
    <w:rsid w:val="000D6092"/>
    <w:rsid w:val="000D6882"/>
    <w:rsid w:val="000D6B20"/>
    <w:rsid w:val="000D6D7B"/>
    <w:rsid w:val="000D7300"/>
    <w:rsid w:val="000D7388"/>
    <w:rsid w:val="000D7458"/>
    <w:rsid w:val="000D7B38"/>
    <w:rsid w:val="000D7C40"/>
    <w:rsid w:val="000D7FF8"/>
    <w:rsid w:val="000E01DD"/>
    <w:rsid w:val="000E0651"/>
    <w:rsid w:val="000E07D0"/>
    <w:rsid w:val="000E117D"/>
    <w:rsid w:val="000E1419"/>
    <w:rsid w:val="000E16E3"/>
    <w:rsid w:val="000E1BAD"/>
    <w:rsid w:val="000E1E97"/>
    <w:rsid w:val="000E1FE7"/>
    <w:rsid w:val="000E21A2"/>
    <w:rsid w:val="000E2244"/>
    <w:rsid w:val="000E2629"/>
    <w:rsid w:val="000E2895"/>
    <w:rsid w:val="000E2A94"/>
    <w:rsid w:val="000E2CDD"/>
    <w:rsid w:val="000E2D75"/>
    <w:rsid w:val="000E2D7C"/>
    <w:rsid w:val="000E2DD9"/>
    <w:rsid w:val="000E358D"/>
    <w:rsid w:val="000E36CB"/>
    <w:rsid w:val="000E371C"/>
    <w:rsid w:val="000E3A5C"/>
    <w:rsid w:val="000E3C06"/>
    <w:rsid w:val="000E3C66"/>
    <w:rsid w:val="000E3D80"/>
    <w:rsid w:val="000E45AF"/>
    <w:rsid w:val="000E4D9F"/>
    <w:rsid w:val="000E5259"/>
    <w:rsid w:val="000E5AFA"/>
    <w:rsid w:val="000E5BD7"/>
    <w:rsid w:val="000E6293"/>
    <w:rsid w:val="000E662C"/>
    <w:rsid w:val="000E673B"/>
    <w:rsid w:val="000E6C59"/>
    <w:rsid w:val="000E6F97"/>
    <w:rsid w:val="000E71A6"/>
    <w:rsid w:val="000E75A7"/>
    <w:rsid w:val="000F01C4"/>
    <w:rsid w:val="000F02AB"/>
    <w:rsid w:val="000F0618"/>
    <w:rsid w:val="000F08B2"/>
    <w:rsid w:val="000F0C35"/>
    <w:rsid w:val="000F0D95"/>
    <w:rsid w:val="000F1203"/>
    <w:rsid w:val="000F1287"/>
    <w:rsid w:val="000F12EF"/>
    <w:rsid w:val="000F13F7"/>
    <w:rsid w:val="000F1437"/>
    <w:rsid w:val="000F1710"/>
    <w:rsid w:val="000F1E25"/>
    <w:rsid w:val="000F1F99"/>
    <w:rsid w:val="000F212B"/>
    <w:rsid w:val="000F215B"/>
    <w:rsid w:val="000F2166"/>
    <w:rsid w:val="000F22F7"/>
    <w:rsid w:val="000F2783"/>
    <w:rsid w:val="000F300C"/>
    <w:rsid w:val="000F3115"/>
    <w:rsid w:val="000F3406"/>
    <w:rsid w:val="000F3E8C"/>
    <w:rsid w:val="000F40A5"/>
    <w:rsid w:val="000F4C50"/>
    <w:rsid w:val="000F4D9C"/>
    <w:rsid w:val="000F4EA0"/>
    <w:rsid w:val="000F5270"/>
    <w:rsid w:val="000F639B"/>
    <w:rsid w:val="000F6A9E"/>
    <w:rsid w:val="000F6BB5"/>
    <w:rsid w:val="000F6CC6"/>
    <w:rsid w:val="000F6D59"/>
    <w:rsid w:val="000F74D6"/>
    <w:rsid w:val="000F756C"/>
    <w:rsid w:val="000F7B28"/>
    <w:rsid w:val="000F7CBF"/>
    <w:rsid w:val="000F7DED"/>
    <w:rsid w:val="00100369"/>
    <w:rsid w:val="00100710"/>
    <w:rsid w:val="0010094C"/>
    <w:rsid w:val="00100F43"/>
    <w:rsid w:val="00100FAE"/>
    <w:rsid w:val="00101559"/>
    <w:rsid w:val="0010168A"/>
    <w:rsid w:val="00101CC5"/>
    <w:rsid w:val="0010264C"/>
    <w:rsid w:val="00102ABA"/>
    <w:rsid w:val="001034DA"/>
    <w:rsid w:val="00103616"/>
    <w:rsid w:val="00104949"/>
    <w:rsid w:val="00104959"/>
    <w:rsid w:val="00104A8D"/>
    <w:rsid w:val="001053EA"/>
    <w:rsid w:val="00105514"/>
    <w:rsid w:val="00105793"/>
    <w:rsid w:val="00105965"/>
    <w:rsid w:val="00106183"/>
    <w:rsid w:val="00107374"/>
    <w:rsid w:val="00107605"/>
    <w:rsid w:val="0010777F"/>
    <w:rsid w:val="00107A54"/>
    <w:rsid w:val="00107BB0"/>
    <w:rsid w:val="00107D15"/>
    <w:rsid w:val="00107D30"/>
    <w:rsid w:val="00107FCA"/>
    <w:rsid w:val="001101B1"/>
    <w:rsid w:val="00110619"/>
    <w:rsid w:val="001109CA"/>
    <w:rsid w:val="00110ACF"/>
    <w:rsid w:val="0011118C"/>
    <w:rsid w:val="00111382"/>
    <w:rsid w:val="0011148A"/>
    <w:rsid w:val="00111AC4"/>
    <w:rsid w:val="00111CB3"/>
    <w:rsid w:val="00111F56"/>
    <w:rsid w:val="00112294"/>
    <w:rsid w:val="00112606"/>
    <w:rsid w:val="001126A2"/>
    <w:rsid w:val="001126F2"/>
    <w:rsid w:val="00112739"/>
    <w:rsid w:val="00112C35"/>
    <w:rsid w:val="00112C6E"/>
    <w:rsid w:val="00113163"/>
    <w:rsid w:val="00113A9F"/>
    <w:rsid w:val="00113B49"/>
    <w:rsid w:val="00114086"/>
    <w:rsid w:val="001152C2"/>
    <w:rsid w:val="00115EDD"/>
    <w:rsid w:val="0011663C"/>
    <w:rsid w:val="0011679D"/>
    <w:rsid w:val="00116824"/>
    <w:rsid w:val="00117567"/>
    <w:rsid w:val="00117667"/>
    <w:rsid w:val="00120526"/>
    <w:rsid w:val="001207B5"/>
    <w:rsid w:val="00120C8A"/>
    <w:rsid w:val="00120DBC"/>
    <w:rsid w:val="00120E60"/>
    <w:rsid w:val="00120F4F"/>
    <w:rsid w:val="0012129A"/>
    <w:rsid w:val="001218D3"/>
    <w:rsid w:val="00121F42"/>
    <w:rsid w:val="00122177"/>
    <w:rsid w:val="001225EA"/>
    <w:rsid w:val="001225EC"/>
    <w:rsid w:val="00122B0B"/>
    <w:rsid w:val="00122B6D"/>
    <w:rsid w:val="00122B7C"/>
    <w:rsid w:val="00122F2D"/>
    <w:rsid w:val="0012362A"/>
    <w:rsid w:val="001240D2"/>
    <w:rsid w:val="001243AB"/>
    <w:rsid w:val="0012454F"/>
    <w:rsid w:val="001249D1"/>
    <w:rsid w:val="001249D4"/>
    <w:rsid w:val="00124B6F"/>
    <w:rsid w:val="00124F16"/>
    <w:rsid w:val="00125286"/>
    <w:rsid w:val="00125CBA"/>
    <w:rsid w:val="00125F2B"/>
    <w:rsid w:val="00126428"/>
    <w:rsid w:val="00126563"/>
    <w:rsid w:val="00126C48"/>
    <w:rsid w:val="0012728D"/>
    <w:rsid w:val="00127DF4"/>
    <w:rsid w:val="00130745"/>
    <w:rsid w:val="0013077A"/>
    <w:rsid w:val="00130F38"/>
    <w:rsid w:val="00132457"/>
    <w:rsid w:val="001328A0"/>
    <w:rsid w:val="001328D3"/>
    <w:rsid w:val="00132979"/>
    <w:rsid w:val="00132F40"/>
    <w:rsid w:val="00133193"/>
    <w:rsid w:val="001334B7"/>
    <w:rsid w:val="0013362B"/>
    <w:rsid w:val="001336E4"/>
    <w:rsid w:val="00133EC6"/>
    <w:rsid w:val="001345E1"/>
    <w:rsid w:val="0013470F"/>
    <w:rsid w:val="00134887"/>
    <w:rsid w:val="00135238"/>
    <w:rsid w:val="00135752"/>
    <w:rsid w:val="00135965"/>
    <w:rsid w:val="00135EC9"/>
    <w:rsid w:val="00136370"/>
    <w:rsid w:val="00136A3D"/>
    <w:rsid w:val="00136D94"/>
    <w:rsid w:val="00137877"/>
    <w:rsid w:val="00137CE0"/>
    <w:rsid w:val="00137EF6"/>
    <w:rsid w:val="00140342"/>
    <w:rsid w:val="001406AE"/>
    <w:rsid w:val="00140ADF"/>
    <w:rsid w:val="00141437"/>
    <w:rsid w:val="001416FA"/>
    <w:rsid w:val="00141C4E"/>
    <w:rsid w:val="00141DE7"/>
    <w:rsid w:val="00141F50"/>
    <w:rsid w:val="001421E0"/>
    <w:rsid w:val="00142895"/>
    <w:rsid w:val="001429DE"/>
    <w:rsid w:val="00143198"/>
    <w:rsid w:val="0014331D"/>
    <w:rsid w:val="001437E1"/>
    <w:rsid w:val="00143B02"/>
    <w:rsid w:val="00143D47"/>
    <w:rsid w:val="001442D2"/>
    <w:rsid w:val="00144780"/>
    <w:rsid w:val="00144AD4"/>
    <w:rsid w:val="00145BBA"/>
    <w:rsid w:val="00145D01"/>
    <w:rsid w:val="00145E43"/>
    <w:rsid w:val="0014641E"/>
    <w:rsid w:val="00146D67"/>
    <w:rsid w:val="00146E29"/>
    <w:rsid w:val="001474A3"/>
    <w:rsid w:val="0014758E"/>
    <w:rsid w:val="00147BBE"/>
    <w:rsid w:val="00147C7D"/>
    <w:rsid w:val="00150023"/>
    <w:rsid w:val="00150745"/>
    <w:rsid w:val="0015081F"/>
    <w:rsid w:val="00150DAF"/>
    <w:rsid w:val="001518D7"/>
    <w:rsid w:val="00151992"/>
    <w:rsid w:val="001520C6"/>
    <w:rsid w:val="00152F3F"/>
    <w:rsid w:val="00153235"/>
    <w:rsid w:val="00153AED"/>
    <w:rsid w:val="00153B9A"/>
    <w:rsid w:val="00153FCA"/>
    <w:rsid w:val="0015431E"/>
    <w:rsid w:val="0015448B"/>
    <w:rsid w:val="00154606"/>
    <w:rsid w:val="00154D8E"/>
    <w:rsid w:val="00154F14"/>
    <w:rsid w:val="00154F49"/>
    <w:rsid w:val="00154F54"/>
    <w:rsid w:val="0015528E"/>
    <w:rsid w:val="001553D8"/>
    <w:rsid w:val="00155995"/>
    <w:rsid w:val="00155DFA"/>
    <w:rsid w:val="00156236"/>
    <w:rsid w:val="00156898"/>
    <w:rsid w:val="00156E9E"/>
    <w:rsid w:val="00156F42"/>
    <w:rsid w:val="00157599"/>
    <w:rsid w:val="00157613"/>
    <w:rsid w:val="001576FB"/>
    <w:rsid w:val="00157D5F"/>
    <w:rsid w:val="00160225"/>
    <w:rsid w:val="00160E79"/>
    <w:rsid w:val="00160F39"/>
    <w:rsid w:val="001615C1"/>
    <w:rsid w:val="0016178F"/>
    <w:rsid w:val="00161C35"/>
    <w:rsid w:val="0016200B"/>
    <w:rsid w:val="00162048"/>
    <w:rsid w:val="00162195"/>
    <w:rsid w:val="001623E9"/>
    <w:rsid w:val="0016265A"/>
    <w:rsid w:val="001626CC"/>
    <w:rsid w:val="00162CA6"/>
    <w:rsid w:val="00163969"/>
    <w:rsid w:val="00163F40"/>
    <w:rsid w:val="00163F88"/>
    <w:rsid w:val="001645A9"/>
    <w:rsid w:val="0016522C"/>
    <w:rsid w:val="00165233"/>
    <w:rsid w:val="00165A6D"/>
    <w:rsid w:val="00165D11"/>
    <w:rsid w:val="00165D3A"/>
    <w:rsid w:val="0016601E"/>
    <w:rsid w:val="00166102"/>
    <w:rsid w:val="0016614B"/>
    <w:rsid w:val="00166DCA"/>
    <w:rsid w:val="00166E03"/>
    <w:rsid w:val="0016762C"/>
    <w:rsid w:val="001677B7"/>
    <w:rsid w:val="001677C0"/>
    <w:rsid w:val="00167A7D"/>
    <w:rsid w:val="00167FC0"/>
    <w:rsid w:val="00170801"/>
    <w:rsid w:val="0017081F"/>
    <w:rsid w:val="00170B37"/>
    <w:rsid w:val="00170DB0"/>
    <w:rsid w:val="00172AD2"/>
    <w:rsid w:val="00172EA5"/>
    <w:rsid w:val="0017351B"/>
    <w:rsid w:val="001736A6"/>
    <w:rsid w:val="001737F5"/>
    <w:rsid w:val="001738B7"/>
    <w:rsid w:val="00173B4B"/>
    <w:rsid w:val="00174DDD"/>
    <w:rsid w:val="00175160"/>
    <w:rsid w:val="00175165"/>
    <w:rsid w:val="001753D7"/>
    <w:rsid w:val="00175B55"/>
    <w:rsid w:val="00175BE6"/>
    <w:rsid w:val="00176172"/>
    <w:rsid w:val="001762BE"/>
    <w:rsid w:val="001762EE"/>
    <w:rsid w:val="001766CF"/>
    <w:rsid w:val="001766E6"/>
    <w:rsid w:val="00176B65"/>
    <w:rsid w:val="00176D6F"/>
    <w:rsid w:val="00176F44"/>
    <w:rsid w:val="001772DD"/>
    <w:rsid w:val="00177891"/>
    <w:rsid w:val="00177A0B"/>
    <w:rsid w:val="00177CA2"/>
    <w:rsid w:val="00180170"/>
    <w:rsid w:val="0018031D"/>
    <w:rsid w:val="00180333"/>
    <w:rsid w:val="001807D4"/>
    <w:rsid w:val="00181018"/>
    <w:rsid w:val="0018213A"/>
    <w:rsid w:val="0018243F"/>
    <w:rsid w:val="001825B1"/>
    <w:rsid w:val="00182975"/>
    <w:rsid w:val="001834B2"/>
    <w:rsid w:val="00183B51"/>
    <w:rsid w:val="001840F7"/>
    <w:rsid w:val="00184171"/>
    <w:rsid w:val="00185A48"/>
    <w:rsid w:val="00185B95"/>
    <w:rsid w:val="001864C9"/>
    <w:rsid w:val="00186AFC"/>
    <w:rsid w:val="00186FD0"/>
    <w:rsid w:val="001873A3"/>
    <w:rsid w:val="0018741C"/>
    <w:rsid w:val="001876D6"/>
    <w:rsid w:val="0019032A"/>
    <w:rsid w:val="001903F3"/>
    <w:rsid w:val="001904DA"/>
    <w:rsid w:val="0019066F"/>
    <w:rsid w:val="00190766"/>
    <w:rsid w:val="00190A02"/>
    <w:rsid w:val="00190ADD"/>
    <w:rsid w:val="00190C7C"/>
    <w:rsid w:val="00190FB7"/>
    <w:rsid w:val="00191F47"/>
    <w:rsid w:val="00192097"/>
    <w:rsid w:val="0019265F"/>
    <w:rsid w:val="00193E78"/>
    <w:rsid w:val="00193FC5"/>
    <w:rsid w:val="00194A08"/>
    <w:rsid w:val="00194B38"/>
    <w:rsid w:val="00194C02"/>
    <w:rsid w:val="00194F37"/>
    <w:rsid w:val="00195213"/>
    <w:rsid w:val="0019521D"/>
    <w:rsid w:val="0019536C"/>
    <w:rsid w:val="00195D77"/>
    <w:rsid w:val="00195E2B"/>
    <w:rsid w:val="001960A7"/>
    <w:rsid w:val="001960C6"/>
    <w:rsid w:val="001961E8"/>
    <w:rsid w:val="00196695"/>
    <w:rsid w:val="0019678D"/>
    <w:rsid w:val="001968B6"/>
    <w:rsid w:val="001968F4"/>
    <w:rsid w:val="00196900"/>
    <w:rsid w:val="00196B4D"/>
    <w:rsid w:val="001974A8"/>
    <w:rsid w:val="00197558"/>
    <w:rsid w:val="001978B6"/>
    <w:rsid w:val="00197A71"/>
    <w:rsid w:val="00197D87"/>
    <w:rsid w:val="00197DA8"/>
    <w:rsid w:val="001A00A9"/>
    <w:rsid w:val="001A02E9"/>
    <w:rsid w:val="001A04F1"/>
    <w:rsid w:val="001A0D1A"/>
    <w:rsid w:val="001A2500"/>
    <w:rsid w:val="001A2594"/>
    <w:rsid w:val="001A2BED"/>
    <w:rsid w:val="001A2DCD"/>
    <w:rsid w:val="001A35C7"/>
    <w:rsid w:val="001A36A0"/>
    <w:rsid w:val="001A39BB"/>
    <w:rsid w:val="001A3BEC"/>
    <w:rsid w:val="001A3C59"/>
    <w:rsid w:val="001A4503"/>
    <w:rsid w:val="001A4AEC"/>
    <w:rsid w:val="001A5553"/>
    <w:rsid w:val="001A5881"/>
    <w:rsid w:val="001A588E"/>
    <w:rsid w:val="001A5892"/>
    <w:rsid w:val="001A5A54"/>
    <w:rsid w:val="001A5AE5"/>
    <w:rsid w:val="001A5E7F"/>
    <w:rsid w:val="001A5EC8"/>
    <w:rsid w:val="001A643E"/>
    <w:rsid w:val="001A6585"/>
    <w:rsid w:val="001A698B"/>
    <w:rsid w:val="001A6F2F"/>
    <w:rsid w:val="001A74E4"/>
    <w:rsid w:val="001A75EC"/>
    <w:rsid w:val="001B0162"/>
    <w:rsid w:val="001B0539"/>
    <w:rsid w:val="001B0577"/>
    <w:rsid w:val="001B13A7"/>
    <w:rsid w:val="001B19E4"/>
    <w:rsid w:val="001B1B6D"/>
    <w:rsid w:val="001B2193"/>
    <w:rsid w:val="001B239D"/>
    <w:rsid w:val="001B2DF4"/>
    <w:rsid w:val="001B2DF9"/>
    <w:rsid w:val="001B37AF"/>
    <w:rsid w:val="001B3D1C"/>
    <w:rsid w:val="001B447C"/>
    <w:rsid w:val="001B4715"/>
    <w:rsid w:val="001B4998"/>
    <w:rsid w:val="001B4D5D"/>
    <w:rsid w:val="001B4EB0"/>
    <w:rsid w:val="001B6384"/>
    <w:rsid w:val="001B68DE"/>
    <w:rsid w:val="001B6BB1"/>
    <w:rsid w:val="001B6DFD"/>
    <w:rsid w:val="001B73BC"/>
    <w:rsid w:val="001B76E7"/>
    <w:rsid w:val="001B7AF9"/>
    <w:rsid w:val="001C0415"/>
    <w:rsid w:val="001C0907"/>
    <w:rsid w:val="001C0954"/>
    <w:rsid w:val="001C0ED9"/>
    <w:rsid w:val="001C10D7"/>
    <w:rsid w:val="001C1A24"/>
    <w:rsid w:val="001C1C83"/>
    <w:rsid w:val="001C2267"/>
    <w:rsid w:val="001C24D3"/>
    <w:rsid w:val="001C251A"/>
    <w:rsid w:val="001C2FC6"/>
    <w:rsid w:val="001C356A"/>
    <w:rsid w:val="001C3762"/>
    <w:rsid w:val="001C3EC2"/>
    <w:rsid w:val="001C3F9E"/>
    <w:rsid w:val="001C3FE8"/>
    <w:rsid w:val="001C4571"/>
    <w:rsid w:val="001C4994"/>
    <w:rsid w:val="001C4B1D"/>
    <w:rsid w:val="001C5B68"/>
    <w:rsid w:val="001C5DE2"/>
    <w:rsid w:val="001C6687"/>
    <w:rsid w:val="001C6D83"/>
    <w:rsid w:val="001C7484"/>
    <w:rsid w:val="001C7EF2"/>
    <w:rsid w:val="001D0064"/>
    <w:rsid w:val="001D0673"/>
    <w:rsid w:val="001D06A4"/>
    <w:rsid w:val="001D06B8"/>
    <w:rsid w:val="001D06DE"/>
    <w:rsid w:val="001D0D76"/>
    <w:rsid w:val="001D1235"/>
    <w:rsid w:val="001D128A"/>
    <w:rsid w:val="001D142C"/>
    <w:rsid w:val="001D1679"/>
    <w:rsid w:val="001D2067"/>
    <w:rsid w:val="001D2274"/>
    <w:rsid w:val="001D2337"/>
    <w:rsid w:val="001D2D12"/>
    <w:rsid w:val="001D2EF9"/>
    <w:rsid w:val="001D30AC"/>
    <w:rsid w:val="001D326F"/>
    <w:rsid w:val="001D357D"/>
    <w:rsid w:val="001D3646"/>
    <w:rsid w:val="001D3E90"/>
    <w:rsid w:val="001D4188"/>
    <w:rsid w:val="001D4404"/>
    <w:rsid w:val="001D443C"/>
    <w:rsid w:val="001D4AF5"/>
    <w:rsid w:val="001D576C"/>
    <w:rsid w:val="001D584E"/>
    <w:rsid w:val="001D59CD"/>
    <w:rsid w:val="001D5C31"/>
    <w:rsid w:val="001D5F75"/>
    <w:rsid w:val="001D5F80"/>
    <w:rsid w:val="001D66A3"/>
    <w:rsid w:val="001D68E9"/>
    <w:rsid w:val="001D6B01"/>
    <w:rsid w:val="001D6B25"/>
    <w:rsid w:val="001D6D56"/>
    <w:rsid w:val="001D754B"/>
    <w:rsid w:val="001D7CBA"/>
    <w:rsid w:val="001D7D7A"/>
    <w:rsid w:val="001D7FAC"/>
    <w:rsid w:val="001E013E"/>
    <w:rsid w:val="001E0D87"/>
    <w:rsid w:val="001E1489"/>
    <w:rsid w:val="001E1699"/>
    <w:rsid w:val="001E1E44"/>
    <w:rsid w:val="001E2757"/>
    <w:rsid w:val="001E2869"/>
    <w:rsid w:val="001E2BBB"/>
    <w:rsid w:val="001E2C7A"/>
    <w:rsid w:val="001E3058"/>
    <w:rsid w:val="001E312E"/>
    <w:rsid w:val="001E35DE"/>
    <w:rsid w:val="001E36F8"/>
    <w:rsid w:val="001E396A"/>
    <w:rsid w:val="001E3B39"/>
    <w:rsid w:val="001E4419"/>
    <w:rsid w:val="001E5034"/>
    <w:rsid w:val="001E53BE"/>
    <w:rsid w:val="001E58AC"/>
    <w:rsid w:val="001E5956"/>
    <w:rsid w:val="001E5A7E"/>
    <w:rsid w:val="001E5AFA"/>
    <w:rsid w:val="001E64ED"/>
    <w:rsid w:val="001E6C5E"/>
    <w:rsid w:val="001E723E"/>
    <w:rsid w:val="001E76CB"/>
    <w:rsid w:val="001E7F51"/>
    <w:rsid w:val="001E7FF0"/>
    <w:rsid w:val="001F098A"/>
    <w:rsid w:val="001F0FF1"/>
    <w:rsid w:val="001F1329"/>
    <w:rsid w:val="001F147F"/>
    <w:rsid w:val="001F14D8"/>
    <w:rsid w:val="001F16D2"/>
    <w:rsid w:val="001F1A4C"/>
    <w:rsid w:val="001F1D65"/>
    <w:rsid w:val="001F1D7C"/>
    <w:rsid w:val="001F239C"/>
    <w:rsid w:val="001F2459"/>
    <w:rsid w:val="001F27D0"/>
    <w:rsid w:val="001F2DCA"/>
    <w:rsid w:val="001F2FBA"/>
    <w:rsid w:val="001F3001"/>
    <w:rsid w:val="001F31EE"/>
    <w:rsid w:val="001F45DA"/>
    <w:rsid w:val="001F4A64"/>
    <w:rsid w:val="001F4E4F"/>
    <w:rsid w:val="001F4F0D"/>
    <w:rsid w:val="001F50C1"/>
    <w:rsid w:val="001F55DF"/>
    <w:rsid w:val="001F55F1"/>
    <w:rsid w:val="001F56ED"/>
    <w:rsid w:val="001F57BC"/>
    <w:rsid w:val="001F5EDA"/>
    <w:rsid w:val="001F644E"/>
    <w:rsid w:val="001F696F"/>
    <w:rsid w:val="001F6AD6"/>
    <w:rsid w:val="001F6C5E"/>
    <w:rsid w:val="001F6CF7"/>
    <w:rsid w:val="001F6D8E"/>
    <w:rsid w:val="001F6FF9"/>
    <w:rsid w:val="001F71B0"/>
    <w:rsid w:val="001F77C0"/>
    <w:rsid w:val="001F7C2B"/>
    <w:rsid w:val="001F7D19"/>
    <w:rsid w:val="002001DB"/>
    <w:rsid w:val="0020085F"/>
    <w:rsid w:val="00200F43"/>
    <w:rsid w:val="00200F53"/>
    <w:rsid w:val="002017DC"/>
    <w:rsid w:val="00201992"/>
    <w:rsid w:val="00201A1D"/>
    <w:rsid w:val="00201AAC"/>
    <w:rsid w:val="00202105"/>
    <w:rsid w:val="0020256A"/>
    <w:rsid w:val="00202F49"/>
    <w:rsid w:val="0020378C"/>
    <w:rsid w:val="00203EA6"/>
    <w:rsid w:val="00203EAB"/>
    <w:rsid w:val="00203EF5"/>
    <w:rsid w:val="00204335"/>
    <w:rsid w:val="00204625"/>
    <w:rsid w:val="00205AFF"/>
    <w:rsid w:val="00205D5B"/>
    <w:rsid w:val="00205DE6"/>
    <w:rsid w:val="002064DE"/>
    <w:rsid w:val="00206B8C"/>
    <w:rsid w:val="00206CC7"/>
    <w:rsid w:val="0020766D"/>
    <w:rsid w:val="002077F5"/>
    <w:rsid w:val="00207A0C"/>
    <w:rsid w:val="00207C09"/>
    <w:rsid w:val="0021030E"/>
    <w:rsid w:val="002105E5"/>
    <w:rsid w:val="002109F1"/>
    <w:rsid w:val="00210ACD"/>
    <w:rsid w:val="00210C40"/>
    <w:rsid w:val="00210EA6"/>
    <w:rsid w:val="00211D54"/>
    <w:rsid w:val="00211EF5"/>
    <w:rsid w:val="00211F98"/>
    <w:rsid w:val="0021226B"/>
    <w:rsid w:val="002124EA"/>
    <w:rsid w:val="002127A5"/>
    <w:rsid w:val="00212B2F"/>
    <w:rsid w:val="00213047"/>
    <w:rsid w:val="002132C0"/>
    <w:rsid w:val="002136D6"/>
    <w:rsid w:val="00213C23"/>
    <w:rsid w:val="00213ED1"/>
    <w:rsid w:val="0021443E"/>
    <w:rsid w:val="00214B29"/>
    <w:rsid w:val="0021549C"/>
    <w:rsid w:val="002158B2"/>
    <w:rsid w:val="00215D17"/>
    <w:rsid w:val="00215DC7"/>
    <w:rsid w:val="00215F61"/>
    <w:rsid w:val="002161FF"/>
    <w:rsid w:val="00216338"/>
    <w:rsid w:val="00216487"/>
    <w:rsid w:val="002165C0"/>
    <w:rsid w:val="002165E9"/>
    <w:rsid w:val="00216807"/>
    <w:rsid w:val="002173D1"/>
    <w:rsid w:val="00217674"/>
    <w:rsid w:val="00217CA2"/>
    <w:rsid w:val="002201AC"/>
    <w:rsid w:val="00220452"/>
    <w:rsid w:val="00220ADB"/>
    <w:rsid w:val="002216B6"/>
    <w:rsid w:val="00221A68"/>
    <w:rsid w:val="0022222D"/>
    <w:rsid w:val="002225E3"/>
    <w:rsid w:val="00222966"/>
    <w:rsid w:val="00222CF1"/>
    <w:rsid w:val="00222FCF"/>
    <w:rsid w:val="002230CB"/>
    <w:rsid w:val="0022314C"/>
    <w:rsid w:val="00223527"/>
    <w:rsid w:val="002237AB"/>
    <w:rsid w:val="002237D3"/>
    <w:rsid w:val="0022489B"/>
    <w:rsid w:val="002252D8"/>
    <w:rsid w:val="002255D1"/>
    <w:rsid w:val="002255D6"/>
    <w:rsid w:val="002268D5"/>
    <w:rsid w:val="00226AD5"/>
    <w:rsid w:val="00226B49"/>
    <w:rsid w:val="00226C5D"/>
    <w:rsid w:val="00226C63"/>
    <w:rsid w:val="0022742D"/>
    <w:rsid w:val="00227E52"/>
    <w:rsid w:val="00227FBE"/>
    <w:rsid w:val="00230637"/>
    <w:rsid w:val="00231020"/>
    <w:rsid w:val="00231669"/>
    <w:rsid w:val="00231BB8"/>
    <w:rsid w:val="00231C32"/>
    <w:rsid w:val="00231C78"/>
    <w:rsid w:val="00231CBC"/>
    <w:rsid w:val="00231DEF"/>
    <w:rsid w:val="0023288E"/>
    <w:rsid w:val="00232BD1"/>
    <w:rsid w:val="00232C37"/>
    <w:rsid w:val="00232EA1"/>
    <w:rsid w:val="00232F21"/>
    <w:rsid w:val="002330E6"/>
    <w:rsid w:val="00233907"/>
    <w:rsid w:val="002339BA"/>
    <w:rsid w:val="00233BB9"/>
    <w:rsid w:val="00233E7C"/>
    <w:rsid w:val="00233FDA"/>
    <w:rsid w:val="00234DE7"/>
    <w:rsid w:val="002356F5"/>
    <w:rsid w:val="00235A0B"/>
    <w:rsid w:val="00235AC5"/>
    <w:rsid w:val="00235E33"/>
    <w:rsid w:val="00235E9E"/>
    <w:rsid w:val="00236230"/>
    <w:rsid w:val="002365B2"/>
    <w:rsid w:val="002365DC"/>
    <w:rsid w:val="00236B9F"/>
    <w:rsid w:val="00236BDC"/>
    <w:rsid w:val="00237447"/>
    <w:rsid w:val="00237A57"/>
    <w:rsid w:val="00237DE0"/>
    <w:rsid w:val="00237E98"/>
    <w:rsid w:val="002400DC"/>
    <w:rsid w:val="00240810"/>
    <w:rsid w:val="00240A49"/>
    <w:rsid w:val="00240C90"/>
    <w:rsid w:val="00241441"/>
    <w:rsid w:val="002419F4"/>
    <w:rsid w:val="00241ADB"/>
    <w:rsid w:val="00241B17"/>
    <w:rsid w:val="00241E24"/>
    <w:rsid w:val="00241F07"/>
    <w:rsid w:val="00242558"/>
    <w:rsid w:val="00242595"/>
    <w:rsid w:val="0024261E"/>
    <w:rsid w:val="002426A3"/>
    <w:rsid w:val="00242774"/>
    <w:rsid w:val="00242843"/>
    <w:rsid w:val="00242D19"/>
    <w:rsid w:val="002430CD"/>
    <w:rsid w:val="002433CF"/>
    <w:rsid w:val="00243968"/>
    <w:rsid w:val="0024448F"/>
    <w:rsid w:val="00244F76"/>
    <w:rsid w:val="002458C7"/>
    <w:rsid w:val="00245E89"/>
    <w:rsid w:val="00246122"/>
    <w:rsid w:val="00246256"/>
    <w:rsid w:val="002471C2"/>
    <w:rsid w:val="002472CD"/>
    <w:rsid w:val="00247433"/>
    <w:rsid w:val="00247725"/>
    <w:rsid w:val="002500C8"/>
    <w:rsid w:val="00250208"/>
    <w:rsid w:val="0025023A"/>
    <w:rsid w:val="00250481"/>
    <w:rsid w:val="00250BEC"/>
    <w:rsid w:val="00250F95"/>
    <w:rsid w:val="00250FC8"/>
    <w:rsid w:val="00251085"/>
    <w:rsid w:val="0025123F"/>
    <w:rsid w:val="0025184F"/>
    <w:rsid w:val="00251C70"/>
    <w:rsid w:val="00252193"/>
    <w:rsid w:val="00252314"/>
    <w:rsid w:val="0025249F"/>
    <w:rsid w:val="00252A7F"/>
    <w:rsid w:val="00252E88"/>
    <w:rsid w:val="00252EA5"/>
    <w:rsid w:val="0025314A"/>
    <w:rsid w:val="002532AC"/>
    <w:rsid w:val="00253478"/>
    <w:rsid w:val="002534F0"/>
    <w:rsid w:val="0025374D"/>
    <w:rsid w:val="002538A2"/>
    <w:rsid w:val="0025391D"/>
    <w:rsid w:val="00253A48"/>
    <w:rsid w:val="00253BBF"/>
    <w:rsid w:val="00253D65"/>
    <w:rsid w:val="00253E68"/>
    <w:rsid w:val="00253F4C"/>
    <w:rsid w:val="002540F0"/>
    <w:rsid w:val="002541FF"/>
    <w:rsid w:val="0025434C"/>
    <w:rsid w:val="002558E8"/>
    <w:rsid w:val="00256A2F"/>
    <w:rsid w:val="00256ECD"/>
    <w:rsid w:val="002570B2"/>
    <w:rsid w:val="002571DA"/>
    <w:rsid w:val="00257643"/>
    <w:rsid w:val="00257ADC"/>
    <w:rsid w:val="00257EB3"/>
    <w:rsid w:val="00257F64"/>
    <w:rsid w:val="00260574"/>
    <w:rsid w:val="002618AE"/>
    <w:rsid w:val="00261DC5"/>
    <w:rsid w:val="00262109"/>
    <w:rsid w:val="0026218A"/>
    <w:rsid w:val="002624A9"/>
    <w:rsid w:val="002624D8"/>
    <w:rsid w:val="002628BD"/>
    <w:rsid w:val="00262A2D"/>
    <w:rsid w:val="00262D80"/>
    <w:rsid w:val="00262FD5"/>
    <w:rsid w:val="002632C3"/>
    <w:rsid w:val="00263C9F"/>
    <w:rsid w:val="00263CBD"/>
    <w:rsid w:val="00264620"/>
    <w:rsid w:val="002649EA"/>
    <w:rsid w:val="00265080"/>
    <w:rsid w:val="002651E3"/>
    <w:rsid w:val="00265B5C"/>
    <w:rsid w:val="00265D14"/>
    <w:rsid w:val="002660B8"/>
    <w:rsid w:val="002660BB"/>
    <w:rsid w:val="00266A88"/>
    <w:rsid w:val="00266C7A"/>
    <w:rsid w:val="00266D46"/>
    <w:rsid w:val="00267101"/>
    <w:rsid w:val="002675DF"/>
    <w:rsid w:val="002676A9"/>
    <w:rsid w:val="00267892"/>
    <w:rsid w:val="0027021A"/>
    <w:rsid w:val="002706E8"/>
    <w:rsid w:val="00270742"/>
    <w:rsid w:val="00270900"/>
    <w:rsid w:val="00270A3F"/>
    <w:rsid w:val="00270C09"/>
    <w:rsid w:val="00271142"/>
    <w:rsid w:val="00271541"/>
    <w:rsid w:val="002715EB"/>
    <w:rsid w:val="00271D27"/>
    <w:rsid w:val="00271E58"/>
    <w:rsid w:val="00272A4C"/>
    <w:rsid w:val="00272D25"/>
    <w:rsid w:val="00272E23"/>
    <w:rsid w:val="0027344D"/>
    <w:rsid w:val="0027347E"/>
    <w:rsid w:val="00273579"/>
    <w:rsid w:val="00273D99"/>
    <w:rsid w:val="002740EB"/>
    <w:rsid w:val="00274194"/>
    <w:rsid w:val="0027515D"/>
    <w:rsid w:val="00275A9A"/>
    <w:rsid w:val="00275AAF"/>
    <w:rsid w:val="00275BA0"/>
    <w:rsid w:val="00275BE3"/>
    <w:rsid w:val="00275DC6"/>
    <w:rsid w:val="00275EDC"/>
    <w:rsid w:val="0027696C"/>
    <w:rsid w:val="00276A63"/>
    <w:rsid w:val="00276B7D"/>
    <w:rsid w:val="0027726F"/>
    <w:rsid w:val="00277AE6"/>
    <w:rsid w:val="00277B35"/>
    <w:rsid w:val="00277C11"/>
    <w:rsid w:val="00277C92"/>
    <w:rsid w:val="002802A8"/>
    <w:rsid w:val="0028065F"/>
    <w:rsid w:val="00281077"/>
    <w:rsid w:val="0028132A"/>
    <w:rsid w:val="0028161B"/>
    <w:rsid w:val="00281C16"/>
    <w:rsid w:val="00281ECB"/>
    <w:rsid w:val="00282466"/>
    <w:rsid w:val="00282476"/>
    <w:rsid w:val="002827C3"/>
    <w:rsid w:val="002839FE"/>
    <w:rsid w:val="00283E33"/>
    <w:rsid w:val="002846AE"/>
    <w:rsid w:val="00284B04"/>
    <w:rsid w:val="002854EB"/>
    <w:rsid w:val="002855D5"/>
    <w:rsid w:val="00285EFC"/>
    <w:rsid w:val="00286544"/>
    <w:rsid w:val="00286950"/>
    <w:rsid w:val="00286A9A"/>
    <w:rsid w:val="00286AB5"/>
    <w:rsid w:val="00287223"/>
    <w:rsid w:val="002874B3"/>
    <w:rsid w:val="00287541"/>
    <w:rsid w:val="00287789"/>
    <w:rsid w:val="002877E9"/>
    <w:rsid w:val="00287F59"/>
    <w:rsid w:val="002903FF"/>
    <w:rsid w:val="00290783"/>
    <w:rsid w:val="00290974"/>
    <w:rsid w:val="00291706"/>
    <w:rsid w:val="00291936"/>
    <w:rsid w:val="00291A72"/>
    <w:rsid w:val="00291B88"/>
    <w:rsid w:val="00291C6D"/>
    <w:rsid w:val="00291CAD"/>
    <w:rsid w:val="00291EAA"/>
    <w:rsid w:val="0029216F"/>
    <w:rsid w:val="00292482"/>
    <w:rsid w:val="002927F4"/>
    <w:rsid w:val="00292880"/>
    <w:rsid w:val="00292ADA"/>
    <w:rsid w:val="00292C82"/>
    <w:rsid w:val="00292EF0"/>
    <w:rsid w:val="00292EF4"/>
    <w:rsid w:val="002930B0"/>
    <w:rsid w:val="00293457"/>
    <w:rsid w:val="002936F7"/>
    <w:rsid w:val="00293F89"/>
    <w:rsid w:val="00294763"/>
    <w:rsid w:val="00294C16"/>
    <w:rsid w:val="0029507A"/>
    <w:rsid w:val="002953F2"/>
    <w:rsid w:val="002957EC"/>
    <w:rsid w:val="0029598A"/>
    <w:rsid w:val="00295BBF"/>
    <w:rsid w:val="00295E8D"/>
    <w:rsid w:val="00295E9A"/>
    <w:rsid w:val="00295FFB"/>
    <w:rsid w:val="00296320"/>
    <w:rsid w:val="00296795"/>
    <w:rsid w:val="002968F2"/>
    <w:rsid w:val="00296D6E"/>
    <w:rsid w:val="002978A5"/>
    <w:rsid w:val="00297D09"/>
    <w:rsid w:val="002A05BC"/>
    <w:rsid w:val="002A0C88"/>
    <w:rsid w:val="002A15CC"/>
    <w:rsid w:val="002A17FC"/>
    <w:rsid w:val="002A1E91"/>
    <w:rsid w:val="002A23F7"/>
    <w:rsid w:val="002A37BC"/>
    <w:rsid w:val="002A3CA3"/>
    <w:rsid w:val="002A3E48"/>
    <w:rsid w:val="002A4098"/>
    <w:rsid w:val="002A40EA"/>
    <w:rsid w:val="002A426E"/>
    <w:rsid w:val="002A45CA"/>
    <w:rsid w:val="002A45F9"/>
    <w:rsid w:val="002A4687"/>
    <w:rsid w:val="002A4FA4"/>
    <w:rsid w:val="002A56CA"/>
    <w:rsid w:val="002A59C1"/>
    <w:rsid w:val="002A5DE1"/>
    <w:rsid w:val="002A5F4A"/>
    <w:rsid w:val="002A608B"/>
    <w:rsid w:val="002A617F"/>
    <w:rsid w:val="002A64F3"/>
    <w:rsid w:val="002A6F7F"/>
    <w:rsid w:val="002A7286"/>
    <w:rsid w:val="002A7631"/>
    <w:rsid w:val="002A7783"/>
    <w:rsid w:val="002A7AF7"/>
    <w:rsid w:val="002A7B08"/>
    <w:rsid w:val="002A7F0E"/>
    <w:rsid w:val="002B00BC"/>
    <w:rsid w:val="002B0635"/>
    <w:rsid w:val="002B0AC7"/>
    <w:rsid w:val="002B0E01"/>
    <w:rsid w:val="002B0EB0"/>
    <w:rsid w:val="002B0FFE"/>
    <w:rsid w:val="002B11D6"/>
    <w:rsid w:val="002B1556"/>
    <w:rsid w:val="002B1567"/>
    <w:rsid w:val="002B1629"/>
    <w:rsid w:val="002B17C9"/>
    <w:rsid w:val="002B19C3"/>
    <w:rsid w:val="002B1FD9"/>
    <w:rsid w:val="002B20C5"/>
    <w:rsid w:val="002B2E4A"/>
    <w:rsid w:val="002B3470"/>
    <w:rsid w:val="002B4085"/>
    <w:rsid w:val="002B4128"/>
    <w:rsid w:val="002B4399"/>
    <w:rsid w:val="002B4AAB"/>
    <w:rsid w:val="002B4BCF"/>
    <w:rsid w:val="002B4C13"/>
    <w:rsid w:val="002B4C6D"/>
    <w:rsid w:val="002B4ED9"/>
    <w:rsid w:val="002B51A1"/>
    <w:rsid w:val="002B5C1E"/>
    <w:rsid w:val="002B5CF2"/>
    <w:rsid w:val="002B5E0D"/>
    <w:rsid w:val="002B6526"/>
    <w:rsid w:val="002B65A4"/>
    <w:rsid w:val="002B6BA5"/>
    <w:rsid w:val="002B6C05"/>
    <w:rsid w:val="002B6E95"/>
    <w:rsid w:val="002B71EB"/>
    <w:rsid w:val="002B7311"/>
    <w:rsid w:val="002B74B5"/>
    <w:rsid w:val="002B768F"/>
    <w:rsid w:val="002B79C1"/>
    <w:rsid w:val="002B7F17"/>
    <w:rsid w:val="002C01AA"/>
    <w:rsid w:val="002C01BC"/>
    <w:rsid w:val="002C0C15"/>
    <w:rsid w:val="002C0CDE"/>
    <w:rsid w:val="002C0DC8"/>
    <w:rsid w:val="002C1092"/>
    <w:rsid w:val="002C1B25"/>
    <w:rsid w:val="002C1E6A"/>
    <w:rsid w:val="002C200C"/>
    <w:rsid w:val="002C2865"/>
    <w:rsid w:val="002C2C39"/>
    <w:rsid w:val="002C2D35"/>
    <w:rsid w:val="002C30BD"/>
    <w:rsid w:val="002C3361"/>
    <w:rsid w:val="002C33D6"/>
    <w:rsid w:val="002C3B6E"/>
    <w:rsid w:val="002C3D07"/>
    <w:rsid w:val="002C3DDB"/>
    <w:rsid w:val="002C405C"/>
    <w:rsid w:val="002C4997"/>
    <w:rsid w:val="002C4C3F"/>
    <w:rsid w:val="002C4EFF"/>
    <w:rsid w:val="002C4F91"/>
    <w:rsid w:val="002C5289"/>
    <w:rsid w:val="002C5349"/>
    <w:rsid w:val="002C539B"/>
    <w:rsid w:val="002C5881"/>
    <w:rsid w:val="002C5BF4"/>
    <w:rsid w:val="002C5CD2"/>
    <w:rsid w:val="002C6121"/>
    <w:rsid w:val="002C6B8F"/>
    <w:rsid w:val="002C6F68"/>
    <w:rsid w:val="002C73BA"/>
    <w:rsid w:val="002C7491"/>
    <w:rsid w:val="002C752B"/>
    <w:rsid w:val="002C7632"/>
    <w:rsid w:val="002C772A"/>
    <w:rsid w:val="002C7AAB"/>
    <w:rsid w:val="002C7BBB"/>
    <w:rsid w:val="002D0176"/>
    <w:rsid w:val="002D026B"/>
    <w:rsid w:val="002D06EF"/>
    <w:rsid w:val="002D08BF"/>
    <w:rsid w:val="002D0F21"/>
    <w:rsid w:val="002D0FCA"/>
    <w:rsid w:val="002D13DF"/>
    <w:rsid w:val="002D157E"/>
    <w:rsid w:val="002D17D5"/>
    <w:rsid w:val="002D1B38"/>
    <w:rsid w:val="002D1D3B"/>
    <w:rsid w:val="002D22DD"/>
    <w:rsid w:val="002D23A5"/>
    <w:rsid w:val="002D23CF"/>
    <w:rsid w:val="002D27AE"/>
    <w:rsid w:val="002D2959"/>
    <w:rsid w:val="002D2B95"/>
    <w:rsid w:val="002D2CC4"/>
    <w:rsid w:val="002D374A"/>
    <w:rsid w:val="002D3CCD"/>
    <w:rsid w:val="002D3E31"/>
    <w:rsid w:val="002D4867"/>
    <w:rsid w:val="002D4ED1"/>
    <w:rsid w:val="002D565C"/>
    <w:rsid w:val="002D5B3A"/>
    <w:rsid w:val="002D5D9D"/>
    <w:rsid w:val="002D61A3"/>
    <w:rsid w:val="002D6722"/>
    <w:rsid w:val="002D69DC"/>
    <w:rsid w:val="002D6D09"/>
    <w:rsid w:val="002D6D3D"/>
    <w:rsid w:val="002D71E7"/>
    <w:rsid w:val="002D7ADD"/>
    <w:rsid w:val="002E04B2"/>
    <w:rsid w:val="002E0957"/>
    <w:rsid w:val="002E0C18"/>
    <w:rsid w:val="002E0FF0"/>
    <w:rsid w:val="002E1445"/>
    <w:rsid w:val="002E1497"/>
    <w:rsid w:val="002E1567"/>
    <w:rsid w:val="002E174C"/>
    <w:rsid w:val="002E19C3"/>
    <w:rsid w:val="002E1D76"/>
    <w:rsid w:val="002E1ED9"/>
    <w:rsid w:val="002E1F31"/>
    <w:rsid w:val="002E210C"/>
    <w:rsid w:val="002E27CD"/>
    <w:rsid w:val="002E2862"/>
    <w:rsid w:val="002E2F4D"/>
    <w:rsid w:val="002E31E5"/>
    <w:rsid w:val="002E3232"/>
    <w:rsid w:val="002E32DC"/>
    <w:rsid w:val="002E36D8"/>
    <w:rsid w:val="002E389B"/>
    <w:rsid w:val="002E39BB"/>
    <w:rsid w:val="002E3D72"/>
    <w:rsid w:val="002E4190"/>
    <w:rsid w:val="002E43E2"/>
    <w:rsid w:val="002E4C23"/>
    <w:rsid w:val="002E4E46"/>
    <w:rsid w:val="002E51FC"/>
    <w:rsid w:val="002E5F9E"/>
    <w:rsid w:val="002E62F8"/>
    <w:rsid w:val="002E6574"/>
    <w:rsid w:val="002E6676"/>
    <w:rsid w:val="002E69A0"/>
    <w:rsid w:val="002E6C9E"/>
    <w:rsid w:val="002E7090"/>
    <w:rsid w:val="002E7648"/>
    <w:rsid w:val="002E79BA"/>
    <w:rsid w:val="002E7CD9"/>
    <w:rsid w:val="002E7D75"/>
    <w:rsid w:val="002E7ECB"/>
    <w:rsid w:val="002F032B"/>
    <w:rsid w:val="002F033A"/>
    <w:rsid w:val="002F0398"/>
    <w:rsid w:val="002F0B5C"/>
    <w:rsid w:val="002F0ED1"/>
    <w:rsid w:val="002F14DE"/>
    <w:rsid w:val="002F1835"/>
    <w:rsid w:val="002F1B08"/>
    <w:rsid w:val="002F1E3E"/>
    <w:rsid w:val="002F2BA7"/>
    <w:rsid w:val="002F3016"/>
    <w:rsid w:val="002F30E4"/>
    <w:rsid w:val="002F331D"/>
    <w:rsid w:val="002F344C"/>
    <w:rsid w:val="002F3EA7"/>
    <w:rsid w:val="002F3FB7"/>
    <w:rsid w:val="002F40E7"/>
    <w:rsid w:val="002F48C8"/>
    <w:rsid w:val="002F4B72"/>
    <w:rsid w:val="002F52BE"/>
    <w:rsid w:val="002F57A9"/>
    <w:rsid w:val="002F7A51"/>
    <w:rsid w:val="002F7D39"/>
    <w:rsid w:val="00300019"/>
    <w:rsid w:val="0030027A"/>
    <w:rsid w:val="0030086E"/>
    <w:rsid w:val="00300B16"/>
    <w:rsid w:val="00300F98"/>
    <w:rsid w:val="00300FB1"/>
    <w:rsid w:val="00301117"/>
    <w:rsid w:val="00301868"/>
    <w:rsid w:val="003022F8"/>
    <w:rsid w:val="00302697"/>
    <w:rsid w:val="00302F35"/>
    <w:rsid w:val="0030310C"/>
    <w:rsid w:val="003032A9"/>
    <w:rsid w:val="00303737"/>
    <w:rsid w:val="00303D53"/>
    <w:rsid w:val="003040B2"/>
    <w:rsid w:val="00304651"/>
    <w:rsid w:val="0030494E"/>
    <w:rsid w:val="00304DFF"/>
    <w:rsid w:val="00304E47"/>
    <w:rsid w:val="003050C8"/>
    <w:rsid w:val="00305119"/>
    <w:rsid w:val="00305A3F"/>
    <w:rsid w:val="0030620F"/>
    <w:rsid w:val="00306722"/>
    <w:rsid w:val="00306BCB"/>
    <w:rsid w:val="00306DE4"/>
    <w:rsid w:val="00307568"/>
    <w:rsid w:val="0030778A"/>
    <w:rsid w:val="0031029B"/>
    <w:rsid w:val="0031055C"/>
    <w:rsid w:val="003105C5"/>
    <w:rsid w:val="00310871"/>
    <w:rsid w:val="00310E19"/>
    <w:rsid w:val="00311124"/>
    <w:rsid w:val="003114F5"/>
    <w:rsid w:val="00311533"/>
    <w:rsid w:val="00311967"/>
    <w:rsid w:val="00311FD5"/>
    <w:rsid w:val="003122A6"/>
    <w:rsid w:val="003123E3"/>
    <w:rsid w:val="00312473"/>
    <w:rsid w:val="003126DD"/>
    <w:rsid w:val="003127E3"/>
    <w:rsid w:val="0031288A"/>
    <w:rsid w:val="00313574"/>
    <w:rsid w:val="003137F7"/>
    <w:rsid w:val="0031385B"/>
    <w:rsid w:val="003138A4"/>
    <w:rsid w:val="00313987"/>
    <w:rsid w:val="00313B3F"/>
    <w:rsid w:val="00313D20"/>
    <w:rsid w:val="00314092"/>
    <w:rsid w:val="003140FA"/>
    <w:rsid w:val="00314298"/>
    <w:rsid w:val="00314444"/>
    <w:rsid w:val="00314831"/>
    <w:rsid w:val="0031485E"/>
    <w:rsid w:val="003151DF"/>
    <w:rsid w:val="00315897"/>
    <w:rsid w:val="00315CDE"/>
    <w:rsid w:val="00315FD6"/>
    <w:rsid w:val="00315FDD"/>
    <w:rsid w:val="00316ABF"/>
    <w:rsid w:val="003171E6"/>
    <w:rsid w:val="00317258"/>
    <w:rsid w:val="0031741D"/>
    <w:rsid w:val="003200C9"/>
    <w:rsid w:val="00320410"/>
    <w:rsid w:val="00320569"/>
    <w:rsid w:val="00320EA1"/>
    <w:rsid w:val="00320F5A"/>
    <w:rsid w:val="0032121C"/>
    <w:rsid w:val="003219A1"/>
    <w:rsid w:val="00321C49"/>
    <w:rsid w:val="00321CFB"/>
    <w:rsid w:val="00321DCC"/>
    <w:rsid w:val="00322868"/>
    <w:rsid w:val="00322E30"/>
    <w:rsid w:val="00323049"/>
    <w:rsid w:val="0032313F"/>
    <w:rsid w:val="003233C7"/>
    <w:rsid w:val="00323AAC"/>
    <w:rsid w:val="00323B4D"/>
    <w:rsid w:val="00324309"/>
    <w:rsid w:val="003248CF"/>
    <w:rsid w:val="00324F22"/>
    <w:rsid w:val="0032501E"/>
    <w:rsid w:val="003259DF"/>
    <w:rsid w:val="003259EF"/>
    <w:rsid w:val="00325B94"/>
    <w:rsid w:val="00326073"/>
    <w:rsid w:val="0032664C"/>
    <w:rsid w:val="00326680"/>
    <w:rsid w:val="00327177"/>
    <w:rsid w:val="003273FF"/>
    <w:rsid w:val="00327B4A"/>
    <w:rsid w:val="003301D4"/>
    <w:rsid w:val="003308DD"/>
    <w:rsid w:val="00330AB2"/>
    <w:rsid w:val="00330C23"/>
    <w:rsid w:val="0033102B"/>
    <w:rsid w:val="003315F6"/>
    <w:rsid w:val="0033165D"/>
    <w:rsid w:val="003317EF"/>
    <w:rsid w:val="00331A01"/>
    <w:rsid w:val="00331ADD"/>
    <w:rsid w:val="00331B93"/>
    <w:rsid w:val="00332754"/>
    <w:rsid w:val="003329BB"/>
    <w:rsid w:val="00332D1C"/>
    <w:rsid w:val="00332E07"/>
    <w:rsid w:val="00333110"/>
    <w:rsid w:val="003337AE"/>
    <w:rsid w:val="00333A6C"/>
    <w:rsid w:val="00333FE0"/>
    <w:rsid w:val="00334DD4"/>
    <w:rsid w:val="00334F89"/>
    <w:rsid w:val="0033512D"/>
    <w:rsid w:val="0033520B"/>
    <w:rsid w:val="00335E46"/>
    <w:rsid w:val="003366BD"/>
    <w:rsid w:val="00336A9B"/>
    <w:rsid w:val="00336ACE"/>
    <w:rsid w:val="00336E14"/>
    <w:rsid w:val="00336FDE"/>
    <w:rsid w:val="00337025"/>
    <w:rsid w:val="003372FC"/>
    <w:rsid w:val="00337602"/>
    <w:rsid w:val="00337F93"/>
    <w:rsid w:val="00340550"/>
    <w:rsid w:val="0034071A"/>
    <w:rsid w:val="00340B27"/>
    <w:rsid w:val="00340BD9"/>
    <w:rsid w:val="00340FB6"/>
    <w:rsid w:val="0034290B"/>
    <w:rsid w:val="003430EB"/>
    <w:rsid w:val="003431EC"/>
    <w:rsid w:val="00343B22"/>
    <w:rsid w:val="00343E11"/>
    <w:rsid w:val="003441E6"/>
    <w:rsid w:val="00344409"/>
    <w:rsid w:val="00344B5C"/>
    <w:rsid w:val="00344F73"/>
    <w:rsid w:val="00345137"/>
    <w:rsid w:val="003454F6"/>
    <w:rsid w:val="00345CAF"/>
    <w:rsid w:val="003461A4"/>
    <w:rsid w:val="00346568"/>
    <w:rsid w:val="00346E3E"/>
    <w:rsid w:val="003472EE"/>
    <w:rsid w:val="00347399"/>
    <w:rsid w:val="003474DB"/>
    <w:rsid w:val="00347A4A"/>
    <w:rsid w:val="00350175"/>
    <w:rsid w:val="003502F8"/>
    <w:rsid w:val="003507FB"/>
    <w:rsid w:val="003508DF"/>
    <w:rsid w:val="003509AB"/>
    <w:rsid w:val="00351AE2"/>
    <w:rsid w:val="00352370"/>
    <w:rsid w:val="00352651"/>
    <w:rsid w:val="00352DAB"/>
    <w:rsid w:val="00352E4C"/>
    <w:rsid w:val="00353075"/>
    <w:rsid w:val="0035319F"/>
    <w:rsid w:val="00353625"/>
    <w:rsid w:val="0035367E"/>
    <w:rsid w:val="0035377C"/>
    <w:rsid w:val="00353D3C"/>
    <w:rsid w:val="00354057"/>
    <w:rsid w:val="00354AD3"/>
    <w:rsid w:val="00354F0F"/>
    <w:rsid w:val="00355EC5"/>
    <w:rsid w:val="00356709"/>
    <w:rsid w:val="00357487"/>
    <w:rsid w:val="003575B1"/>
    <w:rsid w:val="00357B71"/>
    <w:rsid w:val="00357D8D"/>
    <w:rsid w:val="00357F35"/>
    <w:rsid w:val="00360296"/>
    <w:rsid w:val="003605FC"/>
    <w:rsid w:val="003609D6"/>
    <w:rsid w:val="00360CD1"/>
    <w:rsid w:val="00360E84"/>
    <w:rsid w:val="00361263"/>
    <w:rsid w:val="003615D0"/>
    <w:rsid w:val="00361DE9"/>
    <w:rsid w:val="00361E59"/>
    <w:rsid w:val="00362650"/>
    <w:rsid w:val="00362AB0"/>
    <w:rsid w:val="00362E5C"/>
    <w:rsid w:val="00362E8A"/>
    <w:rsid w:val="00362E8F"/>
    <w:rsid w:val="00362E99"/>
    <w:rsid w:val="00362FBC"/>
    <w:rsid w:val="00363222"/>
    <w:rsid w:val="00363396"/>
    <w:rsid w:val="0036356B"/>
    <w:rsid w:val="00363C65"/>
    <w:rsid w:val="00363D44"/>
    <w:rsid w:val="00364073"/>
    <w:rsid w:val="003644D0"/>
    <w:rsid w:val="00364984"/>
    <w:rsid w:val="00364A18"/>
    <w:rsid w:val="00364BEF"/>
    <w:rsid w:val="00365190"/>
    <w:rsid w:val="0036519F"/>
    <w:rsid w:val="00365772"/>
    <w:rsid w:val="0036577A"/>
    <w:rsid w:val="0036590C"/>
    <w:rsid w:val="00365926"/>
    <w:rsid w:val="00365C2B"/>
    <w:rsid w:val="00366409"/>
    <w:rsid w:val="0036682C"/>
    <w:rsid w:val="0036683E"/>
    <w:rsid w:val="0036695F"/>
    <w:rsid w:val="0036760F"/>
    <w:rsid w:val="0036777F"/>
    <w:rsid w:val="0036787B"/>
    <w:rsid w:val="00367E0A"/>
    <w:rsid w:val="00367E83"/>
    <w:rsid w:val="003711A3"/>
    <w:rsid w:val="003714DE"/>
    <w:rsid w:val="003716FE"/>
    <w:rsid w:val="003718B2"/>
    <w:rsid w:val="00371F90"/>
    <w:rsid w:val="00372557"/>
    <w:rsid w:val="00372886"/>
    <w:rsid w:val="00372DFC"/>
    <w:rsid w:val="00372EE8"/>
    <w:rsid w:val="0037324B"/>
    <w:rsid w:val="00373CE6"/>
    <w:rsid w:val="003746A5"/>
    <w:rsid w:val="0037495C"/>
    <w:rsid w:val="00374E0B"/>
    <w:rsid w:val="0037584B"/>
    <w:rsid w:val="00375E5D"/>
    <w:rsid w:val="00375E60"/>
    <w:rsid w:val="00376232"/>
    <w:rsid w:val="00376331"/>
    <w:rsid w:val="00376603"/>
    <w:rsid w:val="00376BF7"/>
    <w:rsid w:val="00376D30"/>
    <w:rsid w:val="00377295"/>
    <w:rsid w:val="00377610"/>
    <w:rsid w:val="0037772C"/>
    <w:rsid w:val="00377B45"/>
    <w:rsid w:val="00377B87"/>
    <w:rsid w:val="00377CAA"/>
    <w:rsid w:val="0038024A"/>
    <w:rsid w:val="00380479"/>
    <w:rsid w:val="00380CE5"/>
    <w:rsid w:val="00380D42"/>
    <w:rsid w:val="003816C6"/>
    <w:rsid w:val="003819DC"/>
    <w:rsid w:val="00381CB0"/>
    <w:rsid w:val="00381D0A"/>
    <w:rsid w:val="00381FB3"/>
    <w:rsid w:val="003823B9"/>
    <w:rsid w:val="0038270D"/>
    <w:rsid w:val="00382F5A"/>
    <w:rsid w:val="003831AB"/>
    <w:rsid w:val="0038361B"/>
    <w:rsid w:val="00384692"/>
    <w:rsid w:val="003849F8"/>
    <w:rsid w:val="00384CE5"/>
    <w:rsid w:val="00384F84"/>
    <w:rsid w:val="0038501D"/>
    <w:rsid w:val="003854AD"/>
    <w:rsid w:val="003859D6"/>
    <w:rsid w:val="00385ED8"/>
    <w:rsid w:val="00386813"/>
    <w:rsid w:val="00386BCD"/>
    <w:rsid w:val="0038716F"/>
    <w:rsid w:val="00387916"/>
    <w:rsid w:val="00387A47"/>
    <w:rsid w:val="00387ADE"/>
    <w:rsid w:val="00387F4B"/>
    <w:rsid w:val="00387FA2"/>
    <w:rsid w:val="003906CE"/>
    <w:rsid w:val="00390710"/>
    <w:rsid w:val="00390ADC"/>
    <w:rsid w:val="00390DA8"/>
    <w:rsid w:val="00391114"/>
    <w:rsid w:val="003918B4"/>
    <w:rsid w:val="00392311"/>
    <w:rsid w:val="003926DE"/>
    <w:rsid w:val="00392AF6"/>
    <w:rsid w:val="00392F62"/>
    <w:rsid w:val="003930E1"/>
    <w:rsid w:val="0039345A"/>
    <w:rsid w:val="003935C7"/>
    <w:rsid w:val="00393F22"/>
    <w:rsid w:val="00393F82"/>
    <w:rsid w:val="00394041"/>
    <w:rsid w:val="0039432E"/>
    <w:rsid w:val="00394500"/>
    <w:rsid w:val="00394A87"/>
    <w:rsid w:val="003955E5"/>
    <w:rsid w:val="00395651"/>
    <w:rsid w:val="00395B69"/>
    <w:rsid w:val="00395CBD"/>
    <w:rsid w:val="0039656C"/>
    <w:rsid w:val="0039669A"/>
    <w:rsid w:val="0039678E"/>
    <w:rsid w:val="00397727"/>
    <w:rsid w:val="00397B6D"/>
    <w:rsid w:val="003A003C"/>
    <w:rsid w:val="003A0208"/>
    <w:rsid w:val="003A02BA"/>
    <w:rsid w:val="003A04EC"/>
    <w:rsid w:val="003A082C"/>
    <w:rsid w:val="003A0899"/>
    <w:rsid w:val="003A08BC"/>
    <w:rsid w:val="003A0C08"/>
    <w:rsid w:val="003A0C82"/>
    <w:rsid w:val="003A0CED"/>
    <w:rsid w:val="003A1156"/>
    <w:rsid w:val="003A124C"/>
    <w:rsid w:val="003A1B7D"/>
    <w:rsid w:val="003A1C16"/>
    <w:rsid w:val="003A254B"/>
    <w:rsid w:val="003A2672"/>
    <w:rsid w:val="003A2784"/>
    <w:rsid w:val="003A280C"/>
    <w:rsid w:val="003A2F3F"/>
    <w:rsid w:val="003A32DB"/>
    <w:rsid w:val="003A33BD"/>
    <w:rsid w:val="003A365A"/>
    <w:rsid w:val="003A389B"/>
    <w:rsid w:val="003A3906"/>
    <w:rsid w:val="003A3BBA"/>
    <w:rsid w:val="003A3FE9"/>
    <w:rsid w:val="003A448F"/>
    <w:rsid w:val="003A4598"/>
    <w:rsid w:val="003A4686"/>
    <w:rsid w:val="003A49ED"/>
    <w:rsid w:val="003A5332"/>
    <w:rsid w:val="003A601E"/>
    <w:rsid w:val="003A6B61"/>
    <w:rsid w:val="003A6F6F"/>
    <w:rsid w:val="003A7A03"/>
    <w:rsid w:val="003A7E72"/>
    <w:rsid w:val="003B029D"/>
    <w:rsid w:val="003B07BB"/>
    <w:rsid w:val="003B0BE7"/>
    <w:rsid w:val="003B1187"/>
    <w:rsid w:val="003B12D2"/>
    <w:rsid w:val="003B15B2"/>
    <w:rsid w:val="003B1A9C"/>
    <w:rsid w:val="003B1AD1"/>
    <w:rsid w:val="003B2081"/>
    <w:rsid w:val="003B20D7"/>
    <w:rsid w:val="003B21A1"/>
    <w:rsid w:val="003B2AD8"/>
    <w:rsid w:val="003B2CAF"/>
    <w:rsid w:val="003B2DBF"/>
    <w:rsid w:val="003B3562"/>
    <w:rsid w:val="003B3A99"/>
    <w:rsid w:val="003B3BA2"/>
    <w:rsid w:val="003B3DED"/>
    <w:rsid w:val="003B404D"/>
    <w:rsid w:val="003B4962"/>
    <w:rsid w:val="003B498E"/>
    <w:rsid w:val="003B4BF7"/>
    <w:rsid w:val="003B4C95"/>
    <w:rsid w:val="003B5772"/>
    <w:rsid w:val="003B57AA"/>
    <w:rsid w:val="003B5D74"/>
    <w:rsid w:val="003B61E0"/>
    <w:rsid w:val="003B6223"/>
    <w:rsid w:val="003B6298"/>
    <w:rsid w:val="003B6B4E"/>
    <w:rsid w:val="003B6D25"/>
    <w:rsid w:val="003B6ED5"/>
    <w:rsid w:val="003B73A4"/>
    <w:rsid w:val="003B7682"/>
    <w:rsid w:val="003B7D96"/>
    <w:rsid w:val="003C05B3"/>
    <w:rsid w:val="003C0DC3"/>
    <w:rsid w:val="003C1B6F"/>
    <w:rsid w:val="003C1C3D"/>
    <w:rsid w:val="003C1D73"/>
    <w:rsid w:val="003C1FFA"/>
    <w:rsid w:val="003C220A"/>
    <w:rsid w:val="003C2538"/>
    <w:rsid w:val="003C27AF"/>
    <w:rsid w:val="003C2BAE"/>
    <w:rsid w:val="003C2C20"/>
    <w:rsid w:val="003C2E36"/>
    <w:rsid w:val="003C41E8"/>
    <w:rsid w:val="003C4AD4"/>
    <w:rsid w:val="003C5062"/>
    <w:rsid w:val="003C53B9"/>
    <w:rsid w:val="003C56BE"/>
    <w:rsid w:val="003C5E32"/>
    <w:rsid w:val="003C5FD6"/>
    <w:rsid w:val="003C6498"/>
    <w:rsid w:val="003C65FD"/>
    <w:rsid w:val="003C68BA"/>
    <w:rsid w:val="003C70C6"/>
    <w:rsid w:val="003C72EA"/>
    <w:rsid w:val="003C7611"/>
    <w:rsid w:val="003C771F"/>
    <w:rsid w:val="003D0944"/>
    <w:rsid w:val="003D0A3F"/>
    <w:rsid w:val="003D0CCD"/>
    <w:rsid w:val="003D1200"/>
    <w:rsid w:val="003D150E"/>
    <w:rsid w:val="003D1528"/>
    <w:rsid w:val="003D1C9C"/>
    <w:rsid w:val="003D296E"/>
    <w:rsid w:val="003D2994"/>
    <w:rsid w:val="003D2DED"/>
    <w:rsid w:val="003D2F7A"/>
    <w:rsid w:val="003D3158"/>
    <w:rsid w:val="003D3A8D"/>
    <w:rsid w:val="003D3DF9"/>
    <w:rsid w:val="003D3ECB"/>
    <w:rsid w:val="003D3FF8"/>
    <w:rsid w:val="003D413B"/>
    <w:rsid w:val="003D443F"/>
    <w:rsid w:val="003D4852"/>
    <w:rsid w:val="003D4B6E"/>
    <w:rsid w:val="003D4C0B"/>
    <w:rsid w:val="003D4E19"/>
    <w:rsid w:val="003D4F30"/>
    <w:rsid w:val="003D530C"/>
    <w:rsid w:val="003D5418"/>
    <w:rsid w:val="003D5701"/>
    <w:rsid w:val="003D579E"/>
    <w:rsid w:val="003D5A79"/>
    <w:rsid w:val="003D5B04"/>
    <w:rsid w:val="003D5C0D"/>
    <w:rsid w:val="003D5DD8"/>
    <w:rsid w:val="003D5DE8"/>
    <w:rsid w:val="003D5F71"/>
    <w:rsid w:val="003D639E"/>
    <w:rsid w:val="003D63A0"/>
    <w:rsid w:val="003D6776"/>
    <w:rsid w:val="003D67A9"/>
    <w:rsid w:val="003D6978"/>
    <w:rsid w:val="003D6ED8"/>
    <w:rsid w:val="003D7430"/>
    <w:rsid w:val="003D75E5"/>
    <w:rsid w:val="003D78E2"/>
    <w:rsid w:val="003D7F01"/>
    <w:rsid w:val="003E038B"/>
    <w:rsid w:val="003E062B"/>
    <w:rsid w:val="003E065E"/>
    <w:rsid w:val="003E0A4D"/>
    <w:rsid w:val="003E0C47"/>
    <w:rsid w:val="003E10A2"/>
    <w:rsid w:val="003E126E"/>
    <w:rsid w:val="003E1C27"/>
    <w:rsid w:val="003E1F81"/>
    <w:rsid w:val="003E2924"/>
    <w:rsid w:val="003E2BA9"/>
    <w:rsid w:val="003E2BF7"/>
    <w:rsid w:val="003E2DCC"/>
    <w:rsid w:val="003E3159"/>
    <w:rsid w:val="003E33AA"/>
    <w:rsid w:val="003E38CF"/>
    <w:rsid w:val="003E4264"/>
    <w:rsid w:val="003E42FF"/>
    <w:rsid w:val="003E4615"/>
    <w:rsid w:val="003E4686"/>
    <w:rsid w:val="003E4BEF"/>
    <w:rsid w:val="003E4D6C"/>
    <w:rsid w:val="003E57CF"/>
    <w:rsid w:val="003E5E7B"/>
    <w:rsid w:val="003E5F10"/>
    <w:rsid w:val="003E641A"/>
    <w:rsid w:val="003E6594"/>
    <w:rsid w:val="003E68E2"/>
    <w:rsid w:val="003E6AB3"/>
    <w:rsid w:val="003E6BA4"/>
    <w:rsid w:val="003E6BC9"/>
    <w:rsid w:val="003E7400"/>
    <w:rsid w:val="003E7678"/>
    <w:rsid w:val="003E7C49"/>
    <w:rsid w:val="003E7E82"/>
    <w:rsid w:val="003F004D"/>
    <w:rsid w:val="003F02D4"/>
    <w:rsid w:val="003F07B9"/>
    <w:rsid w:val="003F08F8"/>
    <w:rsid w:val="003F0B9D"/>
    <w:rsid w:val="003F0D6F"/>
    <w:rsid w:val="003F0ED7"/>
    <w:rsid w:val="003F10EB"/>
    <w:rsid w:val="003F129C"/>
    <w:rsid w:val="003F13F7"/>
    <w:rsid w:val="003F1E33"/>
    <w:rsid w:val="003F21F1"/>
    <w:rsid w:val="003F23F6"/>
    <w:rsid w:val="003F25AC"/>
    <w:rsid w:val="003F316C"/>
    <w:rsid w:val="003F3625"/>
    <w:rsid w:val="003F3942"/>
    <w:rsid w:val="003F3BF0"/>
    <w:rsid w:val="003F3D89"/>
    <w:rsid w:val="003F4090"/>
    <w:rsid w:val="003F420F"/>
    <w:rsid w:val="003F4512"/>
    <w:rsid w:val="003F48EF"/>
    <w:rsid w:val="003F4C1E"/>
    <w:rsid w:val="003F5245"/>
    <w:rsid w:val="003F5A1B"/>
    <w:rsid w:val="003F5A49"/>
    <w:rsid w:val="003F5BF7"/>
    <w:rsid w:val="003F5E4D"/>
    <w:rsid w:val="003F5F45"/>
    <w:rsid w:val="003F6137"/>
    <w:rsid w:val="003F6E49"/>
    <w:rsid w:val="003F72C2"/>
    <w:rsid w:val="003F72EB"/>
    <w:rsid w:val="003F74D4"/>
    <w:rsid w:val="003F7C9F"/>
    <w:rsid w:val="003F7DA2"/>
    <w:rsid w:val="00400C9D"/>
    <w:rsid w:val="00400F8A"/>
    <w:rsid w:val="00401000"/>
    <w:rsid w:val="00401348"/>
    <w:rsid w:val="00401658"/>
    <w:rsid w:val="00401B3D"/>
    <w:rsid w:val="00401E7B"/>
    <w:rsid w:val="0040273B"/>
    <w:rsid w:val="00402B3D"/>
    <w:rsid w:val="00402C05"/>
    <w:rsid w:val="00403316"/>
    <w:rsid w:val="00403BA7"/>
    <w:rsid w:val="00404004"/>
    <w:rsid w:val="004041D6"/>
    <w:rsid w:val="0040474D"/>
    <w:rsid w:val="00404FD0"/>
    <w:rsid w:val="00405CDB"/>
    <w:rsid w:val="00406A18"/>
    <w:rsid w:val="00406C7F"/>
    <w:rsid w:val="00406F8C"/>
    <w:rsid w:val="004070D5"/>
    <w:rsid w:val="004070E4"/>
    <w:rsid w:val="004075C5"/>
    <w:rsid w:val="00407691"/>
    <w:rsid w:val="00407BA6"/>
    <w:rsid w:val="00407E16"/>
    <w:rsid w:val="00407E3C"/>
    <w:rsid w:val="004101A8"/>
    <w:rsid w:val="0041038C"/>
    <w:rsid w:val="004108D7"/>
    <w:rsid w:val="00410A87"/>
    <w:rsid w:val="00411AC5"/>
    <w:rsid w:val="00411FA5"/>
    <w:rsid w:val="004121C5"/>
    <w:rsid w:val="00412880"/>
    <w:rsid w:val="00412D5D"/>
    <w:rsid w:val="00412FDD"/>
    <w:rsid w:val="004135CF"/>
    <w:rsid w:val="004139AC"/>
    <w:rsid w:val="00413C80"/>
    <w:rsid w:val="00413CBE"/>
    <w:rsid w:val="00413D8D"/>
    <w:rsid w:val="00414138"/>
    <w:rsid w:val="00414AE4"/>
    <w:rsid w:val="00414D44"/>
    <w:rsid w:val="00414E81"/>
    <w:rsid w:val="00414F5F"/>
    <w:rsid w:val="00415417"/>
    <w:rsid w:val="00415466"/>
    <w:rsid w:val="0041566A"/>
    <w:rsid w:val="00415691"/>
    <w:rsid w:val="004159DF"/>
    <w:rsid w:val="00415BE3"/>
    <w:rsid w:val="00415DB9"/>
    <w:rsid w:val="004168CF"/>
    <w:rsid w:val="004174A8"/>
    <w:rsid w:val="004177EC"/>
    <w:rsid w:val="00417AED"/>
    <w:rsid w:val="00417BAA"/>
    <w:rsid w:val="004204D8"/>
    <w:rsid w:val="004206AA"/>
    <w:rsid w:val="00420DC5"/>
    <w:rsid w:val="00420E0C"/>
    <w:rsid w:val="004211A2"/>
    <w:rsid w:val="004213FB"/>
    <w:rsid w:val="00421A6D"/>
    <w:rsid w:val="00421A91"/>
    <w:rsid w:val="00421EF5"/>
    <w:rsid w:val="00422412"/>
    <w:rsid w:val="004226F1"/>
    <w:rsid w:val="00422E32"/>
    <w:rsid w:val="004230A6"/>
    <w:rsid w:val="004233A0"/>
    <w:rsid w:val="004233D3"/>
    <w:rsid w:val="0042365F"/>
    <w:rsid w:val="00424446"/>
    <w:rsid w:val="00424E58"/>
    <w:rsid w:val="0042549D"/>
    <w:rsid w:val="004259FB"/>
    <w:rsid w:val="00425DD3"/>
    <w:rsid w:val="00425DF3"/>
    <w:rsid w:val="004266E2"/>
    <w:rsid w:val="004267F5"/>
    <w:rsid w:val="00426861"/>
    <w:rsid w:val="004269FF"/>
    <w:rsid w:val="00426C3C"/>
    <w:rsid w:val="00426E6A"/>
    <w:rsid w:val="00426F95"/>
    <w:rsid w:val="00427C40"/>
    <w:rsid w:val="00427D15"/>
    <w:rsid w:val="00430026"/>
    <w:rsid w:val="0043074E"/>
    <w:rsid w:val="00430D0D"/>
    <w:rsid w:val="004311FF"/>
    <w:rsid w:val="00431230"/>
    <w:rsid w:val="0043138C"/>
    <w:rsid w:val="00431ABB"/>
    <w:rsid w:val="00432265"/>
    <w:rsid w:val="004327DB"/>
    <w:rsid w:val="00432BE8"/>
    <w:rsid w:val="004330E8"/>
    <w:rsid w:val="004335A3"/>
    <w:rsid w:val="004339AC"/>
    <w:rsid w:val="00433D30"/>
    <w:rsid w:val="00433E72"/>
    <w:rsid w:val="004342F8"/>
    <w:rsid w:val="00434A7D"/>
    <w:rsid w:val="00434A8C"/>
    <w:rsid w:val="00435808"/>
    <w:rsid w:val="00435D08"/>
    <w:rsid w:val="00435F46"/>
    <w:rsid w:val="00435FDD"/>
    <w:rsid w:val="004361E5"/>
    <w:rsid w:val="00436BD5"/>
    <w:rsid w:val="0043725B"/>
    <w:rsid w:val="00437980"/>
    <w:rsid w:val="00437B79"/>
    <w:rsid w:val="00437DED"/>
    <w:rsid w:val="00440318"/>
    <w:rsid w:val="0044063B"/>
    <w:rsid w:val="00440940"/>
    <w:rsid w:val="00440A06"/>
    <w:rsid w:val="00440B1E"/>
    <w:rsid w:val="004410F1"/>
    <w:rsid w:val="00441408"/>
    <w:rsid w:val="00441887"/>
    <w:rsid w:val="00441955"/>
    <w:rsid w:val="0044217D"/>
    <w:rsid w:val="004422FD"/>
    <w:rsid w:val="0044297A"/>
    <w:rsid w:val="00442C9C"/>
    <w:rsid w:val="00442D9D"/>
    <w:rsid w:val="00442EAD"/>
    <w:rsid w:val="00443CE5"/>
    <w:rsid w:val="00443FDC"/>
    <w:rsid w:val="00444240"/>
    <w:rsid w:val="004446F4"/>
    <w:rsid w:val="00444A05"/>
    <w:rsid w:val="00444E63"/>
    <w:rsid w:val="0044539C"/>
    <w:rsid w:val="00445FD8"/>
    <w:rsid w:val="004460A8"/>
    <w:rsid w:val="00446349"/>
    <w:rsid w:val="0044671A"/>
    <w:rsid w:val="004468D2"/>
    <w:rsid w:val="00446F01"/>
    <w:rsid w:val="00446F9E"/>
    <w:rsid w:val="0044712E"/>
    <w:rsid w:val="0044718B"/>
    <w:rsid w:val="00447D7E"/>
    <w:rsid w:val="00450CC7"/>
    <w:rsid w:val="00450E45"/>
    <w:rsid w:val="00450E4C"/>
    <w:rsid w:val="004510A4"/>
    <w:rsid w:val="0045111C"/>
    <w:rsid w:val="004511D9"/>
    <w:rsid w:val="00451334"/>
    <w:rsid w:val="004513F7"/>
    <w:rsid w:val="00451434"/>
    <w:rsid w:val="00451435"/>
    <w:rsid w:val="004515F9"/>
    <w:rsid w:val="0045173D"/>
    <w:rsid w:val="004519C5"/>
    <w:rsid w:val="00451AA2"/>
    <w:rsid w:val="00451E7D"/>
    <w:rsid w:val="00452C4E"/>
    <w:rsid w:val="00453015"/>
    <w:rsid w:val="004535BE"/>
    <w:rsid w:val="00454564"/>
    <w:rsid w:val="00454D6E"/>
    <w:rsid w:val="00454E56"/>
    <w:rsid w:val="004561BE"/>
    <w:rsid w:val="00456E68"/>
    <w:rsid w:val="00457088"/>
    <w:rsid w:val="004572BF"/>
    <w:rsid w:val="004574B8"/>
    <w:rsid w:val="00457640"/>
    <w:rsid w:val="004576C9"/>
    <w:rsid w:val="00457CE9"/>
    <w:rsid w:val="00457D68"/>
    <w:rsid w:val="00460926"/>
    <w:rsid w:val="00460C0D"/>
    <w:rsid w:val="00460C67"/>
    <w:rsid w:val="0046126E"/>
    <w:rsid w:val="0046149F"/>
    <w:rsid w:val="00462A85"/>
    <w:rsid w:val="00462C4A"/>
    <w:rsid w:val="00462F24"/>
    <w:rsid w:val="004635AC"/>
    <w:rsid w:val="004637D2"/>
    <w:rsid w:val="0046397E"/>
    <w:rsid w:val="004639AE"/>
    <w:rsid w:val="004639BF"/>
    <w:rsid w:val="00463D68"/>
    <w:rsid w:val="00463EE5"/>
    <w:rsid w:val="004643AA"/>
    <w:rsid w:val="00464817"/>
    <w:rsid w:val="0046499C"/>
    <w:rsid w:val="00464C48"/>
    <w:rsid w:val="004652EF"/>
    <w:rsid w:val="00465365"/>
    <w:rsid w:val="00465546"/>
    <w:rsid w:val="004658A8"/>
    <w:rsid w:val="004662A2"/>
    <w:rsid w:val="00466543"/>
    <w:rsid w:val="004665A8"/>
    <w:rsid w:val="00467B60"/>
    <w:rsid w:val="00467B64"/>
    <w:rsid w:val="00470039"/>
    <w:rsid w:val="00470103"/>
    <w:rsid w:val="004703D3"/>
    <w:rsid w:val="004704A7"/>
    <w:rsid w:val="004707FE"/>
    <w:rsid w:val="004708A9"/>
    <w:rsid w:val="00470A00"/>
    <w:rsid w:val="00470D4A"/>
    <w:rsid w:val="00470F12"/>
    <w:rsid w:val="004714E4"/>
    <w:rsid w:val="00471590"/>
    <w:rsid w:val="004715D9"/>
    <w:rsid w:val="00471710"/>
    <w:rsid w:val="00471B62"/>
    <w:rsid w:val="00472396"/>
    <w:rsid w:val="0047242C"/>
    <w:rsid w:val="004724E8"/>
    <w:rsid w:val="0047324C"/>
    <w:rsid w:val="004734CC"/>
    <w:rsid w:val="004737D3"/>
    <w:rsid w:val="00473AA4"/>
    <w:rsid w:val="00473CDA"/>
    <w:rsid w:val="00473D57"/>
    <w:rsid w:val="00473F60"/>
    <w:rsid w:val="00474411"/>
    <w:rsid w:val="004745D3"/>
    <w:rsid w:val="00474A04"/>
    <w:rsid w:val="00475A95"/>
    <w:rsid w:val="00475AA2"/>
    <w:rsid w:val="00475CFC"/>
    <w:rsid w:val="0047608B"/>
    <w:rsid w:val="0047677F"/>
    <w:rsid w:val="004773C1"/>
    <w:rsid w:val="0047755C"/>
    <w:rsid w:val="004777CA"/>
    <w:rsid w:val="00477842"/>
    <w:rsid w:val="00477902"/>
    <w:rsid w:val="00477B02"/>
    <w:rsid w:val="00477BE8"/>
    <w:rsid w:val="00477C06"/>
    <w:rsid w:val="00477CC5"/>
    <w:rsid w:val="00477E49"/>
    <w:rsid w:val="0048042C"/>
    <w:rsid w:val="004805ED"/>
    <w:rsid w:val="00480781"/>
    <w:rsid w:val="004810B6"/>
    <w:rsid w:val="0048112A"/>
    <w:rsid w:val="00481132"/>
    <w:rsid w:val="00481314"/>
    <w:rsid w:val="00481468"/>
    <w:rsid w:val="00481A3A"/>
    <w:rsid w:val="00481EBA"/>
    <w:rsid w:val="00482039"/>
    <w:rsid w:val="00482241"/>
    <w:rsid w:val="004824DC"/>
    <w:rsid w:val="00482594"/>
    <w:rsid w:val="004825FD"/>
    <w:rsid w:val="00482FE1"/>
    <w:rsid w:val="004830F8"/>
    <w:rsid w:val="004831A4"/>
    <w:rsid w:val="004833E0"/>
    <w:rsid w:val="00484497"/>
    <w:rsid w:val="00484AAB"/>
    <w:rsid w:val="00484E69"/>
    <w:rsid w:val="004859CA"/>
    <w:rsid w:val="00485B57"/>
    <w:rsid w:val="00485D65"/>
    <w:rsid w:val="00486107"/>
    <w:rsid w:val="004863E7"/>
    <w:rsid w:val="00486577"/>
    <w:rsid w:val="00486A06"/>
    <w:rsid w:val="00486EC9"/>
    <w:rsid w:val="00487281"/>
    <w:rsid w:val="004872A0"/>
    <w:rsid w:val="00487490"/>
    <w:rsid w:val="00487B1D"/>
    <w:rsid w:val="00487E60"/>
    <w:rsid w:val="0049077D"/>
    <w:rsid w:val="00490B24"/>
    <w:rsid w:val="00491073"/>
    <w:rsid w:val="0049132D"/>
    <w:rsid w:val="004913EF"/>
    <w:rsid w:val="0049143A"/>
    <w:rsid w:val="0049155D"/>
    <w:rsid w:val="00491A51"/>
    <w:rsid w:val="00491ABE"/>
    <w:rsid w:val="004921C1"/>
    <w:rsid w:val="00492494"/>
    <w:rsid w:val="00492628"/>
    <w:rsid w:val="00492708"/>
    <w:rsid w:val="004940E1"/>
    <w:rsid w:val="00494158"/>
    <w:rsid w:val="00495199"/>
    <w:rsid w:val="00495202"/>
    <w:rsid w:val="004957BB"/>
    <w:rsid w:val="004957DA"/>
    <w:rsid w:val="00496F66"/>
    <w:rsid w:val="0049708C"/>
    <w:rsid w:val="00497B6A"/>
    <w:rsid w:val="00497DF5"/>
    <w:rsid w:val="00497E82"/>
    <w:rsid w:val="004A0050"/>
    <w:rsid w:val="004A00FC"/>
    <w:rsid w:val="004A0DB9"/>
    <w:rsid w:val="004A159A"/>
    <w:rsid w:val="004A1F87"/>
    <w:rsid w:val="004A21DE"/>
    <w:rsid w:val="004A227C"/>
    <w:rsid w:val="004A2A25"/>
    <w:rsid w:val="004A2E81"/>
    <w:rsid w:val="004A3017"/>
    <w:rsid w:val="004A36C4"/>
    <w:rsid w:val="004A39C7"/>
    <w:rsid w:val="004A40CB"/>
    <w:rsid w:val="004A439B"/>
    <w:rsid w:val="004A4636"/>
    <w:rsid w:val="004A523B"/>
    <w:rsid w:val="004A579C"/>
    <w:rsid w:val="004A62B1"/>
    <w:rsid w:val="004A6AA7"/>
    <w:rsid w:val="004A6C8C"/>
    <w:rsid w:val="004A6D7A"/>
    <w:rsid w:val="004A6D81"/>
    <w:rsid w:val="004A6EAA"/>
    <w:rsid w:val="004A7011"/>
    <w:rsid w:val="004A7776"/>
    <w:rsid w:val="004A77BA"/>
    <w:rsid w:val="004A78EB"/>
    <w:rsid w:val="004B0187"/>
    <w:rsid w:val="004B06D6"/>
    <w:rsid w:val="004B07B5"/>
    <w:rsid w:val="004B0825"/>
    <w:rsid w:val="004B0EB7"/>
    <w:rsid w:val="004B104D"/>
    <w:rsid w:val="004B1776"/>
    <w:rsid w:val="004B18AA"/>
    <w:rsid w:val="004B1AAB"/>
    <w:rsid w:val="004B1B78"/>
    <w:rsid w:val="004B22AD"/>
    <w:rsid w:val="004B24F2"/>
    <w:rsid w:val="004B251D"/>
    <w:rsid w:val="004B2DFB"/>
    <w:rsid w:val="004B3215"/>
    <w:rsid w:val="004B3F5C"/>
    <w:rsid w:val="004B4103"/>
    <w:rsid w:val="004B433F"/>
    <w:rsid w:val="004B472A"/>
    <w:rsid w:val="004B4B9A"/>
    <w:rsid w:val="004B4C1C"/>
    <w:rsid w:val="004B5211"/>
    <w:rsid w:val="004B5750"/>
    <w:rsid w:val="004B5E71"/>
    <w:rsid w:val="004B661D"/>
    <w:rsid w:val="004B6625"/>
    <w:rsid w:val="004B6A73"/>
    <w:rsid w:val="004B6DE7"/>
    <w:rsid w:val="004B77F5"/>
    <w:rsid w:val="004B79A2"/>
    <w:rsid w:val="004C02FC"/>
    <w:rsid w:val="004C0B89"/>
    <w:rsid w:val="004C1341"/>
    <w:rsid w:val="004C1604"/>
    <w:rsid w:val="004C2AE5"/>
    <w:rsid w:val="004C2B37"/>
    <w:rsid w:val="004C2B9B"/>
    <w:rsid w:val="004C2F3F"/>
    <w:rsid w:val="004C30A8"/>
    <w:rsid w:val="004C3DB7"/>
    <w:rsid w:val="004C45AF"/>
    <w:rsid w:val="004C47ED"/>
    <w:rsid w:val="004C498A"/>
    <w:rsid w:val="004C5236"/>
    <w:rsid w:val="004C5296"/>
    <w:rsid w:val="004C53E8"/>
    <w:rsid w:val="004C5409"/>
    <w:rsid w:val="004C56CC"/>
    <w:rsid w:val="004C585D"/>
    <w:rsid w:val="004C6512"/>
    <w:rsid w:val="004C6EE1"/>
    <w:rsid w:val="004C6FEE"/>
    <w:rsid w:val="004C719B"/>
    <w:rsid w:val="004C740C"/>
    <w:rsid w:val="004C7574"/>
    <w:rsid w:val="004C77B4"/>
    <w:rsid w:val="004D05DE"/>
    <w:rsid w:val="004D1168"/>
    <w:rsid w:val="004D1316"/>
    <w:rsid w:val="004D1476"/>
    <w:rsid w:val="004D1A06"/>
    <w:rsid w:val="004D1BE8"/>
    <w:rsid w:val="004D1C95"/>
    <w:rsid w:val="004D1DF0"/>
    <w:rsid w:val="004D21D6"/>
    <w:rsid w:val="004D22D7"/>
    <w:rsid w:val="004D22FE"/>
    <w:rsid w:val="004D297B"/>
    <w:rsid w:val="004D3165"/>
    <w:rsid w:val="004D3555"/>
    <w:rsid w:val="004D3657"/>
    <w:rsid w:val="004D3728"/>
    <w:rsid w:val="004D374A"/>
    <w:rsid w:val="004D381C"/>
    <w:rsid w:val="004D3B6F"/>
    <w:rsid w:val="004D41A5"/>
    <w:rsid w:val="004D44F1"/>
    <w:rsid w:val="004D4A9B"/>
    <w:rsid w:val="004D4C05"/>
    <w:rsid w:val="004D5CCC"/>
    <w:rsid w:val="004D5D51"/>
    <w:rsid w:val="004D6070"/>
    <w:rsid w:val="004D674D"/>
    <w:rsid w:val="004D6BF0"/>
    <w:rsid w:val="004D6C54"/>
    <w:rsid w:val="004D72C9"/>
    <w:rsid w:val="004D768E"/>
    <w:rsid w:val="004D7C7B"/>
    <w:rsid w:val="004D7CF4"/>
    <w:rsid w:val="004D7E54"/>
    <w:rsid w:val="004D7F4F"/>
    <w:rsid w:val="004E0118"/>
    <w:rsid w:val="004E02B0"/>
    <w:rsid w:val="004E04E3"/>
    <w:rsid w:val="004E085C"/>
    <w:rsid w:val="004E0B9D"/>
    <w:rsid w:val="004E0DBD"/>
    <w:rsid w:val="004E0FAD"/>
    <w:rsid w:val="004E126C"/>
    <w:rsid w:val="004E127C"/>
    <w:rsid w:val="004E16DD"/>
    <w:rsid w:val="004E181C"/>
    <w:rsid w:val="004E1990"/>
    <w:rsid w:val="004E1FF9"/>
    <w:rsid w:val="004E23D4"/>
    <w:rsid w:val="004E24B7"/>
    <w:rsid w:val="004E3666"/>
    <w:rsid w:val="004E411A"/>
    <w:rsid w:val="004E4613"/>
    <w:rsid w:val="004E46A3"/>
    <w:rsid w:val="004E47C6"/>
    <w:rsid w:val="004E47CC"/>
    <w:rsid w:val="004E48FD"/>
    <w:rsid w:val="004E49F4"/>
    <w:rsid w:val="004E4C88"/>
    <w:rsid w:val="004E56AE"/>
    <w:rsid w:val="004E56E5"/>
    <w:rsid w:val="004E623E"/>
    <w:rsid w:val="004E69BA"/>
    <w:rsid w:val="004E6B11"/>
    <w:rsid w:val="004E6D29"/>
    <w:rsid w:val="004E6E17"/>
    <w:rsid w:val="004E7400"/>
    <w:rsid w:val="004E7554"/>
    <w:rsid w:val="004E75E8"/>
    <w:rsid w:val="004E76A6"/>
    <w:rsid w:val="004E7B68"/>
    <w:rsid w:val="004E7E18"/>
    <w:rsid w:val="004F0A27"/>
    <w:rsid w:val="004F0E16"/>
    <w:rsid w:val="004F0FC5"/>
    <w:rsid w:val="004F114F"/>
    <w:rsid w:val="004F12F2"/>
    <w:rsid w:val="004F16E9"/>
    <w:rsid w:val="004F1767"/>
    <w:rsid w:val="004F178C"/>
    <w:rsid w:val="004F239D"/>
    <w:rsid w:val="004F25DB"/>
    <w:rsid w:val="004F2611"/>
    <w:rsid w:val="004F2AB7"/>
    <w:rsid w:val="004F2B04"/>
    <w:rsid w:val="004F2F6C"/>
    <w:rsid w:val="004F2FC9"/>
    <w:rsid w:val="004F38B1"/>
    <w:rsid w:val="004F3A51"/>
    <w:rsid w:val="004F3AAC"/>
    <w:rsid w:val="004F3C66"/>
    <w:rsid w:val="004F3C90"/>
    <w:rsid w:val="004F428B"/>
    <w:rsid w:val="004F44A4"/>
    <w:rsid w:val="004F4597"/>
    <w:rsid w:val="004F4A49"/>
    <w:rsid w:val="004F4B23"/>
    <w:rsid w:val="004F4DD4"/>
    <w:rsid w:val="004F4E12"/>
    <w:rsid w:val="004F508A"/>
    <w:rsid w:val="004F54F3"/>
    <w:rsid w:val="004F5A5C"/>
    <w:rsid w:val="004F5A65"/>
    <w:rsid w:val="004F644C"/>
    <w:rsid w:val="004F64CF"/>
    <w:rsid w:val="004F6AD6"/>
    <w:rsid w:val="004F6D39"/>
    <w:rsid w:val="004F6D4E"/>
    <w:rsid w:val="004F70F2"/>
    <w:rsid w:val="004F70F4"/>
    <w:rsid w:val="004F754E"/>
    <w:rsid w:val="004F76BF"/>
    <w:rsid w:val="004F7E26"/>
    <w:rsid w:val="005000E4"/>
    <w:rsid w:val="0050017B"/>
    <w:rsid w:val="00500267"/>
    <w:rsid w:val="005003E2"/>
    <w:rsid w:val="0050152D"/>
    <w:rsid w:val="00501AC0"/>
    <w:rsid w:val="00501F2C"/>
    <w:rsid w:val="005024D6"/>
    <w:rsid w:val="00503B16"/>
    <w:rsid w:val="00503B8D"/>
    <w:rsid w:val="00503C88"/>
    <w:rsid w:val="00503D44"/>
    <w:rsid w:val="005040B7"/>
    <w:rsid w:val="00504117"/>
    <w:rsid w:val="005045DE"/>
    <w:rsid w:val="00504637"/>
    <w:rsid w:val="00504C85"/>
    <w:rsid w:val="0050575A"/>
    <w:rsid w:val="005057A9"/>
    <w:rsid w:val="0050588B"/>
    <w:rsid w:val="00505ADE"/>
    <w:rsid w:val="00505E70"/>
    <w:rsid w:val="00506700"/>
    <w:rsid w:val="005067AF"/>
    <w:rsid w:val="00506C54"/>
    <w:rsid w:val="00506E8E"/>
    <w:rsid w:val="00506F12"/>
    <w:rsid w:val="0050743C"/>
    <w:rsid w:val="005077F6"/>
    <w:rsid w:val="00507873"/>
    <w:rsid w:val="005079ED"/>
    <w:rsid w:val="00507A39"/>
    <w:rsid w:val="00510319"/>
    <w:rsid w:val="00510697"/>
    <w:rsid w:val="00510B8E"/>
    <w:rsid w:val="00510CCA"/>
    <w:rsid w:val="00511905"/>
    <w:rsid w:val="00511C43"/>
    <w:rsid w:val="005126C9"/>
    <w:rsid w:val="00512723"/>
    <w:rsid w:val="00512C49"/>
    <w:rsid w:val="00512F4F"/>
    <w:rsid w:val="005137A9"/>
    <w:rsid w:val="0051392D"/>
    <w:rsid w:val="00513D3D"/>
    <w:rsid w:val="00513D5E"/>
    <w:rsid w:val="00514C33"/>
    <w:rsid w:val="00514CAF"/>
    <w:rsid w:val="00515228"/>
    <w:rsid w:val="005156C4"/>
    <w:rsid w:val="0051587D"/>
    <w:rsid w:val="00515CAB"/>
    <w:rsid w:val="00515FBA"/>
    <w:rsid w:val="00516241"/>
    <w:rsid w:val="00516380"/>
    <w:rsid w:val="005163EA"/>
    <w:rsid w:val="005164B5"/>
    <w:rsid w:val="00516744"/>
    <w:rsid w:val="00516A0E"/>
    <w:rsid w:val="00516DDF"/>
    <w:rsid w:val="00517006"/>
    <w:rsid w:val="005170A3"/>
    <w:rsid w:val="0051771C"/>
    <w:rsid w:val="00517ED4"/>
    <w:rsid w:val="00520BE2"/>
    <w:rsid w:val="00521548"/>
    <w:rsid w:val="005216D1"/>
    <w:rsid w:val="00521955"/>
    <w:rsid w:val="00521B13"/>
    <w:rsid w:val="00521EFC"/>
    <w:rsid w:val="00522154"/>
    <w:rsid w:val="00522636"/>
    <w:rsid w:val="0052275B"/>
    <w:rsid w:val="005227EA"/>
    <w:rsid w:val="005229B0"/>
    <w:rsid w:val="00522D65"/>
    <w:rsid w:val="00523711"/>
    <w:rsid w:val="005237E0"/>
    <w:rsid w:val="00524AB7"/>
    <w:rsid w:val="00524B6D"/>
    <w:rsid w:val="00525050"/>
    <w:rsid w:val="0052508D"/>
    <w:rsid w:val="005255AF"/>
    <w:rsid w:val="00525979"/>
    <w:rsid w:val="00525ED4"/>
    <w:rsid w:val="0052605F"/>
    <w:rsid w:val="00526D12"/>
    <w:rsid w:val="00526D1E"/>
    <w:rsid w:val="0052759D"/>
    <w:rsid w:val="005275A1"/>
    <w:rsid w:val="0052765C"/>
    <w:rsid w:val="005279B8"/>
    <w:rsid w:val="00527DF5"/>
    <w:rsid w:val="005308ED"/>
    <w:rsid w:val="00530A34"/>
    <w:rsid w:val="00530B75"/>
    <w:rsid w:val="00530BDE"/>
    <w:rsid w:val="00530CC2"/>
    <w:rsid w:val="00530DA0"/>
    <w:rsid w:val="00530F3E"/>
    <w:rsid w:val="005315E7"/>
    <w:rsid w:val="005315F0"/>
    <w:rsid w:val="00531788"/>
    <w:rsid w:val="00531E71"/>
    <w:rsid w:val="00532245"/>
    <w:rsid w:val="00532816"/>
    <w:rsid w:val="00532CE9"/>
    <w:rsid w:val="00532D1D"/>
    <w:rsid w:val="00532D20"/>
    <w:rsid w:val="00532DF3"/>
    <w:rsid w:val="00533398"/>
    <w:rsid w:val="00533546"/>
    <w:rsid w:val="00534550"/>
    <w:rsid w:val="005346D8"/>
    <w:rsid w:val="0053488B"/>
    <w:rsid w:val="00534A3C"/>
    <w:rsid w:val="00534B31"/>
    <w:rsid w:val="00534E42"/>
    <w:rsid w:val="00534FF4"/>
    <w:rsid w:val="00535358"/>
    <w:rsid w:val="00535360"/>
    <w:rsid w:val="005356C2"/>
    <w:rsid w:val="00535982"/>
    <w:rsid w:val="00535C80"/>
    <w:rsid w:val="00535C91"/>
    <w:rsid w:val="00535CD0"/>
    <w:rsid w:val="00536597"/>
    <w:rsid w:val="00536E49"/>
    <w:rsid w:val="005376C1"/>
    <w:rsid w:val="005378AA"/>
    <w:rsid w:val="00537D46"/>
    <w:rsid w:val="00537D80"/>
    <w:rsid w:val="00537D9C"/>
    <w:rsid w:val="005405AC"/>
    <w:rsid w:val="00540FA3"/>
    <w:rsid w:val="0054126F"/>
    <w:rsid w:val="005415F8"/>
    <w:rsid w:val="00541904"/>
    <w:rsid w:val="00541A96"/>
    <w:rsid w:val="00541B5A"/>
    <w:rsid w:val="00541F30"/>
    <w:rsid w:val="00541FAC"/>
    <w:rsid w:val="00542073"/>
    <w:rsid w:val="00542830"/>
    <w:rsid w:val="00542907"/>
    <w:rsid w:val="00542EA0"/>
    <w:rsid w:val="00542F5C"/>
    <w:rsid w:val="00542FFB"/>
    <w:rsid w:val="00543835"/>
    <w:rsid w:val="0054387E"/>
    <w:rsid w:val="0054412B"/>
    <w:rsid w:val="0054413B"/>
    <w:rsid w:val="00544240"/>
    <w:rsid w:val="0054441A"/>
    <w:rsid w:val="00544C06"/>
    <w:rsid w:val="00544F35"/>
    <w:rsid w:val="00545784"/>
    <w:rsid w:val="00545CE6"/>
    <w:rsid w:val="00545DEE"/>
    <w:rsid w:val="00545E9A"/>
    <w:rsid w:val="00545ED0"/>
    <w:rsid w:val="00546060"/>
    <w:rsid w:val="00546BE5"/>
    <w:rsid w:val="005473D5"/>
    <w:rsid w:val="005479AB"/>
    <w:rsid w:val="00547AD6"/>
    <w:rsid w:val="00547C1C"/>
    <w:rsid w:val="005502F1"/>
    <w:rsid w:val="00550560"/>
    <w:rsid w:val="00550746"/>
    <w:rsid w:val="005507A7"/>
    <w:rsid w:val="005508DB"/>
    <w:rsid w:val="00550A4C"/>
    <w:rsid w:val="00550B3B"/>
    <w:rsid w:val="00550D45"/>
    <w:rsid w:val="00550F07"/>
    <w:rsid w:val="00551214"/>
    <w:rsid w:val="005512F7"/>
    <w:rsid w:val="00551328"/>
    <w:rsid w:val="00551459"/>
    <w:rsid w:val="0055158C"/>
    <w:rsid w:val="005517AB"/>
    <w:rsid w:val="00551C35"/>
    <w:rsid w:val="00551F7F"/>
    <w:rsid w:val="00551F9A"/>
    <w:rsid w:val="00552214"/>
    <w:rsid w:val="0055221E"/>
    <w:rsid w:val="0055270E"/>
    <w:rsid w:val="0055291D"/>
    <w:rsid w:val="00552B69"/>
    <w:rsid w:val="00552E81"/>
    <w:rsid w:val="00552FC0"/>
    <w:rsid w:val="00553A5A"/>
    <w:rsid w:val="00553D4C"/>
    <w:rsid w:val="00553E85"/>
    <w:rsid w:val="00554431"/>
    <w:rsid w:val="005544DF"/>
    <w:rsid w:val="00555010"/>
    <w:rsid w:val="00555750"/>
    <w:rsid w:val="00555809"/>
    <w:rsid w:val="005558C9"/>
    <w:rsid w:val="0055710E"/>
    <w:rsid w:val="0055738A"/>
    <w:rsid w:val="005575C1"/>
    <w:rsid w:val="005575D3"/>
    <w:rsid w:val="00557A56"/>
    <w:rsid w:val="00560651"/>
    <w:rsid w:val="00560747"/>
    <w:rsid w:val="0056099E"/>
    <w:rsid w:val="005609AB"/>
    <w:rsid w:val="00560BA1"/>
    <w:rsid w:val="0056112E"/>
    <w:rsid w:val="005613E6"/>
    <w:rsid w:val="00561D47"/>
    <w:rsid w:val="00561ECA"/>
    <w:rsid w:val="00562092"/>
    <w:rsid w:val="00562176"/>
    <w:rsid w:val="00562243"/>
    <w:rsid w:val="00562979"/>
    <w:rsid w:val="0056316E"/>
    <w:rsid w:val="00563B4A"/>
    <w:rsid w:val="00563DD3"/>
    <w:rsid w:val="00564347"/>
    <w:rsid w:val="00564688"/>
    <w:rsid w:val="00564900"/>
    <w:rsid w:val="00565C08"/>
    <w:rsid w:val="00565CCA"/>
    <w:rsid w:val="00566392"/>
    <w:rsid w:val="00566863"/>
    <w:rsid w:val="00566966"/>
    <w:rsid w:val="00566A8E"/>
    <w:rsid w:val="00566CA8"/>
    <w:rsid w:val="0056726C"/>
    <w:rsid w:val="005674BE"/>
    <w:rsid w:val="0056764C"/>
    <w:rsid w:val="0056777C"/>
    <w:rsid w:val="00567968"/>
    <w:rsid w:val="00567D36"/>
    <w:rsid w:val="0057069F"/>
    <w:rsid w:val="00570F14"/>
    <w:rsid w:val="0057106F"/>
    <w:rsid w:val="005715B8"/>
    <w:rsid w:val="0057162B"/>
    <w:rsid w:val="005717F9"/>
    <w:rsid w:val="00571999"/>
    <w:rsid w:val="00571A33"/>
    <w:rsid w:val="00571AA6"/>
    <w:rsid w:val="00571B8F"/>
    <w:rsid w:val="00571FAF"/>
    <w:rsid w:val="005724BC"/>
    <w:rsid w:val="00572844"/>
    <w:rsid w:val="00572CFB"/>
    <w:rsid w:val="00572D3A"/>
    <w:rsid w:val="00572FA4"/>
    <w:rsid w:val="00573E54"/>
    <w:rsid w:val="005747F8"/>
    <w:rsid w:val="00574AFA"/>
    <w:rsid w:val="00574B29"/>
    <w:rsid w:val="00574B7D"/>
    <w:rsid w:val="00574FF6"/>
    <w:rsid w:val="00575233"/>
    <w:rsid w:val="005754F8"/>
    <w:rsid w:val="00575788"/>
    <w:rsid w:val="005757C9"/>
    <w:rsid w:val="00575F6E"/>
    <w:rsid w:val="00577240"/>
    <w:rsid w:val="005772C3"/>
    <w:rsid w:val="005775F7"/>
    <w:rsid w:val="00577782"/>
    <w:rsid w:val="0057787B"/>
    <w:rsid w:val="00577EBD"/>
    <w:rsid w:val="005802DE"/>
    <w:rsid w:val="005806EC"/>
    <w:rsid w:val="00580C40"/>
    <w:rsid w:val="005813BE"/>
    <w:rsid w:val="00582229"/>
    <w:rsid w:val="00582351"/>
    <w:rsid w:val="0058243B"/>
    <w:rsid w:val="005824DF"/>
    <w:rsid w:val="0058280F"/>
    <w:rsid w:val="00582D19"/>
    <w:rsid w:val="0058303C"/>
    <w:rsid w:val="00583219"/>
    <w:rsid w:val="00583427"/>
    <w:rsid w:val="005835D4"/>
    <w:rsid w:val="005837EA"/>
    <w:rsid w:val="00583970"/>
    <w:rsid w:val="00583A86"/>
    <w:rsid w:val="00583C5A"/>
    <w:rsid w:val="00583C81"/>
    <w:rsid w:val="00584245"/>
    <w:rsid w:val="0058450B"/>
    <w:rsid w:val="0058486C"/>
    <w:rsid w:val="0058491F"/>
    <w:rsid w:val="005849AC"/>
    <w:rsid w:val="00584EFE"/>
    <w:rsid w:val="005852B2"/>
    <w:rsid w:val="00585CD8"/>
    <w:rsid w:val="00586603"/>
    <w:rsid w:val="0058675C"/>
    <w:rsid w:val="005867B0"/>
    <w:rsid w:val="00587004"/>
    <w:rsid w:val="00587528"/>
    <w:rsid w:val="0058774C"/>
    <w:rsid w:val="00587BEC"/>
    <w:rsid w:val="00587C69"/>
    <w:rsid w:val="00587EA2"/>
    <w:rsid w:val="00587FE1"/>
    <w:rsid w:val="00590074"/>
    <w:rsid w:val="00590756"/>
    <w:rsid w:val="00590C82"/>
    <w:rsid w:val="00590E89"/>
    <w:rsid w:val="0059145A"/>
    <w:rsid w:val="0059145C"/>
    <w:rsid w:val="005916FE"/>
    <w:rsid w:val="00591FAA"/>
    <w:rsid w:val="00592127"/>
    <w:rsid w:val="00592171"/>
    <w:rsid w:val="00592DB8"/>
    <w:rsid w:val="00593033"/>
    <w:rsid w:val="00593C57"/>
    <w:rsid w:val="005940D9"/>
    <w:rsid w:val="0059419A"/>
    <w:rsid w:val="005942A9"/>
    <w:rsid w:val="005944D4"/>
    <w:rsid w:val="00594663"/>
    <w:rsid w:val="00594899"/>
    <w:rsid w:val="0059494F"/>
    <w:rsid w:val="00594F19"/>
    <w:rsid w:val="00595270"/>
    <w:rsid w:val="00595392"/>
    <w:rsid w:val="00595B87"/>
    <w:rsid w:val="00595C19"/>
    <w:rsid w:val="00595FAE"/>
    <w:rsid w:val="00595FBC"/>
    <w:rsid w:val="00596511"/>
    <w:rsid w:val="00596C44"/>
    <w:rsid w:val="00596D40"/>
    <w:rsid w:val="0059751A"/>
    <w:rsid w:val="005978BF"/>
    <w:rsid w:val="005A185F"/>
    <w:rsid w:val="005A18F9"/>
    <w:rsid w:val="005A1D2B"/>
    <w:rsid w:val="005A1D53"/>
    <w:rsid w:val="005A2106"/>
    <w:rsid w:val="005A2201"/>
    <w:rsid w:val="005A2318"/>
    <w:rsid w:val="005A2466"/>
    <w:rsid w:val="005A2615"/>
    <w:rsid w:val="005A26F4"/>
    <w:rsid w:val="005A2760"/>
    <w:rsid w:val="005A282A"/>
    <w:rsid w:val="005A2E8B"/>
    <w:rsid w:val="005A317D"/>
    <w:rsid w:val="005A3810"/>
    <w:rsid w:val="005A3821"/>
    <w:rsid w:val="005A3EBA"/>
    <w:rsid w:val="005A42D2"/>
    <w:rsid w:val="005A436B"/>
    <w:rsid w:val="005A4468"/>
    <w:rsid w:val="005A4563"/>
    <w:rsid w:val="005A4649"/>
    <w:rsid w:val="005A56BD"/>
    <w:rsid w:val="005A57DD"/>
    <w:rsid w:val="005A5A73"/>
    <w:rsid w:val="005A5AB2"/>
    <w:rsid w:val="005A60DD"/>
    <w:rsid w:val="005A6309"/>
    <w:rsid w:val="005A65B3"/>
    <w:rsid w:val="005A6931"/>
    <w:rsid w:val="005A6A60"/>
    <w:rsid w:val="005A6C3A"/>
    <w:rsid w:val="005A6CB8"/>
    <w:rsid w:val="005A6FFC"/>
    <w:rsid w:val="005A7076"/>
    <w:rsid w:val="005A7469"/>
    <w:rsid w:val="005A75F5"/>
    <w:rsid w:val="005B0026"/>
    <w:rsid w:val="005B0E9C"/>
    <w:rsid w:val="005B1181"/>
    <w:rsid w:val="005B1555"/>
    <w:rsid w:val="005B1A37"/>
    <w:rsid w:val="005B2603"/>
    <w:rsid w:val="005B26DF"/>
    <w:rsid w:val="005B2719"/>
    <w:rsid w:val="005B27DE"/>
    <w:rsid w:val="005B3045"/>
    <w:rsid w:val="005B33B2"/>
    <w:rsid w:val="005B3A5D"/>
    <w:rsid w:val="005B3DD1"/>
    <w:rsid w:val="005B4103"/>
    <w:rsid w:val="005B4307"/>
    <w:rsid w:val="005B46B2"/>
    <w:rsid w:val="005B501F"/>
    <w:rsid w:val="005B5218"/>
    <w:rsid w:val="005B5334"/>
    <w:rsid w:val="005B537C"/>
    <w:rsid w:val="005B547F"/>
    <w:rsid w:val="005B56C5"/>
    <w:rsid w:val="005B572D"/>
    <w:rsid w:val="005B5873"/>
    <w:rsid w:val="005B5D73"/>
    <w:rsid w:val="005B5F62"/>
    <w:rsid w:val="005B6867"/>
    <w:rsid w:val="005B6C91"/>
    <w:rsid w:val="005B6DA2"/>
    <w:rsid w:val="005B6F33"/>
    <w:rsid w:val="005B7207"/>
    <w:rsid w:val="005B7429"/>
    <w:rsid w:val="005B751E"/>
    <w:rsid w:val="005B7EE1"/>
    <w:rsid w:val="005B7F97"/>
    <w:rsid w:val="005C003E"/>
    <w:rsid w:val="005C0698"/>
    <w:rsid w:val="005C0B25"/>
    <w:rsid w:val="005C0CED"/>
    <w:rsid w:val="005C10C6"/>
    <w:rsid w:val="005C10F4"/>
    <w:rsid w:val="005C1477"/>
    <w:rsid w:val="005C1CCD"/>
    <w:rsid w:val="005C24B6"/>
    <w:rsid w:val="005C25AE"/>
    <w:rsid w:val="005C29A7"/>
    <w:rsid w:val="005C2D4F"/>
    <w:rsid w:val="005C2D91"/>
    <w:rsid w:val="005C3440"/>
    <w:rsid w:val="005C38F3"/>
    <w:rsid w:val="005C3CA0"/>
    <w:rsid w:val="005C4188"/>
    <w:rsid w:val="005C425A"/>
    <w:rsid w:val="005C4439"/>
    <w:rsid w:val="005C4BB1"/>
    <w:rsid w:val="005C513E"/>
    <w:rsid w:val="005C5210"/>
    <w:rsid w:val="005C5CFE"/>
    <w:rsid w:val="005C5DB5"/>
    <w:rsid w:val="005C5EC4"/>
    <w:rsid w:val="005C5FF1"/>
    <w:rsid w:val="005C669F"/>
    <w:rsid w:val="005C6948"/>
    <w:rsid w:val="005C6D53"/>
    <w:rsid w:val="005C6FF3"/>
    <w:rsid w:val="005C730D"/>
    <w:rsid w:val="005C7515"/>
    <w:rsid w:val="005C7774"/>
    <w:rsid w:val="005C7812"/>
    <w:rsid w:val="005D05DC"/>
    <w:rsid w:val="005D0BC2"/>
    <w:rsid w:val="005D0EBC"/>
    <w:rsid w:val="005D0F4B"/>
    <w:rsid w:val="005D142C"/>
    <w:rsid w:val="005D1440"/>
    <w:rsid w:val="005D1BEA"/>
    <w:rsid w:val="005D1E33"/>
    <w:rsid w:val="005D20BF"/>
    <w:rsid w:val="005D215D"/>
    <w:rsid w:val="005D30F5"/>
    <w:rsid w:val="005D3125"/>
    <w:rsid w:val="005D3636"/>
    <w:rsid w:val="005D379B"/>
    <w:rsid w:val="005D4762"/>
    <w:rsid w:val="005D497B"/>
    <w:rsid w:val="005D4F5A"/>
    <w:rsid w:val="005D4F81"/>
    <w:rsid w:val="005D5016"/>
    <w:rsid w:val="005D589E"/>
    <w:rsid w:val="005D5D23"/>
    <w:rsid w:val="005D5D97"/>
    <w:rsid w:val="005D5F81"/>
    <w:rsid w:val="005D6221"/>
    <w:rsid w:val="005D6475"/>
    <w:rsid w:val="005D6809"/>
    <w:rsid w:val="005D71F8"/>
    <w:rsid w:val="005D7678"/>
    <w:rsid w:val="005D7B1F"/>
    <w:rsid w:val="005D7F42"/>
    <w:rsid w:val="005E0520"/>
    <w:rsid w:val="005E07A9"/>
    <w:rsid w:val="005E093B"/>
    <w:rsid w:val="005E0DB9"/>
    <w:rsid w:val="005E0FF2"/>
    <w:rsid w:val="005E1600"/>
    <w:rsid w:val="005E1AF2"/>
    <w:rsid w:val="005E1EE1"/>
    <w:rsid w:val="005E206F"/>
    <w:rsid w:val="005E24D0"/>
    <w:rsid w:val="005E2B1D"/>
    <w:rsid w:val="005E2D3F"/>
    <w:rsid w:val="005E33D0"/>
    <w:rsid w:val="005E33DF"/>
    <w:rsid w:val="005E34E6"/>
    <w:rsid w:val="005E3983"/>
    <w:rsid w:val="005E3B76"/>
    <w:rsid w:val="005E3E9D"/>
    <w:rsid w:val="005E3EE9"/>
    <w:rsid w:val="005E3F02"/>
    <w:rsid w:val="005E433F"/>
    <w:rsid w:val="005E4503"/>
    <w:rsid w:val="005E4AFA"/>
    <w:rsid w:val="005E4CCD"/>
    <w:rsid w:val="005E50BE"/>
    <w:rsid w:val="005E50DB"/>
    <w:rsid w:val="005E52D0"/>
    <w:rsid w:val="005E731E"/>
    <w:rsid w:val="005E779D"/>
    <w:rsid w:val="005E7F3C"/>
    <w:rsid w:val="005F01DF"/>
    <w:rsid w:val="005F032E"/>
    <w:rsid w:val="005F1312"/>
    <w:rsid w:val="005F1D94"/>
    <w:rsid w:val="005F21CE"/>
    <w:rsid w:val="005F2604"/>
    <w:rsid w:val="005F29A1"/>
    <w:rsid w:val="005F2A8C"/>
    <w:rsid w:val="005F2BB4"/>
    <w:rsid w:val="005F34AD"/>
    <w:rsid w:val="005F37BB"/>
    <w:rsid w:val="005F5291"/>
    <w:rsid w:val="005F5C7A"/>
    <w:rsid w:val="005F5E2C"/>
    <w:rsid w:val="005F6122"/>
    <w:rsid w:val="005F720E"/>
    <w:rsid w:val="005F775A"/>
    <w:rsid w:val="005F7A08"/>
    <w:rsid w:val="006002AA"/>
    <w:rsid w:val="006003A1"/>
    <w:rsid w:val="00600AF7"/>
    <w:rsid w:val="00600E8E"/>
    <w:rsid w:val="0060158E"/>
    <w:rsid w:val="00601A13"/>
    <w:rsid w:val="00601D07"/>
    <w:rsid w:val="00602326"/>
    <w:rsid w:val="006024E2"/>
    <w:rsid w:val="00602806"/>
    <w:rsid w:val="00602FDD"/>
    <w:rsid w:val="00603247"/>
    <w:rsid w:val="00603AB6"/>
    <w:rsid w:val="0060408D"/>
    <w:rsid w:val="00604146"/>
    <w:rsid w:val="00604196"/>
    <w:rsid w:val="006043E9"/>
    <w:rsid w:val="00605463"/>
    <w:rsid w:val="006057B7"/>
    <w:rsid w:val="00605B6C"/>
    <w:rsid w:val="00605BB4"/>
    <w:rsid w:val="006063BB"/>
    <w:rsid w:val="00606908"/>
    <w:rsid w:val="00606E22"/>
    <w:rsid w:val="00606E5D"/>
    <w:rsid w:val="006076F2"/>
    <w:rsid w:val="006077CE"/>
    <w:rsid w:val="00607A3B"/>
    <w:rsid w:val="00607DB4"/>
    <w:rsid w:val="00607DE5"/>
    <w:rsid w:val="00607DF5"/>
    <w:rsid w:val="00610726"/>
    <w:rsid w:val="00610777"/>
    <w:rsid w:val="0061080A"/>
    <w:rsid w:val="00610A8D"/>
    <w:rsid w:val="00610F93"/>
    <w:rsid w:val="00611100"/>
    <w:rsid w:val="00611155"/>
    <w:rsid w:val="00611266"/>
    <w:rsid w:val="00611434"/>
    <w:rsid w:val="006114CA"/>
    <w:rsid w:val="00611B81"/>
    <w:rsid w:val="00611EB6"/>
    <w:rsid w:val="0061222C"/>
    <w:rsid w:val="00612316"/>
    <w:rsid w:val="00612745"/>
    <w:rsid w:val="00612993"/>
    <w:rsid w:val="00612DE4"/>
    <w:rsid w:val="00612F84"/>
    <w:rsid w:val="0061368D"/>
    <w:rsid w:val="00613740"/>
    <w:rsid w:val="00613801"/>
    <w:rsid w:val="006138DB"/>
    <w:rsid w:val="00613B7F"/>
    <w:rsid w:val="00613E6C"/>
    <w:rsid w:val="006140FE"/>
    <w:rsid w:val="00614120"/>
    <w:rsid w:val="00615705"/>
    <w:rsid w:val="00617945"/>
    <w:rsid w:val="00617CE9"/>
    <w:rsid w:val="00617FA0"/>
    <w:rsid w:val="0062056C"/>
    <w:rsid w:val="00620885"/>
    <w:rsid w:val="006212B4"/>
    <w:rsid w:val="00622156"/>
    <w:rsid w:val="00622453"/>
    <w:rsid w:val="006227D6"/>
    <w:rsid w:val="00622BAE"/>
    <w:rsid w:val="00622CEB"/>
    <w:rsid w:val="00623812"/>
    <w:rsid w:val="006242ED"/>
    <w:rsid w:val="00624405"/>
    <w:rsid w:val="006244B7"/>
    <w:rsid w:val="006247F5"/>
    <w:rsid w:val="00624AB2"/>
    <w:rsid w:val="00625889"/>
    <w:rsid w:val="006261E9"/>
    <w:rsid w:val="00626442"/>
    <w:rsid w:val="00626ED5"/>
    <w:rsid w:val="006275F0"/>
    <w:rsid w:val="00627617"/>
    <w:rsid w:val="006276F5"/>
    <w:rsid w:val="006276FD"/>
    <w:rsid w:val="00627CE3"/>
    <w:rsid w:val="006302A5"/>
    <w:rsid w:val="00630628"/>
    <w:rsid w:val="00630981"/>
    <w:rsid w:val="006316A4"/>
    <w:rsid w:val="00631715"/>
    <w:rsid w:val="006319E1"/>
    <w:rsid w:val="00631D66"/>
    <w:rsid w:val="0063284C"/>
    <w:rsid w:val="006329A8"/>
    <w:rsid w:val="00632ADB"/>
    <w:rsid w:val="00633440"/>
    <w:rsid w:val="0063390F"/>
    <w:rsid w:val="00633F7C"/>
    <w:rsid w:val="00634045"/>
    <w:rsid w:val="006343AC"/>
    <w:rsid w:val="006343FE"/>
    <w:rsid w:val="00634788"/>
    <w:rsid w:val="00634C26"/>
    <w:rsid w:val="00634DD7"/>
    <w:rsid w:val="00635062"/>
    <w:rsid w:val="006354DE"/>
    <w:rsid w:val="00635FB5"/>
    <w:rsid w:val="0063616A"/>
    <w:rsid w:val="0063755A"/>
    <w:rsid w:val="00637694"/>
    <w:rsid w:val="006377BE"/>
    <w:rsid w:val="006377CD"/>
    <w:rsid w:val="00637923"/>
    <w:rsid w:val="00637D53"/>
    <w:rsid w:val="00640331"/>
    <w:rsid w:val="00640563"/>
    <w:rsid w:val="0064089D"/>
    <w:rsid w:val="00640E21"/>
    <w:rsid w:val="00640F57"/>
    <w:rsid w:val="0064183D"/>
    <w:rsid w:val="00641A6D"/>
    <w:rsid w:val="00641FC8"/>
    <w:rsid w:val="00642141"/>
    <w:rsid w:val="0064223E"/>
    <w:rsid w:val="00642437"/>
    <w:rsid w:val="006425C2"/>
    <w:rsid w:val="0064272E"/>
    <w:rsid w:val="0064389D"/>
    <w:rsid w:val="00643978"/>
    <w:rsid w:val="00643E20"/>
    <w:rsid w:val="00643F28"/>
    <w:rsid w:val="0064410A"/>
    <w:rsid w:val="006441EB"/>
    <w:rsid w:val="00644634"/>
    <w:rsid w:val="00644665"/>
    <w:rsid w:val="00644695"/>
    <w:rsid w:val="0064524A"/>
    <w:rsid w:val="0064590B"/>
    <w:rsid w:val="00645D80"/>
    <w:rsid w:val="006468BA"/>
    <w:rsid w:val="00646C22"/>
    <w:rsid w:val="00646DC6"/>
    <w:rsid w:val="00646FD9"/>
    <w:rsid w:val="006472A8"/>
    <w:rsid w:val="006475A1"/>
    <w:rsid w:val="00647B71"/>
    <w:rsid w:val="00647BF7"/>
    <w:rsid w:val="006501E9"/>
    <w:rsid w:val="006502BD"/>
    <w:rsid w:val="006507DB"/>
    <w:rsid w:val="00651213"/>
    <w:rsid w:val="0065153F"/>
    <w:rsid w:val="00651556"/>
    <w:rsid w:val="00651588"/>
    <w:rsid w:val="0065176B"/>
    <w:rsid w:val="00651CBF"/>
    <w:rsid w:val="00651F03"/>
    <w:rsid w:val="006525E0"/>
    <w:rsid w:val="00652A28"/>
    <w:rsid w:val="006532C5"/>
    <w:rsid w:val="006547E4"/>
    <w:rsid w:val="0065481A"/>
    <w:rsid w:val="00654F79"/>
    <w:rsid w:val="00655167"/>
    <w:rsid w:val="0065542E"/>
    <w:rsid w:val="00655645"/>
    <w:rsid w:val="00655899"/>
    <w:rsid w:val="00655DA5"/>
    <w:rsid w:val="00655E14"/>
    <w:rsid w:val="00655E56"/>
    <w:rsid w:val="00656154"/>
    <w:rsid w:val="00656B24"/>
    <w:rsid w:val="00656B68"/>
    <w:rsid w:val="00656EE7"/>
    <w:rsid w:val="00657761"/>
    <w:rsid w:val="00657858"/>
    <w:rsid w:val="00657962"/>
    <w:rsid w:val="00657F62"/>
    <w:rsid w:val="006603DF"/>
    <w:rsid w:val="006604A3"/>
    <w:rsid w:val="0066065A"/>
    <w:rsid w:val="00660A6B"/>
    <w:rsid w:val="00660EAD"/>
    <w:rsid w:val="00660F37"/>
    <w:rsid w:val="00661619"/>
    <w:rsid w:val="00661CA1"/>
    <w:rsid w:val="00661CD1"/>
    <w:rsid w:val="00661DB2"/>
    <w:rsid w:val="00661E45"/>
    <w:rsid w:val="006621F3"/>
    <w:rsid w:val="00662490"/>
    <w:rsid w:val="00662ABD"/>
    <w:rsid w:val="00662D15"/>
    <w:rsid w:val="0066309C"/>
    <w:rsid w:val="0066318C"/>
    <w:rsid w:val="006635BF"/>
    <w:rsid w:val="00663877"/>
    <w:rsid w:val="00663D1D"/>
    <w:rsid w:val="00663D2C"/>
    <w:rsid w:val="0066410C"/>
    <w:rsid w:val="006643A2"/>
    <w:rsid w:val="006644C4"/>
    <w:rsid w:val="006644DA"/>
    <w:rsid w:val="0066479D"/>
    <w:rsid w:val="006647E7"/>
    <w:rsid w:val="00664A0F"/>
    <w:rsid w:val="00664B10"/>
    <w:rsid w:val="006652D0"/>
    <w:rsid w:val="00665895"/>
    <w:rsid w:val="006663FF"/>
    <w:rsid w:val="006667B7"/>
    <w:rsid w:val="006667CF"/>
    <w:rsid w:val="006669BA"/>
    <w:rsid w:val="00667107"/>
    <w:rsid w:val="0066720F"/>
    <w:rsid w:val="00667915"/>
    <w:rsid w:val="00670642"/>
    <w:rsid w:val="0067080A"/>
    <w:rsid w:val="00670AD9"/>
    <w:rsid w:val="00670FFD"/>
    <w:rsid w:val="00671063"/>
    <w:rsid w:val="00671393"/>
    <w:rsid w:val="0067156D"/>
    <w:rsid w:val="00671690"/>
    <w:rsid w:val="00671808"/>
    <w:rsid w:val="00671BF0"/>
    <w:rsid w:val="00671E42"/>
    <w:rsid w:val="00672AEF"/>
    <w:rsid w:val="00672D03"/>
    <w:rsid w:val="00672E8A"/>
    <w:rsid w:val="0067301C"/>
    <w:rsid w:val="0067339F"/>
    <w:rsid w:val="006735E1"/>
    <w:rsid w:val="006736F3"/>
    <w:rsid w:val="006739D7"/>
    <w:rsid w:val="00673AB3"/>
    <w:rsid w:val="00673D9D"/>
    <w:rsid w:val="00673EA2"/>
    <w:rsid w:val="00674168"/>
    <w:rsid w:val="006746FA"/>
    <w:rsid w:val="00674798"/>
    <w:rsid w:val="00674AE3"/>
    <w:rsid w:val="0067523C"/>
    <w:rsid w:val="00675358"/>
    <w:rsid w:val="006757F6"/>
    <w:rsid w:val="006760ED"/>
    <w:rsid w:val="006766AA"/>
    <w:rsid w:val="00676E3D"/>
    <w:rsid w:val="00677216"/>
    <w:rsid w:val="006773C9"/>
    <w:rsid w:val="00677838"/>
    <w:rsid w:val="00677B23"/>
    <w:rsid w:val="00680165"/>
    <w:rsid w:val="00680603"/>
    <w:rsid w:val="00680622"/>
    <w:rsid w:val="006806E5"/>
    <w:rsid w:val="006808F4"/>
    <w:rsid w:val="00680D28"/>
    <w:rsid w:val="00680D7A"/>
    <w:rsid w:val="00680F9D"/>
    <w:rsid w:val="00681341"/>
    <w:rsid w:val="0068178F"/>
    <w:rsid w:val="006818E9"/>
    <w:rsid w:val="00681BDB"/>
    <w:rsid w:val="00682675"/>
    <w:rsid w:val="00682A0C"/>
    <w:rsid w:val="00682AAD"/>
    <w:rsid w:val="00682C9B"/>
    <w:rsid w:val="00683413"/>
    <w:rsid w:val="0068371A"/>
    <w:rsid w:val="00683960"/>
    <w:rsid w:val="00683C07"/>
    <w:rsid w:val="00684FA0"/>
    <w:rsid w:val="00685201"/>
    <w:rsid w:val="00685226"/>
    <w:rsid w:val="00685482"/>
    <w:rsid w:val="006856C7"/>
    <w:rsid w:val="00685C96"/>
    <w:rsid w:val="00686419"/>
    <w:rsid w:val="006865BE"/>
    <w:rsid w:val="006868E0"/>
    <w:rsid w:val="00686BAB"/>
    <w:rsid w:val="00686DFA"/>
    <w:rsid w:val="006872EE"/>
    <w:rsid w:val="006874A9"/>
    <w:rsid w:val="006875C0"/>
    <w:rsid w:val="00690136"/>
    <w:rsid w:val="0069025E"/>
    <w:rsid w:val="00690480"/>
    <w:rsid w:val="0069170C"/>
    <w:rsid w:val="0069186B"/>
    <w:rsid w:val="006919FB"/>
    <w:rsid w:val="00691B2F"/>
    <w:rsid w:val="0069275C"/>
    <w:rsid w:val="00692897"/>
    <w:rsid w:val="006938F2"/>
    <w:rsid w:val="0069393D"/>
    <w:rsid w:val="00693A57"/>
    <w:rsid w:val="00693E7D"/>
    <w:rsid w:val="00693F66"/>
    <w:rsid w:val="00694347"/>
    <w:rsid w:val="006944B2"/>
    <w:rsid w:val="00694797"/>
    <w:rsid w:val="006948F9"/>
    <w:rsid w:val="00694A48"/>
    <w:rsid w:val="00694CA1"/>
    <w:rsid w:val="00694D31"/>
    <w:rsid w:val="006950EC"/>
    <w:rsid w:val="00695824"/>
    <w:rsid w:val="00695896"/>
    <w:rsid w:val="00695BA2"/>
    <w:rsid w:val="00695BA8"/>
    <w:rsid w:val="00696A49"/>
    <w:rsid w:val="00696D27"/>
    <w:rsid w:val="00696DB7"/>
    <w:rsid w:val="006971C8"/>
    <w:rsid w:val="0069732F"/>
    <w:rsid w:val="0069765C"/>
    <w:rsid w:val="00697697"/>
    <w:rsid w:val="006979D1"/>
    <w:rsid w:val="00697A53"/>
    <w:rsid w:val="006A0143"/>
    <w:rsid w:val="006A05C6"/>
    <w:rsid w:val="006A07F9"/>
    <w:rsid w:val="006A086B"/>
    <w:rsid w:val="006A10BC"/>
    <w:rsid w:val="006A11E0"/>
    <w:rsid w:val="006A1280"/>
    <w:rsid w:val="006A2384"/>
    <w:rsid w:val="006A254B"/>
    <w:rsid w:val="006A275E"/>
    <w:rsid w:val="006A2761"/>
    <w:rsid w:val="006A28E5"/>
    <w:rsid w:val="006A2A9C"/>
    <w:rsid w:val="006A3115"/>
    <w:rsid w:val="006A3192"/>
    <w:rsid w:val="006A39A5"/>
    <w:rsid w:val="006A3C25"/>
    <w:rsid w:val="006A4B51"/>
    <w:rsid w:val="006A4C35"/>
    <w:rsid w:val="006A4F4F"/>
    <w:rsid w:val="006A5347"/>
    <w:rsid w:val="006A534F"/>
    <w:rsid w:val="006A55F8"/>
    <w:rsid w:val="006A566B"/>
    <w:rsid w:val="006A5980"/>
    <w:rsid w:val="006A6B08"/>
    <w:rsid w:val="006A6CE4"/>
    <w:rsid w:val="006A7141"/>
    <w:rsid w:val="006A7E06"/>
    <w:rsid w:val="006B0D03"/>
    <w:rsid w:val="006B0D43"/>
    <w:rsid w:val="006B0E76"/>
    <w:rsid w:val="006B11C7"/>
    <w:rsid w:val="006B1D89"/>
    <w:rsid w:val="006B1E03"/>
    <w:rsid w:val="006B220D"/>
    <w:rsid w:val="006B2370"/>
    <w:rsid w:val="006B283B"/>
    <w:rsid w:val="006B2853"/>
    <w:rsid w:val="006B291E"/>
    <w:rsid w:val="006B2AF9"/>
    <w:rsid w:val="006B2F0F"/>
    <w:rsid w:val="006B2F6C"/>
    <w:rsid w:val="006B3523"/>
    <w:rsid w:val="006B3595"/>
    <w:rsid w:val="006B368B"/>
    <w:rsid w:val="006B3A74"/>
    <w:rsid w:val="006B3D09"/>
    <w:rsid w:val="006B3F88"/>
    <w:rsid w:val="006B40B2"/>
    <w:rsid w:val="006B4139"/>
    <w:rsid w:val="006B4949"/>
    <w:rsid w:val="006B4975"/>
    <w:rsid w:val="006B4E68"/>
    <w:rsid w:val="006B578D"/>
    <w:rsid w:val="006B5B77"/>
    <w:rsid w:val="006B5CD5"/>
    <w:rsid w:val="006B5D19"/>
    <w:rsid w:val="006B6072"/>
    <w:rsid w:val="006B633C"/>
    <w:rsid w:val="006B6427"/>
    <w:rsid w:val="006B64E9"/>
    <w:rsid w:val="006B660A"/>
    <w:rsid w:val="006B6907"/>
    <w:rsid w:val="006B6B38"/>
    <w:rsid w:val="006B759E"/>
    <w:rsid w:val="006B7BCB"/>
    <w:rsid w:val="006B7C27"/>
    <w:rsid w:val="006B7E1B"/>
    <w:rsid w:val="006C0073"/>
    <w:rsid w:val="006C03A7"/>
    <w:rsid w:val="006C0E06"/>
    <w:rsid w:val="006C107F"/>
    <w:rsid w:val="006C1440"/>
    <w:rsid w:val="006C1A47"/>
    <w:rsid w:val="006C1E3D"/>
    <w:rsid w:val="006C24EC"/>
    <w:rsid w:val="006C2625"/>
    <w:rsid w:val="006C3342"/>
    <w:rsid w:val="006C33CD"/>
    <w:rsid w:val="006C3922"/>
    <w:rsid w:val="006C3B87"/>
    <w:rsid w:val="006C4030"/>
    <w:rsid w:val="006C4116"/>
    <w:rsid w:val="006C452A"/>
    <w:rsid w:val="006C47EB"/>
    <w:rsid w:val="006C4800"/>
    <w:rsid w:val="006C4BAF"/>
    <w:rsid w:val="006C50F0"/>
    <w:rsid w:val="006C5246"/>
    <w:rsid w:val="006C53A3"/>
    <w:rsid w:val="006C58E1"/>
    <w:rsid w:val="006C5FE7"/>
    <w:rsid w:val="006C6445"/>
    <w:rsid w:val="006C6594"/>
    <w:rsid w:val="006C6AFF"/>
    <w:rsid w:val="006C6C4B"/>
    <w:rsid w:val="006C6CC2"/>
    <w:rsid w:val="006C6DD4"/>
    <w:rsid w:val="006C710B"/>
    <w:rsid w:val="006C7310"/>
    <w:rsid w:val="006C7450"/>
    <w:rsid w:val="006C78A6"/>
    <w:rsid w:val="006C78CA"/>
    <w:rsid w:val="006C7F86"/>
    <w:rsid w:val="006D041D"/>
    <w:rsid w:val="006D04A8"/>
    <w:rsid w:val="006D061A"/>
    <w:rsid w:val="006D1083"/>
    <w:rsid w:val="006D11C3"/>
    <w:rsid w:val="006D1C23"/>
    <w:rsid w:val="006D1EB6"/>
    <w:rsid w:val="006D24FF"/>
    <w:rsid w:val="006D2578"/>
    <w:rsid w:val="006D26B2"/>
    <w:rsid w:val="006D293B"/>
    <w:rsid w:val="006D2F6B"/>
    <w:rsid w:val="006D2FDB"/>
    <w:rsid w:val="006D30FC"/>
    <w:rsid w:val="006D347D"/>
    <w:rsid w:val="006D3881"/>
    <w:rsid w:val="006D3B25"/>
    <w:rsid w:val="006D3C90"/>
    <w:rsid w:val="006D3CD3"/>
    <w:rsid w:val="006D3FA6"/>
    <w:rsid w:val="006D4029"/>
    <w:rsid w:val="006D4366"/>
    <w:rsid w:val="006D4672"/>
    <w:rsid w:val="006D482D"/>
    <w:rsid w:val="006D4959"/>
    <w:rsid w:val="006D4C6D"/>
    <w:rsid w:val="006D4CFA"/>
    <w:rsid w:val="006D4E84"/>
    <w:rsid w:val="006D4F39"/>
    <w:rsid w:val="006D52FC"/>
    <w:rsid w:val="006D5331"/>
    <w:rsid w:val="006D56AA"/>
    <w:rsid w:val="006D57B7"/>
    <w:rsid w:val="006D59C5"/>
    <w:rsid w:val="006D5CC3"/>
    <w:rsid w:val="006D6560"/>
    <w:rsid w:val="006D679D"/>
    <w:rsid w:val="006D6B23"/>
    <w:rsid w:val="006D6B56"/>
    <w:rsid w:val="006D6DA7"/>
    <w:rsid w:val="006D6F4F"/>
    <w:rsid w:val="006D708C"/>
    <w:rsid w:val="006D70B7"/>
    <w:rsid w:val="006E01A9"/>
    <w:rsid w:val="006E02A0"/>
    <w:rsid w:val="006E0731"/>
    <w:rsid w:val="006E0A0A"/>
    <w:rsid w:val="006E0F72"/>
    <w:rsid w:val="006E1677"/>
    <w:rsid w:val="006E1713"/>
    <w:rsid w:val="006E1D87"/>
    <w:rsid w:val="006E2106"/>
    <w:rsid w:val="006E2723"/>
    <w:rsid w:val="006E2951"/>
    <w:rsid w:val="006E2ABF"/>
    <w:rsid w:val="006E2B8E"/>
    <w:rsid w:val="006E2B91"/>
    <w:rsid w:val="006E31AE"/>
    <w:rsid w:val="006E35AB"/>
    <w:rsid w:val="006E35B8"/>
    <w:rsid w:val="006E3CFC"/>
    <w:rsid w:val="006E40C2"/>
    <w:rsid w:val="006E43B0"/>
    <w:rsid w:val="006E4484"/>
    <w:rsid w:val="006E46BD"/>
    <w:rsid w:val="006E46F5"/>
    <w:rsid w:val="006E479C"/>
    <w:rsid w:val="006E49B8"/>
    <w:rsid w:val="006E4CF8"/>
    <w:rsid w:val="006E52D3"/>
    <w:rsid w:val="006E54BE"/>
    <w:rsid w:val="006E5E7E"/>
    <w:rsid w:val="006E66BB"/>
    <w:rsid w:val="006E6741"/>
    <w:rsid w:val="006E7412"/>
    <w:rsid w:val="006E76DD"/>
    <w:rsid w:val="006E7880"/>
    <w:rsid w:val="006E7A56"/>
    <w:rsid w:val="006E7CBB"/>
    <w:rsid w:val="006F0446"/>
    <w:rsid w:val="006F06FE"/>
    <w:rsid w:val="006F093C"/>
    <w:rsid w:val="006F0F6D"/>
    <w:rsid w:val="006F14AA"/>
    <w:rsid w:val="006F1687"/>
    <w:rsid w:val="006F1E24"/>
    <w:rsid w:val="006F1FD2"/>
    <w:rsid w:val="006F2145"/>
    <w:rsid w:val="006F28F8"/>
    <w:rsid w:val="006F2CDD"/>
    <w:rsid w:val="006F2CE9"/>
    <w:rsid w:val="006F2F6D"/>
    <w:rsid w:val="006F3357"/>
    <w:rsid w:val="006F3463"/>
    <w:rsid w:val="006F3608"/>
    <w:rsid w:val="006F3A4F"/>
    <w:rsid w:val="006F3CED"/>
    <w:rsid w:val="006F3E7F"/>
    <w:rsid w:val="006F4858"/>
    <w:rsid w:val="006F4A16"/>
    <w:rsid w:val="006F4A99"/>
    <w:rsid w:val="006F4D34"/>
    <w:rsid w:val="006F4F57"/>
    <w:rsid w:val="006F515F"/>
    <w:rsid w:val="006F528F"/>
    <w:rsid w:val="006F5544"/>
    <w:rsid w:val="006F55BD"/>
    <w:rsid w:val="006F564A"/>
    <w:rsid w:val="006F57B8"/>
    <w:rsid w:val="006F59EA"/>
    <w:rsid w:val="006F5A29"/>
    <w:rsid w:val="006F63B8"/>
    <w:rsid w:val="006F6540"/>
    <w:rsid w:val="006F6620"/>
    <w:rsid w:val="006F67A7"/>
    <w:rsid w:val="006F7174"/>
    <w:rsid w:val="006F717A"/>
    <w:rsid w:val="006F7AC8"/>
    <w:rsid w:val="00700555"/>
    <w:rsid w:val="00700895"/>
    <w:rsid w:val="00700933"/>
    <w:rsid w:val="00700B23"/>
    <w:rsid w:val="00700FF8"/>
    <w:rsid w:val="0070170A"/>
    <w:rsid w:val="00701CEA"/>
    <w:rsid w:val="00701D5B"/>
    <w:rsid w:val="00702314"/>
    <w:rsid w:val="00702970"/>
    <w:rsid w:val="007029E2"/>
    <w:rsid w:val="00702B52"/>
    <w:rsid w:val="00703A22"/>
    <w:rsid w:val="00703F3C"/>
    <w:rsid w:val="007042C9"/>
    <w:rsid w:val="00704366"/>
    <w:rsid w:val="00704868"/>
    <w:rsid w:val="00704A49"/>
    <w:rsid w:val="00704DF6"/>
    <w:rsid w:val="00705100"/>
    <w:rsid w:val="0070558E"/>
    <w:rsid w:val="00705D03"/>
    <w:rsid w:val="007064DD"/>
    <w:rsid w:val="007067A3"/>
    <w:rsid w:val="00706F70"/>
    <w:rsid w:val="0070767A"/>
    <w:rsid w:val="007079D9"/>
    <w:rsid w:val="00707DB1"/>
    <w:rsid w:val="00707EF6"/>
    <w:rsid w:val="007107EE"/>
    <w:rsid w:val="00710962"/>
    <w:rsid w:val="00711676"/>
    <w:rsid w:val="00711B40"/>
    <w:rsid w:val="00711CDC"/>
    <w:rsid w:val="00712431"/>
    <w:rsid w:val="0071258D"/>
    <w:rsid w:val="00712820"/>
    <w:rsid w:val="00712DD7"/>
    <w:rsid w:val="00713229"/>
    <w:rsid w:val="007134DE"/>
    <w:rsid w:val="00713776"/>
    <w:rsid w:val="0071383B"/>
    <w:rsid w:val="00714059"/>
    <w:rsid w:val="0071473C"/>
    <w:rsid w:val="00714827"/>
    <w:rsid w:val="00714BBC"/>
    <w:rsid w:val="00714E84"/>
    <w:rsid w:val="007155E6"/>
    <w:rsid w:val="007156B9"/>
    <w:rsid w:val="007159D6"/>
    <w:rsid w:val="00715ED9"/>
    <w:rsid w:val="00716432"/>
    <w:rsid w:val="00716459"/>
    <w:rsid w:val="00716F95"/>
    <w:rsid w:val="0071796A"/>
    <w:rsid w:val="00717D3C"/>
    <w:rsid w:val="00717D98"/>
    <w:rsid w:val="00717DEA"/>
    <w:rsid w:val="00717FAB"/>
    <w:rsid w:val="00720317"/>
    <w:rsid w:val="00720969"/>
    <w:rsid w:val="00720D3F"/>
    <w:rsid w:val="00720D9B"/>
    <w:rsid w:val="0072181D"/>
    <w:rsid w:val="007218B9"/>
    <w:rsid w:val="00721AA7"/>
    <w:rsid w:val="00721B93"/>
    <w:rsid w:val="00721CDA"/>
    <w:rsid w:val="00722363"/>
    <w:rsid w:val="00722566"/>
    <w:rsid w:val="00722BAC"/>
    <w:rsid w:val="00722F67"/>
    <w:rsid w:val="007230AB"/>
    <w:rsid w:val="00723863"/>
    <w:rsid w:val="00723973"/>
    <w:rsid w:val="00723C37"/>
    <w:rsid w:val="00723EE5"/>
    <w:rsid w:val="00724667"/>
    <w:rsid w:val="007248B2"/>
    <w:rsid w:val="00724C6C"/>
    <w:rsid w:val="0072518D"/>
    <w:rsid w:val="00725206"/>
    <w:rsid w:val="007253FE"/>
    <w:rsid w:val="0072612A"/>
    <w:rsid w:val="00726177"/>
    <w:rsid w:val="007261FC"/>
    <w:rsid w:val="007262DC"/>
    <w:rsid w:val="00726A05"/>
    <w:rsid w:val="007271C2"/>
    <w:rsid w:val="007274C8"/>
    <w:rsid w:val="007277AA"/>
    <w:rsid w:val="00727841"/>
    <w:rsid w:val="007278BD"/>
    <w:rsid w:val="007305E1"/>
    <w:rsid w:val="00730785"/>
    <w:rsid w:val="007308CD"/>
    <w:rsid w:val="007312BC"/>
    <w:rsid w:val="00731422"/>
    <w:rsid w:val="00731478"/>
    <w:rsid w:val="00731828"/>
    <w:rsid w:val="00731CE7"/>
    <w:rsid w:val="00731DC4"/>
    <w:rsid w:val="00731FD6"/>
    <w:rsid w:val="00732108"/>
    <w:rsid w:val="007327AE"/>
    <w:rsid w:val="00732B17"/>
    <w:rsid w:val="00732E97"/>
    <w:rsid w:val="0073314C"/>
    <w:rsid w:val="0073314F"/>
    <w:rsid w:val="0073330D"/>
    <w:rsid w:val="00733462"/>
    <w:rsid w:val="00733AA5"/>
    <w:rsid w:val="00733E5C"/>
    <w:rsid w:val="00733F1D"/>
    <w:rsid w:val="007342CD"/>
    <w:rsid w:val="007345AF"/>
    <w:rsid w:val="007362CD"/>
    <w:rsid w:val="007362EB"/>
    <w:rsid w:val="0073664B"/>
    <w:rsid w:val="007367EE"/>
    <w:rsid w:val="00736D2D"/>
    <w:rsid w:val="00736FB0"/>
    <w:rsid w:val="0073708D"/>
    <w:rsid w:val="00737131"/>
    <w:rsid w:val="007372D0"/>
    <w:rsid w:val="00737418"/>
    <w:rsid w:val="007375C3"/>
    <w:rsid w:val="00737BE2"/>
    <w:rsid w:val="00737D08"/>
    <w:rsid w:val="00740334"/>
    <w:rsid w:val="007405B4"/>
    <w:rsid w:val="00740BBC"/>
    <w:rsid w:val="00740BBF"/>
    <w:rsid w:val="00740E44"/>
    <w:rsid w:val="007414F1"/>
    <w:rsid w:val="00741D36"/>
    <w:rsid w:val="00742419"/>
    <w:rsid w:val="00742E2C"/>
    <w:rsid w:val="007430EE"/>
    <w:rsid w:val="00744076"/>
    <w:rsid w:val="00744110"/>
    <w:rsid w:val="00744764"/>
    <w:rsid w:val="00744B95"/>
    <w:rsid w:val="00745535"/>
    <w:rsid w:val="007459AB"/>
    <w:rsid w:val="00745C52"/>
    <w:rsid w:val="0074612D"/>
    <w:rsid w:val="00747360"/>
    <w:rsid w:val="00747C2E"/>
    <w:rsid w:val="007503E8"/>
    <w:rsid w:val="00750443"/>
    <w:rsid w:val="007511E3"/>
    <w:rsid w:val="00751232"/>
    <w:rsid w:val="00751614"/>
    <w:rsid w:val="00751831"/>
    <w:rsid w:val="007518E0"/>
    <w:rsid w:val="00751CA1"/>
    <w:rsid w:val="007526E4"/>
    <w:rsid w:val="00752B1D"/>
    <w:rsid w:val="00752C23"/>
    <w:rsid w:val="00752E2A"/>
    <w:rsid w:val="007544BA"/>
    <w:rsid w:val="00754812"/>
    <w:rsid w:val="00755024"/>
    <w:rsid w:val="00755089"/>
    <w:rsid w:val="0075515C"/>
    <w:rsid w:val="00755768"/>
    <w:rsid w:val="0075706B"/>
    <w:rsid w:val="00757484"/>
    <w:rsid w:val="00757C2B"/>
    <w:rsid w:val="00760775"/>
    <w:rsid w:val="007613D7"/>
    <w:rsid w:val="0076148B"/>
    <w:rsid w:val="007614D3"/>
    <w:rsid w:val="007616C7"/>
    <w:rsid w:val="00761860"/>
    <w:rsid w:val="00761C7D"/>
    <w:rsid w:val="00762B70"/>
    <w:rsid w:val="00762BC0"/>
    <w:rsid w:val="00763705"/>
    <w:rsid w:val="00763777"/>
    <w:rsid w:val="0076389F"/>
    <w:rsid w:val="00763CC1"/>
    <w:rsid w:val="0076414C"/>
    <w:rsid w:val="007643AD"/>
    <w:rsid w:val="0076441B"/>
    <w:rsid w:val="007646BD"/>
    <w:rsid w:val="00764F60"/>
    <w:rsid w:val="00765157"/>
    <w:rsid w:val="007653B7"/>
    <w:rsid w:val="00765D59"/>
    <w:rsid w:val="00765EB8"/>
    <w:rsid w:val="00766111"/>
    <w:rsid w:val="00766721"/>
    <w:rsid w:val="00766795"/>
    <w:rsid w:val="00766945"/>
    <w:rsid w:val="00766B4B"/>
    <w:rsid w:val="00767194"/>
    <w:rsid w:val="00767253"/>
    <w:rsid w:val="007679B9"/>
    <w:rsid w:val="00767F64"/>
    <w:rsid w:val="007704B5"/>
    <w:rsid w:val="00771042"/>
    <w:rsid w:val="00771697"/>
    <w:rsid w:val="007723BC"/>
    <w:rsid w:val="00772808"/>
    <w:rsid w:val="00772E5F"/>
    <w:rsid w:val="007731F6"/>
    <w:rsid w:val="007733F3"/>
    <w:rsid w:val="0077489A"/>
    <w:rsid w:val="00774EB0"/>
    <w:rsid w:val="00774FF7"/>
    <w:rsid w:val="0077529B"/>
    <w:rsid w:val="00775483"/>
    <w:rsid w:val="00775860"/>
    <w:rsid w:val="00775CC0"/>
    <w:rsid w:val="00775F40"/>
    <w:rsid w:val="00775FF6"/>
    <w:rsid w:val="007764C5"/>
    <w:rsid w:val="00776ADE"/>
    <w:rsid w:val="007770A0"/>
    <w:rsid w:val="007772E9"/>
    <w:rsid w:val="0077753B"/>
    <w:rsid w:val="00777833"/>
    <w:rsid w:val="00777888"/>
    <w:rsid w:val="00777B8D"/>
    <w:rsid w:val="00780117"/>
    <w:rsid w:val="00780957"/>
    <w:rsid w:val="00780A9B"/>
    <w:rsid w:val="007818BB"/>
    <w:rsid w:val="00781ABC"/>
    <w:rsid w:val="00782305"/>
    <w:rsid w:val="00782A57"/>
    <w:rsid w:val="00782BEB"/>
    <w:rsid w:val="00782CF7"/>
    <w:rsid w:val="00782F91"/>
    <w:rsid w:val="0078329A"/>
    <w:rsid w:val="00783534"/>
    <w:rsid w:val="00783770"/>
    <w:rsid w:val="00783880"/>
    <w:rsid w:val="00783B8C"/>
    <w:rsid w:val="00783EF9"/>
    <w:rsid w:val="007842B1"/>
    <w:rsid w:val="0078435E"/>
    <w:rsid w:val="007845F3"/>
    <w:rsid w:val="007846F9"/>
    <w:rsid w:val="00784793"/>
    <w:rsid w:val="00784DB2"/>
    <w:rsid w:val="007851A1"/>
    <w:rsid w:val="00785229"/>
    <w:rsid w:val="00785D15"/>
    <w:rsid w:val="00785E14"/>
    <w:rsid w:val="0078628D"/>
    <w:rsid w:val="007863E6"/>
    <w:rsid w:val="007865AF"/>
    <w:rsid w:val="007867DB"/>
    <w:rsid w:val="00786E28"/>
    <w:rsid w:val="00787594"/>
    <w:rsid w:val="0078767E"/>
    <w:rsid w:val="00790312"/>
    <w:rsid w:val="00790ABA"/>
    <w:rsid w:val="00790BF4"/>
    <w:rsid w:val="00791824"/>
    <w:rsid w:val="00791881"/>
    <w:rsid w:val="00791C93"/>
    <w:rsid w:val="007920C2"/>
    <w:rsid w:val="0079230A"/>
    <w:rsid w:val="00792468"/>
    <w:rsid w:val="00792BD4"/>
    <w:rsid w:val="00792BDE"/>
    <w:rsid w:val="00792DE7"/>
    <w:rsid w:val="00792E0E"/>
    <w:rsid w:val="00792E75"/>
    <w:rsid w:val="007931CC"/>
    <w:rsid w:val="00793241"/>
    <w:rsid w:val="00793B71"/>
    <w:rsid w:val="00794222"/>
    <w:rsid w:val="0079436A"/>
    <w:rsid w:val="00794715"/>
    <w:rsid w:val="00794A20"/>
    <w:rsid w:val="00794F9C"/>
    <w:rsid w:val="007956DC"/>
    <w:rsid w:val="00796084"/>
    <w:rsid w:val="00796AAA"/>
    <w:rsid w:val="00796B7A"/>
    <w:rsid w:val="00797F86"/>
    <w:rsid w:val="007A0305"/>
    <w:rsid w:val="007A1156"/>
    <w:rsid w:val="007A1EA1"/>
    <w:rsid w:val="007A1FED"/>
    <w:rsid w:val="007A20F0"/>
    <w:rsid w:val="007A2B77"/>
    <w:rsid w:val="007A324A"/>
    <w:rsid w:val="007A368A"/>
    <w:rsid w:val="007A3D97"/>
    <w:rsid w:val="007A481A"/>
    <w:rsid w:val="007A49DD"/>
    <w:rsid w:val="007A5037"/>
    <w:rsid w:val="007A535F"/>
    <w:rsid w:val="007A53A9"/>
    <w:rsid w:val="007A60CA"/>
    <w:rsid w:val="007A6650"/>
    <w:rsid w:val="007A6948"/>
    <w:rsid w:val="007A6E77"/>
    <w:rsid w:val="007A7864"/>
    <w:rsid w:val="007A78FD"/>
    <w:rsid w:val="007A7CD4"/>
    <w:rsid w:val="007B03DE"/>
    <w:rsid w:val="007B051C"/>
    <w:rsid w:val="007B056A"/>
    <w:rsid w:val="007B0C03"/>
    <w:rsid w:val="007B0C0C"/>
    <w:rsid w:val="007B0C86"/>
    <w:rsid w:val="007B12DB"/>
    <w:rsid w:val="007B1591"/>
    <w:rsid w:val="007B207B"/>
    <w:rsid w:val="007B2180"/>
    <w:rsid w:val="007B27FF"/>
    <w:rsid w:val="007B28A6"/>
    <w:rsid w:val="007B2C78"/>
    <w:rsid w:val="007B3475"/>
    <w:rsid w:val="007B3BFC"/>
    <w:rsid w:val="007B402E"/>
    <w:rsid w:val="007B4235"/>
    <w:rsid w:val="007B4338"/>
    <w:rsid w:val="007B4CB3"/>
    <w:rsid w:val="007B4F2E"/>
    <w:rsid w:val="007B562F"/>
    <w:rsid w:val="007B5870"/>
    <w:rsid w:val="007B5B1B"/>
    <w:rsid w:val="007B5B5D"/>
    <w:rsid w:val="007B5B75"/>
    <w:rsid w:val="007B5D85"/>
    <w:rsid w:val="007B5E27"/>
    <w:rsid w:val="007B647F"/>
    <w:rsid w:val="007B64AC"/>
    <w:rsid w:val="007B65BE"/>
    <w:rsid w:val="007B69EE"/>
    <w:rsid w:val="007B6DF7"/>
    <w:rsid w:val="007B6F52"/>
    <w:rsid w:val="007C0561"/>
    <w:rsid w:val="007C0A05"/>
    <w:rsid w:val="007C0C70"/>
    <w:rsid w:val="007C0D6B"/>
    <w:rsid w:val="007C0ECB"/>
    <w:rsid w:val="007C10C7"/>
    <w:rsid w:val="007C1283"/>
    <w:rsid w:val="007C1F72"/>
    <w:rsid w:val="007C2305"/>
    <w:rsid w:val="007C24A3"/>
    <w:rsid w:val="007C2545"/>
    <w:rsid w:val="007C27B0"/>
    <w:rsid w:val="007C29C2"/>
    <w:rsid w:val="007C29D2"/>
    <w:rsid w:val="007C3B0A"/>
    <w:rsid w:val="007C40D8"/>
    <w:rsid w:val="007C4115"/>
    <w:rsid w:val="007C52FD"/>
    <w:rsid w:val="007C557A"/>
    <w:rsid w:val="007C5712"/>
    <w:rsid w:val="007C5A55"/>
    <w:rsid w:val="007C5E9E"/>
    <w:rsid w:val="007C60AF"/>
    <w:rsid w:val="007C6241"/>
    <w:rsid w:val="007C653A"/>
    <w:rsid w:val="007C6BB9"/>
    <w:rsid w:val="007C72A2"/>
    <w:rsid w:val="007C75C3"/>
    <w:rsid w:val="007C7A23"/>
    <w:rsid w:val="007C7B78"/>
    <w:rsid w:val="007C7DDB"/>
    <w:rsid w:val="007C7DFA"/>
    <w:rsid w:val="007C7E72"/>
    <w:rsid w:val="007D06E2"/>
    <w:rsid w:val="007D08E6"/>
    <w:rsid w:val="007D0D56"/>
    <w:rsid w:val="007D1617"/>
    <w:rsid w:val="007D1C99"/>
    <w:rsid w:val="007D25AE"/>
    <w:rsid w:val="007D3136"/>
    <w:rsid w:val="007D359B"/>
    <w:rsid w:val="007D3751"/>
    <w:rsid w:val="007D3A54"/>
    <w:rsid w:val="007D3B24"/>
    <w:rsid w:val="007D3C2F"/>
    <w:rsid w:val="007D433A"/>
    <w:rsid w:val="007D4485"/>
    <w:rsid w:val="007D44DA"/>
    <w:rsid w:val="007D46AD"/>
    <w:rsid w:val="007D47F6"/>
    <w:rsid w:val="007D4B1B"/>
    <w:rsid w:val="007D4FC1"/>
    <w:rsid w:val="007D566C"/>
    <w:rsid w:val="007D56DE"/>
    <w:rsid w:val="007D6C48"/>
    <w:rsid w:val="007D6C76"/>
    <w:rsid w:val="007D73E5"/>
    <w:rsid w:val="007D752E"/>
    <w:rsid w:val="007D775A"/>
    <w:rsid w:val="007D7799"/>
    <w:rsid w:val="007E0A2D"/>
    <w:rsid w:val="007E0B79"/>
    <w:rsid w:val="007E0C7B"/>
    <w:rsid w:val="007E1020"/>
    <w:rsid w:val="007E19DE"/>
    <w:rsid w:val="007E1D8E"/>
    <w:rsid w:val="007E1D91"/>
    <w:rsid w:val="007E23FB"/>
    <w:rsid w:val="007E246A"/>
    <w:rsid w:val="007E26DD"/>
    <w:rsid w:val="007E2E81"/>
    <w:rsid w:val="007E33DB"/>
    <w:rsid w:val="007E3751"/>
    <w:rsid w:val="007E3786"/>
    <w:rsid w:val="007E393E"/>
    <w:rsid w:val="007E3992"/>
    <w:rsid w:val="007E3BC6"/>
    <w:rsid w:val="007E4670"/>
    <w:rsid w:val="007E4805"/>
    <w:rsid w:val="007E532D"/>
    <w:rsid w:val="007E54F7"/>
    <w:rsid w:val="007E581A"/>
    <w:rsid w:val="007E5AA5"/>
    <w:rsid w:val="007E5F05"/>
    <w:rsid w:val="007E69B1"/>
    <w:rsid w:val="007E6A20"/>
    <w:rsid w:val="007E6C42"/>
    <w:rsid w:val="007E6D46"/>
    <w:rsid w:val="007E7008"/>
    <w:rsid w:val="007E7112"/>
    <w:rsid w:val="007E7257"/>
    <w:rsid w:val="007F004E"/>
    <w:rsid w:val="007F00E1"/>
    <w:rsid w:val="007F063F"/>
    <w:rsid w:val="007F0755"/>
    <w:rsid w:val="007F09B1"/>
    <w:rsid w:val="007F0C7A"/>
    <w:rsid w:val="007F0CA8"/>
    <w:rsid w:val="007F1400"/>
    <w:rsid w:val="007F1866"/>
    <w:rsid w:val="007F1E16"/>
    <w:rsid w:val="007F24CA"/>
    <w:rsid w:val="007F286B"/>
    <w:rsid w:val="007F29CC"/>
    <w:rsid w:val="007F2A95"/>
    <w:rsid w:val="007F2F19"/>
    <w:rsid w:val="007F3356"/>
    <w:rsid w:val="007F3E8E"/>
    <w:rsid w:val="007F46E2"/>
    <w:rsid w:val="007F4A81"/>
    <w:rsid w:val="007F5030"/>
    <w:rsid w:val="007F530D"/>
    <w:rsid w:val="007F5A68"/>
    <w:rsid w:val="007F5D1B"/>
    <w:rsid w:val="007F6152"/>
    <w:rsid w:val="007F63B2"/>
    <w:rsid w:val="007F6891"/>
    <w:rsid w:val="007F7408"/>
    <w:rsid w:val="007F797F"/>
    <w:rsid w:val="007F7E8F"/>
    <w:rsid w:val="00800146"/>
    <w:rsid w:val="00800294"/>
    <w:rsid w:val="00800439"/>
    <w:rsid w:val="00800CB0"/>
    <w:rsid w:val="00800D16"/>
    <w:rsid w:val="008014B1"/>
    <w:rsid w:val="00801B9C"/>
    <w:rsid w:val="00801C27"/>
    <w:rsid w:val="00801CEB"/>
    <w:rsid w:val="00801E06"/>
    <w:rsid w:val="008022D9"/>
    <w:rsid w:val="0080284D"/>
    <w:rsid w:val="008037E1"/>
    <w:rsid w:val="00803BD1"/>
    <w:rsid w:val="00803F8A"/>
    <w:rsid w:val="00803FD6"/>
    <w:rsid w:val="008047D1"/>
    <w:rsid w:val="00804B5F"/>
    <w:rsid w:val="00804E01"/>
    <w:rsid w:val="00804FC4"/>
    <w:rsid w:val="008059E5"/>
    <w:rsid w:val="00805B3E"/>
    <w:rsid w:val="00805B51"/>
    <w:rsid w:val="008061AD"/>
    <w:rsid w:val="00806200"/>
    <w:rsid w:val="00806397"/>
    <w:rsid w:val="008066D1"/>
    <w:rsid w:val="0080680D"/>
    <w:rsid w:val="00806867"/>
    <w:rsid w:val="00806ADC"/>
    <w:rsid w:val="008070AD"/>
    <w:rsid w:val="00807277"/>
    <w:rsid w:val="0080739B"/>
    <w:rsid w:val="0080788C"/>
    <w:rsid w:val="00810058"/>
    <w:rsid w:val="00810293"/>
    <w:rsid w:val="00810471"/>
    <w:rsid w:val="00810F12"/>
    <w:rsid w:val="0081158F"/>
    <w:rsid w:val="0081168C"/>
    <w:rsid w:val="008118E6"/>
    <w:rsid w:val="0081191F"/>
    <w:rsid w:val="00811F89"/>
    <w:rsid w:val="00812009"/>
    <w:rsid w:val="00812494"/>
    <w:rsid w:val="0081255C"/>
    <w:rsid w:val="008125B9"/>
    <w:rsid w:val="00812784"/>
    <w:rsid w:val="00812FA7"/>
    <w:rsid w:val="00813211"/>
    <w:rsid w:val="00813252"/>
    <w:rsid w:val="00813573"/>
    <w:rsid w:val="0081391A"/>
    <w:rsid w:val="008139C0"/>
    <w:rsid w:val="00813AF0"/>
    <w:rsid w:val="00813E82"/>
    <w:rsid w:val="00814350"/>
    <w:rsid w:val="0081471A"/>
    <w:rsid w:val="00814B65"/>
    <w:rsid w:val="00814DC0"/>
    <w:rsid w:val="008151CC"/>
    <w:rsid w:val="00815200"/>
    <w:rsid w:val="008154A7"/>
    <w:rsid w:val="00815562"/>
    <w:rsid w:val="0081574A"/>
    <w:rsid w:val="00815761"/>
    <w:rsid w:val="008159B3"/>
    <w:rsid w:val="008159FE"/>
    <w:rsid w:val="00815A3A"/>
    <w:rsid w:val="00815CFD"/>
    <w:rsid w:val="008163F3"/>
    <w:rsid w:val="00817159"/>
    <w:rsid w:val="00817920"/>
    <w:rsid w:val="008203E9"/>
    <w:rsid w:val="00820431"/>
    <w:rsid w:val="00820ACA"/>
    <w:rsid w:val="00820E5D"/>
    <w:rsid w:val="00820FA9"/>
    <w:rsid w:val="00821245"/>
    <w:rsid w:val="00821861"/>
    <w:rsid w:val="008218EF"/>
    <w:rsid w:val="008221CE"/>
    <w:rsid w:val="00822561"/>
    <w:rsid w:val="0082268F"/>
    <w:rsid w:val="008226EB"/>
    <w:rsid w:val="0082283E"/>
    <w:rsid w:val="00822B6A"/>
    <w:rsid w:val="0082356E"/>
    <w:rsid w:val="0082363C"/>
    <w:rsid w:val="0082390D"/>
    <w:rsid w:val="00823E81"/>
    <w:rsid w:val="0082457E"/>
    <w:rsid w:val="0082483C"/>
    <w:rsid w:val="00824BE3"/>
    <w:rsid w:val="00825059"/>
    <w:rsid w:val="00825441"/>
    <w:rsid w:val="00825922"/>
    <w:rsid w:val="00825AB6"/>
    <w:rsid w:val="00825ADE"/>
    <w:rsid w:val="00826CB0"/>
    <w:rsid w:val="0082760B"/>
    <w:rsid w:val="0083018D"/>
    <w:rsid w:val="00830345"/>
    <w:rsid w:val="008306D1"/>
    <w:rsid w:val="00830C3E"/>
    <w:rsid w:val="00830D0D"/>
    <w:rsid w:val="0083157B"/>
    <w:rsid w:val="00831653"/>
    <w:rsid w:val="008316DD"/>
    <w:rsid w:val="00831B9A"/>
    <w:rsid w:val="0083265A"/>
    <w:rsid w:val="00832918"/>
    <w:rsid w:val="008329BE"/>
    <w:rsid w:val="00833075"/>
    <w:rsid w:val="0083333F"/>
    <w:rsid w:val="008333EB"/>
    <w:rsid w:val="008337CC"/>
    <w:rsid w:val="00834812"/>
    <w:rsid w:val="00834E0F"/>
    <w:rsid w:val="00834E77"/>
    <w:rsid w:val="008353CC"/>
    <w:rsid w:val="00835E0D"/>
    <w:rsid w:val="00835E57"/>
    <w:rsid w:val="00836B01"/>
    <w:rsid w:val="00836E53"/>
    <w:rsid w:val="00837730"/>
    <w:rsid w:val="00837A7D"/>
    <w:rsid w:val="00837D30"/>
    <w:rsid w:val="00840DC0"/>
    <w:rsid w:val="00840F94"/>
    <w:rsid w:val="00841527"/>
    <w:rsid w:val="008417F6"/>
    <w:rsid w:val="00841942"/>
    <w:rsid w:val="00841BB9"/>
    <w:rsid w:val="00841C59"/>
    <w:rsid w:val="0084225C"/>
    <w:rsid w:val="00842F68"/>
    <w:rsid w:val="00843024"/>
    <w:rsid w:val="00843BE0"/>
    <w:rsid w:val="00844077"/>
    <w:rsid w:val="008440CA"/>
    <w:rsid w:val="00844425"/>
    <w:rsid w:val="0084450C"/>
    <w:rsid w:val="0084511B"/>
    <w:rsid w:val="00845626"/>
    <w:rsid w:val="00845A54"/>
    <w:rsid w:val="00845FA0"/>
    <w:rsid w:val="0084610D"/>
    <w:rsid w:val="008462CA"/>
    <w:rsid w:val="00846632"/>
    <w:rsid w:val="00846786"/>
    <w:rsid w:val="008467F1"/>
    <w:rsid w:val="00846E15"/>
    <w:rsid w:val="00846EDB"/>
    <w:rsid w:val="00847094"/>
    <w:rsid w:val="00847107"/>
    <w:rsid w:val="00847200"/>
    <w:rsid w:val="00847313"/>
    <w:rsid w:val="008474CA"/>
    <w:rsid w:val="0084775D"/>
    <w:rsid w:val="00847B77"/>
    <w:rsid w:val="00847F26"/>
    <w:rsid w:val="00847F35"/>
    <w:rsid w:val="0085006F"/>
    <w:rsid w:val="00850147"/>
    <w:rsid w:val="008508DA"/>
    <w:rsid w:val="008509C4"/>
    <w:rsid w:val="00850A82"/>
    <w:rsid w:val="00850BD7"/>
    <w:rsid w:val="0085155A"/>
    <w:rsid w:val="00851731"/>
    <w:rsid w:val="008519BB"/>
    <w:rsid w:val="00851DB0"/>
    <w:rsid w:val="00852AEC"/>
    <w:rsid w:val="00852B8D"/>
    <w:rsid w:val="00852C0C"/>
    <w:rsid w:val="00852FCD"/>
    <w:rsid w:val="00853186"/>
    <w:rsid w:val="00853A58"/>
    <w:rsid w:val="00853A65"/>
    <w:rsid w:val="00853B5D"/>
    <w:rsid w:val="0085458B"/>
    <w:rsid w:val="0085471D"/>
    <w:rsid w:val="00854F5D"/>
    <w:rsid w:val="00854FD4"/>
    <w:rsid w:val="0085534C"/>
    <w:rsid w:val="00855355"/>
    <w:rsid w:val="0085612F"/>
    <w:rsid w:val="00856185"/>
    <w:rsid w:val="008565D9"/>
    <w:rsid w:val="00856634"/>
    <w:rsid w:val="00856D21"/>
    <w:rsid w:val="00856EB5"/>
    <w:rsid w:val="00856F7B"/>
    <w:rsid w:val="00857010"/>
    <w:rsid w:val="00857035"/>
    <w:rsid w:val="008570BA"/>
    <w:rsid w:val="008572A2"/>
    <w:rsid w:val="008575D9"/>
    <w:rsid w:val="00857AB9"/>
    <w:rsid w:val="00857BB3"/>
    <w:rsid w:val="00857DE9"/>
    <w:rsid w:val="008604CB"/>
    <w:rsid w:val="00860A67"/>
    <w:rsid w:val="00861118"/>
    <w:rsid w:val="008612FD"/>
    <w:rsid w:val="00861308"/>
    <w:rsid w:val="00861932"/>
    <w:rsid w:val="00861F51"/>
    <w:rsid w:val="008623AA"/>
    <w:rsid w:val="00862711"/>
    <w:rsid w:val="0086290A"/>
    <w:rsid w:val="00862AA0"/>
    <w:rsid w:val="00862F98"/>
    <w:rsid w:val="0086311B"/>
    <w:rsid w:val="00863D07"/>
    <w:rsid w:val="00863DA9"/>
    <w:rsid w:val="00864485"/>
    <w:rsid w:val="00864727"/>
    <w:rsid w:val="0086496B"/>
    <w:rsid w:val="0086499B"/>
    <w:rsid w:val="00864DA5"/>
    <w:rsid w:val="008651E9"/>
    <w:rsid w:val="0086558B"/>
    <w:rsid w:val="008657C8"/>
    <w:rsid w:val="00865AB8"/>
    <w:rsid w:val="00865D76"/>
    <w:rsid w:val="008660F4"/>
    <w:rsid w:val="0086644F"/>
    <w:rsid w:val="00866853"/>
    <w:rsid w:val="00866F63"/>
    <w:rsid w:val="008670A2"/>
    <w:rsid w:val="00867291"/>
    <w:rsid w:val="0086738C"/>
    <w:rsid w:val="008678EC"/>
    <w:rsid w:val="00870348"/>
    <w:rsid w:val="00870BC1"/>
    <w:rsid w:val="00870C2A"/>
    <w:rsid w:val="0087111C"/>
    <w:rsid w:val="0087125E"/>
    <w:rsid w:val="00871A3C"/>
    <w:rsid w:val="00871B4B"/>
    <w:rsid w:val="00871B91"/>
    <w:rsid w:val="00872D2C"/>
    <w:rsid w:val="00872F38"/>
    <w:rsid w:val="00873CB7"/>
    <w:rsid w:val="00873EEB"/>
    <w:rsid w:val="00874263"/>
    <w:rsid w:val="00874AA8"/>
    <w:rsid w:val="00875095"/>
    <w:rsid w:val="008751CC"/>
    <w:rsid w:val="0087523B"/>
    <w:rsid w:val="00875276"/>
    <w:rsid w:val="00875284"/>
    <w:rsid w:val="00875382"/>
    <w:rsid w:val="00875482"/>
    <w:rsid w:val="00875C7D"/>
    <w:rsid w:val="00875F7F"/>
    <w:rsid w:val="00876415"/>
    <w:rsid w:val="00876743"/>
    <w:rsid w:val="00876ABC"/>
    <w:rsid w:val="00876C15"/>
    <w:rsid w:val="00876FF6"/>
    <w:rsid w:val="00877390"/>
    <w:rsid w:val="008775D7"/>
    <w:rsid w:val="008777F1"/>
    <w:rsid w:val="008779D9"/>
    <w:rsid w:val="00877B8A"/>
    <w:rsid w:val="00877FC5"/>
    <w:rsid w:val="0088029B"/>
    <w:rsid w:val="0088066B"/>
    <w:rsid w:val="00880754"/>
    <w:rsid w:val="008809C0"/>
    <w:rsid w:val="00880BA4"/>
    <w:rsid w:val="00880BBD"/>
    <w:rsid w:val="00880DAC"/>
    <w:rsid w:val="008811C8"/>
    <w:rsid w:val="008816F8"/>
    <w:rsid w:val="00882D45"/>
    <w:rsid w:val="0088331A"/>
    <w:rsid w:val="0088371A"/>
    <w:rsid w:val="00883CAF"/>
    <w:rsid w:val="00884013"/>
    <w:rsid w:val="008841E4"/>
    <w:rsid w:val="00884A10"/>
    <w:rsid w:val="00884E8F"/>
    <w:rsid w:val="00884FFD"/>
    <w:rsid w:val="008850AC"/>
    <w:rsid w:val="008853FF"/>
    <w:rsid w:val="0088584B"/>
    <w:rsid w:val="00885E70"/>
    <w:rsid w:val="00886699"/>
    <w:rsid w:val="00886E59"/>
    <w:rsid w:val="008874DB"/>
    <w:rsid w:val="0089016F"/>
    <w:rsid w:val="008901BD"/>
    <w:rsid w:val="00890218"/>
    <w:rsid w:val="008906A2"/>
    <w:rsid w:val="008906F8"/>
    <w:rsid w:val="008909C1"/>
    <w:rsid w:val="0089182E"/>
    <w:rsid w:val="00891CBD"/>
    <w:rsid w:val="00892751"/>
    <w:rsid w:val="008928C5"/>
    <w:rsid w:val="00892971"/>
    <w:rsid w:val="008934D9"/>
    <w:rsid w:val="00893816"/>
    <w:rsid w:val="00894065"/>
    <w:rsid w:val="00894DE8"/>
    <w:rsid w:val="00894E0B"/>
    <w:rsid w:val="00894E79"/>
    <w:rsid w:val="0089521C"/>
    <w:rsid w:val="00895333"/>
    <w:rsid w:val="00895656"/>
    <w:rsid w:val="008959EF"/>
    <w:rsid w:val="0089610C"/>
    <w:rsid w:val="00897A94"/>
    <w:rsid w:val="00897BA3"/>
    <w:rsid w:val="00897D08"/>
    <w:rsid w:val="008A0125"/>
    <w:rsid w:val="008A06DD"/>
    <w:rsid w:val="008A088A"/>
    <w:rsid w:val="008A0FB9"/>
    <w:rsid w:val="008A11DA"/>
    <w:rsid w:val="008A1364"/>
    <w:rsid w:val="008A1418"/>
    <w:rsid w:val="008A160F"/>
    <w:rsid w:val="008A2D02"/>
    <w:rsid w:val="008A2F37"/>
    <w:rsid w:val="008A3124"/>
    <w:rsid w:val="008A317A"/>
    <w:rsid w:val="008A35CD"/>
    <w:rsid w:val="008A3648"/>
    <w:rsid w:val="008A36F3"/>
    <w:rsid w:val="008A37BE"/>
    <w:rsid w:val="008A437C"/>
    <w:rsid w:val="008A448F"/>
    <w:rsid w:val="008A4817"/>
    <w:rsid w:val="008A48C5"/>
    <w:rsid w:val="008A48F5"/>
    <w:rsid w:val="008A503D"/>
    <w:rsid w:val="008A532D"/>
    <w:rsid w:val="008A5545"/>
    <w:rsid w:val="008A576F"/>
    <w:rsid w:val="008A5CAB"/>
    <w:rsid w:val="008A5CB2"/>
    <w:rsid w:val="008A687D"/>
    <w:rsid w:val="008A6DB0"/>
    <w:rsid w:val="008A7510"/>
    <w:rsid w:val="008A7706"/>
    <w:rsid w:val="008A794C"/>
    <w:rsid w:val="008B01A1"/>
    <w:rsid w:val="008B10B1"/>
    <w:rsid w:val="008B123E"/>
    <w:rsid w:val="008B1521"/>
    <w:rsid w:val="008B17A7"/>
    <w:rsid w:val="008B2A64"/>
    <w:rsid w:val="008B2D65"/>
    <w:rsid w:val="008B3551"/>
    <w:rsid w:val="008B36D2"/>
    <w:rsid w:val="008B382A"/>
    <w:rsid w:val="008B3CA1"/>
    <w:rsid w:val="008B3CEA"/>
    <w:rsid w:val="008B45C4"/>
    <w:rsid w:val="008B4837"/>
    <w:rsid w:val="008B4D22"/>
    <w:rsid w:val="008B4E31"/>
    <w:rsid w:val="008B4F51"/>
    <w:rsid w:val="008B54E2"/>
    <w:rsid w:val="008B5BF5"/>
    <w:rsid w:val="008B6092"/>
    <w:rsid w:val="008B6865"/>
    <w:rsid w:val="008B695D"/>
    <w:rsid w:val="008B7380"/>
    <w:rsid w:val="008B76C0"/>
    <w:rsid w:val="008B7A03"/>
    <w:rsid w:val="008C015D"/>
    <w:rsid w:val="008C07C4"/>
    <w:rsid w:val="008C080F"/>
    <w:rsid w:val="008C087D"/>
    <w:rsid w:val="008C137A"/>
    <w:rsid w:val="008C13E7"/>
    <w:rsid w:val="008C146E"/>
    <w:rsid w:val="008C146F"/>
    <w:rsid w:val="008C1771"/>
    <w:rsid w:val="008C1F7A"/>
    <w:rsid w:val="008C218A"/>
    <w:rsid w:val="008C252E"/>
    <w:rsid w:val="008C28EF"/>
    <w:rsid w:val="008C2909"/>
    <w:rsid w:val="008C2C30"/>
    <w:rsid w:val="008C416D"/>
    <w:rsid w:val="008C4398"/>
    <w:rsid w:val="008C4850"/>
    <w:rsid w:val="008C4E75"/>
    <w:rsid w:val="008C52F1"/>
    <w:rsid w:val="008C555F"/>
    <w:rsid w:val="008C5D57"/>
    <w:rsid w:val="008C5D7B"/>
    <w:rsid w:val="008C5DA1"/>
    <w:rsid w:val="008C6604"/>
    <w:rsid w:val="008C67F7"/>
    <w:rsid w:val="008C68C1"/>
    <w:rsid w:val="008C6E08"/>
    <w:rsid w:val="008C6F5F"/>
    <w:rsid w:val="008C7012"/>
    <w:rsid w:val="008C7514"/>
    <w:rsid w:val="008C7738"/>
    <w:rsid w:val="008C796B"/>
    <w:rsid w:val="008C7AA1"/>
    <w:rsid w:val="008D00AF"/>
    <w:rsid w:val="008D01DB"/>
    <w:rsid w:val="008D0363"/>
    <w:rsid w:val="008D127A"/>
    <w:rsid w:val="008D12B4"/>
    <w:rsid w:val="008D1719"/>
    <w:rsid w:val="008D1899"/>
    <w:rsid w:val="008D211B"/>
    <w:rsid w:val="008D2340"/>
    <w:rsid w:val="008D2DBF"/>
    <w:rsid w:val="008D2ED2"/>
    <w:rsid w:val="008D2FEB"/>
    <w:rsid w:val="008D3150"/>
    <w:rsid w:val="008D3A9C"/>
    <w:rsid w:val="008D4360"/>
    <w:rsid w:val="008D4566"/>
    <w:rsid w:val="008D48F2"/>
    <w:rsid w:val="008D51AB"/>
    <w:rsid w:val="008D54EE"/>
    <w:rsid w:val="008D5821"/>
    <w:rsid w:val="008D5B82"/>
    <w:rsid w:val="008D5EB5"/>
    <w:rsid w:val="008D5F3E"/>
    <w:rsid w:val="008D5FF4"/>
    <w:rsid w:val="008D6030"/>
    <w:rsid w:val="008D61A4"/>
    <w:rsid w:val="008D69E6"/>
    <w:rsid w:val="008D6B8B"/>
    <w:rsid w:val="008E0998"/>
    <w:rsid w:val="008E0B7D"/>
    <w:rsid w:val="008E0DD7"/>
    <w:rsid w:val="008E1802"/>
    <w:rsid w:val="008E1F3F"/>
    <w:rsid w:val="008E2178"/>
    <w:rsid w:val="008E273E"/>
    <w:rsid w:val="008E2753"/>
    <w:rsid w:val="008E28E9"/>
    <w:rsid w:val="008E2BFB"/>
    <w:rsid w:val="008E303B"/>
    <w:rsid w:val="008E347D"/>
    <w:rsid w:val="008E372B"/>
    <w:rsid w:val="008E44F9"/>
    <w:rsid w:val="008E48A7"/>
    <w:rsid w:val="008E581C"/>
    <w:rsid w:val="008E596A"/>
    <w:rsid w:val="008E5D42"/>
    <w:rsid w:val="008E673A"/>
    <w:rsid w:val="008E698A"/>
    <w:rsid w:val="008E69EE"/>
    <w:rsid w:val="008E6ADA"/>
    <w:rsid w:val="008E7266"/>
    <w:rsid w:val="008F0746"/>
    <w:rsid w:val="008F105C"/>
    <w:rsid w:val="008F16C4"/>
    <w:rsid w:val="008F204B"/>
    <w:rsid w:val="008F21F4"/>
    <w:rsid w:val="008F233C"/>
    <w:rsid w:val="008F2F44"/>
    <w:rsid w:val="008F3060"/>
    <w:rsid w:val="008F3559"/>
    <w:rsid w:val="008F37C1"/>
    <w:rsid w:val="008F39E1"/>
    <w:rsid w:val="008F3C77"/>
    <w:rsid w:val="008F40AF"/>
    <w:rsid w:val="008F4461"/>
    <w:rsid w:val="008F47F6"/>
    <w:rsid w:val="008F4969"/>
    <w:rsid w:val="008F57AE"/>
    <w:rsid w:val="008F5C6A"/>
    <w:rsid w:val="008F5E1A"/>
    <w:rsid w:val="008F6030"/>
    <w:rsid w:val="008F667A"/>
    <w:rsid w:val="008F6907"/>
    <w:rsid w:val="008F6C2B"/>
    <w:rsid w:val="008F70FA"/>
    <w:rsid w:val="008F759B"/>
    <w:rsid w:val="008F78FA"/>
    <w:rsid w:val="008F79CA"/>
    <w:rsid w:val="008F7D32"/>
    <w:rsid w:val="00900121"/>
    <w:rsid w:val="009006B6"/>
    <w:rsid w:val="00900AB8"/>
    <w:rsid w:val="009017F1"/>
    <w:rsid w:val="009019EF"/>
    <w:rsid w:val="00902221"/>
    <w:rsid w:val="0090222E"/>
    <w:rsid w:val="0090286C"/>
    <w:rsid w:val="00902F2B"/>
    <w:rsid w:val="009033C0"/>
    <w:rsid w:val="00903F3B"/>
    <w:rsid w:val="00903FD3"/>
    <w:rsid w:val="00904AFE"/>
    <w:rsid w:val="00904DD0"/>
    <w:rsid w:val="00905163"/>
    <w:rsid w:val="00905B86"/>
    <w:rsid w:val="009071C3"/>
    <w:rsid w:val="00907B3B"/>
    <w:rsid w:val="00910031"/>
    <w:rsid w:val="00910716"/>
    <w:rsid w:val="0091099E"/>
    <w:rsid w:val="009110AD"/>
    <w:rsid w:val="009110B5"/>
    <w:rsid w:val="00912261"/>
    <w:rsid w:val="0091271B"/>
    <w:rsid w:val="00912C90"/>
    <w:rsid w:val="0091370B"/>
    <w:rsid w:val="009141CA"/>
    <w:rsid w:val="00914399"/>
    <w:rsid w:val="009143C3"/>
    <w:rsid w:val="00914420"/>
    <w:rsid w:val="00914541"/>
    <w:rsid w:val="00914B56"/>
    <w:rsid w:val="009154B7"/>
    <w:rsid w:val="00915997"/>
    <w:rsid w:val="00915B4B"/>
    <w:rsid w:val="00915BA0"/>
    <w:rsid w:val="00915C72"/>
    <w:rsid w:val="00916599"/>
    <w:rsid w:val="00916C1F"/>
    <w:rsid w:val="00916D28"/>
    <w:rsid w:val="00917464"/>
    <w:rsid w:val="0092030A"/>
    <w:rsid w:val="00920590"/>
    <w:rsid w:val="00920C8C"/>
    <w:rsid w:val="00920F37"/>
    <w:rsid w:val="009210C3"/>
    <w:rsid w:val="009211BB"/>
    <w:rsid w:val="009214DB"/>
    <w:rsid w:val="00921840"/>
    <w:rsid w:val="00921DFB"/>
    <w:rsid w:val="00922489"/>
    <w:rsid w:val="00922789"/>
    <w:rsid w:val="00922A5A"/>
    <w:rsid w:val="00922B51"/>
    <w:rsid w:val="00923273"/>
    <w:rsid w:val="00923C7B"/>
    <w:rsid w:val="009244D3"/>
    <w:rsid w:val="00924581"/>
    <w:rsid w:val="00924611"/>
    <w:rsid w:val="009247D6"/>
    <w:rsid w:val="00924CB0"/>
    <w:rsid w:val="0092549E"/>
    <w:rsid w:val="00925641"/>
    <w:rsid w:val="00925C22"/>
    <w:rsid w:val="00925FA8"/>
    <w:rsid w:val="00926003"/>
    <w:rsid w:val="009267D5"/>
    <w:rsid w:val="00926B35"/>
    <w:rsid w:val="00926D07"/>
    <w:rsid w:val="00926D79"/>
    <w:rsid w:val="00927178"/>
    <w:rsid w:val="0092762C"/>
    <w:rsid w:val="00927E28"/>
    <w:rsid w:val="009313CD"/>
    <w:rsid w:val="009313D8"/>
    <w:rsid w:val="00931432"/>
    <w:rsid w:val="009315D7"/>
    <w:rsid w:val="00931CCC"/>
    <w:rsid w:val="00931D1A"/>
    <w:rsid w:val="00932011"/>
    <w:rsid w:val="0093247F"/>
    <w:rsid w:val="00932B5D"/>
    <w:rsid w:val="00932C22"/>
    <w:rsid w:val="00932C3A"/>
    <w:rsid w:val="009334C9"/>
    <w:rsid w:val="00933BC4"/>
    <w:rsid w:val="009344A5"/>
    <w:rsid w:val="00934620"/>
    <w:rsid w:val="00934BD6"/>
    <w:rsid w:val="00934C9F"/>
    <w:rsid w:val="00934EC6"/>
    <w:rsid w:val="00934F25"/>
    <w:rsid w:val="00934FF9"/>
    <w:rsid w:val="00935404"/>
    <w:rsid w:val="009355CE"/>
    <w:rsid w:val="00935655"/>
    <w:rsid w:val="009358EE"/>
    <w:rsid w:val="00935C1A"/>
    <w:rsid w:val="0093669E"/>
    <w:rsid w:val="00936DB4"/>
    <w:rsid w:val="00937F9B"/>
    <w:rsid w:val="00937FE2"/>
    <w:rsid w:val="009402EA"/>
    <w:rsid w:val="00940C33"/>
    <w:rsid w:val="00941235"/>
    <w:rsid w:val="00941435"/>
    <w:rsid w:val="00941717"/>
    <w:rsid w:val="00941B3E"/>
    <w:rsid w:val="00941C97"/>
    <w:rsid w:val="009421F4"/>
    <w:rsid w:val="00942587"/>
    <w:rsid w:val="009427FB"/>
    <w:rsid w:val="00942E20"/>
    <w:rsid w:val="0094367F"/>
    <w:rsid w:val="009438AC"/>
    <w:rsid w:val="00943D2A"/>
    <w:rsid w:val="00943EE3"/>
    <w:rsid w:val="009441FE"/>
    <w:rsid w:val="009445F3"/>
    <w:rsid w:val="00944920"/>
    <w:rsid w:val="00944D60"/>
    <w:rsid w:val="00944FBB"/>
    <w:rsid w:val="00945B17"/>
    <w:rsid w:val="00946230"/>
    <w:rsid w:val="00946335"/>
    <w:rsid w:val="00946AD4"/>
    <w:rsid w:val="00946DDD"/>
    <w:rsid w:val="009477CF"/>
    <w:rsid w:val="00947AB6"/>
    <w:rsid w:val="00947B6C"/>
    <w:rsid w:val="00947BE2"/>
    <w:rsid w:val="009504B5"/>
    <w:rsid w:val="009506C1"/>
    <w:rsid w:val="0095081B"/>
    <w:rsid w:val="00950CA6"/>
    <w:rsid w:val="00950CFE"/>
    <w:rsid w:val="00951244"/>
    <w:rsid w:val="009514C8"/>
    <w:rsid w:val="0095162C"/>
    <w:rsid w:val="0095174F"/>
    <w:rsid w:val="00951B3B"/>
    <w:rsid w:val="00951D83"/>
    <w:rsid w:val="00951E98"/>
    <w:rsid w:val="009520D3"/>
    <w:rsid w:val="009522CF"/>
    <w:rsid w:val="00952A90"/>
    <w:rsid w:val="00952D13"/>
    <w:rsid w:val="00953240"/>
    <w:rsid w:val="00953561"/>
    <w:rsid w:val="0095377A"/>
    <w:rsid w:val="00953AAA"/>
    <w:rsid w:val="00953CC1"/>
    <w:rsid w:val="00954609"/>
    <w:rsid w:val="0095499C"/>
    <w:rsid w:val="00954E31"/>
    <w:rsid w:val="0095502D"/>
    <w:rsid w:val="00955103"/>
    <w:rsid w:val="0095520D"/>
    <w:rsid w:val="0095543E"/>
    <w:rsid w:val="009556A2"/>
    <w:rsid w:val="0095608F"/>
    <w:rsid w:val="009566AD"/>
    <w:rsid w:val="00957288"/>
    <w:rsid w:val="009578D5"/>
    <w:rsid w:val="00957DBD"/>
    <w:rsid w:val="00957E04"/>
    <w:rsid w:val="009605F7"/>
    <w:rsid w:val="0096088F"/>
    <w:rsid w:val="00960B43"/>
    <w:rsid w:val="00960EAE"/>
    <w:rsid w:val="0096100D"/>
    <w:rsid w:val="00962214"/>
    <w:rsid w:val="009622A4"/>
    <w:rsid w:val="00963109"/>
    <w:rsid w:val="009631FB"/>
    <w:rsid w:val="009632E8"/>
    <w:rsid w:val="009640B3"/>
    <w:rsid w:val="009643A6"/>
    <w:rsid w:val="00964828"/>
    <w:rsid w:val="00964C74"/>
    <w:rsid w:val="009657DD"/>
    <w:rsid w:val="00965D4F"/>
    <w:rsid w:val="009666FD"/>
    <w:rsid w:val="00966FFF"/>
    <w:rsid w:val="00967146"/>
    <w:rsid w:val="00967422"/>
    <w:rsid w:val="009674F0"/>
    <w:rsid w:val="00967A3A"/>
    <w:rsid w:val="00967DA1"/>
    <w:rsid w:val="0097077E"/>
    <w:rsid w:val="009708C1"/>
    <w:rsid w:val="00970A0A"/>
    <w:rsid w:val="00970C25"/>
    <w:rsid w:val="00970F98"/>
    <w:rsid w:val="0097108D"/>
    <w:rsid w:val="009711CA"/>
    <w:rsid w:val="0097145C"/>
    <w:rsid w:val="0097160F"/>
    <w:rsid w:val="0097172E"/>
    <w:rsid w:val="00971A7E"/>
    <w:rsid w:val="00972120"/>
    <w:rsid w:val="0097222C"/>
    <w:rsid w:val="0097234B"/>
    <w:rsid w:val="00972614"/>
    <w:rsid w:val="00972833"/>
    <w:rsid w:val="00972965"/>
    <w:rsid w:val="00973230"/>
    <w:rsid w:val="00973345"/>
    <w:rsid w:val="00973648"/>
    <w:rsid w:val="0097381E"/>
    <w:rsid w:val="00973BA4"/>
    <w:rsid w:val="00973D5A"/>
    <w:rsid w:val="00973DF9"/>
    <w:rsid w:val="00974147"/>
    <w:rsid w:val="00974308"/>
    <w:rsid w:val="00974E11"/>
    <w:rsid w:val="0097533F"/>
    <w:rsid w:val="009757C8"/>
    <w:rsid w:val="00975CCF"/>
    <w:rsid w:val="00976E76"/>
    <w:rsid w:val="009771F8"/>
    <w:rsid w:val="009773D5"/>
    <w:rsid w:val="009809CC"/>
    <w:rsid w:val="00980C9C"/>
    <w:rsid w:val="00981076"/>
    <w:rsid w:val="009811FF"/>
    <w:rsid w:val="00981449"/>
    <w:rsid w:val="009816BF"/>
    <w:rsid w:val="00981983"/>
    <w:rsid w:val="00981D38"/>
    <w:rsid w:val="00982D20"/>
    <w:rsid w:val="00982EE2"/>
    <w:rsid w:val="009836B1"/>
    <w:rsid w:val="00984039"/>
    <w:rsid w:val="00984286"/>
    <w:rsid w:val="00984606"/>
    <w:rsid w:val="00984A43"/>
    <w:rsid w:val="00984A96"/>
    <w:rsid w:val="00984CC8"/>
    <w:rsid w:val="00984DE3"/>
    <w:rsid w:val="00984FC3"/>
    <w:rsid w:val="009855B3"/>
    <w:rsid w:val="009855C2"/>
    <w:rsid w:val="009856A1"/>
    <w:rsid w:val="00985C82"/>
    <w:rsid w:val="00985CF5"/>
    <w:rsid w:val="00985D47"/>
    <w:rsid w:val="0098615F"/>
    <w:rsid w:val="009863F6"/>
    <w:rsid w:val="00986682"/>
    <w:rsid w:val="00986685"/>
    <w:rsid w:val="00986709"/>
    <w:rsid w:val="00986BF5"/>
    <w:rsid w:val="00986E44"/>
    <w:rsid w:val="00987550"/>
    <w:rsid w:val="00987816"/>
    <w:rsid w:val="00987DB1"/>
    <w:rsid w:val="0099027B"/>
    <w:rsid w:val="00990683"/>
    <w:rsid w:val="00990691"/>
    <w:rsid w:val="009908E4"/>
    <w:rsid w:val="0099106D"/>
    <w:rsid w:val="0099109B"/>
    <w:rsid w:val="00991F59"/>
    <w:rsid w:val="00992231"/>
    <w:rsid w:val="0099223B"/>
    <w:rsid w:val="00992A00"/>
    <w:rsid w:val="009933B6"/>
    <w:rsid w:val="00993DBB"/>
    <w:rsid w:val="00993FDE"/>
    <w:rsid w:val="009943FB"/>
    <w:rsid w:val="0099446E"/>
    <w:rsid w:val="0099493D"/>
    <w:rsid w:val="00994C58"/>
    <w:rsid w:val="00994E74"/>
    <w:rsid w:val="00994F19"/>
    <w:rsid w:val="00995448"/>
    <w:rsid w:val="009954A5"/>
    <w:rsid w:val="0099586A"/>
    <w:rsid w:val="009959A5"/>
    <w:rsid w:val="00995ED2"/>
    <w:rsid w:val="00996BD5"/>
    <w:rsid w:val="00997133"/>
    <w:rsid w:val="009972E1"/>
    <w:rsid w:val="009974DF"/>
    <w:rsid w:val="00997D21"/>
    <w:rsid w:val="009A0288"/>
    <w:rsid w:val="009A0619"/>
    <w:rsid w:val="009A133B"/>
    <w:rsid w:val="009A1DF0"/>
    <w:rsid w:val="009A2327"/>
    <w:rsid w:val="009A2778"/>
    <w:rsid w:val="009A356F"/>
    <w:rsid w:val="009A3669"/>
    <w:rsid w:val="009A3C3A"/>
    <w:rsid w:val="009A3CA5"/>
    <w:rsid w:val="009A3ED4"/>
    <w:rsid w:val="009A441D"/>
    <w:rsid w:val="009A4678"/>
    <w:rsid w:val="009A46C2"/>
    <w:rsid w:val="009A484D"/>
    <w:rsid w:val="009A4911"/>
    <w:rsid w:val="009A53DF"/>
    <w:rsid w:val="009A57FC"/>
    <w:rsid w:val="009A58DB"/>
    <w:rsid w:val="009A59D2"/>
    <w:rsid w:val="009A610F"/>
    <w:rsid w:val="009A66F8"/>
    <w:rsid w:val="009A69B4"/>
    <w:rsid w:val="009A6BDC"/>
    <w:rsid w:val="009A6E14"/>
    <w:rsid w:val="009A72DF"/>
    <w:rsid w:val="009A7CBD"/>
    <w:rsid w:val="009B0808"/>
    <w:rsid w:val="009B091B"/>
    <w:rsid w:val="009B0959"/>
    <w:rsid w:val="009B1309"/>
    <w:rsid w:val="009B1478"/>
    <w:rsid w:val="009B1A96"/>
    <w:rsid w:val="009B2409"/>
    <w:rsid w:val="009B274D"/>
    <w:rsid w:val="009B28D4"/>
    <w:rsid w:val="009B29DF"/>
    <w:rsid w:val="009B2A6A"/>
    <w:rsid w:val="009B2F7E"/>
    <w:rsid w:val="009B2FA3"/>
    <w:rsid w:val="009B3084"/>
    <w:rsid w:val="009B3841"/>
    <w:rsid w:val="009B40FB"/>
    <w:rsid w:val="009B411B"/>
    <w:rsid w:val="009B43AD"/>
    <w:rsid w:val="009B46C2"/>
    <w:rsid w:val="009B4789"/>
    <w:rsid w:val="009B4A7C"/>
    <w:rsid w:val="009B4CC2"/>
    <w:rsid w:val="009B4FD9"/>
    <w:rsid w:val="009B52DC"/>
    <w:rsid w:val="009B540C"/>
    <w:rsid w:val="009B54A5"/>
    <w:rsid w:val="009B5E92"/>
    <w:rsid w:val="009B629E"/>
    <w:rsid w:val="009B62F2"/>
    <w:rsid w:val="009B6559"/>
    <w:rsid w:val="009B66CC"/>
    <w:rsid w:val="009B6C63"/>
    <w:rsid w:val="009B6EBC"/>
    <w:rsid w:val="009B70CD"/>
    <w:rsid w:val="009B74C5"/>
    <w:rsid w:val="009B76D2"/>
    <w:rsid w:val="009B7B2A"/>
    <w:rsid w:val="009B7DD9"/>
    <w:rsid w:val="009C01A5"/>
    <w:rsid w:val="009C0C59"/>
    <w:rsid w:val="009C0E69"/>
    <w:rsid w:val="009C11D9"/>
    <w:rsid w:val="009C1629"/>
    <w:rsid w:val="009C1A82"/>
    <w:rsid w:val="009C1B17"/>
    <w:rsid w:val="009C1C8F"/>
    <w:rsid w:val="009C1FC6"/>
    <w:rsid w:val="009C26A5"/>
    <w:rsid w:val="009C2BB4"/>
    <w:rsid w:val="009C30EE"/>
    <w:rsid w:val="009C38EE"/>
    <w:rsid w:val="009C3D4F"/>
    <w:rsid w:val="009C4001"/>
    <w:rsid w:val="009C4073"/>
    <w:rsid w:val="009C4662"/>
    <w:rsid w:val="009C5071"/>
    <w:rsid w:val="009C51D9"/>
    <w:rsid w:val="009C520E"/>
    <w:rsid w:val="009C55C7"/>
    <w:rsid w:val="009C58C8"/>
    <w:rsid w:val="009C5B39"/>
    <w:rsid w:val="009C5F5C"/>
    <w:rsid w:val="009C60A8"/>
    <w:rsid w:val="009C6104"/>
    <w:rsid w:val="009C6466"/>
    <w:rsid w:val="009C6863"/>
    <w:rsid w:val="009C69A2"/>
    <w:rsid w:val="009C6BE0"/>
    <w:rsid w:val="009C7222"/>
    <w:rsid w:val="009C74D8"/>
    <w:rsid w:val="009C756E"/>
    <w:rsid w:val="009C75B4"/>
    <w:rsid w:val="009C768C"/>
    <w:rsid w:val="009C7BD9"/>
    <w:rsid w:val="009C7D75"/>
    <w:rsid w:val="009D00BC"/>
    <w:rsid w:val="009D026D"/>
    <w:rsid w:val="009D0546"/>
    <w:rsid w:val="009D0CB1"/>
    <w:rsid w:val="009D0EB5"/>
    <w:rsid w:val="009D12B1"/>
    <w:rsid w:val="009D13D4"/>
    <w:rsid w:val="009D154F"/>
    <w:rsid w:val="009D18D1"/>
    <w:rsid w:val="009D19A3"/>
    <w:rsid w:val="009D1AC0"/>
    <w:rsid w:val="009D2440"/>
    <w:rsid w:val="009D2739"/>
    <w:rsid w:val="009D2741"/>
    <w:rsid w:val="009D2AF9"/>
    <w:rsid w:val="009D2F65"/>
    <w:rsid w:val="009D38B7"/>
    <w:rsid w:val="009D3A0B"/>
    <w:rsid w:val="009D3D32"/>
    <w:rsid w:val="009D3D95"/>
    <w:rsid w:val="009D3ED7"/>
    <w:rsid w:val="009D40A5"/>
    <w:rsid w:val="009D40F3"/>
    <w:rsid w:val="009D42CC"/>
    <w:rsid w:val="009D4780"/>
    <w:rsid w:val="009D47A3"/>
    <w:rsid w:val="009D4A99"/>
    <w:rsid w:val="009D4B38"/>
    <w:rsid w:val="009D53AA"/>
    <w:rsid w:val="009D5824"/>
    <w:rsid w:val="009D5BA4"/>
    <w:rsid w:val="009D5CC4"/>
    <w:rsid w:val="009D5DDA"/>
    <w:rsid w:val="009D6C61"/>
    <w:rsid w:val="009D71A0"/>
    <w:rsid w:val="009D73DE"/>
    <w:rsid w:val="009D7A15"/>
    <w:rsid w:val="009D7C6F"/>
    <w:rsid w:val="009D7EE3"/>
    <w:rsid w:val="009E0C59"/>
    <w:rsid w:val="009E0D0C"/>
    <w:rsid w:val="009E12C6"/>
    <w:rsid w:val="009E1633"/>
    <w:rsid w:val="009E1688"/>
    <w:rsid w:val="009E1C37"/>
    <w:rsid w:val="009E23C4"/>
    <w:rsid w:val="009E27A1"/>
    <w:rsid w:val="009E2E61"/>
    <w:rsid w:val="009E360B"/>
    <w:rsid w:val="009E3D09"/>
    <w:rsid w:val="009E3F37"/>
    <w:rsid w:val="009E4A62"/>
    <w:rsid w:val="009E4D44"/>
    <w:rsid w:val="009E4FA1"/>
    <w:rsid w:val="009E5336"/>
    <w:rsid w:val="009E5B8B"/>
    <w:rsid w:val="009E5CC7"/>
    <w:rsid w:val="009E5E97"/>
    <w:rsid w:val="009E6193"/>
    <w:rsid w:val="009E6998"/>
    <w:rsid w:val="009E6E7B"/>
    <w:rsid w:val="009E72C4"/>
    <w:rsid w:val="009E73A2"/>
    <w:rsid w:val="009E749D"/>
    <w:rsid w:val="009E7CF6"/>
    <w:rsid w:val="009E7EDE"/>
    <w:rsid w:val="009F014A"/>
    <w:rsid w:val="009F0BAE"/>
    <w:rsid w:val="009F1074"/>
    <w:rsid w:val="009F1583"/>
    <w:rsid w:val="009F180D"/>
    <w:rsid w:val="009F1BE9"/>
    <w:rsid w:val="009F1FB6"/>
    <w:rsid w:val="009F26CC"/>
    <w:rsid w:val="009F2875"/>
    <w:rsid w:val="009F2AD0"/>
    <w:rsid w:val="009F2B49"/>
    <w:rsid w:val="009F32CD"/>
    <w:rsid w:val="009F33B4"/>
    <w:rsid w:val="009F364E"/>
    <w:rsid w:val="009F373A"/>
    <w:rsid w:val="009F3808"/>
    <w:rsid w:val="009F3EB1"/>
    <w:rsid w:val="009F536C"/>
    <w:rsid w:val="009F5845"/>
    <w:rsid w:val="009F5BA1"/>
    <w:rsid w:val="009F666D"/>
    <w:rsid w:val="009F7445"/>
    <w:rsid w:val="00A00215"/>
    <w:rsid w:val="00A00373"/>
    <w:rsid w:val="00A0037E"/>
    <w:rsid w:val="00A00AB1"/>
    <w:rsid w:val="00A00EDA"/>
    <w:rsid w:val="00A00F86"/>
    <w:rsid w:val="00A012A9"/>
    <w:rsid w:val="00A01A21"/>
    <w:rsid w:val="00A022BC"/>
    <w:rsid w:val="00A02E57"/>
    <w:rsid w:val="00A0301D"/>
    <w:rsid w:val="00A033F5"/>
    <w:rsid w:val="00A03435"/>
    <w:rsid w:val="00A034CB"/>
    <w:rsid w:val="00A03571"/>
    <w:rsid w:val="00A03649"/>
    <w:rsid w:val="00A0375B"/>
    <w:rsid w:val="00A03CC7"/>
    <w:rsid w:val="00A047D8"/>
    <w:rsid w:val="00A048BC"/>
    <w:rsid w:val="00A0491F"/>
    <w:rsid w:val="00A04FA2"/>
    <w:rsid w:val="00A0536E"/>
    <w:rsid w:val="00A0570C"/>
    <w:rsid w:val="00A05F13"/>
    <w:rsid w:val="00A060EB"/>
    <w:rsid w:val="00A06364"/>
    <w:rsid w:val="00A067D9"/>
    <w:rsid w:val="00A07288"/>
    <w:rsid w:val="00A07E11"/>
    <w:rsid w:val="00A10410"/>
    <w:rsid w:val="00A105D6"/>
    <w:rsid w:val="00A10679"/>
    <w:rsid w:val="00A10B24"/>
    <w:rsid w:val="00A10CA7"/>
    <w:rsid w:val="00A11209"/>
    <w:rsid w:val="00A1159F"/>
    <w:rsid w:val="00A11F4C"/>
    <w:rsid w:val="00A12208"/>
    <w:rsid w:val="00A12856"/>
    <w:rsid w:val="00A12948"/>
    <w:rsid w:val="00A12A32"/>
    <w:rsid w:val="00A12B7D"/>
    <w:rsid w:val="00A130CD"/>
    <w:rsid w:val="00A134E4"/>
    <w:rsid w:val="00A135E6"/>
    <w:rsid w:val="00A13681"/>
    <w:rsid w:val="00A13CB6"/>
    <w:rsid w:val="00A14881"/>
    <w:rsid w:val="00A15335"/>
    <w:rsid w:val="00A1591C"/>
    <w:rsid w:val="00A16232"/>
    <w:rsid w:val="00A162CB"/>
    <w:rsid w:val="00A16418"/>
    <w:rsid w:val="00A165A3"/>
    <w:rsid w:val="00A1685B"/>
    <w:rsid w:val="00A17165"/>
    <w:rsid w:val="00A177A2"/>
    <w:rsid w:val="00A17A6E"/>
    <w:rsid w:val="00A2033E"/>
    <w:rsid w:val="00A20C20"/>
    <w:rsid w:val="00A2111E"/>
    <w:rsid w:val="00A211AB"/>
    <w:rsid w:val="00A217C4"/>
    <w:rsid w:val="00A21EAF"/>
    <w:rsid w:val="00A222FA"/>
    <w:rsid w:val="00A2233A"/>
    <w:rsid w:val="00A2297D"/>
    <w:rsid w:val="00A22FAD"/>
    <w:rsid w:val="00A23136"/>
    <w:rsid w:val="00A23429"/>
    <w:rsid w:val="00A238EE"/>
    <w:rsid w:val="00A23933"/>
    <w:rsid w:val="00A23C96"/>
    <w:rsid w:val="00A23F7A"/>
    <w:rsid w:val="00A24043"/>
    <w:rsid w:val="00A242C8"/>
    <w:rsid w:val="00A24866"/>
    <w:rsid w:val="00A24A39"/>
    <w:rsid w:val="00A25068"/>
    <w:rsid w:val="00A25405"/>
    <w:rsid w:val="00A257E7"/>
    <w:rsid w:val="00A2641C"/>
    <w:rsid w:val="00A271FC"/>
    <w:rsid w:val="00A276AC"/>
    <w:rsid w:val="00A30440"/>
    <w:rsid w:val="00A30ACE"/>
    <w:rsid w:val="00A30BD3"/>
    <w:rsid w:val="00A30F22"/>
    <w:rsid w:val="00A3154E"/>
    <w:rsid w:val="00A316B1"/>
    <w:rsid w:val="00A31737"/>
    <w:rsid w:val="00A31F85"/>
    <w:rsid w:val="00A31F9D"/>
    <w:rsid w:val="00A3215F"/>
    <w:rsid w:val="00A327D2"/>
    <w:rsid w:val="00A3289F"/>
    <w:rsid w:val="00A334F8"/>
    <w:rsid w:val="00A337F3"/>
    <w:rsid w:val="00A33DE5"/>
    <w:rsid w:val="00A341BC"/>
    <w:rsid w:val="00A34211"/>
    <w:rsid w:val="00A34592"/>
    <w:rsid w:val="00A347D1"/>
    <w:rsid w:val="00A349B0"/>
    <w:rsid w:val="00A349EC"/>
    <w:rsid w:val="00A34A74"/>
    <w:rsid w:val="00A34E55"/>
    <w:rsid w:val="00A3511F"/>
    <w:rsid w:val="00A3563C"/>
    <w:rsid w:val="00A35696"/>
    <w:rsid w:val="00A3574B"/>
    <w:rsid w:val="00A357D0"/>
    <w:rsid w:val="00A35A02"/>
    <w:rsid w:val="00A35E72"/>
    <w:rsid w:val="00A36125"/>
    <w:rsid w:val="00A36183"/>
    <w:rsid w:val="00A364AC"/>
    <w:rsid w:val="00A36569"/>
    <w:rsid w:val="00A369B8"/>
    <w:rsid w:val="00A36A04"/>
    <w:rsid w:val="00A373B1"/>
    <w:rsid w:val="00A41316"/>
    <w:rsid w:val="00A41434"/>
    <w:rsid w:val="00A41E51"/>
    <w:rsid w:val="00A41ECE"/>
    <w:rsid w:val="00A420A3"/>
    <w:rsid w:val="00A421F6"/>
    <w:rsid w:val="00A42355"/>
    <w:rsid w:val="00A4274D"/>
    <w:rsid w:val="00A42EAD"/>
    <w:rsid w:val="00A4305C"/>
    <w:rsid w:val="00A431D8"/>
    <w:rsid w:val="00A43703"/>
    <w:rsid w:val="00A43E23"/>
    <w:rsid w:val="00A43F67"/>
    <w:rsid w:val="00A43F71"/>
    <w:rsid w:val="00A44A84"/>
    <w:rsid w:val="00A44C64"/>
    <w:rsid w:val="00A44D2E"/>
    <w:rsid w:val="00A452F9"/>
    <w:rsid w:val="00A45684"/>
    <w:rsid w:val="00A4574F"/>
    <w:rsid w:val="00A45973"/>
    <w:rsid w:val="00A45AF5"/>
    <w:rsid w:val="00A45C41"/>
    <w:rsid w:val="00A46377"/>
    <w:rsid w:val="00A46586"/>
    <w:rsid w:val="00A46994"/>
    <w:rsid w:val="00A46AE2"/>
    <w:rsid w:val="00A46C89"/>
    <w:rsid w:val="00A47551"/>
    <w:rsid w:val="00A47B5A"/>
    <w:rsid w:val="00A47BB8"/>
    <w:rsid w:val="00A503EA"/>
    <w:rsid w:val="00A506E2"/>
    <w:rsid w:val="00A50880"/>
    <w:rsid w:val="00A5092B"/>
    <w:rsid w:val="00A50EEB"/>
    <w:rsid w:val="00A5109C"/>
    <w:rsid w:val="00A514D1"/>
    <w:rsid w:val="00A5172C"/>
    <w:rsid w:val="00A51A1E"/>
    <w:rsid w:val="00A51E43"/>
    <w:rsid w:val="00A54035"/>
    <w:rsid w:val="00A5416A"/>
    <w:rsid w:val="00A54D6C"/>
    <w:rsid w:val="00A550AD"/>
    <w:rsid w:val="00A5555C"/>
    <w:rsid w:val="00A55E5C"/>
    <w:rsid w:val="00A56155"/>
    <w:rsid w:val="00A566DA"/>
    <w:rsid w:val="00A56B57"/>
    <w:rsid w:val="00A56CDB"/>
    <w:rsid w:val="00A56CE0"/>
    <w:rsid w:val="00A5711D"/>
    <w:rsid w:val="00A57491"/>
    <w:rsid w:val="00A576F9"/>
    <w:rsid w:val="00A577AA"/>
    <w:rsid w:val="00A57E69"/>
    <w:rsid w:val="00A601FC"/>
    <w:rsid w:val="00A60475"/>
    <w:rsid w:val="00A608CF"/>
    <w:rsid w:val="00A609D9"/>
    <w:rsid w:val="00A60B62"/>
    <w:rsid w:val="00A60DBE"/>
    <w:rsid w:val="00A60F45"/>
    <w:rsid w:val="00A61572"/>
    <w:rsid w:val="00A62109"/>
    <w:rsid w:val="00A6256C"/>
    <w:rsid w:val="00A62AB0"/>
    <w:rsid w:val="00A62DD1"/>
    <w:rsid w:val="00A62F83"/>
    <w:rsid w:val="00A63088"/>
    <w:rsid w:val="00A6310D"/>
    <w:rsid w:val="00A632D7"/>
    <w:rsid w:val="00A63B06"/>
    <w:rsid w:val="00A63E80"/>
    <w:rsid w:val="00A63F76"/>
    <w:rsid w:val="00A64209"/>
    <w:rsid w:val="00A64426"/>
    <w:rsid w:val="00A647DD"/>
    <w:rsid w:val="00A649D4"/>
    <w:rsid w:val="00A6576A"/>
    <w:rsid w:val="00A65874"/>
    <w:rsid w:val="00A65EB7"/>
    <w:rsid w:val="00A65ED0"/>
    <w:rsid w:val="00A667AD"/>
    <w:rsid w:val="00A66BCD"/>
    <w:rsid w:val="00A6729D"/>
    <w:rsid w:val="00A67462"/>
    <w:rsid w:val="00A67B51"/>
    <w:rsid w:val="00A702A1"/>
    <w:rsid w:val="00A705F9"/>
    <w:rsid w:val="00A70C61"/>
    <w:rsid w:val="00A70D02"/>
    <w:rsid w:val="00A70FAA"/>
    <w:rsid w:val="00A71992"/>
    <w:rsid w:val="00A71C0C"/>
    <w:rsid w:val="00A71DDD"/>
    <w:rsid w:val="00A72137"/>
    <w:rsid w:val="00A7240E"/>
    <w:rsid w:val="00A726B6"/>
    <w:rsid w:val="00A7284D"/>
    <w:rsid w:val="00A72A35"/>
    <w:rsid w:val="00A72E19"/>
    <w:rsid w:val="00A73050"/>
    <w:rsid w:val="00A730D5"/>
    <w:rsid w:val="00A73446"/>
    <w:rsid w:val="00A73AAC"/>
    <w:rsid w:val="00A73B9D"/>
    <w:rsid w:val="00A742BB"/>
    <w:rsid w:val="00A742C2"/>
    <w:rsid w:val="00A7450E"/>
    <w:rsid w:val="00A7470C"/>
    <w:rsid w:val="00A74772"/>
    <w:rsid w:val="00A74C59"/>
    <w:rsid w:val="00A7520D"/>
    <w:rsid w:val="00A7545C"/>
    <w:rsid w:val="00A754B5"/>
    <w:rsid w:val="00A76939"/>
    <w:rsid w:val="00A76CA1"/>
    <w:rsid w:val="00A77A53"/>
    <w:rsid w:val="00A77BF7"/>
    <w:rsid w:val="00A81B11"/>
    <w:rsid w:val="00A82347"/>
    <w:rsid w:val="00A82500"/>
    <w:rsid w:val="00A82D8A"/>
    <w:rsid w:val="00A83A0D"/>
    <w:rsid w:val="00A83E68"/>
    <w:rsid w:val="00A83E71"/>
    <w:rsid w:val="00A8413B"/>
    <w:rsid w:val="00A844E6"/>
    <w:rsid w:val="00A844F9"/>
    <w:rsid w:val="00A848EB"/>
    <w:rsid w:val="00A849A7"/>
    <w:rsid w:val="00A850EB"/>
    <w:rsid w:val="00A85483"/>
    <w:rsid w:val="00A85CA6"/>
    <w:rsid w:val="00A85CB0"/>
    <w:rsid w:val="00A85E97"/>
    <w:rsid w:val="00A85EE3"/>
    <w:rsid w:val="00A86128"/>
    <w:rsid w:val="00A863DD"/>
    <w:rsid w:val="00A86EA5"/>
    <w:rsid w:val="00A86F7B"/>
    <w:rsid w:val="00A87119"/>
    <w:rsid w:val="00A871B5"/>
    <w:rsid w:val="00A87263"/>
    <w:rsid w:val="00A87840"/>
    <w:rsid w:val="00A8788D"/>
    <w:rsid w:val="00A87A06"/>
    <w:rsid w:val="00A9003B"/>
    <w:rsid w:val="00A90660"/>
    <w:rsid w:val="00A90893"/>
    <w:rsid w:val="00A9092D"/>
    <w:rsid w:val="00A90AE5"/>
    <w:rsid w:val="00A90B0C"/>
    <w:rsid w:val="00A90C49"/>
    <w:rsid w:val="00A90E32"/>
    <w:rsid w:val="00A914A8"/>
    <w:rsid w:val="00A916E8"/>
    <w:rsid w:val="00A91825"/>
    <w:rsid w:val="00A91A99"/>
    <w:rsid w:val="00A92098"/>
    <w:rsid w:val="00A92175"/>
    <w:rsid w:val="00A92577"/>
    <w:rsid w:val="00A927C9"/>
    <w:rsid w:val="00A928AD"/>
    <w:rsid w:val="00A9372E"/>
    <w:rsid w:val="00A9416B"/>
    <w:rsid w:val="00A9507B"/>
    <w:rsid w:val="00A956AD"/>
    <w:rsid w:val="00A95E15"/>
    <w:rsid w:val="00A95EFB"/>
    <w:rsid w:val="00A95F8C"/>
    <w:rsid w:val="00A966FD"/>
    <w:rsid w:val="00A96BD9"/>
    <w:rsid w:val="00A96CB8"/>
    <w:rsid w:val="00A96F4C"/>
    <w:rsid w:val="00A97265"/>
    <w:rsid w:val="00A976CE"/>
    <w:rsid w:val="00A97C64"/>
    <w:rsid w:val="00A97CC3"/>
    <w:rsid w:val="00A97F2D"/>
    <w:rsid w:val="00AA053C"/>
    <w:rsid w:val="00AA0DF0"/>
    <w:rsid w:val="00AA10FA"/>
    <w:rsid w:val="00AA11F8"/>
    <w:rsid w:val="00AA1711"/>
    <w:rsid w:val="00AA22FA"/>
    <w:rsid w:val="00AA232E"/>
    <w:rsid w:val="00AA236D"/>
    <w:rsid w:val="00AA279B"/>
    <w:rsid w:val="00AA2F90"/>
    <w:rsid w:val="00AA2FB3"/>
    <w:rsid w:val="00AA31E2"/>
    <w:rsid w:val="00AA3215"/>
    <w:rsid w:val="00AA47D0"/>
    <w:rsid w:val="00AA4B16"/>
    <w:rsid w:val="00AA4D04"/>
    <w:rsid w:val="00AA4EAE"/>
    <w:rsid w:val="00AA5076"/>
    <w:rsid w:val="00AA5420"/>
    <w:rsid w:val="00AA5BFC"/>
    <w:rsid w:val="00AA5E6C"/>
    <w:rsid w:val="00AA621F"/>
    <w:rsid w:val="00AA62C0"/>
    <w:rsid w:val="00AA69CB"/>
    <w:rsid w:val="00AA6AEE"/>
    <w:rsid w:val="00AA726C"/>
    <w:rsid w:val="00AA7352"/>
    <w:rsid w:val="00AA73EA"/>
    <w:rsid w:val="00AA7435"/>
    <w:rsid w:val="00AA78F7"/>
    <w:rsid w:val="00AA7E45"/>
    <w:rsid w:val="00AB096B"/>
    <w:rsid w:val="00AB0C52"/>
    <w:rsid w:val="00AB0C72"/>
    <w:rsid w:val="00AB0D99"/>
    <w:rsid w:val="00AB1024"/>
    <w:rsid w:val="00AB14A8"/>
    <w:rsid w:val="00AB1ABE"/>
    <w:rsid w:val="00AB1E97"/>
    <w:rsid w:val="00AB201F"/>
    <w:rsid w:val="00AB27D2"/>
    <w:rsid w:val="00AB27D6"/>
    <w:rsid w:val="00AB29A2"/>
    <w:rsid w:val="00AB2C48"/>
    <w:rsid w:val="00AB2E1E"/>
    <w:rsid w:val="00AB2E9B"/>
    <w:rsid w:val="00AB34D0"/>
    <w:rsid w:val="00AB3AF3"/>
    <w:rsid w:val="00AB403A"/>
    <w:rsid w:val="00AB4786"/>
    <w:rsid w:val="00AB4DE5"/>
    <w:rsid w:val="00AB5119"/>
    <w:rsid w:val="00AB535F"/>
    <w:rsid w:val="00AB54D7"/>
    <w:rsid w:val="00AB578C"/>
    <w:rsid w:val="00AB5B06"/>
    <w:rsid w:val="00AB5EF2"/>
    <w:rsid w:val="00AB5F1D"/>
    <w:rsid w:val="00AB645B"/>
    <w:rsid w:val="00AB6596"/>
    <w:rsid w:val="00AB672B"/>
    <w:rsid w:val="00AB6865"/>
    <w:rsid w:val="00AB6C80"/>
    <w:rsid w:val="00AB6FE9"/>
    <w:rsid w:val="00AB71E6"/>
    <w:rsid w:val="00AB733A"/>
    <w:rsid w:val="00AB735D"/>
    <w:rsid w:val="00AB74D9"/>
    <w:rsid w:val="00AB792D"/>
    <w:rsid w:val="00AB7B98"/>
    <w:rsid w:val="00AB7C2D"/>
    <w:rsid w:val="00AC0089"/>
    <w:rsid w:val="00AC027D"/>
    <w:rsid w:val="00AC0AD0"/>
    <w:rsid w:val="00AC0CFF"/>
    <w:rsid w:val="00AC0DF2"/>
    <w:rsid w:val="00AC1243"/>
    <w:rsid w:val="00AC1C5D"/>
    <w:rsid w:val="00AC1EDC"/>
    <w:rsid w:val="00AC1FD8"/>
    <w:rsid w:val="00AC25D4"/>
    <w:rsid w:val="00AC28A5"/>
    <w:rsid w:val="00AC33D4"/>
    <w:rsid w:val="00AC3D6C"/>
    <w:rsid w:val="00AC3F9E"/>
    <w:rsid w:val="00AC40D8"/>
    <w:rsid w:val="00AC5208"/>
    <w:rsid w:val="00AC532A"/>
    <w:rsid w:val="00AC53E9"/>
    <w:rsid w:val="00AC541E"/>
    <w:rsid w:val="00AC57C1"/>
    <w:rsid w:val="00AC5844"/>
    <w:rsid w:val="00AC5A6E"/>
    <w:rsid w:val="00AC5C9A"/>
    <w:rsid w:val="00AC5F3A"/>
    <w:rsid w:val="00AC62F3"/>
    <w:rsid w:val="00AC6302"/>
    <w:rsid w:val="00AC6454"/>
    <w:rsid w:val="00AC6A79"/>
    <w:rsid w:val="00AC6CB1"/>
    <w:rsid w:val="00AC6E91"/>
    <w:rsid w:val="00AC70FF"/>
    <w:rsid w:val="00AC7318"/>
    <w:rsid w:val="00AD02E8"/>
    <w:rsid w:val="00AD060D"/>
    <w:rsid w:val="00AD0640"/>
    <w:rsid w:val="00AD0A6D"/>
    <w:rsid w:val="00AD0EC2"/>
    <w:rsid w:val="00AD118D"/>
    <w:rsid w:val="00AD1232"/>
    <w:rsid w:val="00AD1313"/>
    <w:rsid w:val="00AD1527"/>
    <w:rsid w:val="00AD15F9"/>
    <w:rsid w:val="00AD1879"/>
    <w:rsid w:val="00AD1A26"/>
    <w:rsid w:val="00AD1E80"/>
    <w:rsid w:val="00AD2BC4"/>
    <w:rsid w:val="00AD2ECD"/>
    <w:rsid w:val="00AD2FC8"/>
    <w:rsid w:val="00AD3068"/>
    <w:rsid w:val="00AD3172"/>
    <w:rsid w:val="00AD3610"/>
    <w:rsid w:val="00AD37F7"/>
    <w:rsid w:val="00AD3805"/>
    <w:rsid w:val="00AD3D80"/>
    <w:rsid w:val="00AD4B82"/>
    <w:rsid w:val="00AD4D97"/>
    <w:rsid w:val="00AD4EA4"/>
    <w:rsid w:val="00AD5B28"/>
    <w:rsid w:val="00AD5BE2"/>
    <w:rsid w:val="00AD61D7"/>
    <w:rsid w:val="00AD62B2"/>
    <w:rsid w:val="00AD647D"/>
    <w:rsid w:val="00AD65AD"/>
    <w:rsid w:val="00AD6904"/>
    <w:rsid w:val="00AD6D59"/>
    <w:rsid w:val="00AD6DD1"/>
    <w:rsid w:val="00AD7416"/>
    <w:rsid w:val="00AD743D"/>
    <w:rsid w:val="00AD77AF"/>
    <w:rsid w:val="00AD77EC"/>
    <w:rsid w:val="00AD7A6A"/>
    <w:rsid w:val="00AD7DB4"/>
    <w:rsid w:val="00AD7E8D"/>
    <w:rsid w:val="00AE00F8"/>
    <w:rsid w:val="00AE0E2D"/>
    <w:rsid w:val="00AE0ED0"/>
    <w:rsid w:val="00AE293C"/>
    <w:rsid w:val="00AE29C3"/>
    <w:rsid w:val="00AE3109"/>
    <w:rsid w:val="00AE3187"/>
    <w:rsid w:val="00AE326F"/>
    <w:rsid w:val="00AE3693"/>
    <w:rsid w:val="00AE369F"/>
    <w:rsid w:val="00AE3B66"/>
    <w:rsid w:val="00AE3ED6"/>
    <w:rsid w:val="00AE435B"/>
    <w:rsid w:val="00AE4375"/>
    <w:rsid w:val="00AE44AC"/>
    <w:rsid w:val="00AE4B6B"/>
    <w:rsid w:val="00AE5D4F"/>
    <w:rsid w:val="00AE6097"/>
    <w:rsid w:val="00AE6198"/>
    <w:rsid w:val="00AE61A7"/>
    <w:rsid w:val="00AE62CC"/>
    <w:rsid w:val="00AE657E"/>
    <w:rsid w:val="00AE6D50"/>
    <w:rsid w:val="00AE70D6"/>
    <w:rsid w:val="00AE72FA"/>
    <w:rsid w:val="00AE76AD"/>
    <w:rsid w:val="00AE7726"/>
    <w:rsid w:val="00AE77C5"/>
    <w:rsid w:val="00AE7B1C"/>
    <w:rsid w:val="00AF01B3"/>
    <w:rsid w:val="00AF068F"/>
    <w:rsid w:val="00AF0CCD"/>
    <w:rsid w:val="00AF0DBA"/>
    <w:rsid w:val="00AF0E8A"/>
    <w:rsid w:val="00AF0F02"/>
    <w:rsid w:val="00AF12F6"/>
    <w:rsid w:val="00AF13CB"/>
    <w:rsid w:val="00AF14DD"/>
    <w:rsid w:val="00AF1981"/>
    <w:rsid w:val="00AF1B9E"/>
    <w:rsid w:val="00AF20C9"/>
    <w:rsid w:val="00AF285D"/>
    <w:rsid w:val="00AF2FEC"/>
    <w:rsid w:val="00AF3048"/>
    <w:rsid w:val="00AF3642"/>
    <w:rsid w:val="00AF368B"/>
    <w:rsid w:val="00AF3BB5"/>
    <w:rsid w:val="00AF3E45"/>
    <w:rsid w:val="00AF47F1"/>
    <w:rsid w:val="00AF49D3"/>
    <w:rsid w:val="00AF4A89"/>
    <w:rsid w:val="00AF4DFF"/>
    <w:rsid w:val="00AF4FA8"/>
    <w:rsid w:val="00AF51E9"/>
    <w:rsid w:val="00AF57D6"/>
    <w:rsid w:val="00AF5D08"/>
    <w:rsid w:val="00AF5D2F"/>
    <w:rsid w:val="00AF5DCB"/>
    <w:rsid w:val="00AF6490"/>
    <w:rsid w:val="00AF6B16"/>
    <w:rsid w:val="00AF70D9"/>
    <w:rsid w:val="00AF78B1"/>
    <w:rsid w:val="00B004CF"/>
    <w:rsid w:val="00B01092"/>
    <w:rsid w:val="00B01601"/>
    <w:rsid w:val="00B01F36"/>
    <w:rsid w:val="00B027B4"/>
    <w:rsid w:val="00B028A4"/>
    <w:rsid w:val="00B02D3F"/>
    <w:rsid w:val="00B0347C"/>
    <w:rsid w:val="00B038A6"/>
    <w:rsid w:val="00B0394E"/>
    <w:rsid w:val="00B03C6F"/>
    <w:rsid w:val="00B03DD6"/>
    <w:rsid w:val="00B04007"/>
    <w:rsid w:val="00B04132"/>
    <w:rsid w:val="00B043B0"/>
    <w:rsid w:val="00B04710"/>
    <w:rsid w:val="00B04A81"/>
    <w:rsid w:val="00B05FD1"/>
    <w:rsid w:val="00B06610"/>
    <w:rsid w:val="00B0688C"/>
    <w:rsid w:val="00B06BC6"/>
    <w:rsid w:val="00B07464"/>
    <w:rsid w:val="00B0746C"/>
    <w:rsid w:val="00B077FD"/>
    <w:rsid w:val="00B07FDF"/>
    <w:rsid w:val="00B102BD"/>
    <w:rsid w:val="00B10332"/>
    <w:rsid w:val="00B104AB"/>
    <w:rsid w:val="00B10552"/>
    <w:rsid w:val="00B108D0"/>
    <w:rsid w:val="00B1108D"/>
    <w:rsid w:val="00B111F1"/>
    <w:rsid w:val="00B11263"/>
    <w:rsid w:val="00B1150F"/>
    <w:rsid w:val="00B118BD"/>
    <w:rsid w:val="00B1217D"/>
    <w:rsid w:val="00B12241"/>
    <w:rsid w:val="00B12480"/>
    <w:rsid w:val="00B1299F"/>
    <w:rsid w:val="00B12F06"/>
    <w:rsid w:val="00B1378B"/>
    <w:rsid w:val="00B138DD"/>
    <w:rsid w:val="00B13B95"/>
    <w:rsid w:val="00B14A25"/>
    <w:rsid w:val="00B14AA0"/>
    <w:rsid w:val="00B14CB5"/>
    <w:rsid w:val="00B14DF3"/>
    <w:rsid w:val="00B14EF6"/>
    <w:rsid w:val="00B15311"/>
    <w:rsid w:val="00B154A6"/>
    <w:rsid w:val="00B157BE"/>
    <w:rsid w:val="00B15887"/>
    <w:rsid w:val="00B15CDB"/>
    <w:rsid w:val="00B15FFA"/>
    <w:rsid w:val="00B16C5B"/>
    <w:rsid w:val="00B16EBF"/>
    <w:rsid w:val="00B1749D"/>
    <w:rsid w:val="00B1777B"/>
    <w:rsid w:val="00B17CCC"/>
    <w:rsid w:val="00B2001E"/>
    <w:rsid w:val="00B20A2E"/>
    <w:rsid w:val="00B21204"/>
    <w:rsid w:val="00B214E0"/>
    <w:rsid w:val="00B2168F"/>
    <w:rsid w:val="00B21809"/>
    <w:rsid w:val="00B21EC9"/>
    <w:rsid w:val="00B2268F"/>
    <w:rsid w:val="00B22B36"/>
    <w:rsid w:val="00B23E7B"/>
    <w:rsid w:val="00B24245"/>
    <w:rsid w:val="00B24700"/>
    <w:rsid w:val="00B248D9"/>
    <w:rsid w:val="00B251FF"/>
    <w:rsid w:val="00B25236"/>
    <w:rsid w:val="00B2529C"/>
    <w:rsid w:val="00B254A1"/>
    <w:rsid w:val="00B255CD"/>
    <w:rsid w:val="00B2580E"/>
    <w:rsid w:val="00B25B0F"/>
    <w:rsid w:val="00B25BB5"/>
    <w:rsid w:val="00B25C00"/>
    <w:rsid w:val="00B25F15"/>
    <w:rsid w:val="00B260A7"/>
    <w:rsid w:val="00B261B7"/>
    <w:rsid w:val="00B2625B"/>
    <w:rsid w:val="00B267E8"/>
    <w:rsid w:val="00B26A1B"/>
    <w:rsid w:val="00B26B49"/>
    <w:rsid w:val="00B26C07"/>
    <w:rsid w:val="00B26E11"/>
    <w:rsid w:val="00B2757F"/>
    <w:rsid w:val="00B27C0F"/>
    <w:rsid w:val="00B27D06"/>
    <w:rsid w:val="00B27D88"/>
    <w:rsid w:val="00B27E2B"/>
    <w:rsid w:val="00B308BD"/>
    <w:rsid w:val="00B30BEE"/>
    <w:rsid w:val="00B310DD"/>
    <w:rsid w:val="00B31AE9"/>
    <w:rsid w:val="00B31E3D"/>
    <w:rsid w:val="00B31EA0"/>
    <w:rsid w:val="00B32540"/>
    <w:rsid w:val="00B32916"/>
    <w:rsid w:val="00B3295A"/>
    <w:rsid w:val="00B329B7"/>
    <w:rsid w:val="00B329F7"/>
    <w:rsid w:val="00B3303E"/>
    <w:rsid w:val="00B331C6"/>
    <w:rsid w:val="00B33375"/>
    <w:rsid w:val="00B33484"/>
    <w:rsid w:val="00B337A2"/>
    <w:rsid w:val="00B337E9"/>
    <w:rsid w:val="00B3395A"/>
    <w:rsid w:val="00B3403D"/>
    <w:rsid w:val="00B3465C"/>
    <w:rsid w:val="00B346A7"/>
    <w:rsid w:val="00B35242"/>
    <w:rsid w:val="00B354A0"/>
    <w:rsid w:val="00B355C3"/>
    <w:rsid w:val="00B35912"/>
    <w:rsid w:val="00B35915"/>
    <w:rsid w:val="00B3594B"/>
    <w:rsid w:val="00B35CAF"/>
    <w:rsid w:val="00B3647F"/>
    <w:rsid w:val="00B36650"/>
    <w:rsid w:val="00B367F3"/>
    <w:rsid w:val="00B372F8"/>
    <w:rsid w:val="00B37A96"/>
    <w:rsid w:val="00B37C29"/>
    <w:rsid w:val="00B401BB"/>
    <w:rsid w:val="00B406DD"/>
    <w:rsid w:val="00B40A86"/>
    <w:rsid w:val="00B4116E"/>
    <w:rsid w:val="00B41274"/>
    <w:rsid w:val="00B41605"/>
    <w:rsid w:val="00B422AD"/>
    <w:rsid w:val="00B42528"/>
    <w:rsid w:val="00B4254C"/>
    <w:rsid w:val="00B42A20"/>
    <w:rsid w:val="00B42BF3"/>
    <w:rsid w:val="00B42D21"/>
    <w:rsid w:val="00B42DC5"/>
    <w:rsid w:val="00B42F86"/>
    <w:rsid w:val="00B4328E"/>
    <w:rsid w:val="00B44318"/>
    <w:rsid w:val="00B44571"/>
    <w:rsid w:val="00B44ACE"/>
    <w:rsid w:val="00B44C19"/>
    <w:rsid w:val="00B452B7"/>
    <w:rsid w:val="00B4646F"/>
    <w:rsid w:val="00B46605"/>
    <w:rsid w:val="00B4731B"/>
    <w:rsid w:val="00B4768B"/>
    <w:rsid w:val="00B504EF"/>
    <w:rsid w:val="00B50D5C"/>
    <w:rsid w:val="00B5111F"/>
    <w:rsid w:val="00B5154B"/>
    <w:rsid w:val="00B51819"/>
    <w:rsid w:val="00B5189E"/>
    <w:rsid w:val="00B51A5A"/>
    <w:rsid w:val="00B51C14"/>
    <w:rsid w:val="00B521AF"/>
    <w:rsid w:val="00B52669"/>
    <w:rsid w:val="00B52718"/>
    <w:rsid w:val="00B528D9"/>
    <w:rsid w:val="00B52F7E"/>
    <w:rsid w:val="00B534D6"/>
    <w:rsid w:val="00B5357E"/>
    <w:rsid w:val="00B53651"/>
    <w:rsid w:val="00B53AE6"/>
    <w:rsid w:val="00B53E6F"/>
    <w:rsid w:val="00B54289"/>
    <w:rsid w:val="00B54645"/>
    <w:rsid w:val="00B54683"/>
    <w:rsid w:val="00B54956"/>
    <w:rsid w:val="00B54A54"/>
    <w:rsid w:val="00B54D4D"/>
    <w:rsid w:val="00B554BB"/>
    <w:rsid w:val="00B55CA6"/>
    <w:rsid w:val="00B55E60"/>
    <w:rsid w:val="00B5607D"/>
    <w:rsid w:val="00B56954"/>
    <w:rsid w:val="00B56F42"/>
    <w:rsid w:val="00B57173"/>
    <w:rsid w:val="00B571A7"/>
    <w:rsid w:val="00B57B26"/>
    <w:rsid w:val="00B60508"/>
    <w:rsid w:val="00B60599"/>
    <w:rsid w:val="00B607CE"/>
    <w:rsid w:val="00B60990"/>
    <w:rsid w:val="00B61238"/>
    <w:rsid w:val="00B614C1"/>
    <w:rsid w:val="00B62342"/>
    <w:rsid w:val="00B625A0"/>
    <w:rsid w:val="00B628CF"/>
    <w:rsid w:val="00B6310A"/>
    <w:rsid w:val="00B63269"/>
    <w:rsid w:val="00B632F9"/>
    <w:rsid w:val="00B63583"/>
    <w:rsid w:val="00B635D6"/>
    <w:rsid w:val="00B637F6"/>
    <w:rsid w:val="00B638D8"/>
    <w:rsid w:val="00B6448C"/>
    <w:rsid w:val="00B6471A"/>
    <w:rsid w:val="00B6497D"/>
    <w:rsid w:val="00B64A3C"/>
    <w:rsid w:val="00B64A7E"/>
    <w:rsid w:val="00B652F0"/>
    <w:rsid w:val="00B653A6"/>
    <w:rsid w:val="00B656B3"/>
    <w:rsid w:val="00B65BC3"/>
    <w:rsid w:val="00B65CE9"/>
    <w:rsid w:val="00B66387"/>
    <w:rsid w:val="00B6653C"/>
    <w:rsid w:val="00B66620"/>
    <w:rsid w:val="00B674DB"/>
    <w:rsid w:val="00B67798"/>
    <w:rsid w:val="00B677F2"/>
    <w:rsid w:val="00B67B3C"/>
    <w:rsid w:val="00B67EAE"/>
    <w:rsid w:val="00B67FF9"/>
    <w:rsid w:val="00B70099"/>
    <w:rsid w:val="00B70174"/>
    <w:rsid w:val="00B70626"/>
    <w:rsid w:val="00B7063B"/>
    <w:rsid w:val="00B7075F"/>
    <w:rsid w:val="00B70B56"/>
    <w:rsid w:val="00B70CDC"/>
    <w:rsid w:val="00B711D6"/>
    <w:rsid w:val="00B711EA"/>
    <w:rsid w:val="00B7128A"/>
    <w:rsid w:val="00B71755"/>
    <w:rsid w:val="00B71CCE"/>
    <w:rsid w:val="00B723F2"/>
    <w:rsid w:val="00B72450"/>
    <w:rsid w:val="00B72682"/>
    <w:rsid w:val="00B72BCE"/>
    <w:rsid w:val="00B72F08"/>
    <w:rsid w:val="00B73026"/>
    <w:rsid w:val="00B73874"/>
    <w:rsid w:val="00B73A86"/>
    <w:rsid w:val="00B742CD"/>
    <w:rsid w:val="00B74531"/>
    <w:rsid w:val="00B746F2"/>
    <w:rsid w:val="00B74B17"/>
    <w:rsid w:val="00B7548B"/>
    <w:rsid w:val="00B7552F"/>
    <w:rsid w:val="00B757C9"/>
    <w:rsid w:val="00B75916"/>
    <w:rsid w:val="00B75C4B"/>
    <w:rsid w:val="00B75D96"/>
    <w:rsid w:val="00B762DE"/>
    <w:rsid w:val="00B7738B"/>
    <w:rsid w:val="00B77849"/>
    <w:rsid w:val="00B77E22"/>
    <w:rsid w:val="00B80496"/>
    <w:rsid w:val="00B80E88"/>
    <w:rsid w:val="00B81D72"/>
    <w:rsid w:val="00B8216F"/>
    <w:rsid w:val="00B8320A"/>
    <w:rsid w:val="00B8340D"/>
    <w:rsid w:val="00B8341C"/>
    <w:rsid w:val="00B83DFC"/>
    <w:rsid w:val="00B841F3"/>
    <w:rsid w:val="00B843C8"/>
    <w:rsid w:val="00B84CCB"/>
    <w:rsid w:val="00B84E15"/>
    <w:rsid w:val="00B84E74"/>
    <w:rsid w:val="00B85401"/>
    <w:rsid w:val="00B855B4"/>
    <w:rsid w:val="00B85A97"/>
    <w:rsid w:val="00B85D32"/>
    <w:rsid w:val="00B85FD4"/>
    <w:rsid w:val="00B8616D"/>
    <w:rsid w:val="00B861FC"/>
    <w:rsid w:val="00B86932"/>
    <w:rsid w:val="00B869EE"/>
    <w:rsid w:val="00B86CAA"/>
    <w:rsid w:val="00B8702E"/>
    <w:rsid w:val="00B87390"/>
    <w:rsid w:val="00B873AB"/>
    <w:rsid w:val="00B87C17"/>
    <w:rsid w:val="00B87CC9"/>
    <w:rsid w:val="00B90011"/>
    <w:rsid w:val="00B90E44"/>
    <w:rsid w:val="00B913B9"/>
    <w:rsid w:val="00B91435"/>
    <w:rsid w:val="00B919B2"/>
    <w:rsid w:val="00B921AF"/>
    <w:rsid w:val="00B9220A"/>
    <w:rsid w:val="00B9275D"/>
    <w:rsid w:val="00B929CA"/>
    <w:rsid w:val="00B92A00"/>
    <w:rsid w:val="00B92C57"/>
    <w:rsid w:val="00B93699"/>
    <w:rsid w:val="00B93977"/>
    <w:rsid w:val="00B939E3"/>
    <w:rsid w:val="00B93D7B"/>
    <w:rsid w:val="00B947F6"/>
    <w:rsid w:val="00B94907"/>
    <w:rsid w:val="00B94B92"/>
    <w:rsid w:val="00B958E2"/>
    <w:rsid w:val="00B95A12"/>
    <w:rsid w:val="00B95CDB"/>
    <w:rsid w:val="00B95F6B"/>
    <w:rsid w:val="00B964EA"/>
    <w:rsid w:val="00B96891"/>
    <w:rsid w:val="00B96EEF"/>
    <w:rsid w:val="00B971CD"/>
    <w:rsid w:val="00B9752F"/>
    <w:rsid w:val="00B97947"/>
    <w:rsid w:val="00B97A9A"/>
    <w:rsid w:val="00B97AD0"/>
    <w:rsid w:val="00B97CB4"/>
    <w:rsid w:val="00BA059E"/>
    <w:rsid w:val="00BA1189"/>
    <w:rsid w:val="00BA1247"/>
    <w:rsid w:val="00BA13A2"/>
    <w:rsid w:val="00BA1809"/>
    <w:rsid w:val="00BA1985"/>
    <w:rsid w:val="00BA1987"/>
    <w:rsid w:val="00BA223C"/>
    <w:rsid w:val="00BA2759"/>
    <w:rsid w:val="00BA2A59"/>
    <w:rsid w:val="00BA2D08"/>
    <w:rsid w:val="00BA2D22"/>
    <w:rsid w:val="00BA327F"/>
    <w:rsid w:val="00BA32BF"/>
    <w:rsid w:val="00BA38DE"/>
    <w:rsid w:val="00BA3AFA"/>
    <w:rsid w:val="00BA3B02"/>
    <w:rsid w:val="00BA3CC6"/>
    <w:rsid w:val="00BA3DFA"/>
    <w:rsid w:val="00BA3F26"/>
    <w:rsid w:val="00BA41C3"/>
    <w:rsid w:val="00BA4339"/>
    <w:rsid w:val="00BA43B5"/>
    <w:rsid w:val="00BA4446"/>
    <w:rsid w:val="00BA4B5B"/>
    <w:rsid w:val="00BA543D"/>
    <w:rsid w:val="00BA566E"/>
    <w:rsid w:val="00BA5ACE"/>
    <w:rsid w:val="00BA5EE8"/>
    <w:rsid w:val="00BA69E8"/>
    <w:rsid w:val="00BA6E72"/>
    <w:rsid w:val="00BA6FFC"/>
    <w:rsid w:val="00BA75D5"/>
    <w:rsid w:val="00BA7D86"/>
    <w:rsid w:val="00BA7E62"/>
    <w:rsid w:val="00BB0042"/>
    <w:rsid w:val="00BB05B0"/>
    <w:rsid w:val="00BB0BE7"/>
    <w:rsid w:val="00BB0C8E"/>
    <w:rsid w:val="00BB0D56"/>
    <w:rsid w:val="00BB1905"/>
    <w:rsid w:val="00BB1E65"/>
    <w:rsid w:val="00BB282A"/>
    <w:rsid w:val="00BB2991"/>
    <w:rsid w:val="00BB2A7E"/>
    <w:rsid w:val="00BB2E66"/>
    <w:rsid w:val="00BB3393"/>
    <w:rsid w:val="00BB34C3"/>
    <w:rsid w:val="00BB3645"/>
    <w:rsid w:val="00BB3B2F"/>
    <w:rsid w:val="00BB3DE7"/>
    <w:rsid w:val="00BB3F4F"/>
    <w:rsid w:val="00BB43C5"/>
    <w:rsid w:val="00BB4505"/>
    <w:rsid w:val="00BB4551"/>
    <w:rsid w:val="00BB47C8"/>
    <w:rsid w:val="00BB4895"/>
    <w:rsid w:val="00BB4BA4"/>
    <w:rsid w:val="00BB4C20"/>
    <w:rsid w:val="00BB4D45"/>
    <w:rsid w:val="00BB5210"/>
    <w:rsid w:val="00BB5F72"/>
    <w:rsid w:val="00BB6286"/>
    <w:rsid w:val="00BB6484"/>
    <w:rsid w:val="00BB6631"/>
    <w:rsid w:val="00BB69E7"/>
    <w:rsid w:val="00BB6D77"/>
    <w:rsid w:val="00BB7177"/>
    <w:rsid w:val="00BB7422"/>
    <w:rsid w:val="00BB74DA"/>
    <w:rsid w:val="00BB7C69"/>
    <w:rsid w:val="00BC01FC"/>
    <w:rsid w:val="00BC0833"/>
    <w:rsid w:val="00BC1760"/>
    <w:rsid w:val="00BC17F3"/>
    <w:rsid w:val="00BC1A4B"/>
    <w:rsid w:val="00BC1D18"/>
    <w:rsid w:val="00BC2495"/>
    <w:rsid w:val="00BC2A91"/>
    <w:rsid w:val="00BC2AE4"/>
    <w:rsid w:val="00BC33BB"/>
    <w:rsid w:val="00BC3D0E"/>
    <w:rsid w:val="00BC3F70"/>
    <w:rsid w:val="00BC40FC"/>
    <w:rsid w:val="00BC51AA"/>
    <w:rsid w:val="00BC5244"/>
    <w:rsid w:val="00BC547C"/>
    <w:rsid w:val="00BC5654"/>
    <w:rsid w:val="00BC61C9"/>
    <w:rsid w:val="00BC6516"/>
    <w:rsid w:val="00BC6570"/>
    <w:rsid w:val="00BC6C11"/>
    <w:rsid w:val="00BC6C89"/>
    <w:rsid w:val="00BC6D07"/>
    <w:rsid w:val="00BC6E39"/>
    <w:rsid w:val="00BC7376"/>
    <w:rsid w:val="00BC751D"/>
    <w:rsid w:val="00BC7795"/>
    <w:rsid w:val="00BC7848"/>
    <w:rsid w:val="00BC7969"/>
    <w:rsid w:val="00BC7EC2"/>
    <w:rsid w:val="00BD0044"/>
    <w:rsid w:val="00BD014C"/>
    <w:rsid w:val="00BD083E"/>
    <w:rsid w:val="00BD0B62"/>
    <w:rsid w:val="00BD0D6F"/>
    <w:rsid w:val="00BD106A"/>
    <w:rsid w:val="00BD15C9"/>
    <w:rsid w:val="00BD18CB"/>
    <w:rsid w:val="00BD19F4"/>
    <w:rsid w:val="00BD1BEB"/>
    <w:rsid w:val="00BD1C56"/>
    <w:rsid w:val="00BD1DFE"/>
    <w:rsid w:val="00BD2056"/>
    <w:rsid w:val="00BD255C"/>
    <w:rsid w:val="00BD2814"/>
    <w:rsid w:val="00BD2A49"/>
    <w:rsid w:val="00BD2B39"/>
    <w:rsid w:val="00BD2C38"/>
    <w:rsid w:val="00BD2C85"/>
    <w:rsid w:val="00BD3327"/>
    <w:rsid w:val="00BD3B43"/>
    <w:rsid w:val="00BD3FEC"/>
    <w:rsid w:val="00BD48FC"/>
    <w:rsid w:val="00BD4F1D"/>
    <w:rsid w:val="00BD59A2"/>
    <w:rsid w:val="00BD6805"/>
    <w:rsid w:val="00BD6CDB"/>
    <w:rsid w:val="00BD6FDE"/>
    <w:rsid w:val="00BD7207"/>
    <w:rsid w:val="00BD72E0"/>
    <w:rsid w:val="00BD7352"/>
    <w:rsid w:val="00BD7394"/>
    <w:rsid w:val="00BD7435"/>
    <w:rsid w:val="00BD7BF5"/>
    <w:rsid w:val="00BD7C6B"/>
    <w:rsid w:val="00BD7F9B"/>
    <w:rsid w:val="00BE0434"/>
    <w:rsid w:val="00BE05D9"/>
    <w:rsid w:val="00BE0D52"/>
    <w:rsid w:val="00BE0E3C"/>
    <w:rsid w:val="00BE1925"/>
    <w:rsid w:val="00BE1F05"/>
    <w:rsid w:val="00BE21B2"/>
    <w:rsid w:val="00BE22EA"/>
    <w:rsid w:val="00BE2385"/>
    <w:rsid w:val="00BE2F46"/>
    <w:rsid w:val="00BE3507"/>
    <w:rsid w:val="00BE3655"/>
    <w:rsid w:val="00BE3A57"/>
    <w:rsid w:val="00BE3A68"/>
    <w:rsid w:val="00BE3BFA"/>
    <w:rsid w:val="00BE3E3D"/>
    <w:rsid w:val="00BE4283"/>
    <w:rsid w:val="00BE42E9"/>
    <w:rsid w:val="00BE4479"/>
    <w:rsid w:val="00BE4800"/>
    <w:rsid w:val="00BE4FAF"/>
    <w:rsid w:val="00BE61BE"/>
    <w:rsid w:val="00BE63CF"/>
    <w:rsid w:val="00BE7091"/>
    <w:rsid w:val="00BE739B"/>
    <w:rsid w:val="00BE74E5"/>
    <w:rsid w:val="00BE76D7"/>
    <w:rsid w:val="00BE7926"/>
    <w:rsid w:val="00BE7ABD"/>
    <w:rsid w:val="00BE7E4E"/>
    <w:rsid w:val="00BF04D1"/>
    <w:rsid w:val="00BF050E"/>
    <w:rsid w:val="00BF0840"/>
    <w:rsid w:val="00BF0D9E"/>
    <w:rsid w:val="00BF0EDD"/>
    <w:rsid w:val="00BF1A1A"/>
    <w:rsid w:val="00BF1C16"/>
    <w:rsid w:val="00BF1F05"/>
    <w:rsid w:val="00BF2342"/>
    <w:rsid w:val="00BF23B0"/>
    <w:rsid w:val="00BF2726"/>
    <w:rsid w:val="00BF287B"/>
    <w:rsid w:val="00BF2A4A"/>
    <w:rsid w:val="00BF3C2B"/>
    <w:rsid w:val="00BF3C36"/>
    <w:rsid w:val="00BF4C7B"/>
    <w:rsid w:val="00BF4F22"/>
    <w:rsid w:val="00BF5641"/>
    <w:rsid w:val="00BF5A8B"/>
    <w:rsid w:val="00BF661D"/>
    <w:rsid w:val="00BF6D95"/>
    <w:rsid w:val="00C008FD"/>
    <w:rsid w:val="00C00E24"/>
    <w:rsid w:val="00C013FF"/>
    <w:rsid w:val="00C01796"/>
    <w:rsid w:val="00C018E6"/>
    <w:rsid w:val="00C01AE9"/>
    <w:rsid w:val="00C01BA3"/>
    <w:rsid w:val="00C01E32"/>
    <w:rsid w:val="00C01EFC"/>
    <w:rsid w:val="00C02246"/>
    <w:rsid w:val="00C0228A"/>
    <w:rsid w:val="00C02A45"/>
    <w:rsid w:val="00C02FB8"/>
    <w:rsid w:val="00C03472"/>
    <w:rsid w:val="00C0358B"/>
    <w:rsid w:val="00C035A4"/>
    <w:rsid w:val="00C046DA"/>
    <w:rsid w:val="00C0486D"/>
    <w:rsid w:val="00C048BF"/>
    <w:rsid w:val="00C04B7F"/>
    <w:rsid w:val="00C04BA4"/>
    <w:rsid w:val="00C04C61"/>
    <w:rsid w:val="00C04DB0"/>
    <w:rsid w:val="00C04E50"/>
    <w:rsid w:val="00C0528B"/>
    <w:rsid w:val="00C05575"/>
    <w:rsid w:val="00C05C18"/>
    <w:rsid w:val="00C05C3C"/>
    <w:rsid w:val="00C05ECB"/>
    <w:rsid w:val="00C0611B"/>
    <w:rsid w:val="00C067A9"/>
    <w:rsid w:val="00C0681D"/>
    <w:rsid w:val="00C0689C"/>
    <w:rsid w:val="00C06BD1"/>
    <w:rsid w:val="00C06E4A"/>
    <w:rsid w:val="00C06FC5"/>
    <w:rsid w:val="00C07481"/>
    <w:rsid w:val="00C07CB4"/>
    <w:rsid w:val="00C100F5"/>
    <w:rsid w:val="00C10429"/>
    <w:rsid w:val="00C10723"/>
    <w:rsid w:val="00C1076F"/>
    <w:rsid w:val="00C1078F"/>
    <w:rsid w:val="00C10B1E"/>
    <w:rsid w:val="00C11211"/>
    <w:rsid w:val="00C12577"/>
    <w:rsid w:val="00C13703"/>
    <w:rsid w:val="00C13B54"/>
    <w:rsid w:val="00C13BB4"/>
    <w:rsid w:val="00C13FCC"/>
    <w:rsid w:val="00C14A7F"/>
    <w:rsid w:val="00C14AB8"/>
    <w:rsid w:val="00C14E56"/>
    <w:rsid w:val="00C14E9D"/>
    <w:rsid w:val="00C14F2E"/>
    <w:rsid w:val="00C15077"/>
    <w:rsid w:val="00C152D1"/>
    <w:rsid w:val="00C157AC"/>
    <w:rsid w:val="00C1623A"/>
    <w:rsid w:val="00C174ED"/>
    <w:rsid w:val="00C175E3"/>
    <w:rsid w:val="00C176B6"/>
    <w:rsid w:val="00C2007E"/>
    <w:rsid w:val="00C20257"/>
    <w:rsid w:val="00C204D2"/>
    <w:rsid w:val="00C20AE6"/>
    <w:rsid w:val="00C2165C"/>
    <w:rsid w:val="00C21C6B"/>
    <w:rsid w:val="00C21CBC"/>
    <w:rsid w:val="00C21D9A"/>
    <w:rsid w:val="00C2210F"/>
    <w:rsid w:val="00C224AA"/>
    <w:rsid w:val="00C225E6"/>
    <w:rsid w:val="00C22C1A"/>
    <w:rsid w:val="00C23407"/>
    <w:rsid w:val="00C245DC"/>
    <w:rsid w:val="00C24D22"/>
    <w:rsid w:val="00C2527B"/>
    <w:rsid w:val="00C25768"/>
    <w:rsid w:val="00C260D0"/>
    <w:rsid w:val="00C26BDF"/>
    <w:rsid w:val="00C3030D"/>
    <w:rsid w:val="00C30D2E"/>
    <w:rsid w:val="00C3127C"/>
    <w:rsid w:val="00C31317"/>
    <w:rsid w:val="00C31E81"/>
    <w:rsid w:val="00C321B6"/>
    <w:rsid w:val="00C3223B"/>
    <w:rsid w:val="00C32F55"/>
    <w:rsid w:val="00C32F7A"/>
    <w:rsid w:val="00C3317E"/>
    <w:rsid w:val="00C33424"/>
    <w:rsid w:val="00C33577"/>
    <w:rsid w:val="00C33E2E"/>
    <w:rsid w:val="00C33FC4"/>
    <w:rsid w:val="00C345CC"/>
    <w:rsid w:val="00C3477B"/>
    <w:rsid w:val="00C34D48"/>
    <w:rsid w:val="00C35243"/>
    <w:rsid w:val="00C35341"/>
    <w:rsid w:val="00C359FB"/>
    <w:rsid w:val="00C35E00"/>
    <w:rsid w:val="00C3603B"/>
    <w:rsid w:val="00C360CC"/>
    <w:rsid w:val="00C3698E"/>
    <w:rsid w:val="00C371B2"/>
    <w:rsid w:val="00C3748B"/>
    <w:rsid w:val="00C376F1"/>
    <w:rsid w:val="00C37B51"/>
    <w:rsid w:val="00C37BBF"/>
    <w:rsid w:val="00C37BE9"/>
    <w:rsid w:val="00C37BF6"/>
    <w:rsid w:val="00C40593"/>
    <w:rsid w:val="00C409C2"/>
    <w:rsid w:val="00C40DF9"/>
    <w:rsid w:val="00C41764"/>
    <w:rsid w:val="00C42AC1"/>
    <w:rsid w:val="00C42D42"/>
    <w:rsid w:val="00C43470"/>
    <w:rsid w:val="00C43B30"/>
    <w:rsid w:val="00C443DC"/>
    <w:rsid w:val="00C444D9"/>
    <w:rsid w:val="00C44F0B"/>
    <w:rsid w:val="00C454FD"/>
    <w:rsid w:val="00C459C3"/>
    <w:rsid w:val="00C45ACD"/>
    <w:rsid w:val="00C45FBE"/>
    <w:rsid w:val="00C4611C"/>
    <w:rsid w:val="00C46252"/>
    <w:rsid w:val="00C467D3"/>
    <w:rsid w:val="00C46ACF"/>
    <w:rsid w:val="00C46B32"/>
    <w:rsid w:val="00C46EE9"/>
    <w:rsid w:val="00C473C9"/>
    <w:rsid w:val="00C474D7"/>
    <w:rsid w:val="00C477D7"/>
    <w:rsid w:val="00C502CC"/>
    <w:rsid w:val="00C508E5"/>
    <w:rsid w:val="00C50BF0"/>
    <w:rsid w:val="00C511DC"/>
    <w:rsid w:val="00C51380"/>
    <w:rsid w:val="00C5166B"/>
    <w:rsid w:val="00C5178D"/>
    <w:rsid w:val="00C517D3"/>
    <w:rsid w:val="00C51D00"/>
    <w:rsid w:val="00C51D52"/>
    <w:rsid w:val="00C51F88"/>
    <w:rsid w:val="00C524BB"/>
    <w:rsid w:val="00C524C1"/>
    <w:rsid w:val="00C52725"/>
    <w:rsid w:val="00C527C7"/>
    <w:rsid w:val="00C52B00"/>
    <w:rsid w:val="00C52C92"/>
    <w:rsid w:val="00C531B0"/>
    <w:rsid w:val="00C53298"/>
    <w:rsid w:val="00C5385B"/>
    <w:rsid w:val="00C5397A"/>
    <w:rsid w:val="00C53CD5"/>
    <w:rsid w:val="00C5476A"/>
    <w:rsid w:val="00C548A9"/>
    <w:rsid w:val="00C550F8"/>
    <w:rsid w:val="00C557D6"/>
    <w:rsid w:val="00C55BC0"/>
    <w:rsid w:val="00C55C53"/>
    <w:rsid w:val="00C55E99"/>
    <w:rsid w:val="00C55EC7"/>
    <w:rsid w:val="00C5613E"/>
    <w:rsid w:val="00C561FE"/>
    <w:rsid w:val="00C5629D"/>
    <w:rsid w:val="00C563C5"/>
    <w:rsid w:val="00C565D6"/>
    <w:rsid w:val="00C566CC"/>
    <w:rsid w:val="00C5678A"/>
    <w:rsid w:val="00C56AF0"/>
    <w:rsid w:val="00C57260"/>
    <w:rsid w:val="00C57F32"/>
    <w:rsid w:val="00C57FB3"/>
    <w:rsid w:val="00C60483"/>
    <w:rsid w:val="00C608EC"/>
    <w:rsid w:val="00C60C41"/>
    <w:rsid w:val="00C61643"/>
    <w:rsid w:val="00C617A2"/>
    <w:rsid w:val="00C61CBB"/>
    <w:rsid w:val="00C622EF"/>
    <w:rsid w:val="00C6280E"/>
    <w:rsid w:val="00C62AC8"/>
    <w:rsid w:val="00C62F78"/>
    <w:rsid w:val="00C63316"/>
    <w:rsid w:val="00C63FE2"/>
    <w:rsid w:val="00C6413F"/>
    <w:rsid w:val="00C646E9"/>
    <w:rsid w:val="00C649A6"/>
    <w:rsid w:val="00C64C25"/>
    <w:rsid w:val="00C64D96"/>
    <w:rsid w:val="00C64F5C"/>
    <w:rsid w:val="00C65480"/>
    <w:rsid w:val="00C658F4"/>
    <w:rsid w:val="00C667F7"/>
    <w:rsid w:val="00C66998"/>
    <w:rsid w:val="00C66E55"/>
    <w:rsid w:val="00C67128"/>
    <w:rsid w:val="00C67150"/>
    <w:rsid w:val="00C67675"/>
    <w:rsid w:val="00C67681"/>
    <w:rsid w:val="00C6791E"/>
    <w:rsid w:val="00C67B7B"/>
    <w:rsid w:val="00C67EB0"/>
    <w:rsid w:val="00C67EF9"/>
    <w:rsid w:val="00C701A5"/>
    <w:rsid w:val="00C7047F"/>
    <w:rsid w:val="00C70E5C"/>
    <w:rsid w:val="00C719AF"/>
    <w:rsid w:val="00C71E56"/>
    <w:rsid w:val="00C720EC"/>
    <w:rsid w:val="00C72228"/>
    <w:rsid w:val="00C72C42"/>
    <w:rsid w:val="00C72EF3"/>
    <w:rsid w:val="00C72FDF"/>
    <w:rsid w:val="00C731FC"/>
    <w:rsid w:val="00C73693"/>
    <w:rsid w:val="00C74064"/>
    <w:rsid w:val="00C7416C"/>
    <w:rsid w:val="00C7421D"/>
    <w:rsid w:val="00C744BF"/>
    <w:rsid w:val="00C74C66"/>
    <w:rsid w:val="00C7520F"/>
    <w:rsid w:val="00C7556D"/>
    <w:rsid w:val="00C75584"/>
    <w:rsid w:val="00C756E0"/>
    <w:rsid w:val="00C7589C"/>
    <w:rsid w:val="00C75CC4"/>
    <w:rsid w:val="00C75D7E"/>
    <w:rsid w:val="00C760C6"/>
    <w:rsid w:val="00C7651F"/>
    <w:rsid w:val="00C76A9C"/>
    <w:rsid w:val="00C76C31"/>
    <w:rsid w:val="00C77013"/>
    <w:rsid w:val="00C77046"/>
    <w:rsid w:val="00C7758D"/>
    <w:rsid w:val="00C77746"/>
    <w:rsid w:val="00C8012B"/>
    <w:rsid w:val="00C801D1"/>
    <w:rsid w:val="00C80748"/>
    <w:rsid w:val="00C80BF1"/>
    <w:rsid w:val="00C80C07"/>
    <w:rsid w:val="00C80C52"/>
    <w:rsid w:val="00C80D87"/>
    <w:rsid w:val="00C80ED7"/>
    <w:rsid w:val="00C80F44"/>
    <w:rsid w:val="00C81139"/>
    <w:rsid w:val="00C81655"/>
    <w:rsid w:val="00C81BA1"/>
    <w:rsid w:val="00C82248"/>
    <w:rsid w:val="00C82354"/>
    <w:rsid w:val="00C82881"/>
    <w:rsid w:val="00C83687"/>
    <w:rsid w:val="00C8382F"/>
    <w:rsid w:val="00C838D1"/>
    <w:rsid w:val="00C83BA6"/>
    <w:rsid w:val="00C83C2F"/>
    <w:rsid w:val="00C83DD2"/>
    <w:rsid w:val="00C83E12"/>
    <w:rsid w:val="00C83E5B"/>
    <w:rsid w:val="00C83FCC"/>
    <w:rsid w:val="00C84018"/>
    <w:rsid w:val="00C8403B"/>
    <w:rsid w:val="00C84254"/>
    <w:rsid w:val="00C8448A"/>
    <w:rsid w:val="00C84531"/>
    <w:rsid w:val="00C84BAE"/>
    <w:rsid w:val="00C852C9"/>
    <w:rsid w:val="00C85A6F"/>
    <w:rsid w:val="00C85C6D"/>
    <w:rsid w:val="00C867F9"/>
    <w:rsid w:val="00C86804"/>
    <w:rsid w:val="00C86E98"/>
    <w:rsid w:val="00C8748A"/>
    <w:rsid w:val="00C87529"/>
    <w:rsid w:val="00C876B6"/>
    <w:rsid w:val="00C87BD0"/>
    <w:rsid w:val="00C87D3C"/>
    <w:rsid w:val="00C87EB7"/>
    <w:rsid w:val="00C87F53"/>
    <w:rsid w:val="00C90341"/>
    <w:rsid w:val="00C90873"/>
    <w:rsid w:val="00C90B3B"/>
    <w:rsid w:val="00C91144"/>
    <w:rsid w:val="00C91185"/>
    <w:rsid w:val="00C91C15"/>
    <w:rsid w:val="00C91D53"/>
    <w:rsid w:val="00C91E50"/>
    <w:rsid w:val="00C9220B"/>
    <w:rsid w:val="00C9285B"/>
    <w:rsid w:val="00C9290D"/>
    <w:rsid w:val="00C930D8"/>
    <w:rsid w:val="00C9326F"/>
    <w:rsid w:val="00C93EC7"/>
    <w:rsid w:val="00C94167"/>
    <w:rsid w:val="00C9425E"/>
    <w:rsid w:val="00C945CA"/>
    <w:rsid w:val="00C9476D"/>
    <w:rsid w:val="00C94ACA"/>
    <w:rsid w:val="00C95F1C"/>
    <w:rsid w:val="00C95FCE"/>
    <w:rsid w:val="00C96170"/>
    <w:rsid w:val="00C9748C"/>
    <w:rsid w:val="00C9790E"/>
    <w:rsid w:val="00C97B28"/>
    <w:rsid w:val="00C97C71"/>
    <w:rsid w:val="00CA01DE"/>
    <w:rsid w:val="00CA06BF"/>
    <w:rsid w:val="00CA06FF"/>
    <w:rsid w:val="00CA07A8"/>
    <w:rsid w:val="00CA07DA"/>
    <w:rsid w:val="00CA082A"/>
    <w:rsid w:val="00CA099C"/>
    <w:rsid w:val="00CA1384"/>
    <w:rsid w:val="00CA147D"/>
    <w:rsid w:val="00CA181D"/>
    <w:rsid w:val="00CA1E9D"/>
    <w:rsid w:val="00CA211F"/>
    <w:rsid w:val="00CA2605"/>
    <w:rsid w:val="00CA2955"/>
    <w:rsid w:val="00CA2A15"/>
    <w:rsid w:val="00CA38AD"/>
    <w:rsid w:val="00CA3B14"/>
    <w:rsid w:val="00CA3CA3"/>
    <w:rsid w:val="00CA3D43"/>
    <w:rsid w:val="00CA44BC"/>
    <w:rsid w:val="00CA4C33"/>
    <w:rsid w:val="00CA4D87"/>
    <w:rsid w:val="00CA4F55"/>
    <w:rsid w:val="00CA50A4"/>
    <w:rsid w:val="00CA5A83"/>
    <w:rsid w:val="00CA5B02"/>
    <w:rsid w:val="00CA5B87"/>
    <w:rsid w:val="00CA6E0C"/>
    <w:rsid w:val="00CA727B"/>
    <w:rsid w:val="00CA73F3"/>
    <w:rsid w:val="00CA7758"/>
    <w:rsid w:val="00CA7B11"/>
    <w:rsid w:val="00CA7D24"/>
    <w:rsid w:val="00CB0518"/>
    <w:rsid w:val="00CB0C5E"/>
    <w:rsid w:val="00CB17E9"/>
    <w:rsid w:val="00CB19A1"/>
    <w:rsid w:val="00CB1F9E"/>
    <w:rsid w:val="00CB229E"/>
    <w:rsid w:val="00CB2717"/>
    <w:rsid w:val="00CB28B8"/>
    <w:rsid w:val="00CB28FE"/>
    <w:rsid w:val="00CB2D28"/>
    <w:rsid w:val="00CB2DF8"/>
    <w:rsid w:val="00CB3425"/>
    <w:rsid w:val="00CB344F"/>
    <w:rsid w:val="00CB397F"/>
    <w:rsid w:val="00CB3E41"/>
    <w:rsid w:val="00CB422C"/>
    <w:rsid w:val="00CB44E7"/>
    <w:rsid w:val="00CB4A6D"/>
    <w:rsid w:val="00CB4BDD"/>
    <w:rsid w:val="00CB4C2E"/>
    <w:rsid w:val="00CB4D0C"/>
    <w:rsid w:val="00CB50D7"/>
    <w:rsid w:val="00CB5403"/>
    <w:rsid w:val="00CB56A0"/>
    <w:rsid w:val="00CB56C1"/>
    <w:rsid w:val="00CB5ACE"/>
    <w:rsid w:val="00CB63A5"/>
    <w:rsid w:val="00CB6463"/>
    <w:rsid w:val="00CB65DC"/>
    <w:rsid w:val="00CB6F15"/>
    <w:rsid w:val="00CB751C"/>
    <w:rsid w:val="00CB78E5"/>
    <w:rsid w:val="00CB79DA"/>
    <w:rsid w:val="00CB7EE2"/>
    <w:rsid w:val="00CC0BCD"/>
    <w:rsid w:val="00CC0D4F"/>
    <w:rsid w:val="00CC0EB5"/>
    <w:rsid w:val="00CC183C"/>
    <w:rsid w:val="00CC19AF"/>
    <w:rsid w:val="00CC2949"/>
    <w:rsid w:val="00CC30EA"/>
    <w:rsid w:val="00CC3256"/>
    <w:rsid w:val="00CC3357"/>
    <w:rsid w:val="00CC39F2"/>
    <w:rsid w:val="00CC3A34"/>
    <w:rsid w:val="00CC3B1A"/>
    <w:rsid w:val="00CC3B5A"/>
    <w:rsid w:val="00CC3D7B"/>
    <w:rsid w:val="00CC4643"/>
    <w:rsid w:val="00CC4D7B"/>
    <w:rsid w:val="00CC51C3"/>
    <w:rsid w:val="00CC5447"/>
    <w:rsid w:val="00CC58B4"/>
    <w:rsid w:val="00CC5E70"/>
    <w:rsid w:val="00CC609C"/>
    <w:rsid w:val="00CC65D9"/>
    <w:rsid w:val="00CC674E"/>
    <w:rsid w:val="00CC6A91"/>
    <w:rsid w:val="00CC6AC7"/>
    <w:rsid w:val="00CC6B9A"/>
    <w:rsid w:val="00CC6C5E"/>
    <w:rsid w:val="00CC6D96"/>
    <w:rsid w:val="00CC6F19"/>
    <w:rsid w:val="00CC761A"/>
    <w:rsid w:val="00CC76B3"/>
    <w:rsid w:val="00CC7CF8"/>
    <w:rsid w:val="00CD006F"/>
    <w:rsid w:val="00CD0449"/>
    <w:rsid w:val="00CD069F"/>
    <w:rsid w:val="00CD0799"/>
    <w:rsid w:val="00CD0920"/>
    <w:rsid w:val="00CD0EF0"/>
    <w:rsid w:val="00CD0F72"/>
    <w:rsid w:val="00CD1036"/>
    <w:rsid w:val="00CD105E"/>
    <w:rsid w:val="00CD10DE"/>
    <w:rsid w:val="00CD11DE"/>
    <w:rsid w:val="00CD12DB"/>
    <w:rsid w:val="00CD1539"/>
    <w:rsid w:val="00CD1560"/>
    <w:rsid w:val="00CD1744"/>
    <w:rsid w:val="00CD1DED"/>
    <w:rsid w:val="00CD2351"/>
    <w:rsid w:val="00CD2738"/>
    <w:rsid w:val="00CD2A22"/>
    <w:rsid w:val="00CD2D3D"/>
    <w:rsid w:val="00CD316A"/>
    <w:rsid w:val="00CD3219"/>
    <w:rsid w:val="00CD3D4F"/>
    <w:rsid w:val="00CD3F6C"/>
    <w:rsid w:val="00CD4005"/>
    <w:rsid w:val="00CD404A"/>
    <w:rsid w:val="00CD49B5"/>
    <w:rsid w:val="00CD5B23"/>
    <w:rsid w:val="00CD65DD"/>
    <w:rsid w:val="00CD6F8B"/>
    <w:rsid w:val="00CD7909"/>
    <w:rsid w:val="00CD7B76"/>
    <w:rsid w:val="00CD7DBB"/>
    <w:rsid w:val="00CD7DF2"/>
    <w:rsid w:val="00CE0641"/>
    <w:rsid w:val="00CE0A95"/>
    <w:rsid w:val="00CE0C66"/>
    <w:rsid w:val="00CE0E8E"/>
    <w:rsid w:val="00CE1070"/>
    <w:rsid w:val="00CE190A"/>
    <w:rsid w:val="00CE22E0"/>
    <w:rsid w:val="00CE2340"/>
    <w:rsid w:val="00CE2416"/>
    <w:rsid w:val="00CE38E1"/>
    <w:rsid w:val="00CE3DEC"/>
    <w:rsid w:val="00CE3F1F"/>
    <w:rsid w:val="00CE3FA2"/>
    <w:rsid w:val="00CE44C6"/>
    <w:rsid w:val="00CE4E2A"/>
    <w:rsid w:val="00CE5F1B"/>
    <w:rsid w:val="00CE67AE"/>
    <w:rsid w:val="00CE6ED7"/>
    <w:rsid w:val="00CE788D"/>
    <w:rsid w:val="00CE7C6B"/>
    <w:rsid w:val="00CE7D97"/>
    <w:rsid w:val="00CE7E07"/>
    <w:rsid w:val="00CF0240"/>
    <w:rsid w:val="00CF03A4"/>
    <w:rsid w:val="00CF080F"/>
    <w:rsid w:val="00CF08EB"/>
    <w:rsid w:val="00CF08EF"/>
    <w:rsid w:val="00CF0FC3"/>
    <w:rsid w:val="00CF178B"/>
    <w:rsid w:val="00CF1B29"/>
    <w:rsid w:val="00CF1B6D"/>
    <w:rsid w:val="00CF1C12"/>
    <w:rsid w:val="00CF2460"/>
    <w:rsid w:val="00CF248C"/>
    <w:rsid w:val="00CF2952"/>
    <w:rsid w:val="00CF2BEB"/>
    <w:rsid w:val="00CF3348"/>
    <w:rsid w:val="00CF4D0B"/>
    <w:rsid w:val="00CF5125"/>
    <w:rsid w:val="00CF586A"/>
    <w:rsid w:val="00CF609F"/>
    <w:rsid w:val="00CF6108"/>
    <w:rsid w:val="00CF61E8"/>
    <w:rsid w:val="00CF682E"/>
    <w:rsid w:val="00CF68FA"/>
    <w:rsid w:val="00CF68FB"/>
    <w:rsid w:val="00CF6A7D"/>
    <w:rsid w:val="00CF758C"/>
    <w:rsid w:val="00CF7AB0"/>
    <w:rsid w:val="00CF7D70"/>
    <w:rsid w:val="00D0056B"/>
    <w:rsid w:val="00D019E3"/>
    <w:rsid w:val="00D01BB7"/>
    <w:rsid w:val="00D01CFF"/>
    <w:rsid w:val="00D01D69"/>
    <w:rsid w:val="00D02A1C"/>
    <w:rsid w:val="00D02E29"/>
    <w:rsid w:val="00D02F07"/>
    <w:rsid w:val="00D03504"/>
    <w:rsid w:val="00D03CC0"/>
    <w:rsid w:val="00D03D0E"/>
    <w:rsid w:val="00D04C90"/>
    <w:rsid w:val="00D04ECE"/>
    <w:rsid w:val="00D0501C"/>
    <w:rsid w:val="00D0514A"/>
    <w:rsid w:val="00D057B1"/>
    <w:rsid w:val="00D05956"/>
    <w:rsid w:val="00D05D5B"/>
    <w:rsid w:val="00D06468"/>
    <w:rsid w:val="00D07B67"/>
    <w:rsid w:val="00D07F7A"/>
    <w:rsid w:val="00D1094A"/>
    <w:rsid w:val="00D10A7D"/>
    <w:rsid w:val="00D10B4E"/>
    <w:rsid w:val="00D11314"/>
    <w:rsid w:val="00D11705"/>
    <w:rsid w:val="00D11F1A"/>
    <w:rsid w:val="00D132B6"/>
    <w:rsid w:val="00D1342A"/>
    <w:rsid w:val="00D13C3C"/>
    <w:rsid w:val="00D13C61"/>
    <w:rsid w:val="00D1429F"/>
    <w:rsid w:val="00D143C0"/>
    <w:rsid w:val="00D148D9"/>
    <w:rsid w:val="00D14C38"/>
    <w:rsid w:val="00D14DC2"/>
    <w:rsid w:val="00D15414"/>
    <w:rsid w:val="00D15B98"/>
    <w:rsid w:val="00D15F35"/>
    <w:rsid w:val="00D162C4"/>
    <w:rsid w:val="00D16A9A"/>
    <w:rsid w:val="00D16B2E"/>
    <w:rsid w:val="00D16E8C"/>
    <w:rsid w:val="00D170BE"/>
    <w:rsid w:val="00D1737F"/>
    <w:rsid w:val="00D175E5"/>
    <w:rsid w:val="00D177BF"/>
    <w:rsid w:val="00D17BC5"/>
    <w:rsid w:val="00D200B2"/>
    <w:rsid w:val="00D20C4C"/>
    <w:rsid w:val="00D20D61"/>
    <w:rsid w:val="00D2135E"/>
    <w:rsid w:val="00D21AA7"/>
    <w:rsid w:val="00D21F98"/>
    <w:rsid w:val="00D22A8C"/>
    <w:rsid w:val="00D22B20"/>
    <w:rsid w:val="00D234EF"/>
    <w:rsid w:val="00D23645"/>
    <w:rsid w:val="00D23AE5"/>
    <w:rsid w:val="00D23B77"/>
    <w:rsid w:val="00D241D5"/>
    <w:rsid w:val="00D243DE"/>
    <w:rsid w:val="00D247E9"/>
    <w:rsid w:val="00D24840"/>
    <w:rsid w:val="00D2518D"/>
    <w:rsid w:val="00D252A2"/>
    <w:rsid w:val="00D25667"/>
    <w:rsid w:val="00D2569C"/>
    <w:rsid w:val="00D25949"/>
    <w:rsid w:val="00D259BD"/>
    <w:rsid w:val="00D25AEE"/>
    <w:rsid w:val="00D263A3"/>
    <w:rsid w:val="00D26A26"/>
    <w:rsid w:val="00D26AD4"/>
    <w:rsid w:val="00D26C38"/>
    <w:rsid w:val="00D27606"/>
    <w:rsid w:val="00D27703"/>
    <w:rsid w:val="00D30675"/>
    <w:rsid w:val="00D30BC2"/>
    <w:rsid w:val="00D30E48"/>
    <w:rsid w:val="00D31589"/>
    <w:rsid w:val="00D31E36"/>
    <w:rsid w:val="00D31E7C"/>
    <w:rsid w:val="00D31FD5"/>
    <w:rsid w:val="00D324B5"/>
    <w:rsid w:val="00D32A39"/>
    <w:rsid w:val="00D32C69"/>
    <w:rsid w:val="00D32EFB"/>
    <w:rsid w:val="00D3375D"/>
    <w:rsid w:val="00D33A42"/>
    <w:rsid w:val="00D33E57"/>
    <w:rsid w:val="00D33FF7"/>
    <w:rsid w:val="00D34108"/>
    <w:rsid w:val="00D347FE"/>
    <w:rsid w:val="00D34A33"/>
    <w:rsid w:val="00D34ACF"/>
    <w:rsid w:val="00D34E19"/>
    <w:rsid w:val="00D34F17"/>
    <w:rsid w:val="00D3503D"/>
    <w:rsid w:val="00D35071"/>
    <w:rsid w:val="00D35129"/>
    <w:rsid w:val="00D359F3"/>
    <w:rsid w:val="00D35EA3"/>
    <w:rsid w:val="00D36455"/>
    <w:rsid w:val="00D365A9"/>
    <w:rsid w:val="00D366A2"/>
    <w:rsid w:val="00D36B14"/>
    <w:rsid w:val="00D36CCB"/>
    <w:rsid w:val="00D37233"/>
    <w:rsid w:val="00D372C5"/>
    <w:rsid w:val="00D37D08"/>
    <w:rsid w:val="00D37D64"/>
    <w:rsid w:val="00D37E4C"/>
    <w:rsid w:val="00D37FA8"/>
    <w:rsid w:val="00D40034"/>
    <w:rsid w:val="00D40061"/>
    <w:rsid w:val="00D409C7"/>
    <w:rsid w:val="00D40BC0"/>
    <w:rsid w:val="00D40C52"/>
    <w:rsid w:val="00D40C92"/>
    <w:rsid w:val="00D40CAE"/>
    <w:rsid w:val="00D40EDF"/>
    <w:rsid w:val="00D41674"/>
    <w:rsid w:val="00D416CA"/>
    <w:rsid w:val="00D41B4E"/>
    <w:rsid w:val="00D41FA4"/>
    <w:rsid w:val="00D41FAF"/>
    <w:rsid w:val="00D42008"/>
    <w:rsid w:val="00D42CC1"/>
    <w:rsid w:val="00D432EB"/>
    <w:rsid w:val="00D43755"/>
    <w:rsid w:val="00D4381F"/>
    <w:rsid w:val="00D43C5E"/>
    <w:rsid w:val="00D43F04"/>
    <w:rsid w:val="00D442D6"/>
    <w:rsid w:val="00D442FA"/>
    <w:rsid w:val="00D445E0"/>
    <w:rsid w:val="00D44652"/>
    <w:rsid w:val="00D44891"/>
    <w:rsid w:val="00D44894"/>
    <w:rsid w:val="00D4491B"/>
    <w:rsid w:val="00D44CAD"/>
    <w:rsid w:val="00D450DD"/>
    <w:rsid w:val="00D451F4"/>
    <w:rsid w:val="00D452AD"/>
    <w:rsid w:val="00D45632"/>
    <w:rsid w:val="00D458F8"/>
    <w:rsid w:val="00D4605F"/>
    <w:rsid w:val="00D463B1"/>
    <w:rsid w:val="00D46794"/>
    <w:rsid w:val="00D46E59"/>
    <w:rsid w:val="00D47A0F"/>
    <w:rsid w:val="00D47C76"/>
    <w:rsid w:val="00D47D6C"/>
    <w:rsid w:val="00D47E74"/>
    <w:rsid w:val="00D505FC"/>
    <w:rsid w:val="00D511EA"/>
    <w:rsid w:val="00D51235"/>
    <w:rsid w:val="00D518DF"/>
    <w:rsid w:val="00D51BA8"/>
    <w:rsid w:val="00D51F95"/>
    <w:rsid w:val="00D5229C"/>
    <w:rsid w:val="00D52489"/>
    <w:rsid w:val="00D5250D"/>
    <w:rsid w:val="00D525DE"/>
    <w:rsid w:val="00D5280A"/>
    <w:rsid w:val="00D53113"/>
    <w:rsid w:val="00D539FE"/>
    <w:rsid w:val="00D53B5D"/>
    <w:rsid w:val="00D53CB9"/>
    <w:rsid w:val="00D53DF5"/>
    <w:rsid w:val="00D53F84"/>
    <w:rsid w:val="00D54252"/>
    <w:rsid w:val="00D548F3"/>
    <w:rsid w:val="00D54E83"/>
    <w:rsid w:val="00D55495"/>
    <w:rsid w:val="00D55721"/>
    <w:rsid w:val="00D55AE8"/>
    <w:rsid w:val="00D567E5"/>
    <w:rsid w:val="00D56E45"/>
    <w:rsid w:val="00D57054"/>
    <w:rsid w:val="00D57207"/>
    <w:rsid w:val="00D5736A"/>
    <w:rsid w:val="00D57487"/>
    <w:rsid w:val="00D57A51"/>
    <w:rsid w:val="00D57CC6"/>
    <w:rsid w:val="00D6014D"/>
    <w:rsid w:val="00D60E03"/>
    <w:rsid w:val="00D61155"/>
    <w:rsid w:val="00D6134B"/>
    <w:rsid w:val="00D614BC"/>
    <w:rsid w:val="00D61570"/>
    <w:rsid w:val="00D617A3"/>
    <w:rsid w:val="00D618A1"/>
    <w:rsid w:val="00D61BDD"/>
    <w:rsid w:val="00D62214"/>
    <w:rsid w:val="00D62380"/>
    <w:rsid w:val="00D62A7A"/>
    <w:rsid w:val="00D637D7"/>
    <w:rsid w:val="00D63A81"/>
    <w:rsid w:val="00D63AF1"/>
    <w:rsid w:val="00D63EDB"/>
    <w:rsid w:val="00D64142"/>
    <w:rsid w:val="00D648B3"/>
    <w:rsid w:val="00D64976"/>
    <w:rsid w:val="00D64D74"/>
    <w:rsid w:val="00D650DF"/>
    <w:rsid w:val="00D651C4"/>
    <w:rsid w:val="00D65272"/>
    <w:rsid w:val="00D652F0"/>
    <w:rsid w:val="00D661B7"/>
    <w:rsid w:val="00D665F0"/>
    <w:rsid w:val="00D66AE7"/>
    <w:rsid w:val="00D66F96"/>
    <w:rsid w:val="00D67156"/>
    <w:rsid w:val="00D6729D"/>
    <w:rsid w:val="00D67C73"/>
    <w:rsid w:val="00D70A93"/>
    <w:rsid w:val="00D71245"/>
    <w:rsid w:val="00D71553"/>
    <w:rsid w:val="00D7177A"/>
    <w:rsid w:val="00D71943"/>
    <w:rsid w:val="00D71ACE"/>
    <w:rsid w:val="00D72AC6"/>
    <w:rsid w:val="00D72F8D"/>
    <w:rsid w:val="00D735D0"/>
    <w:rsid w:val="00D739AB"/>
    <w:rsid w:val="00D739D0"/>
    <w:rsid w:val="00D7415C"/>
    <w:rsid w:val="00D742CE"/>
    <w:rsid w:val="00D742FE"/>
    <w:rsid w:val="00D747C9"/>
    <w:rsid w:val="00D7495C"/>
    <w:rsid w:val="00D74C45"/>
    <w:rsid w:val="00D74D8C"/>
    <w:rsid w:val="00D75107"/>
    <w:rsid w:val="00D7578C"/>
    <w:rsid w:val="00D759A7"/>
    <w:rsid w:val="00D75DE6"/>
    <w:rsid w:val="00D75DF1"/>
    <w:rsid w:val="00D765C0"/>
    <w:rsid w:val="00D76CE9"/>
    <w:rsid w:val="00D76D5A"/>
    <w:rsid w:val="00D76FAD"/>
    <w:rsid w:val="00D771DB"/>
    <w:rsid w:val="00D77587"/>
    <w:rsid w:val="00D77B26"/>
    <w:rsid w:val="00D77FBC"/>
    <w:rsid w:val="00D80802"/>
    <w:rsid w:val="00D808EA"/>
    <w:rsid w:val="00D80C2E"/>
    <w:rsid w:val="00D81216"/>
    <w:rsid w:val="00D81AF9"/>
    <w:rsid w:val="00D822FC"/>
    <w:rsid w:val="00D82C6B"/>
    <w:rsid w:val="00D82FB3"/>
    <w:rsid w:val="00D832C8"/>
    <w:rsid w:val="00D839A6"/>
    <w:rsid w:val="00D83B08"/>
    <w:rsid w:val="00D84B5E"/>
    <w:rsid w:val="00D84D55"/>
    <w:rsid w:val="00D851A8"/>
    <w:rsid w:val="00D8595F"/>
    <w:rsid w:val="00D85AD6"/>
    <w:rsid w:val="00D85E07"/>
    <w:rsid w:val="00D86487"/>
    <w:rsid w:val="00D86590"/>
    <w:rsid w:val="00D869B8"/>
    <w:rsid w:val="00D86B26"/>
    <w:rsid w:val="00D86B52"/>
    <w:rsid w:val="00D86D53"/>
    <w:rsid w:val="00D87119"/>
    <w:rsid w:val="00D87F31"/>
    <w:rsid w:val="00D87FB0"/>
    <w:rsid w:val="00D902FD"/>
    <w:rsid w:val="00D90B93"/>
    <w:rsid w:val="00D9196E"/>
    <w:rsid w:val="00D91F22"/>
    <w:rsid w:val="00D932AB"/>
    <w:rsid w:val="00D93671"/>
    <w:rsid w:val="00D93AEA"/>
    <w:rsid w:val="00D94951"/>
    <w:rsid w:val="00D94A3E"/>
    <w:rsid w:val="00D94E11"/>
    <w:rsid w:val="00D95238"/>
    <w:rsid w:val="00D953C5"/>
    <w:rsid w:val="00D95BE3"/>
    <w:rsid w:val="00D95C1D"/>
    <w:rsid w:val="00D9656A"/>
    <w:rsid w:val="00D966D0"/>
    <w:rsid w:val="00D96DD8"/>
    <w:rsid w:val="00D974C4"/>
    <w:rsid w:val="00D97825"/>
    <w:rsid w:val="00D97831"/>
    <w:rsid w:val="00D97D0B"/>
    <w:rsid w:val="00DA0714"/>
    <w:rsid w:val="00DA07B6"/>
    <w:rsid w:val="00DA09F7"/>
    <w:rsid w:val="00DA0C11"/>
    <w:rsid w:val="00DA0CC1"/>
    <w:rsid w:val="00DA0F6C"/>
    <w:rsid w:val="00DA0FD0"/>
    <w:rsid w:val="00DA1087"/>
    <w:rsid w:val="00DA1241"/>
    <w:rsid w:val="00DA175C"/>
    <w:rsid w:val="00DA1A6C"/>
    <w:rsid w:val="00DA1B5D"/>
    <w:rsid w:val="00DA1C18"/>
    <w:rsid w:val="00DA1EC1"/>
    <w:rsid w:val="00DA1F37"/>
    <w:rsid w:val="00DA21C5"/>
    <w:rsid w:val="00DA22C2"/>
    <w:rsid w:val="00DA256E"/>
    <w:rsid w:val="00DA2BF5"/>
    <w:rsid w:val="00DA37CF"/>
    <w:rsid w:val="00DA3C86"/>
    <w:rsid w:val="00DA404F"/>
    <w:rsid w:val="00DA4AAB"/>
    <w:rsid w:val="00DA4B53"/>
    <w:rsid w:val="00DA4CD2"/>
    <w:rsid w:val="00DA4DD2"/>
    <w:rsid w:val="00DA4F10"/>
    <w:rsid w:val="00DA5528"/>
    <w:rsid w:val="00DA5B31"/>
    <w:rsid w:val="00DA6780"/>
    <w:rsid w:val="00DA685F"/>
    <w:rsid w:val="00DA6875"/>
    <w:rsid w:val="00DA6B30"/>
    <w:rsid w:val="00DA7192"/>
    <w:rsid w:val="00DA78A7"/>
    <w:rsid w:val="00DA7D05"/>
    <w:rsid w:val="00DB0393"/>
    <w:rsid w:val="00DB08D1"/>
    <w:rsid w:val="00DB0FD8"/>
    <w:rsid w:val="00DB1012"/>
    <w:rsid w:val="00DB117E"/>
    <w:rsid w:val="00DB1262"/>
    <w:rsid w:val="00DB2881"/>
    <w:rsid w:val="00DB2BD1"/>
    <w:rsid w:val="00DB2D31"/>
    <w:rsid w:val="00DB2EB1"/>
    <w:rsid w:val="00DB3394"/>
    <w:rsid w:val="00DB351B"/>
    <w:rsid w:val="00DB39DC"/>
    <w:rsid w:val="00DB3A4B"/>
    <w:rsid w:val="00DB3CE3"/>
    <w:rsid w:val="00DB3ECC"/>
    <w:rsid w:val="00DB401F"/>
    <w:rsid w:val="00DB445F"/>
    <w:rsid w:val="00DB467F"/>
    <w:rsid w:val="00DB48D2"/>
    <w:rsid w:val="00DB4D5C"/>
    <w:rsid w:val="00DB4DC7"/>
    <w:rsid w:val="00DB5439"/>
    <w:rsid w:val="00DB5C9F"/>
    <w:rsid w:val="00DB6D4A"/>
    <w:rsid w:val="00DB6E00"/>
    <w:rsid w:val="00DB7B04"/>
    <w:rsid w:val="00DB7D99"/>
    <w:rsid w:val="00DB7E01"/>
    <w:rsid w:val="00DC0373"/>
    <w:rsid w:val="00DC0516"/>
    <w:rsid w:val="00DC063D"/>
    <w:rsid w:val="00DC09DF"/>
    <w:rsid w:val="00DC0B12"/>
    <w:rsid w:val="00DC0D1A"/>
    <w:rsid w:val="00DC0FBD"/>
    <w:rsid w:val="00DC1355"/>
    <w:rsid w:val="00DC143C"/>
    <w:rsid w:val="00DC14E3"/>
    <w:rsid w:val="00DC2DAB"/>
    <w:rsid w:val="00DC31B8"/>
    <w:rsid w:val="00DC3366"/>
    <w:rsid w:val="00DC33DD"/>
    <w:rsid w:val="00DC407D"/>
    <w:rsid w:val="00DC4674"/>
    <w:rsid w:val="00DC47C3"/>
    <w:rsid w:val="00DC539A"/>
    <w:rsid w:val="00DC59F1"/>
    <w:rsid w:val="00DC5D4C"/>
    <w:rsid w:val="00DC5DA3"/>
    <w:rsid w:val="00DC5DBA"/>
    <w:rsid w:val="00DC5EC3"/>
    <w:rsid w:val="00DC6110"/>
    <w:rsid w:val="00DC6DD3"/>
    <w:rsid w:val="00DC7843"/>
    <w:rsid w:val="00DC788B"/>
    <w:rsid w:val="00DC78E9"/>
    <w:rsid w:val="00DC79EF"/>
    <w:rsid w:val="00DC7D78"/>
    <w:rsid w:val="00DD05EA"/>
    <w:rsid w:val="00DD0A74"/>
    <w:rsid w:val="00DD0FCE"/>
    <w:rsid w:val="00DD1983"/>
    <w:rsid w:val="00DD1C4B"/>
    <w:rsid w:val="00DD1C65"/>
    <w:rsid w:val="00DD1DA2"/>
    <w:rsid w:val="00DD30A9"/>
    <w:rsid w:val="00DD31A8"/>
    <w:rsid w:val="00DD355B"/>
    <w:rsid w:val="00DD35BC"/>
    <w:rsid w:val="00DD38D6"/>
    <w:rsid w:val="00DD3928"/>
    <w:rsid w:val="00DD3D37"/>
    <w:rsid w:val="00DD4084"/>
    <w:rsid w:val="00DD4108"/>
    <w:rsid w:val="00DD4257"/>
    <w:rsid w:val="00DD43C1"/>
    <w:rsid w:val="00DD443E"/>
    <w:rsid w:val="00DD4488"/>
    <w:rsid w:val="00DD4906"/>
    <w:rsid w:val="00DD4B7F"/>
    <w:rsid w:val="00DD4BC1"/>
    <w:rsid w:val="00DD4CC6"/>
    <w:rsid w:val="00DD4EB3"/>
    <w:rsid w:val="00DD5707"/>
    <w:rsid w:val="00DD5C4C"/>
    <w:rsid w:val="00DD5D97"/>
    <w:rsid w:val="00DD5DC0"/>
    <w:rsid w:val="00DD625A"/>
    <w:rsid w:val="00DD6A79"/>
    <w:rsid w:val="00DD6BAB"/>
    <w:rsid w:val="00DD7686"/>
    <w:rsid w:val="00DD7FAF"/>
    <w:rsid w:val="00DE01B2"/>
    <w:rsid w:val="00DE048C"/>
    <w:rsid w:val="00DE12EF"/>
    <w:rsid w:val="00DE12F1"/>
    <w:rsid w:val="00DE1D7E"/>
    <w:rsid w:val="00DE2023"/>
    <w:rsid w:val="00DE2141"/>
    <w:rsid w:val="00DE22B8"/>
    <w:rsid w:val="00DE29DD"/>
    <w:rsid w:val="00DE30D9"/>
    <w:rsid w:val="00DE3356"/>
    <w:rsid w:val="00DE35DC"/>
    <w:rsid w:val="00DE379C"/>
    <w:rsid w:val="00DE3C8E"/>
    <w:rsid w:val="00DE3D5B"/>
    <w:rsid w:val="00DE49E1"/>
    <w:rsid w:val="00DE4A39"/>
    <w:rsid w:val="00DE4C04"/>
    <w:rsid w:val="00DE517F"/>
    <w:rsid w:val="00DE5233"/>
    <w:rsid w:val="00DE5BAD"/>
    <w:rsid w:val="00DE5C17"/>
    <w:rsid w:val="00DE675E"/>
    <w:rsid w:val="00DE6920"/>
    <w:rsid w:val="00DE6A39"/>
    <w:rsid w:val="00DE6BD6"/>
    <w:rsid w:val="00DE702A"/>
    <w:rsid w:val="00DE75C7"/>
    <w:rsid w:val="00DE7815"/>
    <w:rsid w:val="00DE7843"/>
    <w:rsid w:val="00DF0897"/>
    <w:rsid w:val="00DF09AB"/>
    <w:rsid w:val="00DF0B1B"/>
    <w:rsid w:val="00DF0FF0"/>
    <w:rsid w:val="00DF140B"/>
    <w:rsid w:val="00DF146A"/>
    <w:rsid w:val="00DF15D9"/>
    <w:rsid w:val="00DF15F9"/>
    <w:rsid w:val="00DF2104"/>
    <w:rsid w:val="00DF2465"/>
    <w:rsid w:val="00DF28C7"/>
    <w:rsid w:val="00DF2967"/>
    <w:rsid w:val="00DF2C6E"/>
    <w:rsid w:val="00DF2FB7"/>
    <w:rsid w:val="00DF2FF8"/>
    <w:rsid w:val="00DF3658"/>
    <w:rsid w:val="00DF3786"/>
    <w:rsid w:val="00DF3AAE"/>
    <w:rsid w:val="00DF3AE7"/>
    <w:rsid w:val="00DF41EC"/>
    <w:rsid w:val="00DF4205"/>
    <w:rsid w:val="00DF46E6"/>
    <w:rsid w:val="00DF4F30"/>
    <w:rsid w:val="00DF5260"/>
    <w:rsid w:val="00DF5701"/>
    <w:rsid w:val="00DF5767"/>
    <w:rsid w:val="00DF5BAD"/>
    <w:rsid w:val="00DF5DE8"/>
    <w:rsid w:val="00DF6347"/>
    <w:rsid w:val="00DF6630"/>
    <w:rsid w:val="00DF665A"/>
    <w:rsid w:val="00DF670B"/>
    <w:rsid w:val="00DF6F9A"/>
    <w:rsid w:val="00DF7EE3"/>
    <w:rsid w:val="00DF7FBE"/>
    <w:rsid w:val="00E0012D"/>
    <w:rsid w:val="00E00306"/>
    <w:rsid w:val="00E005D6"/>
    <w:rsid w:val="00E00B9F"/>
    <w:rsid w:val="00E00C75"/>
    <w:rsid w:val="00E01719"/>
    <w:rsid w:val="00E017EF"/>
    <w:rsid w:val="00E021AE"/>
    <w:rsid w:val="00E02BC0"/>
    <w:rsid w:val="00E02BCD"/>
    <w:rsid w:val="00E035DE"/>
    <w:rsid w:val="00E036BC"/>
    <w:rsid w:val="00E03971"/>
    <w:rsid w:val="00E03E23"/>
    <w:rsid w:val="00E03E3D"/>
    <w:rsid w:val="00E03EA3"/>
    <w:rsid w:val="00E040CD"/>
    <w:rsid w:val="00E040D7"/>
    <w:rsid w:val="00E047F7"/>
    <w:rsid w:val="00E04D11"/>
    <w:rsid w:val="00E04D55"/>
    <w:rsid w:val="00E0560C"/>
    <w:rsid w:val="00E05761"/>
    <w:rsid w:val="00E05963"/>
    <w:rsid w:val="00E06822"/>
    <w:rsid w:val="00E06F9A"/>
    <w:rsid w:val="00E070AE"/>
    <w:rsid w:val="00E07148"/>
    <w:rsid w:val="00E073EC"/>
    <w:rsid w:val="00E07FCE"/>
    <w:rsid w:val="00E10184"/>
    <w:rsid w:val="00E10300"/>
    <w:rsid w:val="00E10469"/>
    <w:rsid w:val="00E10671"/>
    <w:rsid w:val="00E10774"/>
    <w:rsid w:val="00E113F4"/>
    <w:rsid w:val="00E11E2E"/>
    <w:rsid w:val="00E12A3D"/>
    <w:rsid w:val="00E12CF0"/>
    <w:rsid w:val="00E12DB6"/>
    <w:rsid w:val="00E131DF"/>
    <w:rsid w:val="00E14245"/>
    <w:rsid w:val="00E144D7"/>
    <w:rsid w:val="00E14AF5"/>
    <w:rsid w:val="00E14AFA"/>
    <w:rsid w:val="00E15341"/>
    <w:rsid w:val="00E15524"/>
    <w:rsid w:val="00E15584"/>
    <w:rsid w:val="00E15754"/>
    <w:rsid w:val="00E15A1B"/>
    <w:rsid w:val="00E15B97"/>
    <w:rsid w:val="00E1600D"/>
    <w:rsid w:val="00E16AC2"/>
    <w:rsid w:val="00E16AF0"/>
    <w:rsid w:val="00E16B35"/>
    <w:rsid w:val="00E16BF7"/>
    <w:rsid w:val="00E16C9A"/>
    <w:rsid w:val="00E16CBE"/>
    <w:rsid w:val="00E16CEE"/>
    <w:rsid w:val="00E175C1"/>
    <w:rsid w:val="00E17A8C"/>
    <w:rsid w:val="00E17B42"/>
    <w:rsid w:val="00E17D92"/>
    <w:rsid w:val="00E17EEB"/>
    <w:rsid w:val="00E201D5"/>
    <w:rsid w:val="00E202BC"/>
    <w:rsid w:val="00E20A6E"/>
    <w:rsid w:val="00E2199B"/>
    <w:rsid w:val="00E21E3C"/>
    <w:rsid w:val="00E227FF"/>
    <w:rsid w:val="00E2299C"/>
    <w:rsid w:val="00E232BF"/>
    <w:rsid w:val="00E23545"/>
    <w:rsid w:val="00E23E7E"/>
    <w:rsid w:val="00E23FAE"/>
    <w:rsid w:val="00E240B6"/>
    <w:rsid w:val="00E24323"/>
    <w:rsid w:val="00E247D1"/>
    <w:rsid w:val="00E2526C"/>
    <w:rsid w:val="00E25369"/>
    <w:rsid w:val="00E254B3"/>
    <w:rsid w:val="00E264B6"/>
    <w:rsid w:val="00E26573"/>
    <w:rsid w:val="00E26E07"/>
    <w:rsid w:val="00E26E29"/>
    <w:rsid w:val="00E27334"/>
    <w:rsid w:val="00E2772D"/>
    <w:rsid w:val="00E2790C"/>
    <w:rsid w:val="00E27ACA"/>
    <w:rsid w:val="00E27BED"/>
    <w:rsid w:val="00E27D1F"/>
    <w:rsid w:val="00E3044C"/>
    <w:rsid w:val="00E30656"/>
    <w:rsid w:val="00E30BEA"/>
    <w:rsid w:val="00E317FA"/>
    <w:rsid w:val="00E320DD"/>
    <w:rsid w:val="00E322C6"/>
    <w:rsid w:val="00E32BCB"/>
    <w:rsid w:val="00E32C7D"/>
    <w:rsid w:val="00E32DB5"/>
    <w:rsid w:val="00E32FFB"/>
    <w:rsid w:val="00E33401"/>
    <w:rsid w:val="00E3371A"/>
    <w:rsid w:val="00E3378B"/>
    <w:rsid w:val="00E338C8"/>
    <w:rsid w:val="00E33B27"/>
    <w:rsid w:val="00E3405E"/>
    <w:rsid w:val="00E34AE0"/>
    <w:rsid w:val="00E35472"/>
    <w:rsid w:val="00E35653"/>
    <w:rsid w:val="00E358A0"/>
    <w:rsid w:val="00E35D80"/>
    <w:rsid w:val="00E3663E"/>
    <w:rsid w:val="00E3670A"/>
    <w:rsid w:val="00E36A26"/>
    <w:rsid w:val="00E36DDF"/>
    <w:rsid w:val="00E36EB1"/>
    <w:rsid w:val="00E36F94"/>
    <w:rsid w:val="00E3745C"/>
    <w:rsid w:val="00E37B41"/>
    <w:rsid w:val="00E40AB0"/>
    <w:rsid w:val="00E40C03"/>
    <w:rsid w:val="00E40F04"/>
    <w:rsid w:val="00E4140E"/>
    <w:rsid w:val="00E416EF"/>
    <w:rsid w:val="00E41869"/>
    <w:rsid w:val="00E41B1C"/>
    <w:rsid w:val="00E41ED0"/>
    <w:rsid w:val="00E41F78"/>
    <w:rsid w:val="00E42A28"/>
    <w:rsid w:val="00E42B2F"/>
    <w:rsid w:val="00E4374B"/>
    <w:rsid w:val="00E43BA4"/>
    <w:rsid w:val="00E43F6F"/>
    <w:rsid w:val="00E441C6"/>
    <w:rsid w:val="00E44270"/>
    <w:rsid w:val="00E448E4"/>
    <w:rsid w:val="00E44B1C"/>
    <w:rsid w:val="00E45ADB"/>
    <w:rsid w:val="00E45E6B"/>
    <w:rsid w:val="00E45E9C"/>
    <w:rsid w:val="00E464B9"/>
    <w:rsid w:val="00E467A5"/>
    <w:rsid w:val="00E46B99"/>
    <w:rsid w:val="00E46DA7"/>
    <w:rsid w:val="00E46E3E"/>
    <w:rsid w:val="00E470CF"/>
    <w:rsid w:val="00E470EE"/>
    <w:rsid w:val="00E4714D"/>
    <w:rsid w:val="00E47298"/>
    <w:rsid w:val="00E4753E"/>
    <w:rsid w:val="00E4790D"/>
    <w:rsid w:val="00E47D02"/>
    <w:rsid w:val="00E503BC"/>
    <w:rsid w:val="00E508B0"/>
    <w:rsid w:val="00E50AF2"/>
    <w:rsid w:val="00E50D3A"/>
    <w:rsid w:val="00E51208"/>
    <w:rsid w:val="00E51789"/>
    <w:rsid w:val="00E517B4"/>
    <w:rsid w:val="00E51BF4"/>
    <w:rsid w:val="00E51EEC"/>
    <w:rsid w:val="00E529A9"/>
    <w:rsid w:val="00E52AFC"/>
    <w:rsid w:val="00E534AD"/>
    <w:rsid w:val="00E534C8"/>
    <w:rsid w:val="00E53552"/>
    <w:rsid w:val="00E535DA"/>
    <w:rsid w:val="00E53729"/>
    <w:rsid w:val="00E53A17"/>
    <w:rsid w:val="00E53BCF"/>
    <w:rsid w:val="00E54075"/>
    <w:rsid w:val="00E548D9"/>
    <w:rsid w:val="00E54CFB"/>
    <w:rsid w:val="00E55259"/>
    <w:rsid w:val="00E55487"/>
    <w:rsid w:val="00E561A3"/>
    <w:rsid w:val="00E562CA"/>
    <w:rsid w:val="00E562DD"/>
    <w:rsid w:val="00E56637"/>
    <w:rsid w:val="00E56726"/>
    <w:rsid w:val="00E56C20"/>
    <w:rsid w:val="00E56DF5"/>
    <w:rsid w:val="00E56F0C"/>
    <w:rsid w:val="00E5762C"/>
    <w:rsid w:val="00E57A6C"/>
    <w:rsid w:val="00E57AED"/>
    <w:rsid w:val="00E57CE8"/>
    <w:rsid w:val="00E6009C"/>
    <w:rsid w:val="00E6016F"/>
    <w:rsid w:val="00E6041C"/>
    <w:rsid w:val="00E60435"/>
    <w:rsid w:val="00E60641"/>
    <w:rsid w:val="00E6073E"/>
    <w:rsid w:val="00E607E4"/>
    <w:rsid w:val="00E60D5F"/>
    <w:rsid w:val="00E60ECB"/>
    <w:rsid w:val="00E61203"/>
    <w:rsid w:val="00E61456"/>
    <w:rsid w:val="00E614F8"/>
    <w:rsid w:val="00E6224D"/>
    <w:rsid w:val="00E62313"/>
    <w:rsid w:val="00E6238A"/>
    <w:rsid w:val="00E62AF2"/>
    <w:rsid w:val="00E6341B"/>
    <w:rsid w:val="00E635DB"/>
    <w:rsid w:val="00E63734"/>
    <w:rsid w:val="00E63A23"/>
    <w:rsid w:val="00E64534"/>
    <w:rsid w:val="00E64886"/>
    <w:rsid w:val="00E64ABD"/>
    <w:rsid w:val="00E64CF1"/>
    <w:rsid w:val="00E64E79"/>
    <w:rsid w:val="00E6521A"/>
    <w:rsid w:val="00E6578E"/>
    <w:rsid w:val="00E65BA6"/>
    <w:rsid w:val="00E662ED"/>
    <w:rsid w:val="00E663D4"/>
    <w:rsid w:val="00E66830"/>
    <w:rsid w:val="00E67346"/>
    <w:rsid w:val="00E678F2"/>
    <w:rsid w:val="00E679A9"/>
    <w:rsid w:val="00E67D25"/>
    <w:rsid w:val="00E70051"/>
    <w:rsid w:val="00E7027F"/>
    <w:rsid w:val="00E703B1"/>
    <w:rsid w:val="00E7042B"/>
    <w:rsid w:val="00E70583"/>
    <w:rsid w:val="00E70A14"/>
    <w:rsid w:val="00E70D03"/>
    <w:rsid w:val="00E70D7B"/>
    <w:rsid w:val="00E70DDB"/>
    <w:rsid w:val="00E710A3"/>
    <w:rsid w:val="00E7146F"/>
    <w:rsid w:val="00E71BDB"/>
    <w:rsid w:val="00E721AA"/>
    <w:rsid w:val="00E7237B"/>
    <w:rsid w:val="00E7247D"/>
    <w:rsid w:val="00E7276F"/>
    <w:rsid w:val="00E727D1"/>
    <w:rsid w:val="00E72AC1"/>
    <w:rsid w:val="00E72D40"/>
    <w:rsid w:val="00E73F31"/>
    <w:rsid w:val="00E74545"/>
    <w:rsid w:val="00E74967"/>
    <w:rsid w:val="00E74B54"/>
    <w:rsid w:val="00E75154"/>
    <w:rsid w:val="00E751B7"/>
    <w:rsid w:val="00E75BB1"/>
    <w:rsid w:val="00E75BDA"/>
    <w:rsid w:val="00E75E8A"/>
    <w:rsid w:val="00E76219"/>
    <w:rsid w:val="00E76284"/>
    <w:rsid w:val="00E765CF"/>
    <w:rsid w:val="00E76F4E"/>
    <w:rsid w:val="00E771BF"/>
    <w:rsid w:val="00E77435"/>
    <w:rsid w:val="00E7759E"/>
    <w:rsid w:val="00E77AF1"/>
    <w:rsid w:val="00E77C0F"/>
    <w:rsid w:val="00E80568"/>
    <w:rsid w:val="00E8094D"/>
    <w:rsid w:val="00E80E9C"/>
    <w:rsid w:val="00E810F5"/>
    <w:rsid w:val="00E81193"/>
    <w:rsid w:val="00E81197"/>
    <w:rsid w:val="00E816E4"/>
    <w:rsid w:val="00E818AD"/>
    <w:rsid w:val="00E81EDF"/>
    <w:rsid w:val="00E82ABB"/>
    <w:rsid w:val="00E82DD9"/>
    <w:rsid w:val="00E83048"/>
    <w:rsid w:val="00E83596"/>
    <w:rsid w:val="00E83945"/>
    <w:rsid w:val="00E83B8D"/>
    <w:rsid w:val="00E83EAD"/>
    <w:rsid w:val="00E84E3E"/>
    <w:rsid w:val="00E852F2"/>
    <w:rsid w:val="00E855EA"/>
    <w:rsid w:val="00E8648B"/>
    <w:rsid w:val="00E866A3"/>
    <w:rsid w:val="00E86791"/>
    <w:rsid w:val="00E867C8"/>
    <w:rsid w:val="00E86A57"/>
    <w:rsid w:val="00E86AAC"/>
    <w:rsid w:val="00E86D23"/>
    <w:rsid w:val="00E86DFD"/>
    <w:rsid w:val="00E87061"/>
    <w:rsid w:val="00E8713A"/>
    <w:rsid w:val="00E8730A"/>
    <w:rsid w:val="00E8743C"/>
    <w:rsid w:val="00E87B45"/>
    <w:rsid w:val="00E87D1B"/>
    <w:rsid w:val="00E87E51"/>
    <w:rsid w:val="00E90D31"/>
    <w:rsid w:val="00E911A7"/>
    <w:rsid w:val="00E91373"/>
    <w:rsid w:val="00E919DF"/>
    <w:rsid w:val="00E92987"/>
    <w:rsid w:val="00E9348E"/>
    <w:rsid w:val="00E93E46"/>
    <w:rsid w:val="00E94D67"/>
    <w:rsid w:val="00E94F63"/>
    <w:rsid w:val="00E95465"/>
    <w:rsid w:val="00E9546E"/>
    <w:rsid w:val="00E9590E"/>
    <w:rsid w:val="00E95A9A"/>
    <w:rsid w:val="00E95E16"/>
    <w:rsid w:val="00E96359"/>
    <w:rsid w:val="00E9641C"/>
    <w:rsid w:val="00E965FF"/>
    <w:rsid w:val="00E96B33"/>
    <w:rsid w:val="00E97276"/>
    <w:rsid w:val="00E976A9"/>
    <w:rsid w:val="00E97EA4"/>
    <w:rsid w:val="00EA0F16"/>
    <w:rsid w:val="00EA0F5D"/>
    <w:rsid w:val="00EA1167"/>
    <w:rsid w:val="00EA14D6"/>
    <w:rsid w:val="00EA21EA"/>
    <w:rsid w:val="00EA266B"/>
    <w:rsid w:val="00EA2AB9"/>
    <w:rsid w:val="00EA2C2F"/>
    <w:rsid w:val="00EA2D35"/>
    <w:rsid w:val="00EA3902"/>
    <w:rsid w:val="00EA3A27"/>
    <w:rsid w:val="00EA3E92"/>
    <w:rsid w:val="00EA43F9"/>
    <w:rsid w:val="00EA4583"/>
    <w:rsid w:val="00EA459A"/>
    <w:rsid w:val="00EA4D1C"/>
    <w:rsid w:val="00EA507A"/>
    <w:rsid w:val="00EA5638"/>
    <w:rsid w:val="00EA5C75"/>
    <w:rsid w:val="00EA63BE"/>
    <w:rsid w:val="00EA762F"/>
    <w:rsid w:val="00EA77A5"/>
    <w:rsid w:val="00EA7B91"/>
    <w:rsid w:val="00EA7D95"/>
    <w:rsid w:val="00EB0851"/>
    <w:rsid w:val="00EB187F"/>
    <w:rsid w:val="00EB1EEE"/>
    <w:rsid w:val="00EB281D"/>
    <w:rsid w:val="00EB2945"/>
    <w:rsid w:val="00EB2B78"/>
    <w:rsid w:val="00EB3200"/>
    <w:rsid w:val="00EB32F2"/>
    <w:rsid w:val="00EB3765"/>
    <w:rsid w:val="00EB38B1"/>
    <w:rsid w:val="00EB4650"/>
    <w:rsid w:val="00EB4756"/>
    <w:rsid w:val="00EB482B"/>
    <w:rsid w:val="00EB49A5"/>
    <w:rsid w:val="00EB49E8"/>
    <w:rsid w:val="00EB550C"/>
    <w:rsid w:val="00EB556D"/>
    <w:rsid w:val="00EB577B"/>
    <w:rsid w:val="00EB596C"/>
    <w:rsid w:val="00EB5C73"/>
    <w:rsid w:val="00EB5D45"/>
    <w:rsid w:val="00EB5DA1"/>
    <w:rsid w:val="00EB5E40"/>
    <w:rsid w:val="00EB5F04"/>
    <w:rsid w:val="00EB602B"/>
    <w:rsid w:val="00EB62D9"/>
    <w:rsid w:val="00EB6541"/>
    <w:rsid w:val="00EB67B8"/>
    <w:rsid w:val="00EB6895"/>
    <w:rsid w:val="00EB7D69"/>
    <w:rsid w:val="00EB7FC8"/>
    <w:rsid w:val="00EB7FFB"/>
    <w:rsid w:val="00EC008B"/>
    <w:rsid w:val="00EC018D"/>
    <w:rsid w:val="00EC06C4"/>
    <w:rsid w:val="00EC13BA"/>
    <w:rsid w:val="00EC1870"/>
    <w:rsid w:val="00EC18B4"/>
    <w:rsid w:val="00EC19BF"/>
    <w:rsid w:val="00EC1BDC"/>
    <w:rsid w:val="00EC1D0E"/>
    <w:rsid w:val="00EC22D4"/>
    <w:rsid w:val="00EC23B5"/>
    <w:rsid w:val="00EC2541"/>
    <w:rsid w:val="00EC2D49"/>
    <w:rsid w:val="00EC368C"/>
    <w:rsid w:val="00EC372F"/>
    <w:rsid w:val="00EC4605"/>
    <w:rsid w:val="00EC466E"/>
    <w:rsid w:val="00EC4BD9"/>
    <w:rsid w:val="00EC4D96"/>
    <w:rsid w:val="00EC4DC0"/>
    <w:rsid w:val="00EC4E55"/>
    <w:rsid w:val="00EC5018"/>
    <w:rsid w:val="00EC58D9"/>
    <w:rsid w:val="00EC5937"/>
    <w:rsid w:val="00EC5C17"/>
    <w:rsid w:val="00EC6137"/>
    <w:rsid w:val="00EC61EA"/>
    <w:rsid w:val="00EC6365"/>
    <w:rsid w:val="00EC64E5"/>
    <w:rsid w:val="00EC64EF"/>
    <w:rsid w:val="00EC661F"/>
    <w:rsid w:val="00EC69FD"/>
    <w:rsid w:val="00EC6BE7"/>
    <w:rsid w:val="00EC6CFA"/>
    <w:rsid w:val="00EC6F24"/>
    <w:rsid w:val="00EC71E9"/>
    <w:rsid w:val="00EC75C1"/>
    <w:rsid w:val="00EC7D3D"/>
    <w:rsid w:val="00EC7EBC"/>
    <w:rsid w:val="00EC7FF8"/>
    <w:rsid w:val="00ED011E"/>
    <w:rsid w:val="00ED02F9"/>
    <w:rsid w:val="00ED03B9"/>
    <w:rsid w:val="00ED0687"/>
    <w:rsid w:val="00ED0E36"/>
    <w:rsid w:val="00ED0F49"/>
    <w:rsid w:val="00ED0FB1"/>
    <w:rsid w:val="00ED0FD6"/>
    <w:rsid w:val="00ED16A1"/>
    <w:rsid w:val="00ED1EC5"/>
    <w:rsid w:val="00ED21C6"/>
    <w:rsid w:val="00ED2A95"/>
    <w:rsid w:val="00ED2C31"/>
    <w:rsid w:val="00ED2D28"/>
    <w:rsid w:val="00ED2E07"/>
    <w:rsid w:val="00ED2FC1"/>
    <w:rsid w:val="00ED35C5"/>
    <w:rsid w:val="00ED3A76"/>
    <w:rsid w:val="00ED3FA7"/>
    <w:rsid w:val="00ED4084"/>
    <w:rsid w:val="00ED45E6"/>
    <w:rsid w:val="00ED467F"/>
    <w:rsid w:val="00ED485D"/>
    <w:rsid w:val="00ED4867"/>
    <w:rsid w:val="00ED4CC3"/>
    <w:rsid w:val="00ED51AF"/>
    <w:rsid w:val="00ED55D0"/>
    <w:rsid w:val="00ED5A3D"/>
    <w:rsid w:val="00ED5AF0"/>
    <w:rsid w:val="00ED5BED"/>
    <w:rsid w:val="00ED632A"/>
    <w:rsid w:val="00ED6746"/>
    <w:rsid w:val="00ED6D3F"/>
    <w:rsid w:val="00ED6F87"/>
    <w:rsid w:val="00ED762A"/>
    <w:rsid w:val="00ED7909"/>
    <w:rsid w:val="00EE0804"/>
    <w:rsid w:val="00EE0C4D"/>
    <w:rsid w:val="00EE193B"/>
    <w:rsid w:val="00EE2247"/>
    <w:rsid w:val="00EE2946"/>
    <w:rsid w:val="00EE2B19"/>
    <w:rsid w:val="00EE2B3A"/>
    <w:rsid w:val="00EE2DA6"/>
    <w:rsid w:val="00EE3005"/>
    <w:rsid w:val="00EE32E9"/>
    <w:rsid w:val="00EE3C33"/>
    <w:rsid w:val="00EE4015"/>
    <w:rsid w:val="00EE45CC"/>
    <w:rsid w:val="00EE45F4"/>
    <w:rsid w:val="00EE4BAA"/>
    <w:rsid w:val="00EE510D"/>
    <w:rsid w:val="00EE530B"/>
    <w:rsid w:val="00EE5570"/>
    <w:rsid w:val="00EE55A2"/>
    <w:rsid w:val="00EE5972"/>
    <w:rsid w:val="00EE5A73"/>
    <w:rsid w:val="00EE5B0F"/>
    <w:rsid w:val="00EE5D30"/>
    <w:rsid w:val="00EE6066"/>
    <w:rsid w:val="00EE624B"/>
    <w:rsid w:val="00EE66CA"/>
    <w:rsid w:val="00EE6DC5"/>
    <w:rsid w:val="00EE741F"/>
    <w:rsid w:val="00EE7913"/>
    <w:rsid w:val="00EF0140"/>
    <w:rsid w:val="00EF03CE"/>
    <w:rsid w:val="00EF042B"/>
    <w:rsid w:val="00EF0793"/>
    <w:rsid w:val="00EF0D27"/>
    <w:rsid w:val="00EF0E09"/>
    <w:rsid w:val="00EF1168"/>
    <w:rsid w:val="00EF1413"/>
    <w:rsid w:val="00EF152C"/>
    <w:rsid w:val="00EF1565"/>
    <w:rsid w:val="00EF16A1"/>
    <w:rsid w:val="00EF1983"/>
    <w:rsid w:val="00EF1F2F"/>
    <w:rsid w:val="00EF2174"/>
    <w:rsid w:val="00EF265C"/>
    <w:rsid w:val="00EF284A"/>
    <w:rsid w:val="00EF298C"/>
    <w:rsid w:val="00EF2EC0"/>
    <w:rsid w:val="00EF32AD"/>
    <w:rsid w:val="00EF3895"/>
    <w:rsid w:val="00EF3AEC"/>
    <w:rsid w:val="00EF3D1C"/>
    <w:rsid w:val="00EF4997"/>
    <w:rsid w:val="00EF4E17"/>
    <w:rsid w:val="00EF588D"/>
    <w:rsid w:val="00EF5A1C"/>
    <w:rsid w:val="00EF5AE6"/>
    <w:rsid w:val="00EF5B14"/>
    <w:rsid w:val="00EF5DE6"/>
    <w:rsid w:val="00EF64EA"/>
    <w:rsid w:val="00EF66FA"/>
    <w:rsid w:val="00EF7234"/>
    <w:rsid w:val="00EF75F3"/>
    <w:rsid w:val="00F000E7"/>
    <w:rsid w:val="00F0017D"/>
    <w:rsid w:val="00F00BDF"/>
    <w:rsid w:val="00F01674"/>
    <w:rsid w:val="00F017B9"/>
    <w:rsid w:val="00F01CA9"/>
    <w:rsid w:val="00F023C7"/>
    <w:rsid w:val="00F027F6"/>
    <w:rsid w:val="00F02BE1"/>
    <w:rsid w:val="00F02EE0"/>
    <w:rsid w:val="00F03237"/>
    <w:rsid w:val="00F033C3"/>
    <w:rsid w:val="00F0482E"/>
    <w:rsid w:val="00F04869"/>
    <w:rsid w:val="00F048F3"/>
    <w:rsid w:val="00F04CF2"/>
    <w:rsid w:val="00F05574"/>
    <w:rsid w:val="00F056C2"/>
    <w:rsid w:val="00F063CB"/>
    <w:rsid w:val="00F06740"/>
    <w:rsid w:val="00F067DB"/>
    <w:rsid w:val="00F0685F"/>
    <w:rsid w:val="00F06B96"/>
    <w:rsid w:val="00F07152"/>
    <w:rsid w:val="00F07257"/>
    <w:rsid w:val="00F07666"/>
    <w:rsid w:val="00F07F6B"/>
    <w:rsid w:val="00F07FE2"/>
    <w:rsid w:val="00F1035B"/>
    <w:rsid w:val="00F104AA"/>
    <w:rsid w:val="00F10535"/>
    <w:rsid w:val="00F1066F"/>
    <w:rsid w:val="00F10823"/>
    <w:rsid w:val="00F10AE1"/>
    <w:rsid w:val="00F10B59"/>
    <w:rsid w:val="00F10D68"/>
    <w:rsid w:val="00F10E24"/>
    <w:rsid w:val="00F10FF7"/>
    <w:rsid w:val="00F11039"/>
    <w:rsid w:val="00F1118C"/>
    <w:rsid w:val="00F111A3"/>
    <w:rsid w:val="00F11789"/>
    <w:rsid w:val="00F11A33"/>
    <w:rsid w:val="00F11F9F"/>
    <w:rsid w:val="00F120A9"/>
    <w:rsid w:val="00F120C2"/>
    <w:rsid w:val="00F12326"/>
    <w:rsid w:val="00F12463"/>
    <w:rsid w:val="00F12B39"/>
    <w:rsid w:val="00F12DA9"/>
    <w:rsid w:val="00F130B8"/>
    <w:rsid w:val="00F1383E"/>
    <w:rsid w:val="00F13D42"/>
    <w:rsid w:val="00F13F6E"/>
    <w:rsid w:val="00F14582"/>
    <w:rsid w:val="00F149DA"/>
    <w:rsid w:val="00F14A01"/>
    <w:rsid w:val="00F14A75"/>
    <w:rsid w:val="00F14DCC"/>
    <w:rsid w:val="00F15126"/>
    <w:rsid w:val="00F1586E"/>
    <w:rsid w:val="00F15D24"/>
    <w:rsid w:val="00F15D51"/>
    <w:rsid w:val="00F15E51"/>
    <w:rsid w:val="00F16169"/>
    <w:rsid w:val="00F16311"/>
    <w:rsid w:val="00F1641B"/>
    <w:rsid w:val="00F1655D"/>
    <w:rsid w:val="00F16C80"/>
    <w:rsid w:val="00F16E0D"/>
    <w:rsid w:val="00F1749D"/>
    <w:rsid w:val="00F175B8"/>
    <w:rsid w:val="00F1768A"/>
    <w:rsid w:val="00F1798C"/>
    <w:rsid w:val="00F205D6"/>
    <w:rsid w:val="00F2072A"/>
    <w:rsid w:val="00F20B20"/>
    <w:rsid w:val="00F20F78"/>
    <w:rsid w:val="00F21361"/>
    <w:rsid w:val="00F228AA"/>
    <w:rsid w:val="00F22FF5"/>
    <w:rsid w:val="00F2322A"/>
    <w:rsid w:val="00F233E9"/>
    <w:rsid w:val="00F23833"/>
    <w:rsid w:val="00F2410E"/>
    <w:rsid w:val="00F24414"/>
    <w:rsid w:val="00F245EF"/>
    <w:rsid w:val="00F24883"/>
    <w:rsid w:val="00F25008"/>
    <w:rsid w:val="00F25363"/>
    <w:rsid w:val="00F25459"/>
    <w:rsid w:val="00F2570C"/>
    <w:rsid w:val="00F25C96"/>
    <w:rsid w:val="00F25CCE"/>
    <w:rsid w:val="00F261DC"/>
    <w:rsid w:val="00F265FC"/>
    <w:rsid w:val="00F26792"/>
    <w:rsid w:val="00F26F5B"/>
    <w:rsid w:val="00F27159"/>
    <w:rsid w:val="00F27199"/>
    <w:rsid w:val="00F27413"/>
    <w:rsid w:val="00F27506"/>
    <w:rsid w:val="00F27AD4"/>
    <w:rsid w:val="00F30C00"/>
    <w:rsid w:val="00F30F21"/>
    <w:rsid w:val="00F316BC"/>
    <w:rsid w:val="00F31FFB"/>
    <w:rsid w:val="00F32053"/>
    <w:rsid w:val="00F32059"/>
    <w:rsid w:val="00F32168"/>
    <w:rsid w:val="00F323C1"/>
    <w:rsid w:val="00F32D8B"/>
    <w:rsid w:val="00F33128"/>
    <w:rsid w:val="00F3364B"/>
    <w:rsid w:val="00F33E33"/>
    <w:rsid w:val="00F3442F"/>
    <w:rsid w:val="00F344C6"/>
    <w:rsid w:val="00F344C9"/>
    <w:rsid w:val="00F345DB"/>
    <w:rsid w:val="00F349E6"/>
    <w:rsid w:val="00F35102"/>
    <w:rsid w:val="00F352FB"/>
    <w:rsid w:val="00F35858"/>
    <w:rsid w:val="00F35C7A"/>
    <w:rsid w:val="00F36273"/>
    <w:rsid w:val="00F36584"/>
    <w:rsid w:val="00F36A42"/>
    <w:rsid w:val="00F36CDE"/>
    <w:rsid w:val="00F373CD"/>
    <w:rsid w:val="00F3744F"/>
    <w:rsid w:val="00F37661"/>
    <w:rsid w:val="00F37A28"/>
    <w:rsid w:val="00F41036"/>
    <w:rsid w:val="00F4114C"/>
    <w:rsid w:val="00F4119E"/>
    <w:rsid w:val="00F41A4B"/>
    <w:rsid w:val="00F4252F"/>
    <w:rsid w:val="00F4270D"/>
    <w:rsid w:val="00F4295E"/>
    <w:rsid w:val="00F42AC0"/>
    <w:rsid w:val="00F4334B"/>
    <w:rsid w:val="00F435B5"/>
    <w:rsid w:val="00F44565"/>
    <w:rsid w:val="00F44705"/>
    <w:rsid w:val="00F4474D"/>
    <w:rsid w:val="00F44E44"/>
    <w:rsid w:val="00F44E81"/>
    <w:rsid w:val="00F44F16"/>
    <w:rsid w:val="00F4512D"/>
    <w:rsid w:val="00F45276"/>
    <w:rsid w:val="00F4562D"/>
    <w:rsid w:val="00F45BB6"/>
    <w:rsid w:val="00F45E04"/>
    <w:rsid w:val="00F45EE3"/>
    <w:rsid w:val="00F465CD"/>
    <w:rsid w:val="00F4674F"/>
    <w:rsid w:val="00F4688F"/>
    <w:rsid w:val="00F4718A"/>
    <w:rsid w:val="00F474D6"/>
    <w:rsid w:val="00F47EA2"/>
    <w:rsid w:val="00F50402"/>
    <w:rsid w:val="00F505E3"/>
    <w:rsid w:val="00F5088D"/>
    <w:rsid w:val="00F50F65"/>
    <w:rsid w:val="00F50F97"/>
    <w:rsid w:val="00F5121D"/>
    <w:rsid w:val="00F519A5"/>
    <w:rsid w:val="00F519B9"/>
    <w:rsid w:val="00F51CC5"/>
    <w:rsid w:val="00F51D40"/>
    <w:rsid w:val="00F52445"/>
    <w:rsid w:val="00F524C4"/>
    <w:rsid w:val="00F52EA7"/>
    <w:rsid w:val="00F53193"/>
    <w:rsid w:val="00F53229"/>
    <w:rsid w:val="00F5328C"/>
    <w:rsid w:val="00F534BA"/>
    <w:rsid w:val="00F537DF"/>
    <w:rsid w:val="00F539DB"/>
    <w:rsid w:val="00F53D5C"/>
    <w:rsid w:val="00F53E7F"/>
    <w:rsid w:val="00F54194"/>
    <w:rsid w:val="00F548AE"/>
    <w:rsid w:val="00F54A58"/>
    <w:rsid w:val="00F54E21"/>
    <w:rsid w:val="00F555E7"/>
    <w:rsid w:val="00F55B60"/>
    <w:rsid w:val="00F55EB3"/>
    <w:rsid w:val="00F5680B"/>
    <w:rsid w:val="00F56826"/>
    <w:rsid w:val="00F56CEF"/>
    <w:rsid w:val="00F56E4C"/>
    <w:rsid w:val="00F5725B"/>
    <w:rsid w:val="00F57E19"/>
    <w:rsid w:val="00F57E46"/>
    <w:rsid w:val="00F60107"/>
    <w:rsid w:val="00F604AB"/>
    <w:rsid w:val="00F6053F"/>
    <w:rsid w:val="00F605E3"/>
    <w:rsid w:val="00F60633"/>
    <w:rsid w:val="00F607B7"/>
    <w:rsid w:val="00F6091C"/>
    <w:rsid w:val="00F60CA5"/>
    <w:rsid w:val="00F61070"/>
    <w:rsid w:val="00F61641"/>
    <w:rsid w:val="00F61911"/>
    <w:rsid w:val="00F62825"/>
    <w:rsid w:val="00F62826"/>
    <w:rsid w:val="00F62845"/>
    <w:rsid w:val="00F62B80"/>
    <w:rsid w:val="00F631AC"/>
    <w:rsid w:val="00F6333D"/>
    <w:rsid w:val="00F6349E"/>
    <w:rsid w:val="00F63523"/>
    <w:rsid w:val="00F64260"/>
    <w:rsid w:val="00F6434A"/>
    <w:rsid w:val="00F6496E"/>
    <w:rsid w:val="00F64A84"/>
    <w:rsid w:val="00F64D53"/>
    <w:rsid w:val="00F65530"/>
    <w:rsid w:val="00F656F6"/>
    <w:rsid w:val="00F65D87"/>
    <w:rsid w:val="00F65DB1"/>
    <w:rsid w:val="00F66846"/>
    <w:rsid w:val="00F66957"/>
    <w:rsid w:val="00F66D51"/>
    <w:rsid w:val="00F66E53"/>
    <w:rsid w:val="00F6747D"/>
    <w:rsid w:val="00F67A30"/>
    <w:rsid w:val="00F67CC1"/>
    <w:rsid w:val="00F702A2"/>
    <w:rsid w:val="00F703FB"/>
    <w:rsid w:val="00F70445"/>
    <w:rsid w:val="00F7083D"/>
    <w:rsid w:val="00F70882"/>
    <w:rsid w:val="00F70DEB"/>
    <w:rsid w:val="00F71B14"/>
    <w:rsid w:val="00F71D85"/>
    <w:rsid w:val="00F71D8B"/>
    <w:rsid w:val="00F72110"/>
    <w:rsid w:val="00F7224F"/>
    <w:rsid w:val="00F72B4A"/>
    <w:rsid w:val="00F7339A"/>
    <w:rsid w:val="00F733AA"/>
    <w:rsid w:val="00F738B5"/>
    <w:rsid w:val="00F739E6"/>
    <w:rsid w:val="00F73AC3"/>
    <w:rsid w:val="00F73F02"/>
    <w:rsid w:val="00F74D9C"/>
    <w:rsid w:val="00F75615"/>
    <w:rsid w:val="00F75797"/>
    <w:rsid w:val="00F75A38"/>
    <w:rsid w:val="00F75F02"/>
    <w:rsid w:val="00F76182"/>
    <w:rsid w:val="00F7623D"/>
    <w:rsid w:val="00F76B53"/>
    <w:rsid w:val="00F76C8A"/>
    <w:rsid w:val="00F76D3F"/>
    <w:rsid w:val="00F76D62"/>
    <w:rsid w:val="00F76E32"/>
    <w:rsid w:val="00F7700E"/>
    <w:rsid w:val="00F77BA6"/>
    <w:rsid w:val="00F77C0C"/>
    <w:rsid w:val="00F800FF"/>
    <w:rsid w:val="00F80809"/>
    <w:rsid w:val="00F80D6B"/>
    <w:rsid w:val="00F80FED"/>
    <w:rsid w:val="00F81337"/>
    <w:rsid w:val="00F819BA"/>
    <w:rsid w:val="00F81B45"/>
    <w:rsid w:val="00F8205A"/>
    <w:rsid w:val="00F825E4"/>
    <w:rsid w:val="00F8283B"/>
    <w:rsid w:val="00F82AAA"/>
    <w:rsid w:val="00F82C2D"/>
    <w:rsid w:val="00F82CB9"/>
    <w:rsid w:val="00F82FBF"/>
    <w:rsid w:val="00F83A3E"/>
    <w:rsid w:val="00F83B5C"/>
    <w:rsid w:val="00F83BEE"/>
    <w:rsid w:val="00F843C5"/>
    <w:rsid w:val="00F84F97"/>
    <w:rsid w:val="00F84FAD"/>
    <w:rsid w:val="00F855EC"/>
    <w:rsid w:val="00F857E6"/>
    <w:rsid w:val="00F8580A"/>
    <w:rsid w:val="00F85B0D"/>
    <w:rsid w:val="00F85CB1"/>
    <w:rsid w:val="00F86258"/>
    <w:rsid w:val="00F86335"/>
    <w:rsid w:val="00F867D5"/>
    <w:rsid w:val="00F8737B"/>
    <w:rsid w:val="00F87557"/>
    <w:rsid w:val="00F877DA"/>
    <w:rsid w:val="00F87E38"/>
    <w:rsid w:val="00F9025F"/>
    <w:rsid w:val="00F90285"/>
    <w:rsid w:val="00F90F51"/>
    <w:rsid w:val="00F917CE"/>
    <w:rsid w:val="00F91A76"/>
    <w:rsid w:val="00F925A7"/>
    <w:rsid w:val="00F9261C"/>
    <w:rsid w:val="00F92AD7"/>
    <w:rsid w:val="00F92B44"/>
    <w:rsid w:val="00F93239"/>
    <w:rsid w:val="00F9340E"/>
    <w:rsid w:val="00F93507"/>
    <w:rsid w:val="00F935A0"/>
    <w:rsid w:val="00F93650"/>
    <w:rsid w:val="00F937D3"/>
    <w:rsid w:val="00F93838"/>
    <w:rsid w:val="00F9395C"/>
    <w:rsid w:val="00F93A85"/>
    <w:rsid w:val="00F93C4C"/>
    <w:rsid w:val="00F93D6E"/>
    <w:rsid w:val="00F94B65"/>
    <w:rsid w:val="00F94DEC"/>
    <w:rsid w:val="00F94E2C"/>
    <w:rsid w:val="00F952AD"/>
    <w:rsid w:val="00F95506"/>
    <w:rsid w:val="00F955AD"/>
    <w:rsid w:val="00F95AB2"/>
    <w:rsid w:val="00F96404"/>
    <w:rsid w:val="00F96494"/>
    <w:rsid w:val="00F96902"/>
    <w:rsid w:val="00F96DB9"/>
    <w:rsid w:val="00F96DDF"/>
    <w:rsid w:val="00F972B8"/>
    <w:rsid w:val="00F97574"/>
    <w:rsid w:val="00F9777E"/>
    <w:rsid w:val="00F97E5B"/>
    <w:rsid w:val="00FA01D6"/>
    <w:rsid w:val="00FA0297"/>
    <w:rsid w:val="00FA0681"/>
    <w:rsid w:val="00FA0EA1"/>
    <w:rsid w:val="00FA12C4"/>
    <w:rsid w:val="00FA1B24"/>
    <w:rsid w:val="00FA1E35"/>
    <w:rsid w:val="00FA204F"/>
    <w:rsid w:val="00FA2249"/>
    <w:rsid w:val="00FA227A"/>
    <w:rsid w:val="00FA28F4"/>
    <w:rsid w:val="00FA2A53"/>
    <w:rsid w:val="00FA3531"/>
    <w:rsid w:val="00FA37B9"/>
    <w:rsid w:val="00FA3856"/>
    <w:rsid w:val="00FA3D16"/>
    <w:rsid w:val="00FA442B"/>
    <w:rsid w:val="00FA44A8"/>
    <w:rsid w:val="00FA46D0"/>
    <w:rsid w:val="00FA4D1B"/>
    <w:rsid w:val="00FA5051"/>
    <w:rsid w:val="00FA50C7"/>
    <w:rsid w:val="00FA5280"/>
    <w:rsid w:val="00FA5437"/>
    <w:rsid w:val="00FA553E"/>
    <w:rsid w:val="00FA59A8"/>
    <w:rsid w:val="00FA5C1B"/>
    <w:rsid w:val="00FA5E9B"/>
    <w:rsid w:val="00FA65A9"/>
    <w:rsid w:val="00FA683F"/>
    <w:rsid w:val="00FA6B63"/>
    <w:rsid w:val="00FA6F93"/>
    <w:rsid w:val="00FA7479"/>
    <w:rsid w:val="00FA7615"/>
    <w:rsid w:val="00FA7694"/>
    <w:rsid w:val="00FA7BDE"/>
    <w:rsid w:val="00FA7F1C"/>
    <w:rsid w:val="00FB00CA"/>
    <w:rsid w:val="00FB0292"/>
    <w:rsid w:val="00FB0A64"/>
    <w:rsid w:val="00FB0D09"/>
    <w:rsid w:val="00FB1128"/>
    <w:rsid w:val="00FB170B"/>
    <w:rsid w:val="00FB1727"/>
    <w:rsid w:val="00FB2033"/>
    <w:rsid w:val="00FB22F3"/>
    <w:rsid w:val="00FB2672"/>
    <w:rsid w:val="00FB271D"/>
    <w:rsid w:val="00FB2880"/>
    <w:rsid w:val="00FB2B41"/>
    <w:rsid w:val="00FB2CB4"/>
    <w:rsid w:val="00FB2CC0"/>
    <w:rsid w:val="00FB37D3"/>
    <w:rsid w:val="00FB3ADC"/>
    <w:rsid w:val="00FB4244"/>
    <w:rsid w:val="00FB441E"/>
    <w:rsid w:val="00FB44AC"/>
    <w:rsid w:val="00FB496D"/>
    <w:rsid w:val="00FB4DFA"/>
    <w:rsid w:val="00FB508D"/>
    <w:rsid w:val="00FB5101"/>
    <w:rsid w:val="00FB57F0"/>
    <w:rsid w:val="00FB5824"/>
    <w:rsid w:val="00FB5B83"/>
    <w:rsid w:val="00FB5EFF"/>
    <w:rsid w:val="00FB65B4"/>
    <w:rsid w:val="00FB6927"/>
    <w:rsid w:val="00FB6B12"/>
    <w:rsid w:val="00FB6C27"/>
    <w:rsid w:val="00FB7049"/>
    <w:rsid w:val="00FB714D"/>
    <w:rsid w:val="00FB7AAC"/>
    <w:rsid w:val="00FC00CE"/>
    <w:rsid w:val="00FC12D2"/>
    <w:rsid w:val="00FC146E"/>
    <w:rsid w:val="00FC16BF"/>
    <w:rsid w:val="00FC1757"/>
    <w:rsid w:val="00FC1F7B"/>
    <w:rsid w:val="00FC2060"/>
    <w:rsid w:val="00FC2461"/>
    <w:rsid w:val="00FC2C55"/>
    <w:rsid w:val="00FC378D"/>
    <w:rsid w:val="00FC37DA"/>
    <w:rsid w:val="00FC38CA"/>
    <w:rsid w:val="00FC3C6D"/>
    <w:rsid w:val="00FC3F07"/>
    <w:rsid w:val="00FC4069"/>
    <w:rsid w:val="00FC52C5"/>
    <w:rsid w:val="00FC5AED"/>
    <w:rsid w:val="00FC5CD8"/>
    <w:rsid w:val="00FC5E8A"/>
    <w:rsid w:val="00FC60AF"/>
    <w:rsid w:val="00FC60BA"/>
    <w:rsid w:val="00FC61E8"/>
    <w:rsid w:val="00FC61E9"/>
    <w:rsid w:val="00FC6384"/>
    <w:rsid w:val="00FC6734"/>
    <w:rsid w:val="00FC6740"/>
    <w:rsid w:val="00FC7484"/>
    <w:rsid w:val="00FC7591"/>
    <w:rsid w:val="00FC7891"/>
    <w:rsid w:val="00FC7989"/>
    <w:rsid w:val="00FC7A1C"/>
    <w:rsid w:val="00FC7D2C"/>
    <w:rsid w:val="00FC7D4E"/>
    <w:rsid w:val="00FC7E45"/>
    <w:rsid w:val="00FC7FAC"/>
    <w:rsid w:val="00FD00CB"/>
    <w:rsid w:val="00FD08C6"/>
    <w:rsid w:val="00FD0CC0"/>
    <w:rsid w:val="00FD0CE8"/>
    <w:rsid w:val="00FD0D4E"/>
    <w:rsid w:val="00FD101C"/>
    <w:rsid w:val="00FD12F5"/>
    <w:rsid w:val="00FD1510"/>
    <w:rsid w:val="00FD166F"/>
    <w:rsid w:val="00FD1C9E"/>
    <w:rsid w:val="00FD1DD8"/>
    <w:rsid w:val="00FD1F21"/>
    <w:rsid w:val="00FD2003"/>
    <w:rsid w:val="00FD20A5"/>
    <w:rsid w:val="00FD28CB"/>
    <w:rsid w:val="00FD2C7D"/>
    <w:rsid w:val="00FD2E7C"/>
    <w:rsid w:val="00FD3348"/>
    <w:rsid w:val="00FD36C3"/>
    <w:rsid w:val="00FD3806"/>
    <w:rsid w:val="00FD3892"/>
    <w:rsid w:val="00FD3A5E"/>
    <w:rsid w:val="00FD3D96"/>
    <w:rsid w:val="00FD4C3B"/>
    <w:rsid w:val="00FD4CB9"/>
    <w:rsid w:val="00FD4F21"/>
    <w:rsid w:val="00FD5711"/>
    <w:rsid w:val="00FD634A"/>
    <w:rsid w:val="00FD63DD"/>
    <w:rsid w:val="00FD69C8"/>
    <w:rsid w:val="00FD6B0F"/>
    <w:rsid w:val="00FD75FB"/>
    <w:rsid w:val="00FD7764"/>
    <w:rsid w:val="00FD79A2"/>
    <w:rsid w:val="00FD7D78"/>
    <w:rsid w:val="00FD7F6E"/>
    <w:rsid w:val="00FE01DD"/>
    <w:rsid w:val="00FE0756"/>
    <w:rsid w:val="00FE0DEB"/>
    <w:rsid w:val="00FE115F"/>
    <w:rsid w:val="00FE116D"/>
    <w:rsid w:val="00FE123C"/>
    <w:rsid w:val="00FE1352"/>
    <w:rsid w:val="00FE14A8"/>
    <w:rsid w:val="00FE177D"/>
    <w:rsid w:val="00FE1FA2"/>
    <w:rsid w:val="00FE20DD"/>
    <w:rsid w:val="00FE22FA"/>
    <w:rsid w:val="00FE2BDC"/>
    <w:rsid w:val="00FE2FDB"/>
    <w:rsid w:val="00FE31A5"/>
    <w:rsid w:val="00FE35A2"/>
    <w:rsid w:val="00FE3E3A"/>
    <w:rsid w:val="00FE41C2"/>
    <w:rsid w:val="00FE4472"/>
    <w:rsid w:val="00FE4779"/>
    <w:rsid w:val="00FE4799"/>
    <w:rsid w:val="00FE49AB"/>
    <w:rsid w:val="00FE4CE5"/>
    <w:rsid w:val="00FE52E9"/>
    <w:rsid w:val="00FE578C"/>
    <w:rsid w:val="00FE5C54"/>
    <w:rsid w:val="00FE6053"/>
    <w:rsid w:val="00FE60F6"/>
    <w:rsid w:val="00FE637C"/>
    <w:rsid w:val="00FE648A"/>
    <w:rsid w:val="00FE681D"/>
    <w:rsid w:val="00FE7611"/>
    <w:rsid w:val="00FE7C70"/>
    <w:rsid w:val="00FF06CF"/>
    <w:rsid w:val="00FF0933"/>
    <w:rsid w:val="00FF0B55"/>
    <w:rsid w:val="00FF0B6E"/>
    <w:rsid w:val="00FF0C8F"/>
    <w:rsid w:val="00FF1076"/>
    <w:rsid w:val="00FF1262"/>
    <w:rsid w:val="00FF129F"/>
    <w:rsid w:val="00FF13FA"/>
    <w:rsid w:val="00FF19EC"/>
    <w:rsid w:val="00FF2492"/>
    <w:rsid w:val="00FF279F"/>
    <w:rsid w:val="00FF36EE"/>
    <w:rsid w:val="00FF3973"/>
    <w:rsid w:val="00FF3B29"/>
    <w:rsid w:val="00FF3BEB"/>
    <w:rsid w:val="00FF3D9A"/>
    <w:rsid w:val="00FF3E19"/>
    <w:rsid w:val="00FF4C7D"/>
    <w:rsid w:val="00FF611C"/>
    <w:rsid w:val="00FF67D8"/>
    <w:rsid w:val="00FF6DCC"/>
    <w:rsid w:val="00FF6E38"/>
    <w:rsid w:val="00FF76C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F138A"/>
  <w15:docId w15:val="{1D4E6642-D4D7-4365-AA9B-DB9A59EB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CF"/>
  </w:style>
  <w:style w:type="paragraph" w:styleId="1">
    <w:name w:val="heading 1"/>
    <w:basedOn w:val="a"/>
    <w:link w:val="10"/>
    <w:uiPriority w:val="9"/>
    <w:qFormat/>
    <w:rsid w:val="00DE12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next w:val="a"/>
    <w:link w:val="20"/>
    <w:uiPriority w:val="9"/>
    <w:semiHidden/>
    <w:unhideWhenUsed/>
    <w:qFormat/>
    <w:rsid w:val="00647B71"/>
    <w:pPr>
      <w:keepNext/>
      <w:keepLines/>
      <w:spacing w:after="112" w:line="254" w:lineRule="auto"/>
      <w:ind w:left="10" w:hanging="10"/>
      <w:outlineLvl w:val="1"/>
    </w:pPr>
    <w:rPr>
      <w:rFonts w:ascii="Times New Roman" w:eastAsia="Times New Roman" w:hAnsi="Times New Roman" w:cs="Times New Roman"/>
      <w:b/>
      <w:color w:val="000000"/>
      <w:lang w:eastAsia="ru-RU"/>
    </w:rPr>
  </w:style>
  <w:style w:type="paragraph" w:styleId="3">
    <w:name w:val="heading 3"/>
    <w:basedOn w:val="a"/>
    <w:next w:val="a"/>
    <w:link w:val="30"/>
    <w:uiPriority w:val="9"/>
    <w:unhideWhenUsed/>
    <w:qFormat/>
    <w:rsid w:val="001D7D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29D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E29DD"/>
    <w:rPr>
      <w:rFonts w:ascii="Times New Roman" w:hAnsi="Times New Roman" w:cs="Times New Roman" w:hint="default"/>
      <w:color w:val="0000FF"/>
      <w:u w:val="single"/>
    </w:rPr>
  </w:style>
  <w:style w:type="paragraph" w:styleId="a5">
    <w:name w:val="List Paragraph"/>
    <w:basedOn w:val="a"/>
    <w:uiPriority w:val="34"/>
    <w:qFormat/>
    <w:rsid w:val="00A83E71"/>
    <w:pPr>
      <w:ind w:left="720"/>
      <w:contextualSpacing/>
    </w:pPr>
    <w:rPr>
      <w:rFonts w:ascii="Calibri" w:eastAsia="Calibri" w:hAnsi="Calibri" w:cs="Times New Roman"/>
    </w:rPr>
  </w:style>
  <w:style w:type="character" w:customStyle="1" w:styleId="10">
    <w:name w:val="Заголовок 1 Знак"/>
    <w:basedOn w:val="a0"/>
    <w:link w:val="1"/>
    <w:uiPriority w:val="9"/>
    <w:rsid w:val="00DE12F1"/>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DE1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92C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2C82"/>
    <w:rPr>
      <w:rFonts w:ascii="Tahoma" w:hAnsi="Tahoma" w:cs="Tahoma"/>
      <w:sz w:val="16"/>
      <w:szCs w:val="16"/>
    </w:rPr>
  </w:style>
  <w:style w:type="paragraph" w:styleId="a9">
    <w:name w:val="header"/>
    <w:basedOn w:val="a"/>
    <w:link w:val="aa"/>
    <w:uiPriority w:val="99"/>
    <w:unhideWhenUsed/>
    <w:rsid w:val="009F364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F364E"/>
  </w:style>
  <w:style w:type="paragraph" w:styleId="ab">
    <w:name w:val="footer"/>
    <w:basedOn w:val="a"/>
    <w:link w:val="ac"/>
    <w:uiPriority w:val="99"/>
    <w:unhideWhenUsed/>
    <w:rsid w:val="009F364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F364E"/>
  </w:style>
  <w:style w:type="character" w:customStyle="1" w:styleId="authorsname">
    <w:name w:val="authors__name"/>
    <w:basedOn w:val="a0"/>
    <w:rsid w:val="001A5AE5"/>
  </w:style>
  <w:style w:type="paragraph" w:customStyle="1" w:styleId="ad">
    <w:name w:val="Боковик"/>
    <w:basedOn w:val="a"/>
    <w:uiPriority w:val="99"/>
    <w:qFormat/>
    <w:rsid w:val="000160DE"/>
    <w:pPr>
      <w:spacing w:after="0" w:line="240" w:lineRule="auto"/>
    </w:pPr>
    <w:rPr>
      <w:rFonts w:ascii="Arial" w:eastAsia="Times New Roman" w:hAnsi="Arial" w:cs="Times New Roman"/>
      <w:sz w:val="14"/>
      <w:szCs w:val="16"/>
      <w:lang w:eastAsia="ru-RU"/>
    </w:rPr>
  </w:style>
  <w:style w:type="character" w:customStyle="1" w:styleId="ae">
    <w:name w:val="Столбец Знак"/>
    <w:link w:val="af"/>
    <w:uiPriority w:val="99"/>
    <w:locked/>
    <w:rsid w:val="000160DE"/>
    <w:rPr>
      <w:rFonts w:ascii="Arial" w:eastAsia="Times New Roman" w:hAnsi="Arial" w:cs="Times New Roman"/>
      <w:snapToGrid w:val="0"/>
      <w:color w:val="000000"/>
      <w:sz w:val="16"/>
      <w:szCs w:val="18"/>
      <w:lang w:eastAsia="ru-RU"/>
    </w:rPr>
  </w:style>
  <w:style w:type="paragraph" w:customStyle="1" w:styleId="af">
    <w:name w:val="Столбец"/>
    <w:basedOn w:val="a"/>
    <w:link w:val="ae"/>
    <w:uiPriority w:val="99"/>
    <w:qFormat/>
    <w:rsid w:val="000160DE"/>
    <w:pPr>
      <w:snapToGrid w:val="0"/>
      <w:spacing w:after="0" w:line="240" w:lineRule="auto"/>
      <w:jc w:val="right"/>
    </w:pPr>
    <w:rPr>
      <w:rFonts w:ascii="Arial" w:eastAsia="Times New Roman" w:hAnsi="Arial" w:cs="Times New Roman"/>
      <w:snapToGrid w:val="0"/>
      <w:color w:val="000000"/>
      <w:sz w:val="16"/>
      <w:szCs w:val="18"/>
      <w:lang w:eastAsia="ru-RU"/>
    </w:rPr>
  </w:style>
  <w:style w:type="character" w:styleId="af0">
    <w:name w:val="FollowedHyperlink"/>
    <w:basedOn w:val="a0"/>
    <w:uiPriority w:val="99"/>
    <w:semiHidden/>
    <w:unhideWhenUsed/>
    <w:rsid w:val="00A31F85"/>
    <w:rPr>
      <w:color w:val="800080" w:themeColor="followedHyperlink"/>
      <w:u w:val="single"/>
    </w:rPr>
  </w:style>
  <w:style w:type="character" w:customStyle="1" w:styleId="11">
    <w:name w:val="Неразрешенное упоминание1"/>
    <w:basedOn w:val="a0"/>
    <w:uiPriority w:val="99"/>
    <w:semiHidden/>
    <w:unhideWhenUsed/>
    <w:rsid w:val="00B711D6"/>
    <w:rPr>
      <w:color w:val="605E5C"/>
      <w:shd w:val="clear" w:color="auto" w:fill="E1DFDD"/>
    </w:rPr>
  </w:style>
  <w:style w:type="paragraph" w:customStyle="1" w:styleId="TableParagraph">
    <w:name w:val="Table Paragraph"/>
    <w:basedOn w:val="a"/>
    <w:uiPriority w:val="1"/>
    <w:qFormat/>
    <w:rsid w:val="00BD3FEC"/>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a"/>
    <w:rsid w:val="002802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47B71"/>
    <w:rPr>
      <w:rFonts w:ascii="Times New Roman" w:eastAsia="Times New Roman" w:hAnsi="Times New Roman" w:cs="Times New Roman"/>
      <w:b/>
      <w:color w:val="000000"/>
      <w:lang w:eastAsia="ru-RU"/>
    </w:rPr>
  </w:style>
  <w:style w:type="character" w:styleId="af1">
    <w:name w:val="Placeholder Text"/>
    <w:basedOn w:val="a0"/>
    <w:uiPriority w:val="99"/>
    <w:semiHidden/>
    <w:rsid w:val="00647B71"/>
    <w:rPr>
      <w:color w:val="808080"/>
    </w:rPr>
  </w:style>
  <w:style w:type="character" w:customStyle="1" w:styleId="21">
    <w:name w:val="Неразрешенное упоминание2"/>
    <w:basedOn w:val="a0"/>
    <w:uiPriority w:val="99"/>
    <w:semiHidden/>
    <w:unhideWhenUsed/>
    <w:rsid w:val="003B6298"/>
    <w:rPr>
      <w:color w:val="605E5C"/>
      <w:shd w:val="clear" w:color="auto" w:fill="E1DFDD"/>
    </w:rPr>
  </w:style>
  <w:style w:type="character" w:customStyle="1" w:styleId="31">
    <w:name w:val="Неразрешенное упоминание3"/>
    <w:basedOn w:val="a0"/>
    <w:uiPriority w:val="99"/>
    <w:semiHidden/>
    <w:unhideWhenUsed/>
    <w:rsid w:val="00D33FF7"/>
    <w:rPr>
      <w:color w:val="605E5C"/>
      <w:shd w:val="clear" w:color="auto" w:fill="E1DFDD"/>
    </w:rPr>
  </w:style>
  <w:style w:type="character" w:customStyle="1" w:styleId="4">
    <w:name w:val="Неразрешенное упоминание4"/>
    <w:basedOn w:val="a0"/>
    <w:uiPriority w:val="99"/>
    <w:semiHidden/>
    <w:unhideWhenUsed/>
    <w:rsid w:val="0061222C"/>
    <w:rPr>
      <w:color w:val="605E5C"/>
      <w:shd w:val="clear" w:color="auto" w:fill="E1DFDD"/>
    </w:rPr>
  </w:style>
  <w:style w:type="character" w:styleId="af2">
    <w:name w:val="Subtle Reference"/>
    <w:basedOn w:val="a0"/>
    <w:uiPriority w:val="31"/>
    <w:qFormat/>
    <w:rsid w:val="00BE0D52"/>
    <w:rPr>
      <w:smallCaps/>
      <w:color w:val="C0504D" w:themeColor="accent2"/>
      <w:u w:val="single"/>
    </w:rPr>
  </w:style>
  <w:style w:type="character" w:customStyle="1" w:styleId="30">
    <w:name w:val="Заголовок 3 Знак"/>
    <w:basedOn w:val="a0"/>
    <w:link w:val="3"/>
    <w:uiPriority w:val="9"/>
    <w:rsid w:val="001D7D7A"/>
    <w:rPr>
      <w:rFonts w:asciiTheme="majorHAnsi" w:eastAsiaTheme="majorEastAsia" w:hAnsiTheme="majorHAnsi" w:cstheme="majorBidi"/>
      <w:color w:val="243F60" w:themeColor="accent1" w:themeShade="7F"/>
      <w:sz w:val="24"/>
      <w:szCs w:val="24"/>
    </w:rPr>
  </w:style>
  <w:style w:type="character" w:customStyle="1" w:styleId="typography-modulelvnit">
    <w:name w:val="typography-module__lvnit"/>
    <w:basedOn w:val="a0"/>
    <w:rsid w:val="001D7D7A"/>
  </w:style>
  <w:style w:type="character" w:styleId="af3">
    <w:name w:val="Emphasis"/>
    <w:basedOn w:val="a0"/>
    <w:uiPriority w:val="20"/>
    <w:qFormat/>
    <w:rsid w:val="001D7D7A"/>
    <w:rPr>
      <w:i/>
      <w:iCs/>
    </w:rPr>
  </w:style>
  <w:style w:type="character" w:customStyle="1" w:styleId="highlight-moduleako5d">
    <w:name w:val="highlight-module__ako5d"/>
    <w:basedOn w:val="a0"/>
    <w:rsid w:val="001D7D7A"/>
  </w:style>
  <w:style w:type="character" w:customStyle="1" w:styleId="author-modulewfeox">
    <w:name w:val="author-module__wfeox"/>
    <w:basedOn w:val="a0"/>
    <w:rsid w:val="001D7D7A"/>
  </w:style>
  <w:style w:type="character" w:customStyle="1" w:styleId="rynqvb">
    <w:name w:val="rynqvb"/>
    <w:basedOn w:val="a0"/>
    <w:rsid w:val="00BE3507"/>
  </w:style>
  <w:style w:type="character" w:customStyle="1" w:styleId="extendedtext-full">
    <w:name w:val="extendedtext-full"/>
    <w:basedOn w:val="a0"/>
    <w:rsid w:val="004B79A2"/>
  </w:style>
  <w:style w:type="character" w:customStyle="1" w:styleId="UnresolvedMention">
    <w:name w:val="Unresolved Mention"/>
    <w:basedOn w:val="a0"/>
    <w:uiPriority w:val="99"/>
    <w:semiHidden/>
    <w:unhideWhenUsed/>
    <w:rsid w:val="00822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057">
      <w:bodyDiv w:val="1"/>
      <w:marLeft w:val="0"/>
      <w:marRight w:val="0"/>
      <w:marTop w:val="0"/>
      <w:marBottom w:val="0"/>
      <w:divBdr>
        <w:top w:val="none" w:sz="0" w:space="0" w:color="auto"/>
        <w:left w:val="none" w:sz="0" w:space="0" w:color="auto"/>
        <w:bottom w:val="none" w:sz="0" w:space="0" w:color="auto"/>
        <w:right w:val="none" w:sz="0" w:space="0" w:color="auto"/>
      </w:divBdr>
    </w:div>
    <w:div w:id="10226596">
      <w:bodyDiv w:val="1"/>
      <w:marLeft w:val="0"/>
      <w:marRight w:val="0"/>
      <w:marTop w:val="0"/>
      <w:marBottom w:val="0"/>
      <w:divBdr>
        <w:top w:val="none" w:sz="0" w:space="0" w:color="auto"/>
        <w:left w:val="none" w:sz="0" w:space="0" w:color="auto"/>
        <w:bottom w:val="none" w:sz="0" w:space="0" w:color="auto"/>
        <w:right w:val="none" w:sz="0" w:space="0" w:color="auto"/>
      </w:divBdr>
    </w:div>
    <w:div w:id="16279769">
      <w:bodyDiv w:val="1"/>
      <w:marLeft w:val="0"/>
      <w:marRight w:val="0"/>
      <w:marTop w:val="0"/>
      <w:marBottom w:val="0"/>
      <w:divBdr>
        <w:top w:val="none" w:sz="0" w:space="0" w:color="auto"/>
        <w:left w:val="none" w:sz="0" w:space="0" w:color="auto"/>
        <w:bottom w:val="none" w:sz="0" w:space="0" w:color="auto"/>
        <w:right w:val="none" w:sz="0" w:space="0" w:color="auto"/>
      </w:divBdr>
    </w:div>
    <w:div w:id="22901550">
      <w:bodyDiv w:val="1"/>
      <w:marLeft w:val="0"/>
      <w:marRight w:val="0"/>
      <w:marTop w:val="0"/>
      <w:marBottom w:val="0"/>
      <w:divBdr>
        <w:top w:val="none" w:sz="0" w:space="0" w:color="auto"/>
        <w:left w:val="none" w:sz="0" w:space="0" w:color="auto"/>
        <w:bottom w:val="none" w:sz="0" w:space="0" w:color="auto"/>
        <w:right w:val="none" w:sz="0" w:space="0" w:color="auto"/>
      </w:divBdr>
    </w:div>
    <w:div w:id="25714839">
      <w:bodyDiv w:val="1"/>
      <w:marLeft w:val="0"/>
      <w:marRight w:val="0"/>
      <w:marTop w:val="0"/>
      <w:marBottom w:val="0"/>
      <w:divBdr>
        <w:top w:val="none" w:sz="0" w:space="0" w:color="auto"/>
        <w:left w:val="none" w:sz="0" w:space="0" w:color="auto"/>
        <w:bottom w:val="none" w:sz="0" w:space="0" w:color="auto"/>
        <w:right w:val="none" w:sz="0" w:space="0" w:color="auto"/>
      </w:divBdr>
    </w:div>
    <w:div w:id="27418313">
      <w:bodyDiv w:val="1"/>
      <w:marLeft w:val="0"/>
      <w:marRight w:val="0"/>
      <w:marTop w:val="0"/>
      <w:marBottom w:val="0"/>
      <w:divBdr>
        <w:top w:val="none" w:sz="0" w:space="0" w:color="auto"/>
        <w:left w:val="none" w:sz="0" w:space="0" w:color="auto"/>
        <w:bottom w:val="none" w:sz="0" w:space="0" w:color="auto"/>
        <w:right w:val="none" w:sz="0" w:space="0" w:color="auto"/>
      </w:divBdr>
    </w:div>
    <w:div w:id="34045257">
      <w:bodyDiv w:val="1"/>
      <w:marLeft w:val="0"/>
      <w:marRight w:val="0"/>
      <w:marTop w:val="0"/>
      <w:marBottom w:val="0"/>
      <w:divBdr>
        <w:top w:val="none" w:sz="0" w:space="0" w:color="auto"/>
        <w:left w:val="none" w:sz="0" w:space="0" w:color="auto"/>
        <w:bottom w:val="none" w:sz="0" w:space="0" w:color="auto"/>
        <w:right w:val="none" w:sz="0" w:space="0" w:color="auto"/>
      </w:divBdr>
    </w:div>
    <w:div w:id="35348930">
      <w:bodyDiv w:val="1"/>
      <w:marLeft w:val="0"/>
      <w:marRight w:val="0"/>
      <w:marTop w:val="0"/>
      <w:marBottom w:val="0"/>
      <w:divBdr>
        <w:top w:val="none" w:sz="0" w:space="0" w:color="auto"/>
        <w:left w:val="none" w:sz="0" w:space="0" w:color="auto"/>
        <w:bottom w:val="none" w:sz="0" w:space="0" w:color="auto"/>
        <w:right w:val="none" w:sz="0" w:space="0" w:color="auto"/>
      </w:divBdr>
    </w:div>
    <w:div w:id="36593839">
      <w:bodyDiv w:val="1"/>
      <w:marLeft w:val="0"/>
      <w:marRight w:val="0"/>
      <w:marTop w:val="0"/>
      <w:marBottom w:val="0"/>
      <w:divBdr>
        <w:top w:val="none" w:sz="0" w:space="0" w:color="auto"/>
        <w:left w:val="none" w:sz="0" w:space="0" w:color="auto"/>
        <w:bottom w:val="none" w:sz="0" w:space="0" w:color="auto"/>
        <w:right w:val="none" w:sz="0" w:space="0" w:color="auto"/>
      </w:divBdr>
    </w:div>
    <w:div w:id="42600933">
      <w:bodyDiv w:val="1"/>
      <w:marLeft w:val="0"/>
      <w:marRight w:val="0"/>
      <w:marTop w:val="0"/>
      <w:marBottom w:val="0"/>
      <w:divBdr>
        <w:top w:val="none" w:sz="0" w:space="0" w:color="auto"/>
        <w:left w:val="none" w:sz="0" w:space="0" w:color="auto"/>
        <w:bottom w:val="none" w:sz="0" w:space="0" w:color="auto"/>
        <w:right w:val="none" w:sz="0" w:space="0" w:color="auto"/>
      </w:divBdr>
    </w:div>
    <w:div w:id="45616101">
      <w:bodyDiv w:val="1"/>
      <w:marLeft w:val="0"/>
      <w:marRight w:val="0"/>
      <w:marTop w:val="0"/>
      <w:marBottom w:val="0"/>
      <w:divBdr>
        <w:top w:val="none" w:sz="0" w:space="0" w:color="auto"/>
        <w:left w:val="none" w:sz="0" w:space="0" w:color="auto"/>
        <w:bottom w:val="none" w:sz="0" w:space="0" w:color="auto"/>
        <w:right w:val="none" w:sz="0" w:space="0" w:color="auto"/>
      </w:divBdr>
    </w:div>
    <w:div w:id="45841097">
      <w:bodyDiv w:val="1"/>
      <w:marLeft w:val="0"/>
      <w:marRight w:val="0"/>
      <w:marTop w:val="0"/>
      <w:marBottom w:val="0"/>
      <w:divBdr>
        <w:top w:val="none" w:sz="0" w:space="0" w:color="auto"/>
        <w:left w:val="none" w:sz="0" w:space="0" w:color="auto"/>
        <w:bottom w:val="none" w:sz="0" w:space="0" w:color="auto"/>
        <w:right w:val="none" w:sz="0" w:space="0" w:color="auto"/>
      </w:divBdr>
    </w:div>
    <w:div w:id="45951776">
      <w:bodyDiv w:val="1"/>
      <w:marLeft w:val="0"/>
      <w:marRight w:val="0"/>
      <w:marTop w:val="0"/>
      <w:marBottom w:val="0"/>
      <w:divBdr>
        <w:top w:val="none" w:sz="0" w:space="0" w:color="auto"/>
        <w:left w:val="none" w:sz="0" w:space="0" w:color="auto"/>
        <w:bottom w:val="none" w:sz="0" w:space="0" w:color="auto"/>
        <w:right w:val="none" w:sz="0" w:space="0" w:color="auto"/>
      </w:divBdr>
    </w:div>
    <w:div w:id="48958936">
      <w:bodyDiv w:val="1"/>
      <w:marLeft w:val="0"/>
      <w:marRight w:val="0"/>
      <w:marTop w:val="0"/>
      <w:marBottom w:val="0"/>
      <w:divBdr>
        <w:top w:val="none" w:sz="0" w:space="0" w:color="auto"/>
        <w:left w:val="none" w:sz="0" w:space="0" w:color="auto"/>
        <w:bottom w:val="none" w:sz="0" w:space="0" w:color="auto"/>
        <w:right w:val="none" w:sz="0" w:space="0" w:color="auto"/>
      </w:divBdr>
    </w:div>
    <w:div w:id="48965137">
      <w:bodyDiv w:val="1"/>
      <w:marLeft w:val="0"/>
      <w:marRight w:val="0"/>
      <w:marTop w:val="0"/>
      <w:marBottom w:val="0"/>
      <w:divBdr>
        <w:top w:val="none" w:sz="0" w:space="0" w:color="auto"/>
        <w:left w:val="none" w:sz="0" w:space="0" w:color="auto"/>
        <w:bottom w:val="none" w:sz="0" w:space="0" w:color="auto"/>
        <w:right w:val="none" w:sz="0" w:space="0" w:color="auto"/>
      </w:divBdr>
    </w:div>
    <w:div w:id="53480044">
      <w:bodyDiv w:val="1"/>
      <w:marLeft w:val="0"/>
      <w:marRight w:val="0"/>
      <w:marTop w:val="0"/>
      <w:marBottom w:val="0"/>
      <w:divBdr>
        <w:top w:val="none" w:sz="0" w:space="0" w:color="auto"/>
        <w:left w:val="none" w:sz="0" w:space="0" w:color="auto"/>
        <w:bottom w:val="none" w:sz="0" w:space="0" w:color="auto"/>
        <w:right w:val="none" w:sz="0" w:space="0" w:color="auto"/>
      </w:divBdr>
    </w:div>
    <w:div w:id="53817989">
      <w:bodyDiv w:val="1"/>
      <w:marLeft w:val="0"/>
      <w:marRight w:val="0"/>
      <w:marTop w:val="0"/>
      <w:marBottom w:val="0"/>
      <w:divBdr>
        <w:top w:val="none" w:sz="0" w:space="0" w:color="auto"/>
        <w:left w:val="none" w:sz="0" w:space="0" w:color="auto"/>
        <w:bottom w:val="none" w:sz="0" w:space="0" w:color="auto"/>
        <w:right w:val="none" w:sz="0" w:space="0" w:color="auto"/>
      </w:divBdr>
    </w:div>
    <w:div w:id="56057454">
      <w:bodyDiv w:val="1"/>
      <w:marLeft w:val="0"/>
      <w:marRight w:val="0"/>
      <w:marTop w:val="0"/>
      <w:marBottom w:val="0"/>
      <w:divBdr>
        <w:top w:val="none" w:sz="0" w:space="0" w:color="auto"/>
        <w:left w:val="none" w:sz="0" w:space="0" w:color="auto"/>
        <w:bottom w:val="none" w:sz="0" w:space="0" w:color="auto"/>
        <w:right w:val="none" w:sz="0" w:space="0" w:color="auto"/>
      </w:divBdr>
    </w:div>
    <w:div w:id="57243592">
      <w:bodyDiv w:val="1"/>
      <w:marLeft w:val="0"/>
      <w:marRight w:val="0"/>
      <w:marTop w:val="0"/>
      <w:marBottom w:val="0"/>
      <w:divBdr>
        <w:top w:val="none" w:sz="0" w:space="0" w:color="auto"/>
        <w:left w:val="none" w:sz="0" w:space="0" w:color="auto"/>
        <w:bottom w:val="none" w:sz="0" w:space="0" w:color="auto"/>
        <w:right w:val="none" w:sz="0" w:space="0" w:color="auto"/>
      </w:divBdr>
    </w:div>
    <w:div w:id="60837688">
      <w:bodyDiv w:val="1"/>
      <w:marLeft w:val="0"/>
      <w:marRight w:val="0"/>
      <w:marTop w:val="0"/>
      <w:marBottom w:val="0"/>
      <w:divBdr>
        <w:top w:val="none" w:sz="0" w:space="0" w:color="auto"/>
        <w:left w:val="none" w:sz="0" w:space="0" w:color="auto"/>
        <w:bottom w:val="none" w:sz="0" w:space="0" w:color="auto"/>
        <w:right w:val="none" w:sz="0" w:space="0" w:color="auto"/>
      </w:divBdr>
    </w:div>
    <w:div w:id="62608168">
      <w:bodyDiv w:val="1"/>
      <w:marLeft w:val="0"/>
      <w:marRight w:val="0"/>
      <w:marTop w:val="0"/>
      <w:marBottom w:val="0"/>
      <w:divBdr>
        <w:top w:val="none" w:sz="0" w:space="0" w:color="auto"/>
        <w:left w:val="none" w:sz="0" w:space="0" w:color="auto"/>
        <w:bottom w:val="none" w:sz="0" w:space="0" w:color="auto"/>
        <w:right w:val="none" w:sz="0" w:space="0" w:color="auto"/>
      </w:divBdr>
    </w:div>
    <w:div w:id="66853412">
      <w:bodyDiv w:val="1"/>
      <w:marLeft w:val="0"/>
      <w:marRight w:val="0"/>
      <w:marTop w:val="0"/>
      <w:marBottom w:val="0"/>
      <w:divBdr>
        <w:top w:val="none" w:sz="0" w:space="0" w:color="auto"/>
        <w:left w:val="none" w:sz="0" w:space="0" w:color="auto"/>
        <w:bottom w:val="none" w:sz="0" w:space="0" w:color="auto"/>
        <w:right w:val="none" w:sz="0" w:space="0" w:color="auto"/>
      </w:divBdr>
    </w:div>
    <w:div w:id="71243133">
      <w:bodyDiv w:val="1"/>
      <w:marLeft w:val="0"/>
      <w:marRight w:val="0"/>
      <w:marTop w:val="0"/>
      <w:marBottom w:val="0"/>
      <w:divBdr>
        <w:top w:val="none" w:sz="0" w:space="0" w:color="auto"/>
        <w:left w:val="none" w:sz="0" w:space="0" w:color="auto"/>
        <w:bottom w:val="none" w:sz="0" w:space="0" w:color="auto"/>
        <w:right w:val="none" w:sz="0" w:space="0" w:color="auto"/>
      </w:divBdr>
    </w:div>
    <w:div w:id="74786877">
      <w:bodyDiv w:val="1"/>
      <w:marLeft w:val="0"/>
      <w:marRight w:val="0"/>
      <w:marTop w:val="0"/>
      <w:marBottom w:val="0"/>
      <w:divBdr>
        <w:top w:val="none" w:sz="0" w:space="0" w:color="auto"/>
        <w:left w:val="none" w:sz="0" w:space="0" w:color="auto"/>
        <w:bottom w:val="none" w:sz="0" w:space="0" w:color="auto"/>
        <w:right w:val="none" w:sz="0" w:space="0" w:color="auto"/>
      </w:divBdr>
    </w:div>
    <w:div w:id="74982779">
      <w:bodyDiv w:val="1"/>
      <w:marLeft w:val="0"/>
      <w:marRight w:val="0"/>
      <w:marTop w:val="0"/>
      <w:marBottom w:val="0"/>
      <w:divBdr>
        <w:top w:val="none" w:sz="0" w:space="0" w:color="auto"/>
        <w:left w:val="none" w:sz="0" w:space="0" w:color="auto"/>
        <w:bottom w:val="none" w:sz="0" w:space="0" w:color="auto"/>
        <w:right w:val="none" w:sz="0" w:space="0" w:color="auto"/>
      </w:divBdr>
    </w:div>
    <w:div w:id="81071784">
      <w:bodyDiv w:val="1"/>
      <w:marLeft w:val="0"/>
      <w:marRight w:val="0"/>
      <w:marTop w:val="0"/>
      <w:marBottom w:val="0"/>
      <w:divBdr>
        <w:top w:val="none" w:sz="0" w:space="0" w:color="auto"/>
        <w:left w:val="none" w:sz="0" w:space="0" w:color="auto"/>
        <w:bottom w:val="none" w:sz="0" w:space="0" w:color="auto"/>
        <w:right w:val="none" w:sz="0" w:space="0" w:color="auto"/>
      </w:divBdr>
    </w:div>
    <w:div w:id="81345020">
      <w:bodyDiv w:val="1"/>
      <w:marLeft w:val="0"/>
      <w:marRight w:val="0"/>
      <w:marTop w:val="0"/>
      <w:marBottom w:val="0"/>
      <w:divBdr>
        <w:top w:val="none" w:sz="0" w:space="0" w:color="auto"/>
        <w:left w:val="none" w:sz="0" w:space="0" w:color="auto"/>
        <w:bottom w:val="none" w:sz="0" w:space="0" w:color="auto"/>
        <w:right w:val="none" w:sz="0" w:space="0" w:color="auto"/>
      </w:divBdr>
    </w:div>
    <w:div w:id="86771363">
      <w:bodyDiv w:val="1"/>
      <w:marLeft w:val="0"/>
      <w:marRight w:val="0"/>
      <w:marTop w:val="0"/>
      <w:marBottom w:val="0"/>
      <w:divBdr>
        <w:top w:val="none" w:sz="0" w:space="0" w:color="auto"/>
        <w:left w:val="none" w:sz="0" w:space="0" w:color="auto"/>
        <w:bottom w:val="none" w:sz="0" w:space="0" w:color="auto"/>
        <w:right w:val="none" w:sz="0" w:space="0" w:color="auto"/>
      </w:divBdr>
    </w:div>
    <w:div w:id="89010211">
      <w:bodyDiv w:val="1"/>
      <w:marLeft w:val="0"/>
      <w:marRight w:val="0"/>
      <w:marTop w:val="0"/>
      <w:marBottom w:val="0"/>
      <w:divBdr>
        <w:top w:val="none" w:sz="0" w:space="0" w:color="auto"/>
        <w:left w:val="none" w:sz="0" w:space="0" w:color="auto"/>
        <w:bottom w:val="none" w:sz="0" w:space="0" w:color="auto"/>
        <w:right w:val="none" w:sz="0" w:space="0" w:color="auto"/>
      </w:divBdr>
    </w:div>
    <w:div w:id="95054986">
      <w:bodyDiv w:val="1"/>
      <w:marLeft w:val="0"/>
      <w:marRight w:val="0"/>
      <w:marTop w:val="0"/>
      <w:marBottom w:val="0"/>
      <w:divBdr>
        <w:top w:val="none" w:sz="0" w:space="0" w:color="auto"/>
        <w:left w:val="none" w:sz="0" w:space="0" w:color="auto"/>
        <w:bottom w:val="none" w:sz="0" w:space="0" w:color="auto"/>
        <w:right w:val="none" w:sz="0" w:space="0" w:color="auto"/>
      </w:divBdr>
    </w:div>
    <w:div w:id="98834669">
      <w:bodyDiv w:val="1"/>
      <w:marLeft w:val="0"/>
      <w:marRight w:val="0"/>
      <w:marTop w:val="0"/>
      <w:marBottom w:val="0"/>
      <w:divBdr>
        <w:top w:val="none" w:sz="0" w:space="0" w:color="auto"/>
        <w:left w:val="none" w:sz="0" w:space="0" w:color="auto"/>
        <w:bottom w:val="none" w:sz="0" w:space="0" w:color="auto"/>
        <w:right w:val="none" w:sz="0" w:space="0" w:color="auto"/>
      </w:divBdr>
    </w:div>
    <w:div w:id="104618681">
      <w:bodyDiv w:val="1"/>
      <w:marLeft w:val="0"/>
      <w:marRight w:val="0"/>
      <w:marTop w:val="0"/>
      <w:marBottom w:val="0"/>
      <w:divBdr>
        <w:top w:val="none" w:sz="0" w:space="0" w:color="auto"/>
        <w:left w:val="none" w:sz="0" w:space="0" w:color="auto"/>
        <w:bottom w:val="none" w:sz="0" w:space="0" w:color="auto"/>
        <w:right w:val="none" w:sz="0" w:space="0" w:color="auto"/>
      </w:divBdr>
    </w:div>
    <w:div w:id="116728486">
      <w:bodyDiv w:val="1"/>
      <w:marLeft w:val="0"/>
      <w:marRight w:val="0"/>
      <w:marTop w:val="0"/>
      <w:marBottom w:val="0"/>
      <w:divBdr>
        <w:top w:val="none" w:sz="0" w:space="0" w:color="auto"/>
        <w:left w:val="none" w:sz="0" w:space="0" w:color="auto"/>
        <w:bottom w:val="none" w:sz="0" w:space="0" w:color="auto"/>
        <w:right w:val="none" w:sz="0" w:space="0" w:color="auto"/>
      </w:divBdr>
    </w:div>
    <w:div w:id="116994333">
      <w:bodyDiv w:val="1"/>
      <w:marLeft w:val="0"/>
      <w:marRight w:val="0"/>
      <w:marTop w:val="0"/>
      <w:marBottom w:val="0"/>
      <w:divBdr>
        <w:top w:val="none" w:sz="0" w:space="0" w:color="auto"/>
        <w:left w:val="none" w:sz="0" w:space="0" w:color="auto"/>
        <w:bottom w:val="none" w:sz="0" w:space="0" w:color="auto"/>
        <w:right w:val="none" w:sz="0" w:space="0" w:color="auto"/>
      </w:divBdr>
    </w:div>
    <w:div w:id="124279855">
      <w:bodyDiv w:val="1"/>
      <w:marLeft w:val="0"/>
      <w:marRight w:val="0"/>
      <w:marTop w:val="0"/>
      <w:marBottom w:val="0"/>
      <w:divBdr>
        <w:top w:val="none" w:sz="0" w:space="0" w:color="auto"/>
        <w:left w:val="none" w:sz="0" w:space="0" w:color="auto"/>
        <w:bottom w:val="none" w:sz="0" w:space="0" w:color="auto"/>
        <w:right w:val="none" w:sz="0" w:space="0" w:color="auto"/>
      </w:divBdr>
    </w:div>
    <w:div w:id="129135009">
      <w:bodyDiv w:val="1"/>
      <w:marLeft w:val="0"/>
      <w:marRight w:val="0"/>
      <w:marTop w:val="0"/>
      <w:marBottom w:val="0"/>
      <w:divBdr>
        <w:top w:val="none" w:sz="0" w:space="0" w:color="auto"/>
        <w:left w:val="none" w:sz="0" w:space="0" w:color="auto"/>
        <w:bottom w:val="none" w:sz="0" w:space="0" w:color="auto"/>
        <w:right w:val="none" w:sz="0" w:space="0" w:color="auto"/>
      </w:divBdr>
    </w:div>
    <w:div w:id="129372691">
      <w:bodyDiv w:val="1"/>
      <w:marLeft w:val="0"/>
      <w:marRight w:val="0"/>
      <w:marTop w:val="0"/>
      <w:marBottom w:val="0"/>
      <w:divBdr>
        <w:top w:val="none" w:sz="0" w:space="0" w:color="auto"/>
        <w:left w:val="none" w:sz="0" w:space="0" w:color="auto"/>
        <w:bottom w:val="none" w:sz="0" w:space="0" w:color="auto"/>
        <w:right w:val="none" w:sz="0" w:space="0" w:color="auto"/>
      </w:divBdr>
    </w:div>
    <w:div w:id="131483096">
      <w:bodyDiv w:val="1"/>
      <w:marLeft w:val="0"/>
      <w:marRight w:val="0"/>
      <w:marTop w:val="0"/>
      <w:marBottom w:val="0"/>
      <w:divBdr>
        <w:top w:val="none" w:sz="0" w:space="0" w:color="auto"/>
        <w:left w:val="none" w:sz="0" w:space="0" w:color="auto"/>
        <w:bottom w:val="none" w:sz="0" w:space="0" w:color="auto"/>
        <w:right w:val="none" w:sz="0" w:space="0" w:color="auto"/>
      </w:divBdr>
    </w:div>
    <w:div w:id="132716167">
      <w:bodyDiv w:val="1"/>
      <w:marLeft w:val="0"/>
      <w:marRight w:val="0"/>
      <w:marTop w:val="0"/>
      <w:marBottom w:val="0"/>
      <w:divBdr>
        <w:top w:val="none" w:sz="0" w:space="0" w:color="auto"/>
        <w:left w:val="none" w:sz="0" w:space="0" w:color="auto"/>
        <w:bottom w:val="none" w:sz="0" w:space="0" w:color="auto"/>
        <w:right w:val="none" w:sz="0" w:space="0" w:color="auto"/>
      </w:divBdr>
    </w:div>
    <w:div w:id="133760916">
      <w:bodyDiv w:val="1"/>
      <w:marLeft w:val="0"/>
      <w:marRight w:val="0"/>
      <w:marTop w:val="0"/>
      <w:marBottom w:val="0"/>
      <w:divBdr>
        <w:top w:val="none" w:sz="0" w:space="0" w:color="auto"/>
        <w:left w:val="none" w:sz="0" w:space="0" w:color="auto"/>
        <w:bottom w:val="none" w:sz="0" w:space="0" w:color="auto"/>
        <w:right w:val="none" w:sz="0" w:space="0" w:color="auto"/>
      </w:divBdr>
    </w:div>
    <w:div w:id="139227498">
      <w:bodyDiv w:val="1"/>
      <w:marLeft w:val="0"/>
      <w:marRight w:val="0"/>
      <w:marTop w:val="0"/>
      <w:marBottom w:val="0"/>
      <w:divBdr>
        <w:top w:val="none" w:sz="0" w:space="0" w:color="auto"/>
        <w:left w:val="none" w:sz="0" w:space="0" w:color="auto"/>
        <w:bottom w:val="none" w:sz="0" w:space="0" w:color="auto"/>
        <w:right w:val="none" w:sz="0" w:space="0" w:color="auto"/>
      </w:divBdr>
    </w:div>
    <w:div w:id="142239951">
      <w:bodyDiv w:val="1"/>
      <w:marLeft w:val="0"/>
      <w:marRight w:val="0"/>
      <w:marTop w:val="0"/>
      <w:marBottom w:val="0"/>
      <w:divBdr>
        <w:top w:val="none" w:sz="0" w:space="0" w:color="auto"/>
        <w:left w:val="none" w:sz="0" w:space="0" w:color="auto"/>
        <w:bottom w:val="none" w:sz="0" w:space="0" w:color="auto"/>
        <w:right w:val="none" w:sz="0" w:space="0" w:color="auto"/>
      </w:divBdr>
    </w:div>
    <w:div w:id="155221795">
      <w:bodyDiv w:val="1"/>
      <w:marLeft w:val="0"/>
      <w:marRight w:val="0"/>
      <w:marTop w:val="0"/>
      <w:marBottom w:val="0"/>
      <w:divBdr>
        <w:top w:val="none" w:sz="0" w:space="0" w:color="auto"/>
        <w:left w:val="none" w:sz="0" w:space="0" w:color="auto"/>
        <w:bottom w:val="none" w:sz="0" w:space="0" w:color="auto"/>
        <w:right w:val="none" w:sz="0" w:space="0" w:color="auto"/>
      </w:divBdr>
    </w:div>
    <w:div w:id="160893982">
      <w:bodyDiv w:val="1"/>
      <w:marLeft w:val="0"/>
      <w:marRight w:val="0"/>
      <w:marTop w:val="0"/>
      <w:marBottom w:val="0"/>
      <w:divBdr>
        <w:top w:val="none" w:sz="0" w:space="0" w:color="auto"/>
        <w:left w:val="none" w:sz="0" w:space="0" w:color="auto"/>
        <w:bottom w:val="none" w:sz="0" w:space="0" w:color="auto"/>
        <w:right w:val="none" w:sz="0" w:space="0" w:color="auto"/>
      </w:divBdr>
    </w:div>
    <w:div w:id="166481070">
      <w:bodyDiv w:val="1"/>
      <w:marLeft w:val="0"/>
      <w:marRight w:val="0"/>
      <w:marTop w:val="0"/>
      <w:marBottom w:val="0"/>
      <w:divBdr>
        <w:top w:val="none" w:sz="0" w:space="0" w:color="auto"/>
        <w:left w:val="none" w:sz="0" w:space="0" w:color="auto"/>
        <w:bottom w:val="none" w:sz="0" w:space="0" w:color="auto"/>
        <w:right w:val="none" w:sz="0" w:space="0" w:color="auto"/>
      </w:divBdr>
    </w:div>
    <w:div w:id="170993367">
      <w:bodyDiv w:val="1"/>
      <w:marLeft w:val="0"/>
      <w:marRight w:val="0"/>
      <w:marTop w:val="0"/>
      <w:marBottom w:val="0"/>
      <w:divBdr>
        <w:top w:val="none" w:sz="0" w:space="0" w:color="auto"/>
        <w:left w:val="none" w:sz="0" w:space="0" w:color="auto"/>
        <w:bottom w:val="none" w:sz="0" w:space="0" w:color="auto"/>
        <w:right w:val="none" w:sz="0" w:space="0" w:color="auto"/>
      </w:divBdr>
    </w:div>
    <w:div w:id="171336540">
      <w:bodyDiv w:val="1"/>
      <w:marLeft w:val="0"/>
      <w:marRight w:val="0"/>
      <w:marTop w:val="0"/>
      <w:marBottom w:val="0"/>
      <w:divBdr>
        <w:top w:val="none" w:sz="0" w:space="0" w:color="auto"/>
        <w:left w:val="none" w:sz="0" w:space="0" w:color="auto"/>
        <w:bottom w:val="none" w:sz="0" w:space="0" w:color="auto"/>
        <w:right w:val="none" w:sz="0" w:space="0" w:color="auto"/>
      </w:divBdr>
    </w:div>
    <w:div w:id="172189545">
      <w:bodyDiv w:val="1"/>
      <w:marLeft w:val="0"/>
      <w:marRight w:val="0"/>
      <w:marTop w:val="0"/>
      <w:marBottom w:val="0"/>
      <w:divBdr>
        <w:top w:val="none" w:sz="0" w:space="0" w:color="auto"/>
        <w:left w:val="none" w:sz="0" w:space="0" w:color="auto"/>
        <w:bottom w:val="none" w:sz="0" w:space="0" w:color="auto"/>
        <w:right w:val="none" w:sz="0" w:space="0" w:color="auto"/>
      </w:divBdr>
    </w:div>
    <w:div w:id="176621115">
      <w:bodyDiv w:val="1"/>
      <w:marLeft w:val="0"/>
      <w:marRight w:val="0"/>
      <w:marTop w:val="0"/>
      <w:marBottom w:val="0"/>
      <w:divBdr>
        <w:top w:val="none" w:sz="0" w:space="0" w:color="auto"/>
        <w:left w:val="none" w:sz="0" w:space="0" w:color="auto"/>
        <w:bottom w:val="none" w:sz="0" w:space="0" w:color="auto"/>
        <w:right w:val="none" w:sz="0" w:space="0" w:color="auto"/>
      </w:divBdr>
    </w:div>
    <w:div w:id="179513676">
      <w:bodyDiv w:val="1"/>
      <w:marLeft w:val="0"/>
      <w:marRight w:val="0"/>
      <w:marTop w:val="0"/>
      <w:marBottom w:val="0"/>
      <w:divBdr>
        <w:top w:val="none" w:sz="0" w:space="0" w:color="auto"/>
        <w:left w:val="none" w:sz="0" w:space="0" w:color="auto"/>
        <w:bottom w:val="none" w:sz="0" w:space="0" w:color="auto"/>
        <w:right w:val="none" w:sz="0" w:space="0" w:color="auto"/>
      </w:divBdr>
    </w:div>
    <w:div w:id="179780846">
      <w:bodyDiv w:val="1"/>
      <w:marLeft w:val="0"/>
      <w:marRight w:val="0"/>
      <w:marTop w:val="0"/>
      <w:marBottom w:val="0"/>
      <w:divBdr>
        <w:top w:val="none" w:sz="0" w:space="0" w:color="auto"/>
        <w:left w:val="none" w:sz="0" w:space="0" w:color="auto"/>
        <w:bottom w:val="none" w:sz="0" w:space="0" w:color="auto"/>
        <w:right w:val="none" w:sz="0" w:space="0" w:color="auto"/>
      </w:divBdr>
    </w:div>
    <w:div w:id="180248112">
      <w:bodyDiv w:val="1"/>
      <w:marLeft w:val="0"/>
      <w:marRight w:val="0"/>
      <w:marTop w:val="0"/>
      <w:marBottom w:val="0"/>
      <w:divBdr>
        <w:top w:val="none" w:sz="0" w:space="0" w:color="auto"/>
        <w:left w:val="none" w:sz="0" w:space="0" w:color="auto"/>
        <w:bottom w:val="none" w:sz="0" w:space="0" w:color="auto"/>
        <w:right w:val="none" w:sz="0" w:space="0" w:color="auto"/>
      </w:divBdr>
    </w:div>
    <w:div w:id="185145533">
      <w:bodyDiv w:val="1"/>
      <w:marLeft w:val="0"/>
      <w:marRight w:val="0"/>
      <w:marTop w:val="0"/>
      <w:marBottom w:val="0"/>
      <w:divBdr>
        <w:top w:val="none" w:sz="0" w:space="0" w:color="auto"/>
        <w:left w:val="none" w:sz="0" w:space="0" w:color="auto"/>
        <w:bottom w:val="none" w:sz="0" w:space="0" w:color="auto"/>
        <w:right w:val="none" w:sz="0" w:space="0" w:color="auto"/>
      </w:divBdr>
    </w:div>
    <w:div w:id="189033636">
      <w:bodyDiv w:val="1"/>
      <w:marLeft w:val="0"/>
      <w:marRight w:val="0"/>
      <w:marTop w:val="0"/>
      <w:marBottom w:val="0"/>
      <w:divBdr>
        <w:top w:val="none" w:sz="0" w:space="0" w:color="auto"/>
        <w:left w:val="none" w:sz="0" w:space="0" w:color="auto"/>
        <w:bottom w:val="none" w:sz="0" w:space="0" w:color="auto"/>
        <w:right w:val="none" w:sz="0" w:space="0" w:color="auto"/>
      </w:divBdr>
    </w:div>
    <w:div w:id="190925678">
      <w:bodyDiv w:val="1"/>
      <w:marLeft w:val="0"/>
      <w:marRight w:val="0"/>
      <w:marTop w:val="0"/>
      <w:marBottom w:val="0"/>
      <w:divBdr>
        <w:top w:val="none" w:sz="0" w:space="0" w:color="auto"/>
        <w:left w:val="none" w:sz="0" w:space="0" w:color="auto"/>
        <w:bottom w:val="none" w:sz="0" w:space="0" w:color="auto"/>
        <w:right w:val="none" w:sz="0" w:space="0" w:color="auto"/>
      </w:divBdr>
    </w:div>
    <w:div w:id="191460463">
      <w:bodyDiv w:val="1"/>
      <w:marLeft w:val="0"/>
      <w:marRight w:val="0"/>
      <w:marTop w:val="0"/>
      <w:marBottom w:val="0"/>
      <w:divBdr>
        <w:top w:val="none" w:sz="0" w:space="0" w:color="auto"/>
        <w:left w:val="none" w:sz="0" w:space="0" w:color="auto"/>
        <w:bottom w:val="none" w:sz="0" w:space="0" w:color="auto"/>
        <w:right w:val="none" w:sz="0" w:space="0" w:color="auto"/>
      </w:divBdr>
    </w:div>
    <w:div w:id="193232417">
      <w:bodyDiv w:val="1"/>
      <w:marLeft w:val="0"/>
      <w:marRight w:val="0"/>
      <w:marTop w:val="0"/>
      <w:marBottom w:val="0"/>
      <w:divBdr>
        <w:top w:val="none" w:sz="0" w:space="0" w:color="auto"/>
        <w:left w:val="none" w:sz="0" w:space="0" w:color="auto"/>
        <w:bottom w:val="none" w:sz="0" w:space="0" w:color="auto"/>
        <w:right w:val="none" w:sz="0" w:space="0" w:color="auto"/>
      </w:divBdr>
    </w:div>
    <w:div w:id="194268188">
      <w:bodyDiv w:val="1"/>
      <w:marLeft w:val="0"/>
      <w:marRight w:val="0"/>
      <w:marTop w:val="0"/>
      <w:marBottom w:val="0"/>
      <w:divBdr>
        <w:top w:val="none" w:sz="0" w:space="0" w:color="auto"/>
        <w:left w:val="none" w:sz="0" w:space="0" w:color="auto"/>
        <w:bottom w:val="none" w:sz="0" w:space="0" w:color="auto"/>
        <w:right w:val="none" w:sz="0" w:space="0" w:color="auto"/>
      </w:divBdr>
    </w:div>
    <w:div w:id="206186040">
      <w:bodyDiv w:val="1"/>
      <w:marLeft w:val="0"/>
      <w:marRight w:val="0"/>
      <w:marTop w:val="0"/>
      <w:marBottom w:val="0"/>
      <w:divBdr>
        <w:top w:val="none" w:sz="0" w:space="0" w:color="auto"/>
        <w:left w:val="none" w:sz="0" w:space="0" w:color="auto"/>
        <w:bottom w:val="none" w:sz="0" w:space="0" w:color="auto"/>
        <w:right w:val="none" w:sz="0" w:space="0" w:color="auto"/>
      </w:divBdr>
    </w:div>
    <w:div w:id="215359591">
      <w:bodyDiv w:val="1"/>
      <w:marLeft w:val="0"/>
      <w:marRight w:val="0"/>
      <w:marTop w:val="0"/>
      <w:marBottom w:val="0"/>
      <w:divBdr>
        <w:top w:val="none" w:sz="0" w:space="0" w:color="auto"/>
        <w:left w:val="none" w:sz="0" w:space="0" w:color="auto"/>
        <w:bottom w:val="none" w:sz="0" w:space="0" w:color="auto"/>
        <w:right w:val="none" w:sz="0" w:space="0" w:color="auto"/>
      </w:divBdr>
    </w:div>
    <w:div w:id="218592776">
      <w:bodyDiv w:val="1"/>
      <w:marLeft w:val="0"/>
      <w:marRight w:val="0"/>
      <w:marTop w:val="0"/>
      <w:marBottom w:val="0"/>
      <w:divBdr>
        <w:top w:val="none" w:sz="0" w:space="0" w:color="auto"/>
        <w:left w:val="none" w:sz="0" w:space="0" w:color="auto"/>
        <w:bottom w:val="none" w:sz="0" w:space="0" w:color="auto"/>
        <w:right w:val="none" w:sz="0" w:space="0" w:color="auto"/>
      </w:divBdr>
    </w:div>
    <w:div w:id="220144146">
      <w:bodyDiv w:val="1"/>
      <w:marLeft w:val="0"/>
      <w:marRight w:val="0"/>
      <w:marTop w:val="0"/>
      <w:marBottom w:val="0"/>
      <w:divBdr>
        <w:top w:val="none" w:sz="0" w:space="0" w:color="auto"/>
        <w:left w:val="none" w:sz="0" w:space="0" w:color="auto"/>
        <w:bottom w:val="none" w:sz="0" w:space="0" w:color="auto"/>
        <w:right w:val="none" w:sz="0" w:space="0" w:color="auto"/>
      </w:divBdr>
    </w:div>
    <w:div w:id="226303054">
      <w:bodyDiv w:val="1"/>
      <w:marLeft w:val="0"/>
      <w:marRight w:val="0"/>
      <w:marTop w:val="0"/>
      <w:marBottom w:val="0"/>
      <w:divBdr>
        <w:top w:val="none" w:sz="0" w:space="0" w:color="auto"/>
        <w:left w:val="none" w:sz="0" w:space="0" w:color="auto"/>
        <w:bottom w:val="none" w:sz="0" w:space="0" w:color="auto"/>
        <w:right w:val="none" w:sz="0" w:space="0" w:color="auto"/>
      </w:divBdr>
    </w:div>
    <w:div w:id="231082857">
      <w:bodyDiv w:val="1"/>
      <w:marLeft w:val="0"/>
      <w:marRight w:val="0"/>
      <w:marTop w:val="0"/>
      <w:marBottom w:val="0"/>
      <w:divBdr>
        <w:top w:val="none" w:sz="0" w:space="0" w:color="auto"/>
        <w:left w:val="none" w:sz="0" w:space="0" w:color="auto"/>
        <w:bottom w:val="none" w:sz="0" w:space="0" w:color="auto"/>
        <w:right w:val="none" w:sz="0" w:space="0" w:color="auto"/>
      </w:divBdr>
    </w:div>
    <w:div w:id="240023297">
      <w:bodyDiv w:val="1"/>
      <w:marLeft w:val="0"/>
      <w:marRight w:val="0"/>
      <w:marTop w:val="0"/>
      <w:marBottom w:val="0"/>
      <w:divBdr>
        <w:top w:val="none" w:sz="0" w:space="0" w:color="auto"/>
        <w:left w:val="none" w:sz="0" w:space="0" w:color="auto"/>
        <w:bottom w:val="none" w:sz="0" w:space="0" w:color="auto"/>
        <w:right w:val="none" w:sz="0" w:space="0" w:color="auto"/>
      </w:divBdr>
    </w:div>
    <w:div w:id="241257396">
      <w:bodyDiv w:val="1"/>
      <w:marLeft w:val="0"/>
      <w:marRight w:val="0"/>
      <w:marTop w:val="0"/>
      <w:marBottom w:val="0"/>
      <w:divBdr>
        <w:top w:val="none" w:sz="0" w:space="0" w:color="auto"/>
        <w:left w:val="none" w:sz="0" w:space="0" w:color="auto"/>
        <w:bottom w:val="none" w:sz="0" w:space="0" w:color="auto"/>
        <w:right w:val="none" w:sz="0" w:space="0" w:color="auto"/>
      </w:divBdr>
    </w:div>
    <w:div w:id="242493241">
      <w:bodyDiv w:val="1"/>
      <w:marLeft w:val="0"/>
      <w:marRight w:val="0"/>
      <w:marTop w:val="0"/>
      <w:marBottom w:val="0"/>
      <w:divBdr>
        <w:top w:val="none" w:sz="0" w:space="0" w:color="auto"/>
        <w:left w:val="none" w:sz="0" w:space="0" w:color="auto"/>
        <w:bottom w:val="none" w:sz="0" w:space="0" w:color="auto"/>
        <w:right w:val="none" w:sz="0" w:space="0" w:color="auto"/>
      </w:divBdr>
    </w:div>
    <w:div w:id="247351781">
      <w:bodyDiv w:val="1"/>
      <w:marLeft w:val="0"/>
      <w:marRight w:val="0"/>
      <w:marTop w:val="0"/>
      <w:marBottom w:val="0"/>
      <w:divBdr>
        <w:top w:val="none" w:sz="0" w:space="0" w:color="auto"/>
        <w:left w:val="none" w:sz="0" w:space="0" w:color="auto"/>
        <w:bottom w:val="none" w:sz="0" w:space="0" w:color="auto"/>
        <w:right w:val="none" w:sz="0" w:space="0" w:color="auto"/>
      </w:divBdr>
    </w:div>
    <w:div w:id="248003937">
      <w:bodyDiv w:val="1"/>
      <w:marLeft w:val="0"/>
      <w:marRight w:val="0"/>
      <w:marTop w:val="0"/>
      <w:marBottom w:val="0"/>
      <w:divBdr>
        <w:top w:val="none" w:sz="0" w:space="0" w:color="auto"/>
        <w:left w:val="none" w:sz="0" w:space="0" w:color="auto"/>
        <w:bottom w:val="none" w:sz="0" w:space="0" w:color="auto"/>
        <w:right w:val="none" w:sz="0" w:space="0" w:color="auto"/>
      </w:divBdr>
    </w:div>
    <w:div w:id="249968688">
      <w:bodyDiv w:val="1"/>
      <w:marLeft w:val="0"/>
      <w:marRight w:val="0"/>
      <w:marTop w:val="0"/>
      <w:marBottom w:val="0"/>
      <w:divBdr>
        <w:top w:val="none" w:sz="0" w:space="0" w:color="auto"/>
        <w:left w:val="none" w:sz="0" w:space="0" w:color="auto"/>
        <w:bottom w:val="none" w:sz="0" w:space="0" w:color="auto"/>
        <w:right w:val="none" w:sz="0" w:space="0" w:color="auto"/>
      </w:divBdr>
    </w:div>
    <w:div w:id="261184059">
      <w:bodyDiv w:val="1"/>
      <w:marLeft w:val="0"/>
      <w:marRight w:val="0"/>
      <w:marTop w:val="0"/>
      <w:marBottom w:val="0"/>
      <w:divBdr>
        <w:top w:val="none" w:sz="0" w:space="0" w:color="auto"/>
        <w:left w:val="none" w:sz="0" w:space="0" w:color="auto"/>
        <w:bottom w:val="none" w:sz="0" w:space="0" w:color="auto"/>
        <w:right w:val="none" w:sz="0" w:space="0" w:color="auto"/>
      </w:divBdr>
    </w:div>
    <w:div w:id="265037054">
      <w:bodyDiv w:val="1"/>
      <w:marLeft w:val="0"/>
      <w:marRight w:val="0"/>
      <w:marTop w:val="0"/>
      <w:marBottom w:val="0"/>
      <w:divBdr>
        <w:top w:val="none" w:sz="0" w:space="0" w:color="auto"/>
        <w:left w:val="none" w:sz="0" w:space="0" w:color="auto"/>
        <w:bottom w:val="none" w:sz="0" w:space="0" w:color="auto"/>
        <w:right w:val="none" w:sz="0" w:space="0" w:color="auto"/>
      </w:divBdr>
    </w:div>
    <w:div w:id="265424009">
      <w:bodyDiv w:val="1"/>
      <w:marLeft w:val="0"/>
      <w:marRight w:val="0"/>
      <w:marTop w:val="0"/>
      <w:marBottom w:val="0"/>
      <w:divBdr>
        <w:top w:val="none" w:sz="0" w:space="0" w:color="auto"/>
        <w:left w:val="none" w:sz="0" w:space="0" w:color="auto"/>
        <w:bottom w:val="none" w:sz="0" w:space="0" w:color="auto"/>
        <w:right w:val="none" w:sz="0" w:space="0" w:color="auto"/>
      </w:divBdr>
    </w:div>
    <w:div w:id="266624060">
      <w:bodyDiv w:val="1"/>
      <w:marLeft w:val="0"/>
      <w:marRight w:val="0"/>
      <w:marTop w:val="0"/>
      <w:marBottom w:val="0"/>
      <w:divBdr>
        <w:top w:val="none" w:sz="0" w:space="0" w:color="auto"/>
        <w:left w:val="none" w:sz="0" w:space="0" w:color="auto"/>
        <w:bottom w:val="none" w:sz="0" w:space="0" w:color="auto"/>
        <w:right w:val="none" w:sz="0" w:space="0" w:color="auto"/>
      </w:divBdr>
    </w:div>
    <w:div w:id="267860619">
      <w:bodyDiv w:val="1"/>
      <w:marLeft w:val="0"/>
      <w:marRight w:val="0"/>
      <w:marTop w:val="0"/>
      <w:marBottom w:val="0"/>
      <w:divBdr>
        <w:top w:val="none" w:sz="0" w:space="0" w:color="auto"/>
        <w:left w:val="none" w:sz="0" w:space="0" w:color="auto"/>
        <w:bottom w:val="none" w:sz="0" w:space="0" w:color="auto"/>
        <w:right w:val="none" w:sz="0" w:space="0" w:color="auto"/>
      </w:divBdr>
    </w:div>
    <w:div w:id="269630343">
      <w:bodyDiv w:val="1"/>
      <w:marLeft w:val="0"/>
      <w:marRight w:val="0"/>
      <w:marTop w:val="0"/>
      <w:marBottom w:val="0"/>
      <w:divBdr>
        <w:top w:val="none" w:sz="0" w:space="0" w:color="auto"/>
        <w:left w:val="none" w:sz="0" w:space="0" w:color="auto"/>
        <w:bottom w:val="none" w:sz="0" w:space="0" w:color="auto"/>
        <w:right w:val="none" w:sz="0" w:space="0" w:color="auto"/>
      </w:divBdr>
    </w:div>
    <w:div w:id="271326557">
      <w:bodyDiv w:val="1"/>
      <w:marLeft w:val="0"/>
      <w:marRight w:val="0"/>
      <w:marTop w:val="0"/>
      <w:marBottom w:val="0"/>
      <w:divBdr>
        <w:top w:val="none" w:sz="0" w:space="0" w:color="auto"/>
        <w:left w:val="none" w:sz="0" w:space="0" w:color="auto"/>
        <w:bottom w:val="none" w:sz="0" w:space="0" w:color="auto"/>
        <w:right w:val="none" w:sz="0" w:space="0" w:color="auto"/>
      </w:divBdr>
    </w:div>
    <w:div w:id="277565907">
      <w:bodyDiv w:val="1"/>
      <w:marLeft w:val="0"/>
      <w:marRight w:val="0"/>
      <w:marTop w:val="0"/>
      <w:marBottom w:val="0"/>
      <w:divBdr>
        <w:top w:val="none" w:sz="0" w:space="0" w:color="auto"/>
        <w:left w:val="none" w:sz="0" w:space="0" w:color="auto"/>
        <w:bottom w:val="none" w:sz="0" w:space="0" w:color="auto"/>
        <w:right w:val="none" w:sz="0" w:space="0" w:color="auto"/>
      </w:divBdr>
    </w:div>
    <w:div w:id="279997531">
      <w:bodyDiv w:val="1"/>
      <w:marLeft w:val="0"/>
      <w:marRight w:val="0"/>
      <w:marTop w:val="0"/>
      <w:marBottom w:val="0"/>
      <w:divBdr>
        <w:top w:val="none" w:sz="0" w:space="0" w:color="auto"/>
        <w:left w:val="none" w:sz="0" w:space="0" w:color="auto"/>
        <w:bottom w:val="none" w:sz="0" w:space="0" w:color="auto"/>
        <w:right w:val="none" w:sz="0" w:space="0" w:color="auto"/>
      </w:divBdr>
    </w:div>
    <w:div w:id="285815915">
      <w:bodyDiv w:val="1"/>
      <w:marLeft w:val="0"/>
      <w:marRight w:val="0"/>
      <w:marTop w:val="0"/>
      <w:marBottom w:val="0"/>
      <w:divBdr>
        <w:top w:val="none" w:sz="0" w:space="0" w:color="auto"/>
        <w:left w:val="none" w:sz="0" w:space="0" w:color="auto"/>
        <w:bottom w:val="none" w:sz="0" w:space="0" w:color="auto"/>
        <w:right w:val="none" w:sz="0" w:space="0" w:color="auto"/>
      </w:divBdr>
    </w:div>
    <w:div w:id="287198448">
      <w:bodyDiv w:val="1"/>
      <w:marLeft w:val="0"/>
      <w:marRight w:val="0"/>
      <w:marTop w:val="0"/>
      <w:marBottom w:val="0"/>
      <w:divBdr>
        <w:top w:val="none" w:sz="0" w:space="0" w:color="auto"/>
        <w:left w:val="none" w:sz="0" w:space="0" w:color="auto"/>
        <w:bottom w:val="none" w:sz="0" w:space="0" w:color="auto"/>
        <w:right w:val="none" w:sz="0" w:space="0" w:color="auto"/>
      </w:divBdr>
    </w:div>
    <w:div w:id="291055734">
      <w:bodyDiv w:val="1"/>
      <w:marLeft w:val="0"/>
      <w:marRight w:val="0"/>
      <w:marTop w:val="0"/>
      <w:marBottom w:val="0"/>
      <w:divBdr>
        <w:top w:val="none" w:sz="0" w:space="0" w:color="auto"/>
        <w:left w:val="none" w:sz="0" w:space="0" w:color="auto"/>
        <w:bottom w:val="none" w:sz="0" w:space="0" w:color="auto"/>
        <w:right w:val="none" w:sz="0" w:space="0" w:color="auto"/>
      </w:divBdr>
    </w:div>
    <w:div w:id="291719273">
      <w:bodyDiv w:val="1"/>
      <w:marLeft w:val="0"/>
      <w:marRight w:val="0"/>
      <w:marTop w:val="0"/>
      <w:marBottom w:val="0"/>
      <w:divBdr>
        <w:top w:val="none" w:sz="0" w:space="0" w:color="auto"/>
        <w:left w:val="none" w:sz="0" w:space="0" w:color="auto"/>
        <w:bottom w:val="none" w:sz="0" w:space="0" w:color="auto"/>
        <w:right w:val="none" w:sz="0" w:space="0" w:color="auto"/>
      </w:divBdr>
    </w:div>
    <w:div w:id="292948926">
      <w:bodyDiv w:val="1"/>
      <w:marLeft w:val="0"/>
      <w:marRight w:val="0"/>
      <w:marTop w:val="0"/>
      <w:marBottom w:val="0"/>
      <w:divBdr>
        <w:top w:val="none" w:sz="0" w:space="0" w:color="auto"/>
        <w:left w:val="none" w:sz="0" w:space="0" w:color="auto"/>
        <w:bottom w:val="none" w:sz="0" w:space="0" w:color="auto"/>
        <w:right w:val="none" w:sz="0" w:space="0" w:color="auto"/>
      </w:divBdr>
    </w:div>
    <w:div w:id="293758591">
      <w:bodyDiv w:val="1"/>
      <w:marLeft w:val="0"/>
      <w:marRight w:val="0"/>
      <w:marTop w:val="0"/>
      <w:marBottom w:val="0"/>
      <w:divBdr>
        <w:top w:val="none" w:sz="0" w:space="0" w:color="auto"/>
        <w:left w:val="none" w:sz="0" w:space="0" w:color="auto"/>
        <w:bottom w:val="none" w:sz="0" w:space="0" w:color="auto"/>
        <w:right w:val="none" w:sz="0" w:space="0" w:color="auto"/>
      </w:divBdr>
    </w:div>
    <w:div w:id="295255835">
      <w:bodyDiv w:val="1"/>
      <w:marLeft w:val="0"/>
      <w:marRight w:val="0"/>
      <w:marTop w:val="0"/>
      <w:marBottom w:val="0"/>
      <w:divBdr>
        <w:top w:val="none" w:sz="0" w:space="0" w:color="auto"/>
        <w:left w:val="none" w:sz="0" w:space="0" w:color="auto"/>
        <w:bottom w:val="none" w:sz="0" w:space="0" w:color="auto"/>
        <w:right w:val="none" w:sz="0" w:space="0" w:color="auto"/>
      </w:divBdr>
    </w:div>
    <w:div w:id="301008854">
      <w:bodyDiv w:val="1"/>
      <w:marLeft w:val="0"/>
      <w:marRight w:val="0"/>
      <w:marTop w:val="0"/>
      <w:marBottom w:val="0"/>
      <w:divBdr>
        <w:top w:val="none" w:sz="0" w:space="0" w:color="auto"/>
        <w:left w:val="none" w:sz="0" w:space="0" w:color="auto"/>
        <w:bottom w:val="none" w:sz="0" w:space="0" w:color="auto"/>
        <w:right w:val="none" w:sz="0" w:space="0" w:color="auto"/>
      </w:divBdr>
    </w:div>
    <w:div w:id="306202040">
      <w:bodyDiv w:val="1"/>
      <w:marLeft w:val="0"/>
      <w:marRight w:val="0"/>
      <w:marTop w:val="0"/>
      <w:marBottom w:val="0"/>
      <w:divBdr>
        <w:top w:val="none" w:sz="0" w:space="0" w:color="auto"/>
        <w:left w:val="none" w:sz="0" w:space="0" w:color="auto"/>
        <w:bottom w:val="none" w:sz="0" w:space="0" w:color="auto"/>
        <w:right w:val="none" w:sz="0" w:space="0" w:color="auto"/>
      </w:divBdr>
    </w:div>
    <w:div w:id="311452471">
      <w:bodyDiv w:val="1"/>
      <w:marLeft w:val="0"/>
      <w:marRight w:val="0"/>
      <w:marTop w:val="0"/>
      <w:marBottom w:val="0"/>
      <w:divBdr>
        <w:top w:val="none" w:sz="0" w:space="0" w:color="auto"/>
        <w:left w:val="none" w:sz="0" w:space="0" w:color="auto"/>
        <w:bottom w:val="none" w:sz="0" w:space="0" w:color="auto"/>
        <w:right w:val="none" w:sz="0" w:space="0" w:color="auto"/>
      </w:divBdr>
    </w:div>
    <w:div w:id="313991163">
      <w:bodyDiv w:val="1"/>
      <w:marLeft w:val="0"/>
      <w:marRight w:val="0"/>
      <w:marTop w:val="0"/>
      <w:marBottom w:val="0"/>
      <w:divBdr>
        <w:top w:val="none" w:sz="0" w:space="0" w:color="auto"/>
        <w:left w:val="none" w:sz="0" w:space="0" w:color="auto"/>
        <w:bottom w:val="none" w:sz="0" w:space="0" w:color="auto"/>
        <w:right w:val="none" w:sz="0" w:space="0" w:color="auto"/>
      </w:divBdr>
    </w:div>
    <w:div w:id="314191577">
      <w:bodyDiv w:val="1"/>
      <w:marLeft w:val="0"/>
      <w:marRight w:val="0"/>
      <w:marTop w:val="0"/>
      <w:marBottom w:val="0"/>
      <w:divBdr>
        <w:top w:val="none" w:sz="0" w:space="0" w:color="auto"/>
        <w:left w:val="none" w:sz="0" w:space="0" w:color="auto"/>
        <w:bottom w:val="none" w:sz="0" w:space="0" w:color="auto"/>
        <w:right w:val="none" w:sz="0" w:space="0" w:color="auto"/>
      </w:divBdr>
    </w:div>
    <w:div w:id="315570449">
      <w:bodyDiv w:val="1"/>
      <w:marLeft w:val="0"/>
      <w:marRight w:val="0"/>
      <w:marTop w:val="0"/>
      <w:marBottom w:val="0"/>
      <w:divBdr>
        <w:top w:val="none" w:sz="0" w:space="0" w:color="auto"/>
        <w:left w:val="none" w:sz="0" w:space="0" w:color="auto"/>
        <w:bottom w:val="none" w:sz="0" w:space="0" w:color="auto"/>
        <w:right w:val="none" w:sz="0" w:space="0" w:color="auto"/>
      </w:divBdr>
    </w:div>
    <w:div w:id="316806996">
      <w:bodyDiv w:val="1"/>
      <w:marLeft w:val="0"/>
      <w:marRight w:val="0"/>
      <w:marTop w:val="0"/>
      <w:marBottom w:val="0"/>
      <w:divBdr>
        <w:top w:val="none" w:sz="0" w:space="0" w:color="auto"/>
        <w:left w:val="none" w:sz="0" w:space="0" w:color="auto"/>
        <w:bottom w:val="none" w:sz="0" w:space="0" w:color="auto"/>
        <w:right w:val="none" w:sz="0" w:space="0" w:color="auto"/>
      </w:divBdr>
    </w:div>
    <w:div w:id="333068717">
      <w:bodyDiv w:val="1"/>
      <w:marLeft w:val="0"/>
      <w:marRight w:val="0"/>
      <w:marTop w:val="0"/>
      <w:marBottom w:val="0"/>
      <w:divBdr>
        <w:top w:val="none" w:sz="0" w:space="0" w:color="auto"/>
        <w:left w:val="none" w:sz="0" w:space="0" w:color="auto"/>
        <w:bottom w:val="none" w:sz="0" w:space="0" w:color="auto"/>
        <w:right w:val="none" w:sz="0" w:space="0" w:color="auto"/>
      </w:divBdr>
    </w:div>
    <w:div w:id="338509335">
      <w:bodyDiv w:val="1"/>
      <w:marLeft w:val="0"/>
      <w:marRight w:val="0"/>
      <w:marTop w:val="0"/>
      <w:marBottom w:val="0"/>
      <w:divBdr>
        <w:top w:val="none" w:sz="0" w:space="0" w:color="auto"/>
        <w:left w:val="none" w:sz="0" w:space="0" w:color="auto"/>
        <w:bottom w:val="none" w:sz="0" w:space="0" w:color="auto"/>
        <w:right w:val="none" w:sz="0" w:space="0" w:color="auto"/>
      </w:divBdr>
    </w:div>
    <w:div w:id="339359400">
      <w:bodyDiv w:val="1"/>
      <w:marLeft w:val="0"/>
      <w:marRight w:val="0"/>
      <w:marTop w:val="0"/>
      <w:marBottom w:val="0"/>
      <w:divBdr>
        <w:top w:val="none" w:sz="0" w:space="0" w:color="auto"/>
        <w:left w:val="none" w:sz="0" w:space="0" w:color="auto"/>
        <w:bottom w:val="none" w:sz="0" w:space="0" w:color="auto"/>
        <w:right w:val="none" w:sz="0" w:space="0" w:color="auto"/>
      </w:divBdr>
    </w:div>
    <w:div w:id="342980857">
      <w:bodyDiv w:val="1"/>
      <w:marLeft w:val="0"/>
      <w:marRight w:val="0"/>
      <w:marTop w:val="0"/>
      <w:marBottom w:val="0"/>
      <w:divBdr>
        <w:top w:val="none" w:sz="0" w:space="0" w:color="auto"/>
        <w:left w:val="none" w:sz="0" w:space="0" w:color="auto"/>
        <w:bottom w:val="none" w:sz="0" w:space="0" w:color="auto"/>
        <w:right w:val="none" w:sz="0" w:space="0" w:color="auto"/>
      </w:divBdr>
    </w:div>
    <w:div w:id="344020916">
      <w:bodyDiv w:val="1"/>
      <w:marLeft w:val="0"/>
      <w:marRight w:val="0"/>
      <w:marTop w:val="0"/>
      <w:marBottom w:val="0"/>
      <w:divBdr>
        <w:top w:val="none" w:sz="0" w:space="0" w:color="auto"/>
        <w:left w:val="none" w:sz="0" w:space="0" w:color="auto"/>
        <w:bottom w:val="none" w:sz="0" w:space="0" w:color="auto"/>
        <w:right w:val="none" w:sz="0" w:space="0" w:color="auto"/>
      </w:divBdr>
    </w:div>
    <w:div w:id="345793116">
      <w:bodyDiv w:val="1"/>
      <w:marLeft w:val="0"/>
      <w:marRight w:val="0"/>
      <w:marTop w:val="0"/>
      <w:marBottom w:val="0"/>
      <w:divBdr>
        <w:top w:val="none" w:sz="0" w:space="0" w:color="auto"/>
        <w:left w:val="none" w:sz="0" w:space="0" w:color="auto"/>
        <w:bottom w:val="none" w:sz="0" w:space="0" w:color="auto"/>
        <w:right w:val="none" w:sz="0" w:space="0" w:color="auto"/>
      </w:divBdr>
    </w:div>
    <w:div w:id="351153483">
      <w:bodyDiv w:val="1"/>
      <w:marLeft w:val="0"/>
      <w:marRight w:val="0"/>
      <w:marTop w:val="0"/>
      <w:marBottom w:val="0"/>
      <w:divBdr>
        <w:top w:val="none" w:sz="0" w:space="0" w:color="auto"/>
        <w:left w:val="none" w:sz="0" w:space="0" w:color="auto"/>
        <w:bottom w:val="none" w:sz="0" w:space="0" w:color="auto"/>
        <w:right w:val="none" w:sz="0" w:space="0" w:color="auto"/>
      </w:divBdr>
    </w:div>
    <w:div w:id="352075329">
      <w:bodyDiv w:val="1"/>
      <w:marLeft w:val="0"/>
      <w:marRight w:val="0"/>
      <w:marTop w:val="0"/>
      <w:marBottom w:val="0"/>
      <w:divBdr>
        <w:top w:val="none" w:sz="0" w:space="0" w:color="auto"/>
        <w:left w:val="none" w:sz="0" w:space="0" w:color="auto"/>
        <w:bottom w:val="none" w:sz="0" w:space="0" w:color="auto"/>
        <w:right w:val="none" w:sz="0" w:space="0" w:color="auto"/>
      </w:divBdr>
    </w:div>
    <w:div w:id="358622893">
      <w:bodyDiv w:val="1"/>
      <w:marLeft w:val="0"/>
      <w:marRight w:val="0"/>
      <w:marTop w:val="0"/>
      <w:marBottom w:val="0"/>
      <w:divBdr>
        <w:top w:val="none" w:sz="0" w:space="0" w:color="auto"/>
        <w:left w:val="none" w:sz="0" w:space="0" w:color="auto"/>
        <w:bottom w:val="none" w:sz="0" w:space="0" w:color="auto"/>
        <w:right w:val="none" w:sz="0" w:space="0" w:color="auto"/>
      </w:divBdr>
    </w:div>
    <w:div w:id="364670801">
      <w:bodyDiv w:val="1"/>
      <w:marLeft w:val="0"/>
      <w:marRight w:val="0"/>
      <w:marTop w:val="0"/>
      <w:marBottom w:val="0"/>
      <w:divBdr>
        <w:top w:val="none" w:sz="0" w:space="0" w:color="auto"/>
        <w:left w:val="none" w:sz="0" w:space="0" w:color="auto"/>
        <w:bottom w:val="none" w:sz="0" w:space="0" w:color="auto"/>
        <w:right w:val="none" w:sz="0" w:space="0" w:color="auto"/>
      </w:divBdr>
    </w:div>
    <w:div w:id="365764337">
      <w:bodyDiv w:val="1"/>
      <w:marLeft w:val="0"/>
      <w:marRight w:val="0"/>
      <w:marTop w:val="0"/>
      <w:marBottom w:val="0"/>
      <w:divBdr>
        <w:top w:val="none" w:sz="0" w:space="0" w:color="auto"/>
        <w:left w:val="none" w:sz="0" w:space="0" w:color="auto"/>
        <w:bottom w:val="none" w:sz="0" w:space="0" w:color="auto"/>
        <w:right w:val="none" w:sz="0" w:space="0" w:color="auto"/>
      </w:divBdr>
    </w:div>
    <w:div w:id="370113085">
      <w:bodyDiv w:val="1"/>
      <w:marLeft w:val="0"/>
      <w:marRight w:val="0"/>
      <w:marTop w:val="0"/>
      <w:marBottom w:val="0"/>
      <w:divBdr>
        <w:top w:val="none" w:sz="0" w:space="0" w:color="auto"/>
        <w:left w:val="none" w:sz="0" w:space="0" w:color="auto"/>
        <w:bottom w:val="none" w:sz="0" w:space="0" w:color="auto"/>
        <w:right w:val="none" w:sz="0" w:space="0" w:color="auto"/>
      </w:divBdr>
    </w:div>
    <w:div w:id="372854344">
      <w:bodyDiv w:val="1"/>
      <w:marLeft w:val="0"/>
      <w:marRight w:val="0"/>
      <w:marTop w:val="0"/>
      <w:marBottom w:val="0"/>
      <w:divBdr>
        <w:top w:val="none" w:sz="0" w:space="0" w:color="auto"/>
        <w:left w:val="none" w:sz="0" w:space="0" w:color="auto"/>
        <w:bottom w:val="none" w:sz="0" w:space="0" w:color="auto"/>
        <w:right w:val="none" w:sz="0" w:space="0" w:color="auto"/>
      </w:divBdr>
    </w:div>
    <w:div w:id="374695226">
      <w:bodyDiv w:val="1"/>
      <w:marLeft w:val="0"/>
      <w:marRight w:val="0"/>
      <w:marTop w:val="0"/>
      <w:marBottom w:val="0"/>
      <w:divBdr>
        <w:top w:val="none" w:sz="0" w:space="0" w:color="auto"/>
        <w:left w:val="none" w:sz="0" w:space="0" w:color="auto"/>
        <w:bottom w:val="none" w:sz="0" w:space="0" w:color="auto"/>
        <w:right w:val="none" w:sz="0" w:space="0" w:color="auto"/>
      </w:divBdr>
    </w:div>
    <w:div w:id="375811596">
      <w:bodyDiv w:val="1"/>
      <w:marLeft w:val="0"/>
      <w:marRight w:val="0"/>
      <w:marTop w:val="0"/>
      <w:marBottom w:val="0"/>
      <w:divBdr>
        <w:top w:val="none" w:sz="0" w:space="0" w:color="auto"/>
        <w:left w:val="none" w:sz="0" w:space="0" w:color="auto"/>
        <w:bottom w:val="none" w:sz="0" w:space="0" w:color="auto"/>
        <w:right w:val="none" w:sz="0" w:space="0" w:color="auto"/>
      </w:divBdr>
    </w:div>
    <w:div w:id="376780182">
      <w:bodyDiv w:val="1"/>
      <w:marLeft w:val="0"/>
      <w:marRight w:val="0"/>
      <w:marTop w:val="0"/>
      <w:marBottom w:val="0"/>
      <w:divBdr>
        <w:top w:val="none" w:sz="0" w:space="0" w:color="auto"/>
        <w:left w:val="none" w:sz="0" w:space="0" w:color="auto"/>
        <w:bottom w:val="none" w:sz="0" w:space="0" w:color="auto"/>
        <w:right w:val="none" w:sz="0" w:space="0" w:color="auto"/>
      </w:divBdr>
    </w:div>
    <w:div w:id="380058568">
      <w:bodyDiv w:val="1"/>
      <w:marLeft w:val="0"/>
      <w:marRight w:val="0"/>
      <w:marTop w:val="0"/>
      <w:marBottom w:val="0"/>
      <w:divBdr>
        <w:top w:val="none" w:sz="0" w:space="0" w:color="auto"/>
        <w:left w:val="none" w:sz="0" w:space="0" w:color="auto"/>
        <w:bottom w:val="none" w:sz="0" w:space="0" w:color="auto"/>
        <w:right w:val="none" w:sz="0" w:space="0" w:color="auto"/>
      </w:divBdr>
    </w:div>
    <w:div w:id="381756253">
      <w:bodyDiv w:val="1"/>
      <w:marLeft w:val="0"/>
      <w:marRight w:val="0"/>
      <w:marTop w:val="0"/>
      <w:marBottom w:val="0"/>
      <w:divBdr>
        <w:top w:val="none" w:sz="0" w:space="0" w:color="auto"/>
        <w:left w:val="none" w:sz="0" w:space="0" w:color="auto"/>
        <w:bottom w:val="none" w:sz="0" w:space="0" w:color="auto"/>
        <w:right w:val="none" w:sz="0" w:space="0" w:color="auto"/>
      </w:divBdr>
    </w:div>
    <w:div w:id="382678622">
      <w:bodyDiv w:val="1"/>
      <w:marLeft w:val="0"/>
      <w:marRight w:val="0"/>
      <w:marTop w:val="0"/>
      <w:marBottom w:val="0"/>
      <w:divBdr>
        <w:top w:val="none" w:sz="0" w:space="0" w:color="auto"/>
        <w:left w:val="none" w:sz="0" w:space="0" w:color="auto"/>
        <w:bottom w:val="none" w:sz="0" w:space="0" w:color="auto"/>
        <w:right w:val="none" w:sz="0" w:space="0" w:color="auto"/>
      </w:divBdr>
    </w:div>
    <w:div w:id="383649186">
      <w:bodyDiv w:val="1"/>
      <w:marLeft w:val="0"/>
      <w:marRight w:val="0"/>
      <w:marTop w:val="0"/>
      <w:marBottom w:val="0"/>
      <w:divBdr>
        <w:top w:val="none" w:sz="0" w:space="0" w:color="auto"/>
        <w:left w:val="none" w:sz="0" w:space="0" w:color="auto"/>
        <w:bottom w:val="none" w:sz="0" w:space="0" w:color="auto"/>
        <w:right w:val="none" w:sz="0" w:space="0" w:color="auto"/>
      </w:divBdr>
    </w:div>
    <w:div w:id="386606505">
      <w:bodyDiv w:val="1"/>
      <w:marLeft w:val="0"/>
      <w:marRight w:val="0"/>
      <w:marTop w:val="0"/>
      <w:marBottom w:val="0"/>
      <w:divBdr>
        <w:top w:val="none" w:sz="0" w:space="0" w:color="auto"/>
        <w:left w:val="none" w:sz="0" w:space="0" w:color="auto"/>
        <w:bottom w:val="none" w:sz="0" w:space="0" w:color="auto"/>
        <w:right w:val="none" w:sz="0" w:space="0" w:color="auto"/>
      </w:divBdr>
    </w:div>
    <w:div w:id="387538377">
      <w:bodyDiv w:val="1"/>
      <w:marLeft w:val="0"/>
      <w:marRight w:val="0"/>
      <w:marTop w:val="0"/>
      <w:marBottom w:val="0"/>
      <w:divBdr>
        <w:top w:val="none" w:sz="0" w:space="0" w:color="auto"/>
        <w:left w:val="none" w:sz="0" w:space="0" w:color="auto"/>
        <w:bottom w:val="none" w:sz="0" w:space="0" w:color="auto"/>
        <w:right w:val="none" w:sz="0" w:space="0" w:color="auto"/>
      </w:divBdr>
    </w:div>
    <w:div w:id="395662897">
      <w:bodyDiv w:val="1"/>
      <w:marLeft w:val="0"/>
      <w:marRight w:val="0"/>
      <w:marTop w:val="0"/>
      <w:marBottom w:val="0"/>
      <w:divBdr>
        <w:top w:val="none" w:sz="0" w:space="0" w:color="auto"/>
        <w:left w:val="none" w:sz="0" w:space="0" w:color="auto"/>
        <w:bottom w:val="none" w:sz="0" w:space="0" w:color="auto"/>
        <w:right w:val="none" w:sz="0" w:space="0" w:color="auto"/>
      </w:divBdr>
    </w:div>
    <w:div w:id="397215727">
      <w:bodyDiv w:val="1"/>
      <w:marLeft w:val="0"/>
      <w:marRight w:val="0"/>
      <w:marTop w:val="0"/>
      <w:marBottom w:val="0"/>
      <w:divBdr>
        <w:top w:val="none" w:sz="0" w:space="0" w:color="auto"/>
        <w:left w:val="none" w:sz="0" w:space="0" w:color="auto"/>
        <w:bottom w:val="none" w:sz="0" w:space="0" w:color="auto"/>
        <w:right w:val="none" w:sz="0" w:space="0" w:color="auto"/>
      </w:divBdr>
    </w:div>
    <w:div w:id="399183205">
      <w:bodyDiv w:val="1"/>
      <w:marLeft w:val="0"/>
      <w:marRight w:val="0"/>
      <w:marTop w:val="0"/>
      <w:marBottom w:val="0"/>
      <w:divBdr>
        <w:top w:val="none" w:sz="0" w:space="0" w:color="auto"/>
        <w:left w:val="none" w:sz="0" w:space="0" w:color="auto"/>
        <w:bottom w:val="none" w:sz="0" w:space="0" w:color="auto"/>
        <w:right w:val="none" w:sz="0" w:space="0" w:color="auto"/>
      </w:divBdr>
    </w:div>
    <w:div w:id="400106241">
      <w:bodyDiv w:val="1"/>
      <w:marLeft w:val="0"/>
      <w:marRight w:val="0"/>
      <w:marTop w:val="0"/>
      <w:marBottom w:val="0"/>
      <w:divBdr>
        <w:top w:val="none" w:sz="0" w:space="0" w:color="auto"/>
        <w:left w:val="none" w:sz="0" w:space="0" w:color="auto"/>
        <w:bottom w:val="none" w:sz="0" w:space="0" w:color="auto"/>
        <w:right w:val="none" w:sz="0" w:space="0" w:color="auto"/>
      </w:divBdr>
    </w:div>
    <w:div w:id="403643015">
      <w:bodyDiv w:val="1"/>
      <w:marLeft w:val="0"/>
      <w:marRight w:val="0"/>
      <w:marTop w:val="0"/>
      <w:marBottom w:val="0"/>
      <w:divBdr>
        <w:top w:val="none" w:sz="0" w:space="0" w:color="auto"/>
        <w:left w:val="none" w:sz="0" w:space="0" w:color="auto"/>
        <w:bottom w:val="none" w:sz="0" w:space="0" w:color="auto"/>
        <w:right w:val="none" w:sz="0" w:space="0" w:color="auto"/>
      </w:divBdr>
    </w:div>
    <w:div w:id="405961698">
      <w:bodyDiv w:val="1"/>
      <w:marLeft w:val="0"/>
      <w:marRight w:val="0"/>
      <w:marTop w:val="0"/>
      <w:marBottom w:val="0"/>
      <w:divBdr>
        <w:top w:val="none" w:sz="0" w:space="0" w:color="auto"/>
        <w:left w:val="none" w:sz="0" w:space="0" w:color="auto"/>
        <w:bottom w:val="none" w:sz="0" w:space="0" w:color="auto"/>
        <w:right w:val="none" w:sz="0" w:space="0" w:color="auto"/>
      </w:divBdr>
    </w:div>
    <w:div w:id="408696892">
      <w:bodyDiv w:val="1"/>
      <w:marLeft w:val="0"/>
      <w:marRight w:val="0"/>
      <w:marTop w:val="0"/>
      <w:marBottom w:val="0"/>
      <w:divBdr>
        <w:top w:val="none" w:sz="0" w:space="0" w:color="auto"/>
        <w:left w:val="none" w:sz="0" w:space="0" w:color="auto"/>
        <w:bottom w:val="none" w:sz="0" w:space="0" w:color="auto"/>
        <w:right w:val="none" w:sz="0" w:space="0" w:color="auto"/>
      </w:divBdr>
    </w:div>
    <w:div w:id="409079958">
      <w:bodyDiv w:val="1"/>
      <w:marLeft w:val="0"/>
      <w:marRight w:val="0"/>
      <w:marTop w:val="0"/>
      <w:marBottom w:val="0"/>
      <w:divBdr>
        <w:top w:val="none" w:sz="0" w:space="0" w:color="auto"/>
        <w:left w:val="none" w:sz="0" w:space="0" w:color="auto"/>
        <w:bottom w:val="none" w:sz="0" w:space="0" w:color="auto"/>
        <w:right w:val="none" w:sz="0" w:space="0" w:color="auto"/>
      </w:divBdr>
    </w:div>
    <w:div w:id="410007831">
      <w:bodyDiv w:val="1"/>
      <w:marLeft w:val="0"/>
      <w:marRight w:val="0"/>
      <w:marTop w:val="0"/>
      <w:marBottom w:val="0"/>
      <w:divBdr>
        <w:top w:val="none" w:sz="0" w:space="0" w:color="auto"/>
        <w:left w:val="none" w:sz="0" w:space="0" w:color="auto"/>
        <w:bottom w:val="none" w:sz="0" w:space="0" w:color="auto"/>
        <w:right w:val="none" w:sz="0" w:space="0" w:color="auto"/>
      </w:divBdr>
    </w:div>
    <w:div w:id="410468813">
      <w:bodyDiv w:val="1"/>
      <w:marLeft w:val="0"/>
      <w:marRight w:val="0"/>
      <w:marTop w:val="0"/>
      <w:marBottom w:val="0"/>
      <w:divBdr>
        <w:top w:val="none" w:sz="0" w:space="0" w:color="auto"/>
        <w:left w:val="none" w:sz="0" w:space="0" w:color="auto"/>
        <w:bottom w:val="none" w:sz="0" w:space="0" w:color="auto"/>
        <w:right w:val="none" w:sz="0" w:space="0" w:color="auto"/>
      </w:divBdr>
    </w:div>
    <w:div w:id="412698653">
      <w:bodyDiv w:val="1"/>
      <w:marLeft w:val="0"/>
      <w:marRight w:val="0"/>
      <w:marTop w:val="0"/>
      <w:marBottom w:val="0"/>
      <w:divBdr>
        <w:top w:val="none" w:sz="0" w:space="0" w:color="auto"/>
        <w:left w:val="none" w:sz="0" w:space="0" w:color="auto"/>
        <w:bottom w:val="none" w:sz="0" w:space="0" w:color="auto"/>
        <w:right w:val="none" w:sz="0" w:space="0" w:color="auto"/>
      </w:divBdr>
    </w:div>
    <w:div w:id="414061295">
      <w:bodyDiv w:val="1"/>
      <w:marLeft w:val="0"/>
      <w:marRight w:val="0"/>
      <w:marTop w:val="0"/>
      <w:marBottom w:val="0"/>
      <w:divBdr>
        <w:top w:val="none" w:sz="0" w:space="0" w:color="auto"/>
        <w:left w:val="none" w:sz="0" w:space="0" w:color="auto"/>
        <w:bottom w:val="none" w:sz="0" w:space="0" w:color="auto"/>
        <w:right w:val="none" w:sz="0" w:space="0" w:color="auto"/>
      </w:divBdr>
    </w:div>
    <w:div w:id="415908693">
      <w:bodyDiv w:val="1"/>
      <w:marLeft w:val="0"/>
      <w:marRight w:val="0"/>
      <w:marTop w:val="0"/>
      <w:marBottom w:val="0"/>
      <w:divBdr>
        <w:top w:val="none" w:sz="0" w:space="0" w:color="auto"/>
        <w:left w:val="none" w:sz="0" w:space="0" w:color="auto"/>
        <w:bottom w:val="none" w:sz="0" w:space="0" w:color="auto"/>
        <w:right w:val="none" w:sz="0" w:space="0" w:color="auto"/>
      </w:divBdr>
    </w:div>
    <w:div w:id="416709347">
      <w:bodyDiv w:val="1"/>
      <w:marLeft w:val="0"/>
      <w:marRight w:val="0"/>
      <w:marTop w:val="0"/>
      <w:marBottom w:val="0"/>
      <w:divBdr>
        <w:top w:val="none" w:sz="0" w:space="0" w:color="auto"/>
        <w:left w:val="none" w:sz="0" w:space="0" w:color="auto"/>
        <w:bottom w:val="none" w:sz="0" w:space="0" w:color="auto"/>
        <w:right w:val="none" w:sz="0" w:space="0" w:color="auto"/>
      </w:divBdr>
    </w:div>
    <w:div w:id="425808568">
      <w:bodyDiv w:val="1"/>
      <w:marLeft w:val="0"/>
      <w:marRight w:val="0"/>
      <w:marTop w:val="0"/>
      <w:marBottom w:val="0"/>
      <w:divBdr>
        <w:top w:val="none" w:sz="0" w:space="0" w:color="auto"/>
        <w:left w:val="none" w:sz="0" w:space="0" w:color="auto"/>
        <w:bottom w:val="none" w:sz="0" w:space="0" w:color="auto"/>
        <w:right w:val="none" w:sz="0" w:space="0" w:color="auto"/>
      </w:divBdr>
    </w:div>
    <w:div w:id="425923386">
      <w:bodyDiv w:val="1"/>
      <w:marLeft w:val="0"/>
      <w:marRight w:val="0"/>
      <w:marTop w:val="0"/>
      <w:marBottom w:val="0"/>
      <w:divBdr>
        <w:top w:val="none" w:sz="0" w:space="0" w:color="auto"/>
        <w:left w:val="none" w:sz="0" w:space="0" w:color="auto"/>
        <w:bottom w:val="none" w:sz="0" w:space="0" w:color="auto"/>
        <w:right w:val="none" w:sz="0" w:space="0" w:color="auto"/>
      </w:divBdr>
    </w:div>
    <w:div w:id="433868864">
      <w:bodyDiv w:val="1"/>
      <w:marLeft w:val="0"/>
      <w:marRight w:val="0"/>
      <w:marTop w:val="0"/>
      <w:marBottom w:val="0"/>
      <w:divBdr>
        <w:top w:val="none" w:sz="0" w:space="0" w:color="auto"/>
        <w:left w:val="none" w:sz="0" w:space="0" w:color="auto"/>
        <w:bottom w:val="none" w:sz="0" w:space="0" w:color="auto"/>
        <w:right w:val="none" w:sz="0" w:space="0" w:color="auto"/>
      </w:divBdr>
    </w:div>
    <w:div w:id="434987125">
      <w:bodyDiv w:val="1"/>
      <w:marLeft w:val="0"/>
      <w:marRight w:val="0"/>
      <w:marTop w:val="0"/>
      <w:marBottom w:val="0"/>
      <w:divBdr>
        <w:top w:val="none" w:sz="0" w:space="0" w:color="auto"/>
        <w:left w:val="none" w:sz="0" w:space="0" w:color="auto"/>
        <w:bottom w:val="none" w:sz="0" w:space="0" w:color="auto"/>
        <w:right w:val="none" w:sz="0" w:space="0" w:color="auto"/>
      </w:divBdr>
    </w:div>
    <w:div w:id="436750697">
      <w:bodyDiv w:val="1"/>
      <w:marLeft w:val="0"/>
      <w:marRight w:val="0"/>
      <w:marTop w:val="0"/>
      <w:marBottom w:val="0"/>
      <w:divBdr>
        <w:top w:val="none" w:sz="0" w:space="0" w:color="auto"/>
        <w:left w:val="none" w:sz="0" w:space="0" w:color="auto"/>
        <w:bottom w:val="none" w:sz="0" w:space="0" w:color="auto"/>
        <w:right w:val="none" w:sz="0" w:space="0" w:color="auto"/>
      </w:divBdr>
    </w:div>
    <w:div w:id="441189783">
      <w:bodyDiv w:val="1"/>
      <w:marLeft w:val="0"/>
      <w:marRight w:val="0"/>
      <w:marTop w:val="0"/>
      <w:marBottom w:val="0"/>
      <w:divBdr>
        <w:top w:val="none" w:sz="0" w:space="0" w:color="auto"/>
        <w:left w:val="none" w:sz="0" w:space="0" w:color="auto"/>
        <w:bottom w:val="none" w:sz="0" w:space="0" w:color="auto"/>
        <w:right w:val="none" w:sz="0" w:space="0" w:color="auto"/>
      </w:divBdr>
    </w:div>
    <w:div w:id="442655372">
      <w:bodyDiv w:val="1"/>
      <w:marLeft w:val="0"/>
      <w:marRight w:val="0"/>
      <w:marTop w:val="0"/>
      <w:marBottom w:val="0"/>
      <w:divBdr>
        <w:top w:val="none" w:sz="0" w:space="0" w:color="auto"/>
        <w:left w:val="none" w:sz="0" w:space="0" w:color="auto"/>
        <w:bottom w:val="none" w:sz="0" w:space="0" w:color="auto"/>
        <w:right w:val="none" w:sz="0" w:space="0" w:color="auto"/>
      </w:divBdr>
    </w:div>
    <w:div w:id="443616521">
      <w:bodyDiv w:val="1"/>
      <w:marLeft w:val="0"/>
      <w:marRight w:val="0"/>
      <w:marTop w:val="0"/>
      <w:marBottom w:val="0"/>
      <w:divBdr>
        <w:top w:val="none" w:sz="0" w:space="0" w:color="auto"/>
        <w:left w:val="none" w:sz="0" w:space="0" w:color="auto"/>
        <w:bottom w:val="none" w:sz="0" w:space="0" w:color="auto"/>
        <w:right w:val="none" w:sz="0" w:space="0" w:color="auto"/>
      </w:divBdr>
    </w:div>
    <w:div w:id="444353893">
      <w:bodyDiv w:val="1"/>
      <w:marLeft w:val="0"/>
      <w:marRight w:val="0"/>
      <w:marTop w:val="0"/>
      <w:marBottom w:val="0"/>
      <w:divBdr>
        <w:top w:val="none" w:sz="0" w:space="0" w:color="auto"/>
        <w:left w:val="none" w:sz="0" w:space="0" w:color="auto"/>
        <w:bottom w:val="none" w:sz="0" w:space="0" w:color="auto"/>
        <w:right w:val="none" w:sz="0" w:space="0" w:color="auto"/>
      </w:divBdr>
    </w:div>
    <w:div w:id="448748217">
      <w:bodyDiv w:val="1"/>
      <w:marLeft w:val="0"/>
      <w:marRight w:val="0"/>
      <w:marTop w:val="0"/>
      <w:marBottom w:val="0"/>
      <w:divBdr>
        <w:top w:val="none" w:sz="0" w:space="0" w:color="auto"/>
        <w:left w:val="none" w:sz="0" w:space="0" w:color="auto"/>
        <w:bottom w:val="none" w:sz="0" w:space="0" w:color="auto"/>
        <w:right w:val="none" w:sz="0" w:space="0" w:color="auto"/>
      </w:divBdr>
    </w:div>
    <w:div w:id="448820960">
      <w:bodyDiv w:val="1"/>
      <w:marLeft w:val="0"/>
      <w:marRight w:val="0"/>
      <w:marTop w:val="0"/>
      <w:marBottom w:val="0"/>
      <w:divBdr>
        <w:top w:val="none" w:sz="0" w:space="0" w:color="auto"/>
        <w:left w:val="none" w:sz="0" w:space="0" w:color="auto"/>
        <w:bottom w:val="none" w:sz="0" w:space="0" w:color="auto"/>
        <w:right w:val="none" w:sz="0" w:space="0" w:color="auto"/>
      </w:divBdr>
    </w:div>
    <w:div w:id="452099157">
      <w:bodyDiv w:val="1"/>
      <w:marLeft w:val="0"/>
      <w:marRight w:val="0"/>
      <w:marTop w:val="0"/>
      <w:marBottom w:val="0"/>
      <w:divBdr>
        <w:top w:val="none" w:sz="0" w:space="0" w:color="auto"/>
        <w:left w:val="none" w:sz="0" w:space="0" w:color="auto"/>
        <w:bottom w:val="none" w:sz="0" w:space="0" w:color="auto"/>
        <w:right w:val="none" w:sz="0" w:space="0" w:color="auto"/>
      </w:divBdr>
    </w:div>
    <w:div w:id="454561765">
      <w:bodyDiv w:val="1"/>
      <w:marLeft w:val="0"/>
      <w:marRight w:val="0"/>
      <w:marTop w:val="0"/>
      <w:marBottom w:val="0"/>
      <w:divBdr>
        <w:top w:val="none" w:sz="0" w:space="0" w:color="auto"/>
        <w:left w:val="none" w:sz="0" w:space="0" w:color="auto"/>
        <w:bottom w:val="none" w:sz="0" w:space="0" w:color="auto"/>
        <w:right w:val="none" w:sz="0" w:space="0" w:color="auto"/>
      </w:divBdr>
    </w:div>
    <w:div w:id="455023897">
      <w:bodyDiv w:val="1"/>
      <w:marLeft w:val="0"/>
      <w:marRight w:val="0"/>
      <w:marTop w:val="0"/>
      <w:marBottom w:val="0"/>
      <w:divBdr>
        <w:top w:val="none" w:sz="0" w:space="0" w:color="auto"/>
        <w:left w:val="none" w:sz="0" w:space="0" w:color="auto"/>
        <w:bottom w:val="none" w:sz="0" w:space="0" w:color="auto"/>
        <w:right w:val="none" w:sz="0" w:space="0" w:color="auto"/>
      </w:divBdr>
    </w:div>
    <w:div w:id="455682889">
      <w:bodyDiv w:val="1"/>
      <w:marLeft w:val="0"/>
      <w:marRight w:val="0"/>
      <w:marTop w:val="0"/>
      <w:marBottom w:val="0"/>
      <w:divBdr>
        <w:top w:val="none" w:sz="0" w:space="0" w:color="auto"/>
        <w:left w:val="none" w:sz="0" w:space="0" w:color="auto"/>
        <w:bottom w:val="none" w:sz="0" w:space="0" w:color="auto"/>
        <w:right w:val="none" w:sz="0" w:space="0" w:color="auto"/>
      </w:divBdr>
    </w:div>
    <w:div w:id="470056251">
      <w:bodyDiv w:val="1"/>
      <w:marLeft w:val="0"/>
      <w:marRight w:val="0"/>
      <w:marTop w:val="0"/>
      <w:marBottom w:val="0"/>
      <w:divBdr>
        <w:top w:val="none" w:sz="0" w:space="0" w:color="auto"/>
        <w:left w:val="none" w:sz="0" w:space="0" w:color="auto"/>
        <w:bottom w:val="none" w:sz="0" w:space="0" w:color="auto"/>
        <w:right w:val="none" w:sz="0" w:space="0" w:color="auto"/>
      </w:divBdr>
    </w:div>
    <w:div w:id="470171513">
      <w:bodyDiv w:val="1"/>
      <w:marLeft w:val="0"/>
      <w:marRight w:val="0"/>
      <w:marTop w:val="0"/>
      <w:marBottom w:val="0"/>
      <w:divBdr>
        <w:top w:val="none" w:sz="0" w:space="0" w:color="auto"/>
        <w:left w:val="none" w:sz="0" w:space="0" w:color="auto"/>
        <w:bottom w:val="none" w:sz="0" w:space="0" w:color="auto"/>
        <w:right w:val="none" w:sz="0" w:space="0" w:color="auto"/>
      </w:divBdr>
    </w:div>
    <w:div w:id="470371904">
      <w:bodyDiv w:val="1"/>
      <w:marLeft w:val="0"/>
      <w:marRight w:val="0"/>
      <w:marTop w:val="0"/>
      <w:marBottom w:val="0"/>
      <w:divBdr>
        <w:top w:val="none" w:sz="0" w:space="0" w:color="auto"/>
        <w:left w:val="none" w:sz="0" w:space="0" w:color="auto"/>
        <w:bottom w:val="none" w:sz="0" w:space="0" w:color="auto"/>
        <w:right w:val="none" w:sz="0" w:space="0" w:color="auto"/>
      </w:divBdr>
    </w:div>
    <w:div w:id="473522223">
      <w:bodyDiv w:val="1"/>
      <w:marLeft w:val="0"/>
      <w:marRight w:val="0"/>
      <w:marTop w:val="0"/>
      <w:marBottom w:val="0"/>
      <w:divBdr>
        <w:top w:val="none" w:sz="0" w:space="0" w:color="auto"/>
        <w:left w:val="none" w:sz="0" w:space="0" w:color="auto"/>
        <w:bottom w:val="none" w:sz="0" w:space="0" w:color="auto"/>
        <w:right w:val="none" w:sz="0" w:space="0" w:color="auto"/>
      </w:divBdr>
    </w:div>
    <w:div w:id="475613283">
      <w:bodyDiv w:val="1"/>
      <w:marLeft w:val="0"/>
      <w:marRight w:val="0"/>
      <w:marTop w:val="0"/>
      <w:marBottom w:val="0"/>
      <w:divBdr>
        <w:top w:val="none" w:sz="0" w:space="0" w:color="auto"/>
        <w:left w:val="none" w:sz="0" w:space="0" w:color="auto"/>
        <w:bottom w:val="none" w:sz="0" w:space="0" w:color="auto"/>
        <w:right w:val="none" w:sz="0" w:space="0" w:color="auto"/>
      </w:divBdr>
    </w:div>
    <w:div w:id="476336254">
      <w:bodyDiv w:val="1"/>
      <w:marLeft w:val="0"/>
      <w:marRight w:val="0"/>
      <w:marTop w:val="0"/>
      <w:marBottom w:val="0"/>
      <w:divBdr>
        <w:top w:val="none" w:sz="0" w:space="0" w:color="auto"/>
        <w:left w:val="none" w:sz="0" w:space="0" w:color="auto"/>
        <w:bottom w:val="none" w:sz="0" w:space="0" w:color="auto"/>
        <w:right w:val="none" w:sz="0" w:space="0" w:color="auto"/>
      </w:divBdr>
    </w:div>
    <w:div w:id="483543057">
      <w:bodyDiv w:val="1"/>
      <w:marLeft w:val="0"/>
      <w:marRight w:val="0"/>
      <w:marTop w:val="0"/>
      <w:marBottom w:val="0"/>
      <w:divBdr>
        <w:top w:val="none" w:sz="0" w:space="0" w:color="auto"/>
        <w:left w:val="none" w:sz="0" w:space="0" w:color="auto"/>
        <w:bottom w:val="none" w:sz="0" w:space="0" w:color="auto"/>
        <w:right w:val="none" w:sz="0" w:space="0" w:color="auto"/>
      </w:divBdr>
    </w:div>
    <w:div w:id="484664202">
      <w:bodyDiv w:val="1"/>
      <w:marLeft w:val="0"/>
      <w:marRight w:val="0"/>
      <w:marTop w:val="0"/>
      <w:marBottom w:val="0"/>
      <w:divBdr>
        <w:top w:val="none" w:sz="0" w:space="0" w:color="auto"/>
        <w:left w:val="none" w:sz="0" w:space="0" w:color="auto"/>
        <w:bottom w:val="none" w:sz="0" w:space="0" w:color="auto"/>
        <w:right w:val="none" w:sz="0" w:space="0" w:color="auto"/>
      </w:divBdr>
    </w:div>
    <w:div w:id="488400994">
      <w:bodyDiv w:val="1"/>
      <w:marLeft w:val="0"/>
      <w:marRight w:val="0"/>
      <w:marTop w:val="0"/>
      <w:marBottom w:val="0"/>
      <w:divBdr>
        <w:top w:val="none" w:sz="0" w:space="0" w:color="auto"/>
        <w:left w:val="none" w:sz="0" w:space="0" w:color="auto"/>
        <w:bottom w:val="none" w:sz="0" w:space="0" w:color="auto"/>
        <w:right w:val="none" w:sz="0" w:space="0" w:color="auto"/>
      </w:divBdr>
    </w:div>
    <w:div w:id="489366653">
      <w:bodyDiv w:val="1"/>
      <w:marLeft w:val="0"/>
      <w:marRight w:val="0"/>
      <w:marTop w:val="0"/>
      <w:marBottom w:val="0"/>
      <w:divBdr>
        <w:top w:val="none" w:sz="0" w:space="0" w:color="auto"/>
        <w:left w:val="none" w:sz="0" w:space="0" w:color="auto"/>
        <w:bottom w:val="none" w:sz="0" w:space="0" w:color="auto"/>
        <w:right w:val="none" w:sz="0" w:space="0" w:color="auto"/>
      </w:divBdr>
    </w:div>
    <w:div w:id="492336760">
      <w:bodyDiv w:val="1"/>
      <w:marLeft w:val="0"/>
      <w:marRight w:val="0"/>
      <w:marTop w:val="0"/>
      <w:marBottom w:val="0"/>
      <w:divBdr>
        <w:top w:val="none" w:sz="0" w:space="0" w:color="auto"/>
        <w:left w:val="none" w:sz="0" w:space="0" w:color="auto"/>
        <w:bottom w:val="none" w:sz="0" w:space="0" w:color="auto"/>
        <w:right w:val="none" w:sz="0" w:space="0" w:color="auto"/>
      </w:divBdr>
    </w:div>
    <w:div w:id="493107078">
      <w:bodyDiv w:val="1"/>
      <w:marLeft w:val="0"/>
      <w:marRight w:val="0"/>
      <w:marTop w:val="0"/>
      <w:marBottom w:val="0"/>
      <w:divBdr>
        <w:top w:val="none" w:sz="0" w:space="0" w:color="auto"/>
        <w:left w:val="none" w:sz="0" w:space="0" w:color="auto"/>
        <w:bottom w:val="none" w:sz="0" w:space="0" w:color="auto"/>
        <w:right w:val="none" w:sz="0" w:space="0" w:color="auto"/>
      </w:divBdr>
    </w:div>
    <w:div w:id="498421825">
      <w:bodyDiv w:val="1"/>
      <w:marLeft w:val="0"/>
      <w:marRight w:val="0"/>
      <w:marTop w:val="0"/>
      <w:marBottom w:val="0"/>
      <w:divBdr>
        <w:top w:val="none" w:sz="0" w:space="0" w:color="auto"/>
        <w:left w:val="none" w:sz="0" w:space="0" w:color="auto"/>
        <w:bottom w:val="none" w:sz="0" w:space="0" w:color="auto"/>
        <w:right w:val="none" w:sz="0" w:space="0" w:color="auto"/>
      </w:divBdr>
    </w:div>
    <w:div w:id="499277675">
      <w:bodyDiv w:val="1"/>
      <w:marLeft w:val="0"/>
      <w:marRight w:val="0"/>
      <w:marTop w:val="0"/>
      <w:marBottom w:val="0"/>
      <w:divBdr>
        <w:top w:val="none" w:sz="0" w:space="0" w:color="auto"/>
        <w:left w:val="none" w:sz="0" w:space="0" w:color="auto"/>
        <w:bottom w:val="none" w:sz="0" w:space="0" w:color="auto"/>
        <w:right w:val="none" w:sz="0" w:space="0" w:color="auto"/>
      </w:divBdr>
    </w:div>
    <w:div w:id="500899496">
      <w:bodyDiv w:val="1"/>
      <w:marLeft w:val="0"/>
      <w:marRight w:val="0"/>
      <w:marTop w:val="0"/>
      <w:marBottom w:val="0"/>
      <w:divBdr>
        <w:top w:val="none" w:sz="0" w:space="0" w:color="auto"/>
        <w:left w:val="none" w:sz="0" w:space="0" w:color="auto"/>
        <w:bottom w:val="none" w:sz="0" w:space="0" w:color="auto"/>
        <w:right w:val="none" w:sz="0" w:space="0" w:color="auto"/>
      </w:divBdr>
    </w:div>
    <w:div w:id="506020563">
      <w:bodyDiv w:val="1"/>
      <w:marLeft w:val="0"/>
      <w:marRight w:val="0"/>
      <w:marTop w:val="0"/>
      <w:marBottom w:val="0"/>
      <w:divBdr>
        <w:top w:val="none" w:sz="0" w:space="0" w:color="auto"/>
        <w:left w:val="none" w:sz="0" w:space="0" w:color="auto"/>
        <w:bottom w:val="none" w:sz="0" w:space="0" w:color="auto"/>
        <w:right w:val="none" w:sz="0" w:space="0" w:color="auto"/>
      </w:divBdr>
    </w:div>
    <w:div w:id="506211581">
      <w:bodyDiv w:val="1"/>
      <w:marLeft w:val="0"/>
      <w:marRight w:val="0"/>
      <w:marTop w:val="0"/>
      <w:marBottom w:val="0"/>
      <w:divBdr>
        <w:top w:val="none" w:sz="0" w:space="0" w:color="auto"/>
        <w:left w:val="none" w:sz="0" w:space="0" w:color="auto"/>
        <w:bottom w:val="none" w:sz="0" w:space="0" w:color="auto"/>
        <w:right w:val="none" w:sz="0" w:space="0" w:color="auto"/>
      </w:divBdr>
    </w:div>
    <w:div w:id="508716227">
      <w:bodyDiv w:val="1"/>
      <w:marLeft w:val="0"/>
      <w:marRight w:val="0"/>
      <w:marTop w:val="0"/>
      <w:marBottom w:val="0"/>
      <w:divBdr>
        <w:top w:val="none" w:sz="0" w:space="0" w:color="auto"/>
        <w:left w:val="none" w:sz="0" w:space="0" w:color="auto"/>
        <w:bottom w:val="none" w:sz="0" w:space="0" w:color="auto"/>
        <w:right w:val="none" w:sz="0" w:space="0" w:color="auto"/>
      </w:divBdr>
    </w:div>
    <w:div w:id="511799090">
      <w:bodyDiv w:val="1"/>
      <w:marLeft w:val="0"/>
      <w:marRight w:val="0"/>
      <w:marTop w:val="0"/>
      <w:marBottom w:val="0"/>
      <w:divBdr>
        <w:top w:val="none" w:sz="0" w:space="0" w:color="auto"/>
        <w:left w:val="none" w:sz="0" w:space="0" w:color="auto"/>
        <w:bottom w:val="none" w:sz="0" w:space="0" w:color="auto"/>
        <w:right w:val="none" w:sz="0" w:space="0" w:color="auto"/>
      </w:divBdr>
    </w:div>
    <w:div w:id="512692436">
      <w:bodyDiv w:val="1"/>
      <w:marLeft w:val="0"/>
      <w:marRight w:val="0"/>
      <w:marTop w:val="0"/>
      <w:marBottom w:val="0"/>
      <w:divBdr>
        <w:top w:val="none" w:sz="0" w:space="0" w:color="auto"/>
        <w:left w:val="none" w:sz="0" w:space="0" w:color="auto"/>
        <w:bottom w:val="none" w:sz="0" w:space="0" w:color="auto"/>
        <w:right w:val="none" w:sz="0" w:space="0" w:color="auto"/>
      </w:divBdr>
    </w:div>
    <w:div w:id="514073906">
      <w:bodyDiv w:val="1"/>
      <w:marLeft w:val="0"/>
      <w:marRight w:val="0"/>
      <w:marTop w:val="0"/>
      <w:marBottom w:val="0"/>
      <w:divBdr>
        <w:top w:val="none" w:sz="0" w:space="0" w:color="auto"/>
        <w:left w:val="none" w:sz="0" w:space="0" w:color="auto"/>
        <w:bottom w:val="none" w:sz="0" w:space="0" w:color="auto"/>
        <w:right w:val="none" w:sz="0" w:space="0" w:color="auto"/>
      </w:divBdr>
    </w:div>
    <w:div w:id="515001465">
      <w:bodyDiv w:val="1"/>
      <w:marLeft w:val="0"/>
      <w:marRight w:val="0"/>
      <w:marTop w:val="0"/>
      <w:marBottom w:val="0"/>
      <w:divBdr>
        <w:top w:val="none" w:sz="0" w:space="0" w:color="auto"/>
        <w:left w:val="none" w:sz="0" w:space="0" w:color="auto"/>
        <w:bottom w:val="none" w:sz="0" w:space="0" w:color="auto"/>
        <w:right w:val="none" w:sz="0" w:space="0" w:color="auto"/>
      </w:divBdr>
    </w:div>
    <w:div w:id="526526960">
      <w:bodyDiv w:val="1"/>
      <w:marLeft w:val="0"/>
      <w:marRight w:val="0"/>
      <w:marTop w:val="0"/>
      <w:marBottom w:val="0"/>
      <w:divBdr>
        <w:top w:val="none" w:sz="0" w:space="0" w:color="auto"/>
        <w:left w:val="none" w:sz="0" w:space="0" w:color="auto"/>
        <w:bottom w:val="none" w:sz="0" w:space="0" w:color="auto"/>
        <w:right w:val="none" w:sz="0" w:space="0" w:color="auto"/>
      </w:divBdr>
    </w:div>
    <w:div w:id="532692261">
      <w:bodyDiv w:val="1"/>
      <w:marLeft w:val="0"/>
      <w:marRight w:val="0"/>
      <w:marTop w:val="0"/>
      <w:marBottom w:val="0"/>
      <w:divBdr>
        <w:top w:val="none" w:sz="0" w:space="0" w:color="auto"/>
        <w:left w:val="none" w:sz="0" w:space="0" w:color="auto"/>
        <w:bottom w:val="none" w:sz="0" w:space="0" w:color="auto"/>
        <w:right w:val="none" w:sz="0" w:space="0" w:color="auto"/>
      </w:divBdr>
    </w:div>
    <w:div w:id="534345811">
      <w:bodyDiv w:val="1"/>
      <w:marLeft w:val="0"/>
      <w:marRight w:val="0"/>
      <w:marTop w:val="0"/>
      <w:marBottom w:val="0"/>
      <w:divBdr>
        <w:top w:val="none" w:sz="0" w:space="0" w:color="auto"/>
        <w:left w:val="none" w:sz="0" w:space="0" w:color="auto"/>
        <w:bottom w:val="none" w:sz="0" w:space="0" w:color="auto"/>
        <w:right w:val="none" w:sz="0" w:space="0" w:color="auto"/>
      </w:divBdr>
    </w:div>
    <w:div w:id="536240680">
      <w:bodyDiv w:val="1"/>
      <w:marLeft w:val="0"/>
      <w:marRight w:val="0"/>
      <w:marTop w:val="0"/>
      <w:marBottom w:val="0"/>
      <w:divBdr>
        <w:top w:val="none" w:sz="0" w:space="0" w:color="auto"/>
        <w:left w:val="none" w:sz="0" w:space="0" w:color="auto"/>
        <w:bottom w:val="none" w:sz="0" w:space="0" w:color="auto"/>
        <w:right w:val="none" w:sz="0" w:space="0" w:color="auto"/>
      </w:divBdr>
    </w:div>
    <w:div w:id="538399683">
      <w:bodyDiv w:val="1"/>
      <w:marLeft w:val="0"/>
      <w:marRight w:val="0"/>
      <w:marTop w:val="0"/>
      <w:marBottom w:val="0"/>
      <w:divBdr>
        <w:top w:val="none" w:sz="0" w:space="0" w:color="auto"/>
        <w:left w:val="none" w:sz="0" w:space="0" w:color="auto"/>
        <w:bottom w:val="none" w:sz="0" w:space="0" w:color="auto"/>
        <w:right w:val="none" w:sz="0" w:space="0" w:color="auto"/>
      </w:divBdr>
    </w:div>
    <w:div w:id="538863561">
      <w:bodyDiv w:val="1"/>
      <w:marLeft w:val="0"/>
      <w:marRight w:val="0"/>
      <w:marTop w:val="0"/>
      <w:marBottom w:val="0"/>
      <w:divBdr>
        <w:top w:val="none" w:sz="0" w:space="0" w:color="auto"/>
        <w:left w:val="none" w:sz="0" w:space="0" w:color="auto"/>
        <w:bottom w:val="none" w:sz="0" w:space="0" w:color="auto"/>
        <w:right w:val="none" w:sz="0" w:space="0" w:color="auto"/>
      </w:divBdr>
    </w:div>
    <w:div w:id="547186125">
      <w:bodyDiv w:val="1"/>
      <w:marLeft w:val="0"/>
      <w:marRight w:val="0"/>
      <w:marTop w:val="0"/>
      <w:marBottom w:val="0"/>
      <w:divBdr>
        <w:top w:val="none" w:sz="0" w:space="0" w:color="auto"/>
        <w:left w:val="none" w:sz="0" w:space="0" w:color="auto"/>
        <w:bottom w:val="none" w:sz="0" w:space="0" w:color="auto"/>
        <w:right w:val="none" w:sz="0" w:space="0" w:color="auto"/>
      </w:divBdr>
    </w:div>
    <w:div w:id="547568092">
      <w:bodyDiv w:val="1"/>
      <w:marLeft w:val="0"/>
      <w:marRight w:val="0"/>
      <w:marTop w:val="0"/>
      <w:marBottom w:val="0"/>
      <w:divBdr>
        <w:top w:val="none" w:sz="0" w:space="0" w:color="auto"/>
        <w:left w:val="none" w:sz="0" w:space="0" w:color="auto"/>
        <w:bottom w:val="none" w:sz="0" w:space="0" w:color="auto"/>
        <w:right w:val="none" w:sz="0" w:space="0" w:color="auto"/>
      </w:divBdr>
    </w:div>
    <w:div w:id="552619210">
      <w:bodyDiv w:val="1"/>
      <w:marLeft w:val="0"/>
      <w:marRight w:val="0"/>
      <w:marTop w:val="0"/>
      <w:marBottom w:val="0"/>
      <w:divBdr>
        <w:top w:val="none" w:sz="0" w:space="0" w:color="auto"/>
        <w:left w:val="none" w:sz="0" w:space="0" w:color="auto"/>
        <w:bottom w:val="none" w:sz="0" w:space="0" w:color="auto"/>
        <w:right w:val="none" w:sz="0" w:space="0" w:color="auto"/>
      </w:divBdr>
    </w:div>
    <w:div w:id="554895381">
      <w:bodyDiv w:val="1"/>
      <w:marLeft w:val="0"/>
      <w:marRight w:val="0"/>
      <w:marTop w:val="0"/>
      <w:marBottom w:val="0"/>
      <w:divBdr>
        <w:top w:val="none" w:sz="0" w:space="0" w:color="auto"/>
        <w:left w:val="none" w:sz="0" w:space="0" w:color="auto"/>
        <w:bottom w:val="none" w:sz="0" w:space="0" w:color="auto"/>
        <w:right w:val="none" w:sz="0" w:space="0" w:color="auto"/>
      </w:divBdr>
    </w:div>
    <w:div w:id="556933987">
      <w:bodyDiv w:val="1"/>
      <w:marLeft w:val="0"/>
      <w:marRight w:val="0"/>
      <w:marTop w:val="0"/>
      <w:marBottom w:val="0"/>
      <w:divBdr>
        <w:top w:val="none" w:sz="0" w:space="0" w:color="auto"/>
        <w:left w:val="none" w:sz="0" w:space="0" w:color="auto"/>
        <w:bottom w:val="none" w:sz="0" w:space="0" w:color="auto"/>
        <w:right w:val="none" w:sz="0" w:space="0" w:color="auto"/>
      </w:divBdr>
    </w:div>
    <w:div w:id="557321278">
      <w:bodyDiv w:val="1"/>
      <w:marLeft w:val="0"/>
      <w:marRight w:val="0"/>
      <w:marTop w:val="0"/>
      <w:marBottom w:val="0"/>
      <w:divBdr>
        <w:top w:val="none" w:sz="0" w:space="0" w:color="auto"/>
        <w:left w:val="none" w:sz="0" w:space="0" w:color="auto"/>
        <w:bottom w:val="none" w:sz="0" w:space="0" w:color="auto"/>
        <w:right w:val="none" w:sz="0" w:space="0" w:color="auto"/>
      </w:divBdr>
    </w:div>
    <w:div w:id="558445749">
      <w:bodyDiv w:val="1"/>
      <w:marLeft w:val="0"/>
      <w:marRight w:val="0"/>
      <w:marTop w:val="0"/>
      <w:marBottom w:val="0"/>
      <w:divBdr>
        <w:top w:val="none" w:sz="0" w:space="0" w:color="auto"/>
        <w:left w:val="none" w:sz="0" w:space="0" w:color="auto"/>
        <w:bottom w:val="none" w:sz="0" w:space="0" w:color="auto"/>
        <w:right w:val="none" w:sz="0" w:space="0" w:color="auto"/>
      </w:divBdr>
    </w:div>
    <w:div w:id="559168292">
      <w:bodyDiv w:val="1"/>
      <w:marLeft w:val="0"/>
      <w:marRight w:val="0"/>
      <w:marTop w:val="0"/>
      <w:marBottom w:val="0"/>
      <w:divBdr>
        <w:top w:val="none" w:sz="0" w:space="0" w:color="auto"/>
        <w:left w:val="none" w:sz="0" w:space="0" w:color="auto"/>
        <w:bottom w:val="none" w:sz="0" w:space="0" w:color="auto"/>
        <w:right w:val="none" w:sz="0" w:space="0" w:color="auto"/>
      </w:divBdr>
    </w:div>
    <w:div w:id="559710168">
      <w:bodyDiv w:val="1"/>
      <w:marLeft w:val="0"/>
      <w:marRight w:val="0"/>
      <w:marTop w:val="0"/>
      <w:marBottom w:val="0"/>
      <w:divBdr>
        <w:top w:val="none" w:sz="0" w:space="0" w:color="auto"/>
        <w:left w:val="none" w:sz="0" w:space="0" w:color="auto"/>
        <w:bottom w:val="none" w:sz="0" w:space="0" w:color="auto"/>
        <w:right w:val="none" w:sz="0" w:space="0" w:color="auto"/>
      </w:divBdr>
    </w:div>
    <w:div w:id="560484738">
      <w:bodyDiv w:val="1"/>
      <w:marLeft w:val="0"/>
      <w:marRight w:val="0"/>
      <w:marTop w:val="0"/>
      <w:marBottom w:val="0"/>
      <w:divBdr>
        <w:top w:val="none" w:sz="0" w:space="0" w:color="auto"/>
        <w:left w:val="none" w:sz="0" w:space="0" w:color="auto"/>
        <w:bottom w:val="none" w:sz="0" w:space="0" w:color="auto"/>
        <w:right w:val="none" w:sz="0" w:space="0" w:color="auto"/>
      </w:divBdr>
    </w:div>
    <w:div w:id="563373579">
      <w:bodyDiv w:val="1"/>
      <w:marLeft w:val="0"/>
      <w:marRight w:val="0"/>
      <w:marTop w:val="0"/>
      <w:marBottom w:val="0"/>
      <w:divBdr>
        <w:top w:val="none" w:sz="0" w:space="0" w:color="auto"/>
        <w:left w:val="none" w:sz="0" w:space="0" w:color="auto"/>
        <w:bottom w:val="none" w:sz="0" w:space="0" w:color="auto"/>
        <w:right w:val="none" w:sz="0" w:space="0" w:color="auto"/>
      </w:divBdr>
    </w:div>
    <w:div w:id="563377199">
      <w:bodyDiv w:val="1"/>
      <w:marLeft w:val="0"/>
      <w:marRight w:val="0"/>
      <w:marTop w:val="0"/>
      <w:marBottom w:val="0"/>
      <w:divBdr>
        <w:top w:val="none" w:sz="0" w:space="0" w:color="auto"/>
        <w:left w:val="none" w:sz="0" w:space="0" w:color="auto"/>
        <w:bottom w:val="none" w:sz="0" w:space="0" w:color="auto"/>
        <w:right w:val="none" w:sz="0" w:space="0" w:color="auto"/>
      </w:divBdr>
    </w:div>
    <w:div w:id="563955704">
      <w:bodyDiv w:val="1"/>
      <w:marLeft w:val="0"/>
      <w:marRight w:val="0"/>
      <w:marTop w:val="0"/>
      <w:marBottom w:val="0"/>
      <w:divBdr>
        <w:top w:val="none" w:sz="0" w:space="0" w:color="auto"/>
        <w:left w:val="none" w:sz="0" w:space="0" w:color="auto"/>
        <w:bottom w:val="none" w:sz="0" w:space="0" w:color="auto"/>
        <w:right w:val="none" w:sz="0" w:space="0" w:color="auto"/>
      </w:divBdr>
    </w:div>
    <w:div w:id="564024120">
      <w:bodyDiv w:val="1"/>
      <w:marLeft w:val="0"/>
      <w:marRight w:val="0"/>
      <w:marTop w:val="0"/>
      <w:marBottom w:val="0"/>
      <w:divBdr>
        <w:top w:val="none" w:sz="0" w:space="0" w:color="auto"/>
        <w:left w:val="none" w:sz="0" w:space="0" w:color="auto"/>
        <w:bottom w:val="none" w:sz="0" w:space="0" w:color="auto"/>
        <w:right w:val="none" w:sz="0" w:space="0" w:color="auto"/>
      </w:divBdr>
    </w:div>
    <w:div w:id="570165781">
      <w:bodyDiv w:val="1"/>
      <w:marLeft w:val="0"/>
      <w:marRight w:val="0"/>
      <w:marTop w:val="0"/>
      <w:marBottom w:val="0"/>
      <w:divBdr>
        <w:top w:val="none" w:sz="0" w:space="0" w:color="auto"/>
        <w:left w:val="none" w:sz="0" w:space="0" w:color="auto"/>
        <w:bottom w:val="none" w:sz="0" w:space="0" w:color="auto"/>
        <w:right w:val="none" w:sz="0" w:space="0" w:color="auto"/>
      </w:divBdr>
    </w:div>
    <w:div w:id="570308553">
      <w:bodyDiv w:val="1"/>
      <w:marLeft w:val="0"/>
      <w:marRight w:val="0"/>
      <w:marTop w:val="0"/>
      <w:marBottom w:val="0"/>
      <w:divBdr>
        <w:top w:val="none" w:sz="0" w:space="0" w:color="auto"/>
        <w:left w:val="none" w:sz="0" w:space="0" w:color="auto"/>
        <w:bottom w:val="none" w:sz="0" w:space="0" w:color="auto"/>
        <w:right w:val="none" w:sz="0" w:space="0" w:color="auto"/>
      </w:divBdr>
    </w:div>
    <w:div w:id="571627465">
      <w:bodyDiv w:val="1"/>
      <w:marLeft w:val="0"/>
      <w:marRight w:val="0"/>
      <w:marTop w:val="0"/>
      <w:marBottom w:val="0"/>
      <w:divBdr>
        <w:top w:val="none" w:sz="0" w:space="0" w:color="auto"/>
        <w:left w:val="none" w:sz="0" w:space="0" w:color="auto"/>
        <w:bottom w:val="none" w:sz="0" w:space="0" w:color="auto"/>
        <w:right w:val="none" w:sz="0" w:space="0" w:color="auto"/>
      </w:divBdr>
    </w:div>
    <w:div w:id="573275683">
      <w:bodyDiv w:val="1"/>
      <w:marLeft w:val="0"/>
      <w:marRight w:val="0"/>
      <w:marTop w:val="0"/>
      <w:marBottom w:val="0"/>
      <w:divBdr>
        <w:top w:val="none" w:sz="0" w:space="0" w:color="auto"/>
        <w:left w:val="none" w:sz="0" w:space="0" w:color="auto"/>
        <w:bottom w:val="none" w:sz="0" w:space="0" w:color="auto"/>
        <w:right w:val="none" w:sz="0" w:space="0" w:color="auto"/>
      </w:divBdr>
    </w:div>
    <w:div w:id="575482092">
      <w:bodyDiv w:val="1"/>
      <w:marLeft w:val="0"/>
      <w:marRight w:val="0"/>
      <w:marTop w:val="0"/>
      <w:marBottom w:val="0"/>
      <w:divBdr>
        <w:top w:val="none" w:sz="0" w:space="0" w:color="auto"/>
        <w:left w:val="none" w:sz="0" w:space="0" w:color="auto"/>
        <w:bottom w:val="none" w:sz="0" w:space="0" w:color="auto"/>
        <w:right w:val="none" w:sz="0" w:space="0" w:color="auto"/>
      </w:divBdr>
    </w:div>
    <w:div w:id="575743998">
      <w:bodyDiv w:val="1"/>
      <w:marLeft w:val="0"/>
      <w:marRight w:val="0"/>
      <w:marTop w:val="0"/>
      <w:marBottom w:val="0"/>
      <w:divBdr>
        <w:top w:val="none" w:sz="0" w:space="0" w:color="auto"/>
        <w:left w:val="none" w:sz="0" w:space="0" w:color="auto"/>
        <w:bottom w:val="none" w:sz="0" w:space="0" w:color="auto"/>
        <w:right w:val="none" w:sz="0" w:space="0" w:color="auto"/>
      </w:divBdr>
    </w:div>
    <w:div w:id="576478163">
      <w:bodyDiv w:val="1"/>
      <w:marLeft w:val="0"/>
      <w:marRight w:val="0"/>
      <w:marTop w:val="0"/>
      <w:marBottom w:val="0"/>
      <w:divBdr>
        <w:top w:val="none" w:sz="0" w:space="0" w:color="auto"/>
        <w:left w:val="none" w:sz="0" w:space="0" w:color="auto"/>
        <w:bottom w:val="none" w:sz="0" w:space="0" w:color="auto"/>
        <w:right w:val="none" w:sz="0" w:space="0" w:color="auto"/>
      </w:divBdr>
    </w:div>
    <w:div w:id="585501069">
      <w:bodyDiv w:val="1"/>
      <w:marLeft w:val="0"/>
      <w:marRight w:val="0"/>
      <w:marTop w:val="0"/>
      <w:marBottom w:val="0"/>
      <w:divBdr>
        <w:top w:val="none" w:sz="0" w:space="0" w:color="auto"/>
        <w:left w:val="none" w:sz="0" w:space="0" w:color="auto"/>
        <w:bottom w:val="none" w:sz="0" w:space="0" w:color="auto"/>
        <w:right w:val="none" w:sz="0" w:space="0" w:color="auto"/>
      </w:divBdr>
    </w:div>
    <w:div w:id="587228239">
      <w:bodyDiv w:val="1"/>
      <w:marLeft w:val="0"/>
      <w:marRight w:val="0"/>
      <w:marTop w:val="0"/>
      <w:marBottom w:val="0"/>
      <w:divBdr>
        <w:top w:val="none" w:sz="0" w:space="0" w:color="auto"/>
        <w:left w:val="none" w:sz="0" w:space="0" w:color="auto"/>
        <w:bottom w:val="none" w:sz="0" w:space="0" w:color="auto"/>
        <w:right w:val="none" w:sz="0" w:space="0" w:color="auto"/>
      </w:divBdr>
    </w:div>
    <w:div w:id="593787847">
      <w:bodyDiv w:val="1"/>
      <w:marLeft w:val="0"/>
      <w:marRight w:val="0"/>
      <w:marTop w:val="0"/>
      <w:marBottom w:val="0"/>
      <w:divBdr>
        <w:top w:val="none" w:sz="0" w:space="0" w:color="auto"/>
        <w:left w:val="none" w:sz="0" w:space="0" w:color="auto"/>
        <w:bottom w:val="none" w:sz="0" w:space="0" w:color="auto"/>
        <w:right w:val="none" w:sz="0" w:space="0" w:color="auto"/>
      </w:divBdr>
    </w:div>
    <w:div w:id="595483891">
      <w:bodyDiv w:val="1"/>
      <w:marLeft w:val="0"/>
      <w:marRight w:val="0"/>
      <w:marTop w:val="0"/>
      <w:marBottom w:val="0"/>
      <w:divBdr>
        <w:top w:val="none" w:sz="0" w:space="0" w:color="auto"/>
        <w:left w:val="none" w:sz="0" w:space="0" w:color="auto"/>
        <w:bottom w:val="none" w:sz="0" w:space="0" w:color="auto"/>
        <w:right w:val="none" w:sz="0" w:space="0" w:color="auto"/>
      </w:divBdr>
    </w:div>
    <w:div w:id="595752754">
      <w:bodyDiv w:val="1"/>
      <w:marLeft w:val="0"/>
      <w:marRight w:val="0"/>
      <w:marTop w:val="0"/>
      <w:marBottom w:val="0"/>
      <w:divBdr>
        <w:top w:val="none" w:sz="0" w:space="0" w:color="auto"/>
        <w:left w:val="none" w:sz="0" w:space="0" w:color="auto"/>
        <w:bottom w:val="none" w:sz="0" w:space="0" w:color="auto"/>
        <w:right w:val="none" w:sz="0" w:space="0" w:color="auto"/>
      </w:divBdr>
    </w:div>
    <w:div w:id="599221573">
      <w:bodyDiv w:val="1"/>
      <w:marLeft w:val="0"/>
      <w:marRight w:val="0"/>
      <w:marTop w:val="0"/>
      <w:marBottom w:val="0"/>
      <w:divBdr>
        <w:top w:val="none" w:sz="0" w:space="0" w:color="auto"/>
        <w:left w:val="none" w:sz="0" w:space="0" w:color="auto"/>
        <w:bottom w:val="none" w:sz="0" w:space="0" w:color="auto"/>
        <w:right w:val="none" w:sz="0" w:space="0" w:color="auto"/>
      </w:divBdr>
    </w:div>
    <w:div w:id="599408633">
      <w:bodyDiv w:val="1"/>
      <w:marLeft w:val="0"/>
      <w:marRight w:val="0"/>
      <w:marTop w:val="0"/>
      <w:marBottom w:val="0"/>
      <w:divBdr>
        <w:top w:val="none" w:sz="0" w:space="0" w:color="auto"/>
        <w:left w:val="none" w:sz="0" w:space="0" w:color="auto"/>
        <w:bottom w:val="none" w:sz="0" w:space="0" w:color="auto"/>
        <w:right w:val="none" w:sz="0" w:space="0" w:color="auto"/>
      </w:divBdr>
    </w:div>
    <w:div w:id="602422753">
      <w:bodyDiv w:val="1"/>
      <w:marLeft w:val="0"/>
      <w:marRight w:val="0"/>
      <w:marTop w:val="0"/>
      <w:marBottom w:val="0"/>
      <w:divBdr>
        <w:top w:val="none" w:sz="0" w:space="0" w:color="auto"/>
        <w:left w:val="none" w:sz="0" w:space="0" w:color="auto"/>
        <w:bottom w:val="none" w:sz="0" w:space="0" w:color="auto"/>
        <w:right w:val="none" w:sz="0" w:space="0" w:color="auto"/>
      </w:divBdr>
    </w:div>
    <w:div w:id="607935025">
      <w:bodyDiv w:val="1"/>
      <w:marLeft w:val="0"/>
      <w:marRight w:val="0"/>
      <w:marTop w:val="0"/>
      <w:marBottom w:val="0"/>
      <w:divBdr>
        <w:top w:val="none" w:sz="0" w:space="0" w:color="auto"/>
        <w:left w:val="none" w:sz="0" w:space="0" w:color="auto"/>
        <w:bottom w:val="none" w:sz="0" w:space="0" w:color="auto"/>
        <w:right w:val="none" w:sz="0" w:space="0" w:color="auto"/>
      </w:divBdr>
    </w:div>
    <w:div w:id="611598516">
      <w:bodyDiv w:val="1"/>
      <w:marLeft w:val="0"/>
      <w:marRight w:val="0"/>
      <w:marTop w:val="0"/>
      <w:marBottom w:val="0"/>
      <w:divBdr>
        <w:top w:val="none" w:sz="0" w:space="0" w:color="auto"/>
        <w:left w:val="none" w:sz="0" w:space="0" w:color="auto"/>
        <w:bottom w:val="none" w:sz="0" w:space="0" w:color="auto"/>
        <w:right w:val="none" w:sz="0" w:space="0" w:color="auto"/>
      </w:divBdr>
    </w:div>
    <w:div w:id="613095750">
      <w:bodyDiv w:val="1"/>
      <w:marLeft w:val="0"/>
      <w:marRight w:val="0"/>
      <w:marTop w:val="0"/>
      <w:marBottom w:val="0"/>
      <w:divBdr>
        <w:top w:val="none" w:sz="0" w:space="0" w:color="auto"/>
        <w:left w:val="none" w:sz="0" w:space="0" w:color="auto"/>
        <w:bottom w:val="none" w:sz="0" w:space="0" w:color="auto"/>
        <w:right w:val="none" w:sz="0" w:space="0" w:color="auto"/>
      </w:divBdr>
    </w:div>
    <w:div w:id="621769841">
      <w:bodyDiv w:val="1"/>
      <w:marLeft w:val="0"/>
      <w:marRight w:val="0"/>
      <w:marTop w:val="0"/>
      <w:marBottom w:val="0"/>
      <w:divBdr>
        <w:top w:val="none" w:sz="0" w:space="0" w:color="auto"/>
        <w:left w:val="none" w:sz="0" w:space="0" w:color="auto"/>
        <w:bottom w:val="none" w:sz="0" w:space="0" w:color="auto"/>
        <w:right w:val="none" w:sz="0" w:space="0" w:color="auto"/>
      </w:divBdr>
    </w:div>
    <w:div w:id="624773303">
      <w:bodyDiv w:val="1"/>
      <w:marLeft w:val="0"/>
      <w:marRight w:val="0"/>
      <w:marTop w:val="0"/>
      <w:marBottom w:val="0"/>
      <w:divBdr>
        <w:top w:val="none" w:sz="0" w:space="0" w:color="auto"/>
        <w:left w:val="none" w:sz="0" w:space="0" w:color="auto"/>
        <w:bottom w:val="none" w:sz="0" w:space="0" w:color="auto"/>
        <w:right w:val="none" w:sz="0" w:space="0" w:color="auto"/>
      </w:divBdr>
    </w:div>
    <w:div w:id="630981298">
      <w:bodyDiv w:val="1"/>
      <w:marLeft w:val="0"/>
      <w:marRight w:val="0"/>
      <w:marTop w:val="0"/>
      <w:marBottom w:val="0"/>
      <w:divBdr>
        <w:top w:val="none" w:sz="0" w:space="0" w:color="auto"/>
        <w:left w:val="none" w:sz="0" w:space="0" w:color="auto"/>
        <w:bottom w:val="none" w:sz="0" w:space="0" w:color="auto"/>
        <w:right w:val="none" w:sz="0" w:space="0" w:color="auto"/>
      </w:divBdr>
    </w:div>
    <w:div w:id="641621101">
      <w:bodyDiv w:val="1"/>
      <w:marLeft w:val="0"/>
      <w:marRight w:val="0"/>
      <w:marTop w:val="0"/>
      <w:marBottom w:val="0"/>
      <w:divBdr>
        <w:top w:val="none" w:sz="0" w:space="0" w:color="auto"/>
        <w:left w:val="none" w:sz="0" w:space="0" w:color="auto"/>
        <w:bottom w:val="none" w:sz="0" w:space="0" w:color="auto"/>
        <w:right w:val="none" w:sz="0" w:space="0" w:color="auto"/>
      </w:divBdr>
    </w:div>
    <w:div w:id="642387177">
      <w:bodyDiv w:val="1"/>
      <w:marLeft w:val="0"/>
      <w:marRight w:val="0"/>
      <w:marTop w:val="0"/>
      <w:marBottom w:val="0"/>
      <w:divBdr>
        <w:top w:val="none" w:sz="0" w:space="0" w:color="auto"/>
        <w:left w:val="none" w:sz="0" w:space="0" w:color="auto"/>
        <w:bottom w:val="none" w:sz="0" w:space="0" w:color="auto"/>
        <w:right w:val="none" w:sz="0" w:space="0" w:color="auto"/>
      </w:divBdr>
    </w:div>
    <w:div w:id="645744912">
      <w:bodyDiv w:val="1"/>
      <w:marLeft w:val="0"/>
      <w:marRight w:val="0"/>
      <w:marTop w:val="0"/>
      <w:marBottom w:val="0"/>
      <w:divBdr>
        <w:top w:val="none" w:sz="0" w:space="0" w:color="auto"/>
        <w:left w:val="none" w:sz="0" w:space="0" w:color="auto"/>
        <w:bottom w:val="none" w:sz="0" w:space="0" w:color="auto"/>
        <w:right w:val="none" w:sz="0" w:space="0" w:color="auto"/>
      </w:divBdr>
    </w:div>
    <w:div w:id="646978323">
      <w:bodyDiv w:val="1"/>
      <w:marLeft w:val="0"/>
      <w:marRight w:val="0"/>
      <w:marTop w:val="0"/>
      <w:marBottom w:val="0"/>
      <w:divBdr>
        <w:top w:val="none" w:sz="0" w:space="0" w:color="auto"/>
        <w:left w:val="none" w:sz="0" w:space="0" w:color="auto"/>
        <w:bottom w:val="none" w:sz="0" w:space="0" w:color="auto"/>
        <w:right w:val="none" w:sz="0" w:space="0" w:color="auto"/>
      </w:divBdr>
    </w:div>
    <w:div w:id="651762026">
      <w:bodyDiv w:val="1"/>
      <w:marLeft w:val="0"/>
      <w:marRight w:val="0"/>
      <w:marTop w:val="0"/>
      <w:marBottom w:val="0"/>
      <w:divBdr>
        <w:top w:val="none" w:sz="0" w:space="0" w:color="auto"/>
        <w:left w:val="none" w:sz="0" w:space="0" w:color="auto"/>
        <w:bottom w:val="none" w:sz="0" w:space="0" w:color="auto"/>
        <w:right w:val="none" w:sz="0" w:space="0" w:color="auto"/>
      </w:divBdr>
    </w:div>
    <w:div w:id="653069630">
      <w:bodyDiv w:val="1"/>
      <w:marLeft w:val="0"/>
      <w:marRight w:val="0"/>
      <w:marTop w:val="0"/>
      <w:marBottom w:val="0"/>
      <w:divBdr>
        <w:top w:val="none" w:sz="0" w:space="0" w:color="auto"/>
        <w:left w:val="none" w:sz="0" w:space="0" w:color="auto"/>
        <w:bottom w:val="none" w:sz="0" w:space="0" w:color="auto"/>
        <w:right w:val="none" w:sz="0" w:space="0" w:color="auto"/>
      </w:divBdr>
    </w:div>
    <w:div w:id="659430793">
      <w:bodyDiv w:val="1"/>
      <w:marLeft w:val="0"/>
      <w:marRight w:val="0"/>
      <w:marTop w:val="0"/>
      <w:marBottom w:val="0"/>
      <w:divBdr>
        <w:top w:val="none" w:sz="0" w:space="0" w:color="auto"/>
        <w:left w:val="none" w:sz="0" w:space="0" w:color="auto"/>
        <w:bottom w:val="none" w:sz="0" w:space="0" w:color="auto"/>
        <w:right w:val="none" w:sz="0" w:space="0" w:color="auto"/>
      </w:divBdr>
    </w:div>
    <w:div w:id="665285243">
      <w:bodyDiv w:val="1"/>
      <w:marLeft w:val="0"/>
      <w:marRight w:val="0"/>
      <w:marTop w:val="0"/>
      <w:marBottom w:val="0"/>
      <w:divBdr>
        <w:top w:val="none" w:sz="0" w:space="0" w:color="auto"/>
        <w:left w:val="none" w:sz="0" w:space="0" w:color="auto"/>
        <w:bottom w:val="none" w:sz="0" w:space="0" w:color="auto"/>
        <w:right w:val="none" w:sz="0" w:space="0" w:color="auto"/>
      </w:divBdr>
    </w:div>
    <w:div w:id="666518342">
      <w:bodyDiv w:val="1"/>
      <w:marLeft w:val="0"/>
      <w:marRight w:val="0"/>
      <w:marTop w:val="0"/>
      <w:marBottom w:val="0"/>
      <w:divBdr>
        <w:top w:val="none" w:sz="0" w:space="0" w:color="auto"/>
        <w:left w:val="none" w:sz="0" w:space="0" w:color="auto"/>
        <w:bottom w:val="none" w:sz="0" w:space="0" w:color="auto"/>
        <w:right w:val="none" w:sz="0" w:space="0" w:color="auto"/>
      </w:divBdr>
    </w:div>
    <w:div w:id="669986390">
      <w:bodyDiv w:val="1"/>
      <w:marLeft w:val="0"/>
      <w:marRight w:val="0"/>
      <w:marTop w:val="0"/>
      <w:marBottom w:val="0"/>
      <w:divBdr>
        <w:top w:val="none" w:sz="0" w:space="0" w:color="auto"/>
        <w:left w:val="none" w:sz="0" w:space="0" w:color="auto"/>
        <w:bottom w:val="none" w:sz="0" w:space="0" w:color="auto"/>
        <w:right w:val="none" w:sz="0" w:space="0" w:color="auto"/>
      </w:divBdr>
    </w:div>
    <w:div w:id="671957174">
      <w:bodyDiv w:val="1"/>
      <w:marLeft w:val="0"/>
      <w:marRight w:val="0"/>
      <w:marTop w:val="0"/>
      <w:marBottom w:val="0"/>
      <w:divBdr>
        <w:top w:val="none" w:sz="0" w:space="0" w:color="auto"/>
        <w:left w:val="none" w:sz="0" w:space="0" w:color="auto"/>
        <w:bottom w:val="none" w:sz="0" w:space="0" w:color="auto"/>
        <w:right w:val="none" w:sz="0" w:space="0" w:color="auto"/>
      </w:divBdr>
    </w:div>
    <w:div w:id="672220212">
      <w:bodyDiv w:val="1"/>
      <w:marLeft w:val="0"/>
      <w:marRight w:val="0"/>
      <w:marTop w:val="0"/>
      <w:marBottom w:val="0"/>
      <w:divBdr>
        <w:top w:val="none" w:sz="0" w:space="0" w:color="auto"/>
        <w:left w:val="none" w:sz="0" w:space="0" w:color="auto"/>
        <w:bottom w:val="none" w:sz="0" w:space="0" w:color="auto"/>
        <w:right w:val="none" w:sz="0" w:space="0" w:color="auto"/>
      </w:divBdr>
    </w:div>
    <w:div w:id="675808664">
      <w:bodyDiv w:val="1"/>
      <w:marLeft w:val="0"/>
      <w:marRight w:val="0"/>
      <w:marTop w:val="0"/>
      <w:marBottom w:val="0"/>
      <w:divBdr>
        <w:top w:val="none" w:sz="0" w:space="0" w:color="auto"/>
        <w:left w:val="none" w:sz="0" w:space="0" w:color="auto"/>
        <w:bottom w:val="none" w:sz="0" w:space="0" w:color="auto"/>
        <w:right w:val="none" w:sz="0" w:space="0" w:color="auto"/>
      </w:divBdr>
    </w:div>
    <w:div w:id="675885407">
      <w:bodyDiv w:val="1"/>
      <w:marLeft w:val="0"/>
      <w:marRight w:val="0"/>
      <w:marTop w:val="0"/>
      <w:marBottom w:val="0"/>
      <w:divBdr>
        <w:top w:val="none" w:sz="0" w:space="0" w:color="auto"/>
        <w:left w:val="none" w:sz="0" w:space="0" w:color="auto"/>
        <w:bottom w:val="none" w:sz="0" w:space="0" w:color="auto"/>
        <w:right w:val="none" w:sz="0" w:space="0" w:color="auto"/>
      </w:divBdr>
    </w:div>
    <w:div w:id="676661035">
      <w:bodyDiv w:val="1"/>
      <w:marLeft w:val="0"/>
      <w:marRight w:val="0"/>
      <w:marTop w:val="0"/>
      <w:marBottom w:val="0"/>
      <w:divBdr>
        <w:top w:val="none" w:sz="0" w:space="0" w:color="auto"/>
        <w:left w:val="none" w:sz="0" w:space="0" w:color="auto"/>
        <w:bottom w:val="none" w:sz="0" w:space="0" w:color="auto"/>
        <w:right w:val="none" w:sz="0" w:space="0" w:color="auto"/>
      </w:divBdr>
    </w:div>
    <w:div w:id="679046377">
      <w:bodyDiv w:val="1"/>
      <w:marLeft w:val="0"/>
      <w:marRight w:val="0"/>
      <w:marTop w:val="0"/>
      <w:marBottom w:val="0"/>
      <w:divBdr>
        <w:top w:val="none" w:sz="0" w:space="0" w:color="auto"/>
        <w:left w:val="none" w:sz="0" w:space="0" w:color="auto"/>
        <w:bottom w:val="none" w:sz="0" w:space="0" w:color="auto"/>
        <w:right w:val="none" w:sz="0" w:space="0" w:color="auto"/>
      </w:divBdr>
    </w:div>
    <w:div w:id="693652447">
      <w:bodyDiv w:val="1"/>
      <w:marLeft w:val="0"/>
      <w:marRight w:val="0"/>
      <w:marTop w:val="0"/>
      <w:marBottom w:val="0"/>
      <w:divBdr>
        <w:top w:val="none" w:sz="0" w:space="0" w:color="auto"/>
        <w:left w:val="none" w:sz="0" w:space="0" w:color="auto"/>
        <w:bottom w:val="none" w:sz="0" w:space="0" w:color="auto"/>
        <w:right w:val="none" w:sz="0" w:space="0" w:color="auto"/>
      </w:divBdr>
    </w:div>
    <w:div w:id="702049733">
      <w:bodyDiv w:val="1"/>
      <w:marLeft w:val="0"/>
      <w:marRight w:val="0"/>
      <w:marTop w:val="0"/>
      <w:marBottom w:val="0"/>
      <w:divBdr>
        <w:top w:val="none" w:sz="0" w:space="0" w:color="auto"/>
        <w:left w:val="none" w:sz="0" w:space="0" w:color="auto"/>
        <w:bottom w:val="none" w:sz="0" w:space="0" w:color="auto"/>
        <w:right w:val="none" w:sz="0" w:space="0" w:color="auto"/>
      </w:divBdr>
    </w:div>
    <w:div w:id="702368207">
      <w:bodyDiv w:val="1"/>
      <w:marLeft w:val="0"/>
      <w:marRight w:val="0"/>
      <w:marTop w:val="0"/>
      <w:marBottom w:val="0"/>
      <w:divBdr>
        <w:top w:val="none" w:sz="0" w:space="0" w:color="auto"/>
        <w:left w:val="none" w:sz="0" w:space="0" w:color="auto"/>
        <w:bottom w:val="none" w:sz="0" w:space="0" w:color="auto"/>
        <w:right w:val="none" w:sz="0" w:space="0" w:color="auto"/>
      </w:divBdr>
    </w:div>
    <w:div w:id="712000530">
      <w:bodyDiv w:val="1"/>
      <w:marLeft w:val="0"/>
      <w:marRight w:val="0"/>
      <w:marTop w:val="0"/>
      <w:marBottom w:val="0"/>
      <w:divBdr>
        <w:top w:val="none" w:sz="0" w:space="0" w:color="auto"/>
        <w:left w:val="none" w:sz="0" w:space="0" w:color="auto"/>
        <w:bottom w:val="none" w:sz="0" w:space="0" w:color="auto"/>
        <w:right w:val="none" w:sz="0" w:space="0" w:color="auto"/>
      </w:divBdr>
    </w:div>
    <w:div w:id="713504683">
      <w:bodyDiv w:val="1"/>
      <w:marLeft w:val="0"/>
      <w:marRight w:val="0"/>
      <w:marTop w:val="0"/>
      <w:marBottom w:val="0"/>
      <w:divBdr>
        <w:top w:val="none" w:sz="0" w:space="0" w:color="auto"/>
        <w:left w:val="none" w:sz="0" w:space="0" w:color="auto"/>
        <w:bottom w:val="none" w:sz="0" w:space="0" w:color="auto"/>
        <w:right w:val="none" w:sz="0" w:space="0" w:color="auto"/>
      </w:divBdr>
    </w:div>
    <w:div w:id="720396592">
      <w:bodyDiv w:val="1"/>
      <w:marLeft w:val="0"/>
      <w:marRight w:val="0"/>
      <w:marTop w:val="0"/>
      <w:marBottom w:val="0"/>
      <w:divBdr>
        <w:top w:val="none" w:sz="0" w:space="0" w:color="auto"/>
        <w:left w:val="none" w:sz="0" w:space="0" w:color="auto"/>
        <w:bottom w:val="none" w:sz="0" w:space="0" w:color="auto"/>
        <w:right w:val="none" w:sz="0" w:space="0" w:color="auto"/>
      </w:divBdr>
    </w:div>
    <w:div w:id="722870830">
      <w:bodyDiv w:val="1"/>
      <w:marLeft w:val="0"/>
      <w:marRight w:val="0"/>
      <w:marTop w:val="0"/>
      <w:marBottom w:val="0"/>
      <w:divBdr>
        <w:top w:val="none" w:sz="0" w:space="0" w:color="auto"/>
        <w:left w:val="none" w:sz="0" w:space="0" w:color="auto"/>
        <w:bottom w:val="none" w:sz="0" w:space="0" w:color="auto"/>
        <w:right w:val="none" w:sz="0" w:space="0" w:color="auto"/>
      </w:divBdr>
    </w:div>
    <w:div w:id="723262423">
      <w:bodyDiv w:val="1"/>
      <w:marLeft w:val="0"/>
      <w:marRight w:val="0"/>
      <w:marTop w:val="0"/>
      <w:marBottom w:val="0"/>
      <w:divBdr>
        <w:top w:val="none" w:sz="0" w:space="0" w:color="auto"/>
        <w:left w:val="none" w:sz="0" w:space="0" w:color="auto"/>
        <w:bottom w:val="none" w:sz="0" w:space="0" w:color="auto"/>
        <w:right w:val="none" w:sz="0" w:space="0" w:color="auto"/>
      </w:divBdr>
    </w:div>
    <w:div w:id="723411571">
      <w:bodyDiv w:val="1"/>
      <w:marLeft w:val="0"/>
      <w:marRight w:val="0"/>
      <w:marTop w:val="0"/>
      <w:marBottom w:val="0"/>
      <w:divBdr>
        <w:top w:val="none" w:sz="0" w:space="0" w:color="auto"/>
        <w:left w:val="none" w:sz="0" w:space="0" w:color="auto"/>
        <w:bottom w:val="none" w:sz="0" w:space="0" w:color="auto"/>
        <w:right w:val="none" w:sz="0" w:space="0" w:color="auto"/>
      </w:divBdr>
    </w:div>
    <w:div w:id="724186994">
      <w:bodyDiv w:val="1"/>
      <w:marLeft w:val="0"/>
      <w:marRight w:val="0"/>
      <w:marTop w:val="0"/>
      <w:marBottom w:val="0"/>
      <w:divBdr>
        <w:top w:val="none" w:sz="0" w:space="0" w:color="auto"/>
        <w:left w:val="none" w:sz="0" w:space="0" w:color="auto"/>
        <w:bottom w:val="none" w:sz="0" w:space="0" w:color="auto"/>
        <w:right w:val="none" w:sz="0" w:space="0" w:color="auto"/>
      </w:divBdr>
    </w:div>
    <w:div w:id="724528769">
      <w:bodyDiv w:val="1"/>
      <w:marLeft w:val="0"/>
      <w:marRight w:val="0"/>
      <w:marTop w:val="0"/>
      <w:marBottom w:val="0"/>
      <w:divBdr>
        <w:top w:val="none" w:sz="0" w:space="0" w:color="auto"/>
        <w:left w:val="none" w:sz="0" w:space="0" w:color="auto"/>
        <w:bottom w:val="none" w:sz="0" w:space="0" w:color="auto"/>
        <w:right w:val="none" w:sz="0" w:space="0" w:color="auto"/>
      </w:divBdr>
    </w:div>
    <w:div w:id="729621964">
      <w:bodyDiv w:val="1"/>
      <w:marLeft w:val="0"/>
      <w:marRight w:val="0"/>
      <w:marTop w:val="0"/>
      <w:marBottom w:val="0"/>
      <w:divBdr>
        <w:top w:val="none" w:sz="0" w:space="0" w:color="auto"/>
        <w:left w:val="none" w:sz="0" w:space="0" w:color="auto"/>
        <w:bottom w:val="none" w:sz="0" w:space="0" w:color="auto"/>
        <w:right w:val="none" w:sz="0" w:space="0" w:color="auto"/>
      </w:divBdr>
    </w:div>
    <w:div w:id="731737610">
      <w:bodyDiv w:val="1"/>
      <w:marLeft w:val="0"/>
      <w:marRight w:val="0"/>
      <w:marTop w:val="0"/>
      <w:marBottom w:val="0"/>
      <w:divBdr>
        <w:top w:val="none" w:sz="0" w:space="0" w:color="auto"/>
        <w:left w:val="none" w:sz="0" w:space="0" w:color="auto"/>
        <w:bottom w:val="none" w:sz="0" w:space="0" w:color="auto"/>
        <w:right w:val="none" w:sz="0" w:space="0" w:color="auto"/>
      </w:divBdr>
    </w:div>
    <w:div w:id="736131628">
      <w:bodyDiv w:val="1"/>
      <w:marLeft w:val="0"/>
      <w:marRight w:val="0"/>
      <w:marTop w:val="0"/>
      <w:marBottom w:val="0"/>
      <w:divBdr>
        <w:top w:val="none" w:sz="0" w:space="0" w:color="auto"/>
        <w:left w:val="none" w:sz="0" w:space="0" w:color="auto"/>
        <w:bottom w:val="none" w:sz="0" w:space="0" w:color="auto"/>
        <w:right w:val="none" w:sz="0" w:space="0" w:color="auto"/>
      </w:divBdr>
    </w:div>
    <w:div w:id="740717261">
      <w:bodyDiv w:val="1"/>
      <w:marLeft w:val="0"/>
      <w:marRight w:val="0"/>
      <w:marTop w:val="0"/>
      <w:marBottom w:val="0"/>
      <w:divBdr>
        <w:top w:val="none" w:sz="0" w:space="0" w:color="auto"/>
        <w:left w:val="none" w:sz="0" w:space="0" w:color="auto"/>
        <w:bottom w:val="none" w:sz="0" w:space="0" w:color="auto"/>
        <w:right w:val="none" w:sz="0" w:space="0" w:color="auto"/>
      </w:divBdr>
    </w:div>
    <w:div w:id="745882430">
      <w:bodyDiv w:val="1"/>
      <w:marLeft w:val="0"/>
      <w:marRight w:val="0"/>
      <w:marTop w:val="0"/>
      <w:marBottom w:val="0"/>
      <w:divBdr>
        <w:top w:val="none" w:sz="0" w:space="0" w:color="auto"/>
        <w:left w:val="none" w:sz="0" w:space="0" w:color="auto"/>
        <w:bottom w:val="none" w:sz="0" w:space="0" w:color="auto"/>
        <w:right w:val="none" w:sz="0" w:space="0" w:color="auto"/>
      </w:divBdr>
    </w:div>
    <w:div w:id="750859347">
      <w:bodyDiv w:val="1"/>
      <w:marLeft w:val="0"/>
      <w:marRight w:val="0"/>
      <w:marTop w:val="0"/>
      <w:marBottom w:val="0"/>
      <w:divBdr>
        <w:top w:val="none" w:sz="0" w:space="0" w:color="auto"/>
        <w:left w:val="none" w:sz="0" w:space="0" w:color="auto"/>
        <w:bottom w:val="none" w:sz="0" w:space="0" w:color="auto"/>
        <w:right w:val="none" w:sz="0" w:space="0" w:color="auto"/>
      </w:divBdr>
    </w:div>
    <w:div w:id="753626895">
      <w:bodyDiv w:val="1"/>
      <w:marLeft w:val="0"/>
      <w:marRight w:val="0"/>
      <w:marTop w:val="0"/>
      <w:marBottom w:val="0"/>
      <w:divBdr>
        <w:top w:val="none" w:sz="0" w:space="0" w:color="auto"/>
        <w:left w:val="none" w:sz="0" w:space="0" w:color="auto"/>
        <w:bottom w:val="none" w:sz="0" w:space="0" w:color="auto"/>
        <w:right w:val="none" w:sz="0" w:space="0" w:color="auto"/>
      </w:divBdr>
    </w:div>
    <w:div w:id="753867615">
      <w:bodyDiv w:val="1"/>
      <w:marLeft w:val="0"/>
      <w:marRight w:val="0"/>
      <w:marTop w:val="0"/>
      <w:marBottom w:val="0"/>
      <w:divBdr>
        <w:top w:val="none" w:sz="0" w:space="0" w:color="auto"/>
        <w:left w:val="none" w:sz="0" w:space="0" w:color="auto"/>
        <w:bottom w:val="none" w:sz="0" w:space="0" w:color="auto"/>
        <w:right w:val="none" w:sz="0" w:space="0" w:color="auto"/>
      </w:divBdr>
    </w:div>
    <w:div w:id="755635652">
      <w:bodyDiv w:val="1"/>
      <w:marLeft w:val="0"/>
      <w:marRight w:val="0"/>
      <w:marTop w:val="0"/>
      <w:marBottom w:val="0"/>
      <w:divBdr>
        <w:top w:val="none" w:sz="0" w:space="0" w:color="auto"/>
        <w:left w:val="none" w:sz="0" w:space="0" w:color="auto"/>
        <w:bottom w:val="none" w:sz="0" w:space="0" w:color="auto"/>
        <w:right w:val="none" w:sz="0" w:space="0" w:color="auto"/>
      </w:divBdr>
    </w:div>
    <w:div w:id="758254191">
      <w:bodyDiv w:val="1"/>
      <w:marLeft w:val="0"/>
      <w:marRight w:val="0"/>
      <w:marTop w:val="0"/>
      <w:marBottom w:val="0"/>
      <w:divBdr>
        <w:top w:val="none" w:sz="0" w:space="0" w:color="auto"/>
        <w:left w:val="none" w:sz="0" w:space="0" w:color="auto"/>
        <w:bottom w:val="none" w:sz="0" w:space="0" w:color="auto"/>
        <w:right w:val="none" w:sz="0" w:space="0" w:color="auto"/>
      </w:divBdr>
    </w:div>
    <w:div w:id="760031404">
      <w:bodyDiv w:val="1"/>
      <w:marLeft w:val="0"/>
      <w:marRight w:val="0"/>
      <w:marTop w:val="0"/>
      <w:marBottom w:val="0"/>
      <w:divBdr>
        <w:top w:val="none" w:sz="0" w:space="0" w:color="auto"/>
        <w:left w:val="none" w:sz="0" w:space="0" w:color="auto"/>
        <w:bottom w:val="none" w:sz="0" w:space="0" w:color="auto"/>
        <w:right w:val="none" w:sz="0" w:space="0" w:color="auto"/>
      </w:divBdr>
    </w:div>
    <w:div w:id="761293506">
      <w:bodyDiv w:val="1"/>
      <w:marLeft w:val="0"/>
      <w:marRight w:val="0"/>
      <w:marTop w:val="0"/>
      <w:marBottom w:val="0"/>
      <w:divBdr>
        <w:top w:val="none" w:sz="0" w:space="0" w:color="auto"/>
        <w:left w:val="none" w:sz="0" w:space="0" w:color="auto"/>
        <w:bottom w:val="none" w:sz="0" w:space="0" w:color="auto"/>
        <w:right w:val="none" w:sz="0" w:space="0" w:color="auto"/>
      </w:divBdr>
    </w:div>
    <w:div w:id="782116372">
      <w:bodyDiv w:val="1"/>
      <w:marLeft w:val="0"/>
      <w:marRight w:val="0"/>
      <w:marTop w:val="0"/>
      <w:marBottom w:val="0"/>
      <w:divBdr>
        <w:top w:val="none" w:sz="0" w:space="0" w:color="auto"/>
        <w:left w:val="none" w:sz="0" w:space="0" w:color="auto"/>
        <w:bottom w:val="none" w:sz="0" w:space="0" w:color="auto"/>
        <w:right w:val="none" w:sz="0" w:space="0" w:color="auto"/>
      </w:divBdr>
    </w:div>
    <w:div w:id="784346615">
      <w:bodyDiv w:val="1"/>
      <w:marLeft w:val="0"/>
      <w:marRight w:val="0"/>
      <w:marTop w:val="0"/>
      <w:marBottom w:val="0"/>
      <w:divBdr>
        <w:top w:val="none" w:sz="0" w:space="0" w:color="auto"/>
        <w:left w:val="none" w:sz="0" w:space="0" w:color="auto"/>
        <w:bottom w:val="none" w:sz="0" w:space="0" w:color="auto"/>
        <w:right w:val="none" w:sz="0" w:space="0" w:color="auto"/>
      </w:divBdr>
    </w:div>
    <w:div w:id="787816807">
      <w:bodyDiv w:val="1"/>
      <w:marLeft w:val="0"/>
      <w:marRight w:val="0"/>
      <w:marTop w:val="0"/>
      <w:marBottom w:val="0"/>
      <w:divBdr>
        <w:top w:val="none" w:sz="0" w:space="0" w:color="auto"/>
        <w:left w:val="none" w:sz="0" w:space="0" w:color="auto"/>
        <w:bottom w:val="none" w:sz="0" w:space="0" w:color="auto"/>
        <w:right w:val="none" w:sz="0" w:space="0" w:color="auto"/>
      </w:divBdr>
    </w:div>
    <w:div w:id="790781176">
      <w:bodyDiv w:val="1"/>
      <w:marLeft w:val="0"/>
      <w:marRight w:val="0"/>
      <w:marTop w:val="0"/>
      <w:marBottom w:val="0"/>
      <w:divBdr>
        <w:top w:val="none" w:sz="0" w:space="0" w:color="auto"/>
        <w:left w:val="none" w:sz="0" w:space="0" w:color="auto"/>
        <w:bottom w:val="none" w:sz="0" w:space="0" w:color="auto"/>
        <w:right w:val="none" w:sz="0" w:space="0" w:color="auto"/>
      </w:divBdr>
    </w:div>
    <w:div w:id="795367143">
      <w:bodyDiv w:val="1"/>
      <w:marLeft w:val="0"/>
      <w:marRight w:val="0"/>
      <w:marTop w:val="0"/>
      <w:marBottom w:val="0"/>
      <w:divBdr>
        <w:top w:val="none" w:sz="0" w:space="0" w:color="auto"/>
        <w:left w:val="none" w:sz="0" w:space="0" w:color="auto"/>
        <w:bottom w:val="none" w:sz="0" w:space="0" w:color="auto"/>
        <w:right w:val="none" w:sz="0" w:space="0" w:color="auto"/>
      </w:divBdr>
    </w:div>
    <w:div w:id="796946992">
      <w:bodyDiv w:val="1"/>
      <w:marLeft w:val="0"/>
      <w:marRight w:val="0"/>
      <w:marTop w:val="0"/>
      <w:marBottom w:val="0"/>
      <w:divBdr>
        <w:top w:val="none" w:sz="0" w:space="0" w:color="auto"/>
        <w:left w:val="none" w:sz="0" w:space="0" w:color="auto"/>
        <w:bottom w:val="none" w:sz="0" w:space="0" w:color="auto"/>
        <w:right w:val="none" w:sz="0" w:space="0" w:color="auto"/>
      </w:divBdr>
    </w:div>
    <w:div w:id="797844178">
      <w:bodyDiv w:val="1"/>
      <w:marLeft w:val="0"/>
      <w:marRight w:val="0"/>
      <w:marTop w:val="0"/>
      <w:marBottom w:val="0"/>
      <w:divBdr>
        <w:top w:val="none" w:sz="0" w:space="0" w:color="auto"/>
        <w:left w:val="none" w:sz="0" w:space="0" w:color="auto"/>
        <w:bottom w:val="none" w:sz="0" w:space="0" w:color="auto"/>
        <w:right w:val="none" w:sz="0" w:space="0" w:color="auto"/>
      </w:divBdr>
    </w:div>
    <w:div w:id="800266940">
      <w:bodyDiv w:val="1"/>
      <w:marLeft w:val="0"/>
      <w:marRight w:val="0"/>
      <w:marTop w:val="0"/>
      <w:marBottom w:val="0"/>
      <w:divBdr>
        <w:top w:val="none" w:sz="0" w:space="0" w:color="auto"/>
        <w:left w:val="none" w:sz="0" w:space="0" w:color="auto"/>
        <w:bottom w:val="none" w:sz="0" w:space="0" w:color="auto"/>
        <w:right w:val="none" w:sz="0" w:space="0" w:color="auto"/>
      </w:divBdr>
    </w:div>
    <w:div w:id="812209797">
      <w:bodyDiv w:val="1"/>
      <w:marLeft w:val="0"/>
      <w:marRight w:val="0"/>
      <w:marTop w:val="0"/>
      <w:marBottom w:val="0"/>
      <w:divBdr>
        <w:top w:val="none" w:sz="0" w:space="0" w:color="auto"/>
        <w:left w:val="none" w:sz="0" w:space="0" w:color="auto"/>
        <w:bottom w:val="none" w:sz="0" w:space="0" w:color="auto"/>
        <w:right w:val="none" w:sz="0" w:space="0" w:color="auto"/>
      </w:divBdr>
    </w:div>
    <w:div w:id="812255741">
      <w:bodyDiv w:val="1"/>
      <w:marLeft w:val="0"/>
      <w:marRight w:val="0"/>
      <w:marTop w:val="0"/>
      <w:marBottom w:val="0"/>
      <w:divBdr>
        <w:top w:val="none" w:sz="0" w:space="0" w:color="auto"/>
        <w:left w:val="none" w:sz="0" w:space="0" w:color="auto"/>
        <w:bottom w:val="none" w:sz="0" w:space="0" w:color="auto"/>
        <w:right w:val="none" w:sz="0" w:space="0" w:color="auto"/>
      </w:divBdr>
    </w:div>
    <w:div w:id="812721605">
      <w:bodyDiv w:val="1"/>
      <w:marLeft w:val="0"/>
      <w:marRight w:val="0"/>
      <w:marTop w:val="0"/>
      <w:marBottom w:val="0"/>
      <w:divBdr>
        <w:top w:val="none" w:sz="0" w:space="0" w:color="auto"/>
        <w:left w:val="none" w:sz="0" w:space="0" w:color="auto"/>
        <w:bottom w:val="none" w:sz="0" w:space="0" w:color="auto"/>
        <w:right w:val="none" w:sz="0" w:space="0" w:color="auto"/>
      </w:divBdr>
    </w:div>
    <w:div w:id="813569954">
      <w:bodyDiv w:val="1"/>
      <w:marLeft w:val="0"/>
      <w:marRight w:val="0"/>
      <w:marTop w:val="0"/>
      <w:marBottom w:val="0"/>
      <w:divBdr>
        <w:top w:val="none" w:sz="0" w:space="0" w:color="auto"/>
        <w:left w:val="none" w:sz="0" w:space="0" w:color="auto"/>
        <w:bottom w:val="none" w:sz="0" w:space="0" w:color="auto"/>
        <w:right w:val="none" w:sz="0" w:space="0" w:color="auto"/>
      </w:divBdr>
    </w:div>
    <w:div w:id="815143675">
      <w:bodyDiv w:val="1"/>
      <w:marLeft w:val="0"/>
      <w:marRight w:val="0"/>
      <w:marTop w:val="0"/>
      <w:marBottom w:val="0"/>
      <w:divBdr>
        <w:top w:val="none" w:sz="0" w:space="0" w:color="auto"/>
        <w:left w:val="none" w:sz="0" w:space="0" w:color="auto"/>
        <w:bottom w:val="none" w:sz="0" w:space="0" w:color="auto"/>
        <w:right w:val="none" w:sz="0" w:space="0" w:color="auto"/>
      </w:divBdr>
    </w:div>
    <w:div w:id="815268966">
      <w:bodyDiv w:val="1"/>
      <w:marLeft w:val="0"/>
      <w:marRight w:val="0"/>
      <w:marTop w:val="0"/>
      <w:marBottom w:val="0"/>
      <w:divBdr>
        <w:top w:val="none" w:sz="0" w:space="0" w:color="auto"/>
        <w:left w:val="none" w:sz="0" w:space="0" w:color="auto"/>
        <w:bottom w:val="none" w:sz="0" w:space="0" w:color="auto"/>
        <w:right w:val="none" w:sz="0" w:space="0" w:color="auto"/>
      </w:divBdr>
    </w:div>
    <w:div w:id="818376101">
      <w:bodyDiv w:val="1"/>
      <w:marLeft w:val="0"/>
      <w:marRight w:val="0"/>
      <w:marTop w:val="0"/>
      <w:marBottom w:val="0"/>
      <w:divBdr>
        <w:top w:val="none" w:sz="0" w:space="0" w:color="auto"/>
        <w:left w:val="none" w:sz="0" w:space="0" w:color="auto"/>
        <w:bottom w:val="none" w:sz="0" w:space="0" w:color="auto"/>
        <w:right w:val="none" w:sz="0" w:space="0" w:color="auto"/>
      </w:divBdr>
    </w:div>
    <w:div w:id="820535204">
      <w:bodyDiv w:val="1"/>
      <w:marLeft w:val="0"/>
      <w:marRight w:val="0"/>
      <w:marTop w:val="0"/>
      <w:marBottom w:val="0"/>
      <w:divBdr>
        <w:top w:val="none" w:sz="0" w:space="0" w:color="auto"/>
        <w:left w:val="none" w:sz="0" w:space="0" w:color="auto"/>
        <w:bottom w:val="none" w:sz="0" w:space="0" w:color="auto"/>
        <w:right w:val="none" w:sz="0" w:space="0" w:color="auto"/>
      </w:divBdr>
    </w:div>
    <w:div w:id="820537294">
      <w:bodyDiv w:val="1"/>
      <w:marLeft w:val="0"/>
      <w:marRight w:val="0"/>
      <w:marTop w:val="0"/>
      <w:marBottom w:val="0"/>
      <w:divBdr>
        <w:top w:val="none" w:sz="0" w:space="0" w:color="auto"/>
        <w:left w:val="none" w:sz="0" w:space="0" w:color="auto"/>
        <w:bottom w:val="none" w:sz="0" w:space="0" w:color="auto"/>
        <w:right w:val="none" w:sz="0" w:space="0" w:color="auto"/>
      </w:divBdr>
    </w:div>
    <w:div w:id="822814402">
      <w:bodyDiv w:val="1"/>
      <w:marLeft w:val="0"/>
      <w:marRight w:val="0"/>
      <w:marTop w:val="0"/>
      <w:marBottom w:val="0"/>
      <w:divBdr>
        <w:top w:val="none" w:sz="0" w:space="0" w:color="auto"/>
        <w:left w:val="none" w:sz="0" w:space="0" w:color="auto"/>
        <w:bottom w:val="none" w:sz="0" w:space="0" w:color="auto"/>
        <w:right w:val="none" w:sz="0" w:space="0" w:color="auto"/>
      </w:divBdr>
    </w:div>
    <w:div w:id="822937332">
      <w:bodyDiv w:val="1"/>
      <w:marLeft w:val="0"/>
      <w:marRight w:val="0"/>
      <w:marTop w:val="0"/>
      <w:marBottom w:val="0"/>
      <w:divBdr>
        <w:top w:val="none" w:sz="0" w:space="0" w:color="auto"/>
        <w:left w:val="none" w:sz="0" w:space="0" w:color="auto"/>
        <w:bottom w:val="none" w:sz="0" w:space="0" w:color="auto"/>
        <w:right w:val="none" w:sz="0" w:space="0" w:color="auto"/>
      </w:divBdr>
    </w:div>
    <w:div w:id="827675601">
      <w:bodyDiv w:val="1"/>
      <w:marLeft w:val="0"/>
      <w:marRight w:val="0"/>
      <w:marTop w:val="0"/>
      <w:marBottom w:val="0"/>
      <w:divBdr>
        <w:top w:val="none" w:sz="0" w:space="0" w:color="auto"/>
        <w:left w:val="none" w:sz="0" w:space="0" w:color="auto"/>
        <w:bottom w:val="none" w:sz="0" w:space="0" w:color="auto"/>
        <w:right w:val="none" w:sz="0" w:space="0" w:color="auto"/>
      </w:divBdr>
    </w:div>
    <w:div w:id="828980314">
      <w:bodyDiv w:val="1"/>
      <w:marLeft w:val="0"/>
      <w:marRight w:val="0"/>
      <w:marTop w:val="0"/>
      <w:marBottom w:val="0"/>
      <w:divBdr>
        <w:top w:val="none" w:sz="0" w:space="0" w:color="auto"/>
        <w:left w:val="none" w:sz="0" w:space="0" w:color="auto"/>
        <w:bottom w:val="none" w:sz="0" w:space="0" w:color="auto"/>
        <w:right w:val="none" w:sz="0" w:space="0" w:color="auto"/>
      </w:divBdr>
    </w:div>
    <w:div w:id="829709651">
      <w:bodyDiv w:val="1"/>
      <w:marLeft w:val="0"/>
      <w:marRight w:val="0"/>
      <w:marTop w:val="0"/>
      <w:marBottom w:val="0"/>
      <w:divBdr>
        <w:top w:val="none" w:sz="0" w:space="0" w:color="auto"/>
        <w:left w:val="none" w:sz="0" w:space="0" w:color="auto"/>
        <w:bottom w:val="none" w:sz="0" w:space="0" w:color="auto"/>
        <w:right w:val="none" w:sz="0" w:space="0" w:color="auto"/>
      </w:divBdr>
    </w:div>
    <w:div w:id="832572521">
      <w:bodyDiv w:val="1"/>
      <w:marLeft w:val="0"/>
      <w:marRight w:val="0"/>
      <w:marTop w:val="0"/>
      <w:marBottom w:val="0"/>
      <w:divBdr>
        <w:top w:val="none" w:sz="0" w:space="0" w:color="auto"/>
        <w:left w:val="none" w:sz="0" w:space="0" w:color="auto"/>
        <w:bottom w:val="none" w:sz="0" w:space="0" w:color="auto"/>
        <w:right w:val="none" w:sz="0" w:space="0" w:color="auto"/>
      </w:divBdr>
    </w:div>
    <w:div w:id="833880348">
      <w:bodyDiv w:val="1"/>
      <w:marLeft w:val="0"/>
      <w:marRight w:val="0"/>
      <w:marTop w:val="0"/>
      <w:marBottom w:val="0"/>
      <w:divBdr>
        <w:top w:val="none" w:sz="0" w:space="0" w:color="auto"/>
        <w:left w:val="none" w:sz="0" w:space="0" w:color="auto"/>
        <w:bottom w:val="none" w:sz="0" w:space="0" w:color="auto"/>
        <w:right w:val="none" w:sz="0" w:space="0" w:color="auto"/>
      </w:divBdr>
    </w:div>
    <w:div w:id="834491256">
      <w:bodyDiv w:val="1"/>
      <w:marLeft w:val="0"/>
      <w:marRight w:val="0"/>
      <w:marTop w:val="0"/>
      <w:marBottom w:val="0"/>
      <w:divBdr>
        <w:top w:val="none" w:sz="0" w:space="0" w:color="auto"/>
        <w:left w:val="none" w:sz="0" w:space="0" w:color="auto"/>
        <w:bottom w:val="none" w:sz="0" w:space="0" w:color="auto"/>
        <w:right w:val="none" w:sz="0" w:space="0" w:color="auto"/>
      </w:divBdr>
    </w:div>
    <w:div w:id="838545216">
      <w:bodyDiv w:val="1"/>
      <w:marLeft w:val="0"/>
      <w:marRight w:val="0"/>
      <w:marTop w:val="0"/>
      <w:marBottom w:val="0"/>
      <w:divBdr>
        <w:top w:val="none" w:sz="0" w:space="0" w:color="auto"/>
        <w:left w:val="none" w:sz="0" w:space="0" w:color="auto"/>
        <w:bottom w:val="none" w:sz="0" w:space="0" w:color="auto"/>
        <w:right w:val="none" w:sz="0" w:space="0" w:color="auto"/>
      </w:divBdr>
    </w:div>
    <w:div w:id="839319854">
      <w:bodyDiv w:val="1"/>
      <w:marLeft w:val="0"/>
      <w:marRight w:val="0"/>
      <w:marTop w:val="0"/>
      <w:marBottom w:val="0"/>
      <w:divBdr>
        <w:top w:val="none" w:sz="0" w:space="0" w:color="auto"/>
        <w:left w:val="none" w:sz="0" w:space="0" w:color="auto"/>
        <w:bottom w:val="none" w:sz="0" w:space="0" w:color="auto"/>
        <w:right w:val="none" w:sz="0" w:space="0" w:color="auto"/>
      </w:divBdr>
    </w:div>
    <w:div w:id="839546655">
      <w:bodyDiv w:val="1"/>
      <w:marLeft w:val="0"/>
      <w:marRight w:val="0"/>
      <w:marTop w:val="0"/>
      <w:marBottom w:val="0"/>
      <w:divBdr>
        <w:top w:val="none" w:sz="0" w:space="0" w:color="auto"/>
        <w:left w:val="none" w:sz="0" w:space="0" w:color="auto"/>
        <w:bottom w:val="none" w:sz="0" w:space="0" w:color="auto"/>
        <w:right w:val="none" w:sz="0" w:space="0" w:color="auto"/>
      </w:divBdr>
    </w:div>
    <w:div w:id="841698158">
      <w:bodyDiv w:val="1"/>
      <w:marLeft w:val="0"/>
      <w:marRight w:val="0"/>
      <w:marTop w:val="0"/>
      <w:marBottom w:val="0"/>
      <w:divBdr>
        <w:top w:val="none" w:sz="0" w:space="0" w:color="auto"/>
        <w:left w:val="none" w:sz="0" w:space="0" w:color="auto"/>
        <w:bottom w:val="none" w:sz="0" w:space="0" w:color="auto"/>
        <w:right w:val="none" w:sz="0" w:space="0" w:color="auto"/>
      </w:divBdr>
    </w:div>
    <w:div w:id="843789676">
      <w:bodyDiv w:val="1"/>
      <w:marLeft w:val="0"/>
      <w:marRight w:val="0"/>
      <w:marTop w:val="0"/>
      <w:marBottom w:val="0"/>
      <w:divBdr>
        <w:top w:val="none" w:sz="0" w:space="0" w:color="auto"/>
        <w:left w:val="none" w:sz="0" w:space="0" w:color="auto"/>
        <w:bottom w:val="none" w:sz="0" w:space="0" w:color="auto"/>
        <w:right w:val="none" w:sz="0" w:space="0" w:color="auto"/>
      </w:divBdr>
    </w:div>
    <w:div w:id="844705078">
      <w:bodyDiv w:val="1"/>
      <w:marLeft w:val="0"/>
      <w:marRight w:val="0"/>
      <w:marTop w:val="0"/>
      <w:marBottom w:val="0"/>
      <w:divBdr>
        <w:top w:val="none" w:sz="0" w:space="0" w:color="auto"/>
        <w:left w:val="none" w:sz="0" w:space="0" w:color="auto"/>
        <w:bottom w:val="none" w:sz="0" w:space="0" w:color="auto"/>
        <w:right w:val="none" w:sz="0" w:space="0" w:color="auto"/>
      </w:divBdr>
    </w:div>
    <w:div w:id="850222700">
      <w:bodyDiv w:val="1"/>
      <w:marLeft w:val="0"/>
      <w:marRight w:val="0"/>
      <w:marTop w:val="0"/>
      <w:marBottom w:val="0"/>
      <w:divBdr>
        <w:top w:val="none" w:sz="0" w:space="0" w:color="auto"/>
        <w:left w:val="none" w:sz="0" w:space="0" w:color="auto"/>
        <w:bottom w:val="none" w:sz="0" w:space="0" w:color="auto"/>
        <w:right w:val="none" w:sz="0" w:space="0" w:color="auto"/>
      </w:divBdr>
    </w:div>
    <w:div w:id="852767517">
      <w:bodyDiv w:val="1"/>
      <w:marLeft w:val="0"/>
      <w:marRight w:val="0"/>
      <w:marTop w:val="0"/>
      <w:marBottom w:val="0"/>
      <w:divBdr>
        <w:top w:val="none" w:sz="0" w:space="0" w:color="auto"/>
        <w:left w:val="none" w:sz="0" w:space="0" w:color="auto"/>
        <w:bottom w:val="none" w:sz="0" w:space="0" w:color="auto"/>
        <w:right w:val="none" w:sz="0" w:space="0" w:color="auto"/>
      </w:divBdr>
    </w:div>
    <w:div w:id="854000102">
      <w:bodyDiv w:val="1"/>
      <w:marLeft w:val="0"/>
      <w:marRight w:val="0"/>
      <w:marTop w:val="0"/>
      <w:marBottom w:val="0"/>
      <w:divBdr>
        <w:top w:val="none" w:sz="0" w:space="0" w:color="auto"/>
        <w:left w:val="none" w:sz="0" w:space="0" w:color="auto"/>
        <w:bottom w:val="none" w:sz="0" w:space="0" w:color="auto"/>
        <w:right w:val="none" w:sz="0" w:space="0" w:color="auto"/>
      </w:divBdr>
    </w:div>
    <w:div w:id="857427761">
      <w:bodyDiv w:val="1"/>
      <w:marLeft w:val="0"/>
      <w:marRight w:val="0"/>
      <w:marTop w:val="0"/>
      <w:marBottom w:val="0"/>
      <w:divBdr>
        <w:top w:val="none" w:sz="0" w:space="0" w:color="auto"/>
        <w:left w:val="none" w:sz="0" w:space="0" w:color="auto"/>
        <w:bottom w:val="none" w:sz="0" w:space="0" w:color="auto"/>
        <w:right w:val="none" w:sz="0" w:space="0" w:color="auto"/>
      </w:divBdr>
    </w:div>
    <w:div w:id="858157354">
      <w:bodyDiv w:val="1"/>
      <w:marLeft w:val="0"/>
      <w:marRight w:val="0"/>
      <w:marTop w:val="0"/>
      <w:marBottom w:val="0"/>
      <w:divBdr>
        <w:top w:val="none" w:sz="0" w:space="0" w:color="auto"/>
        <w:left w:val="none" w:sz="0" w:space="0" w:color="auto"/>
        <w:bottom w:val="none" w:sz="0" w:space="0" w:color="auto"/>
        <w:right w:val="none" w:sz="0" w:space="0" w:color="auto"/>
      </w:divBdr>
    </w:div>
    <w:div w:id="860584305">
      <w:bodyDiv w:val="1"/>
      <w:marLeft w:val="0"/>
      <w:marRight w:val="0"/>
      <w:marTop w:val="0"/>
      <w:marBottom w:val="0"/>
      <w:divBdr>
        <w:top w:val="none" w:sz="0" w:space="0" w:color="auto"/>
        <w:left w:val="none" w:sz="0" w:space="0" w:color="auto"/>
        <w:bottom w:val="none" w:sz="0" w:space="0" w:color="auto"/>
        <w:right w:val="none" w:sz="0" w:space="0" w:color="auto"/>
      </w:divBdr>
    </w:div>
    <w:div w:id="861896451">
      <w:bodyDiv w:val="1"/>
      <w:marLeft w:val="0"/>
      <w:marRight w:val="0"/>
      <w:marTop w:val="0"/>
      <w:marBottom w:val="0"/>
      <w:divBdr>
        <w:top w:val="none" w:sz="0" w:space="0" w:color="auto"/>
        <w:left w:val="none" w:sz="0" w:space="0" w:color="auto"/>
        <w:bottom w:val="none" w:sz="0" w:space="0" w:color="auto"/>
        <w:right w:val="none" w:sz="0" w:space="0" w:color="auto"/>
      </w:divBdr>
    </w:div>
    <w:div w:id="863589690">
      <w:bodyDiv w:val="1"/>
      <w:marLeft w:val="0"/>
      <w:marRight w:val="0"/>
      <w:marTop w:val="0"/>
      <w:marBottom w:val="0"/>
      <w:divBdr>
        <w:top w:val="none" w:sz="0" w:space="0" w:color="auto"/>
        <w:left w:val="none" w:sz="0" w:space="0" w:color="auto"/>
        <w:bottom w:val="none" w:sz="0" w:space="0" w:color="auto"/>
        <w:right w:val="none" w:sz="0" w:space="0" w:color="auto"/>
      </w:divBdr>
    </w:div>
    <w:div w:id="865484018">
      <w:bodyDiv w:val="1"/>
      <w:marLeft w:val="0"/>
      <w:marRight w:val="0"/>
      <w:marTop w:val="0"/>
      <w:marBottom w:val="0"/>
      <w:divBdr>
        <w:top w:val="none" w:sz="0" w:space="0" w:color="auto"/>
        <w:left w:val="none" w:sz="0" w:space="0" w:color="auto"/>
        <w:bottom w:val="none" w:sz="0" w:space="0" w:color="auto"/>
        <w:right w:val="none" w:sz="0" w:space="0" w:color="auto"/>
      </w:divBdr>
    </w:div>
    <w:div w:id="868489772">
      <w:bodyDiv w:val="1"/>
      <w:marLeft w:val="0"/>
      <w:marRight w:val="0"/>
      <w:marTop w:val="0"/>
      <w:marBottom w:val="0"/>
      <w:divBdr>
        <w:top w:val="none" w:sz="0" w:space="0" w:color="auto"/>
        <w:left w:val="none" w:sz="0" w:space="0" w:color="auto"/>
        <w:bottom w:val="none" w:sz="0" w:space="0" w:color="auto"/>
        <w:right w:val="none" w:sz="0" w:space="0" w:color="auto"/>
      </w:divBdr>
    </w:div>
    <w:div w:id="871504710">
      <w:bodyDiv w:val="1"/>
      <w:marLeft w:val="0"/>
      <w:marRight w:val="0"/>
      <w:marTop w:val="0"/>
      <w:marBottom w:val="0"/>
      <w:divBdr>
        <w:top w:val="none" w:sz="0" w:space="0" w:color="auto"/>
        <w:left w:val="none" w:sz="0" w:space="0" w:color="auto"/>
        <w:bottom w:val="none" w:sz="0" w:space="0" w:color="auto"/>
        <w:right w:val="none" w:sz="0" w:space="0" w:color="auto"/>
      </w:divBdr>
    </w:div>
    <w:div w:id="874656000">
      <w:bodyDiv w:val="1"/>
      <w:marLeft w:val="0"/>
      <w:marRight w:val="0"/>
      <w:marTop w:val="0"/>
      <w:marBottom w:val="0"/>
      <w:divBdr>
        <w:top w:val="none" w:sz="0" w:space="0" w:color="auto"/>
        <w:left w:val="none" w:sz="0" w:space="0" w:color="auto"/>
        <w:bottom w:val="none" w:sz="0" w:space="0" w:color="auto"/>
        <w:right w:val="none" w:sz="0" w:space="0" w:color="auto"/>
      </w:divBdr>
    </w:div>
    <w:div w:id="874659452">
      <w:bodyDiv w:val="1"/>
      <w:marLeft w:val="0"/>
      <w:marRight w:val="0"/>
      <w:marTop w:val="0"/>
      <w:marBottom w:val="0"/>
      <w:divBdr>
        <w:top w:val="none" w:sz="0" w:space="0" w:color="auto"/>
        <w:left w:val="none" w:sz="0" w:space="0" w:color="auto"/>
        <w:bottom w:val="none" w:sz="0" w:space="0" w:color="auto"/>
        <w:right w:val="none" w:sz="0" w:space="0" w:color="auto"/>
      </w:divBdr>
    </w:div>
    <w:div w:id="881012873">
      <w:bodyDiv w:val="1"/>
      <w:marLeft w:val="0"/>
      <w:marRight w:val="0"/>
      <w:marTop w:val="0"/>
      <w:marBottom w:val="0"/>
      <w:divBdr>
        <w:top w:val="none" w:sz="0" w:space="0" w:color="auto"/>
        <w:left w:val="none" w:sz="0" w:space="0" w:color="auto"/>
        <w:bottom w:val="none" w:sz="0" w:space="0" w:color="auto"/>
        <w:right w:val="none" w:sz="0" w:space="0" w:color="auto"/>
      </w:divBdr>
    </w:div>
    <w:div w:id="883712594">
      <w:bodyDiv w:val="1"/>
      <w:marLeft w:val="0"/>
      <w:marRight w:val="0"/>
      <w:marTop w:val="0"/>
      <w:marBottom w:val="0"/>
      <w:divBdr>
        <w:top w:val="none" w:sz="0" w:space="0" w:color="auto"/>
        <w:left w:val="none" w:sz="0" w:space="0" w:color="auto"/>
        <w:bottom w:val="none" w:sz="0" w:space="0" w:color="auto"/>
        <w:right w:val="none" w:sz="0" w:space="0" w:color="auto"/>
      </w:divBdr>
    </w:div>
    <w:div w:id="889271037">
      <w:bodyDiv w:val="1"/>
      <w:marLeft w:val="0"/>
      <w:marRight w:val="0"/>
      <w:marTop w:val="0"/>
      <w:marBottom w:val="0"/>
      <w:divBdr>
        <w:top w:val="none" w:sz="0" w:space="0" w:color="auto"/>
        <w:left w:val="none" w:sz="0" w:space="0" w:color="auto"/>
        <w:bottom w:val="none" w:sz="0" w:space="0" w:color="auto"/>
        <w:right w:val="none" w:sz="0" w:space="0" w:color="auto"/>
      </w:divBdr>
    </w:div>
    <w:div w:id="889417161">
      <w:bodyDiv w:val="1"/>
      <w:marLeft w:val="0"/>
      <w:marRight w:val="0"/>
      <w:marTop w:val="0"/>
      <w:marBottom w:val="0"/>
      <w:divBdr>
        <w:top w:val="none" w:sz="0" w:space="0" w:color="auto"/>
        <w:left w:val="none" w:sz="0" w:space="0" w:color="auto"/>
        <w:bottom w:val="none" w:sz="0" w:space="0" w:color="auto"/>
        <w:right w:val="none" w:sz="0" w:space="0" w:color="auto"/>
      </w:divBdr>
    </w:div>
    <w:div w:id="892081210">
      <w:bodyDiv w:val="1"/>
      <w:marLeft w:val="0"/>
      <w:marRight w:val="0"/>
      <w:marTop w:val="0"/>
      <w:marBottom w:val="0"/>
      <w:divBdr>
        <w:top w:val="none" w:sz="0" w:space="0" w:color="auto"/>
        <w:left w:val="none" w:sz="0" w:space="0" w:color="auto"/>
        <w:bottom w:val="none" w:sz="0" w:space="0" w:color="auto"/>
        <w:right w:val="none" w:sz="0" w:space="0" w:color="auto"/>
      </w:divBdr>
    </w:div>
    <w:div w:id="897857648">
      <w:bodyDiv w:val="1"/>
      <w:marLeft w:val="0"/>
      <w:marRight w:val="0"/>
      <w:marTop w:val="0"/>
      <w:marBottom w:val="0"/>
      <w:divBdr>
        <w:top w:val="none" w:sz="0" w:space="0" w:color="auto"/>
        <w:left w:val="none" w:sz="0" w:space="0" w:color="auto"/>
        <w:bottom w:val="none" w:sz="0" w:space="0" w:color="auto"/>
        <w:right w:val="none" w:sz="0" w:space="0" w:color="auto"/>
      </w:divBdr>
    </w:div>
    <w:div w:id="899513169">
      <w:bodyDiv w:val="1"/>
      <w:marLeft w:val="0"/>
      <w:marRight w:val="0"/>
      <w:marTop w:val="0"/>
      <w:marBottom w:val="0"/>
      <w:divBdr>
        <w:top w:val="none" w:sz="0" w:space="0" w:color="auto"/>
        <w:left w:val="none" w:sz="0" w:space="0" w:color="auto"/>
        <w:bottom w:val="none" w:sz="0" w:space="0" w:color="auto"/>
        <w:right w:val="none" w:sz="0" w:space="0" w:color="auto"/>
      </w:divBdr>
    </w:div>
    <w:div w:id="901404517">
      <w:bodyDiv w:val="1"/>
      <w:marLeft w:val="0"/>
      <w:marRight w:val="0"/>
      <w:marTop w:val="0"/>
      <w:marBottom w:val="0"/>
      <w:divBdr>
        <w:top w:val="none" w:sz="0" w:space="0" w:color="auto"/>
        <w:left w:val="none" w:sz="0" w:space="0" w:color="auto"/>
        <w:bottom w:val="none" w:sz="0" w:space="0" w:color="auto"/>
        <w:right w:val="none" w:sz="0" w:space="0" w:color="auto"/>
      </w:divBdr>
    </w:div>
    <w:div w:id="901407041">
      <w:bodyDiv w:val="1"/>
      <w:marLeft w:val="0"/>
      <w:marRight w:val="0"/>
      <w:marTop w:val="0"/>
      <w:marBottom w:val="0"/>
      <w:divBdr>
        <w:top w:val="none" w:sz="0" w:space="0" w:color="auto"/>
        <w:left w:val="none" w:sz="0" w:space="0" w:color="auto"/>
        <w:bottom w:val="none" w:sz="0" w:space="0" w:color="auto"/>
        <w:right w:val="none" w:sz="0" w:space="0" w:color="auto"/>
      </w:divBdr>
    </w:div>
    <w:div w:id="904871659">
      <w:bodyDiv w:val="1"/>
      <w:marLeft w:val="0"/>
      <w:marRight w:val="0"/>
      <w:marTop w:val="0"/>
      <w:marBottom w:val="0"/>
      <w:divBdr>
        <w:top w:val="none" w:sz="0" w:space="0" w:color="auto"/>
        <w:left w:val="none" w:sz="0" w:space="0" w:color="auto"/>
        <w:bottom w:val="none" w:sz="0" w:space="0" w:color="auto"/>
        <w:right w:val="none" w:sz="0" w:space="0" w:color="auto"/>
      </w:divBdr>
    </w:div>
    <w:div w:id="908878455">
      <w:bodyDiv w:val="1"/>
      <w:marLeft w:val="0"/>
      <w:marRight w:val="0"/>
      <w:marTop w:val="0"/>
      <w:marBottom w:val="0"/>
      <w:divBdr>
        <w:top w:val="none" w:sz="0" w:space="0" w:color="auto"/>
        <w:left w:val="none" w:sz="0" w:space="0" w:color="auto"/>
        <w:bottom w:val="none" w:sz="0" w:space="0" w:color="auto"/>
        <w:right w:val="none" w:sz="0" w:space="0" w:color="auto"/>
      </w:divBdr>
    </w:div>
    <w:div w:id="915747752">
      <w:bodyDiv w:val="1"/>
      <w:marLeft w:val="0"/>
      <w:marRight w:val="0"/>
      <w:marTop w:val="0"/>
      <w:marBottom w:val="0"/>
      <w:divBdr>
        <w:top w:val="none" w:sz="0" w:space="0" w:color="auto"/>
        <w:left w:val="none" w:sz="0" w:space="0" w:color="auto"/>
        <w:bottom w:val="none" w:sz="0" w:space="0" w:color="auto"/>
        <w:right w:val="none" w:sz="0" w:space="0" w:color="auto"/>
      </w:divBdr>
    </w:div>
    <w:div w:id="921064661">
      <w:bodyDiv w:val="1"/>
      <w:marLeft w:val="0"/>
      <w:marRight w:val="0"/>
      <w:marTop w:val="0"/>
      <w:marBottom w:val="0"/>
      <w:divBdr>
        <w:top w:val="none" w:sz="0" w:space="0" w:color="auto"/>
        <w:left w:val="none" w:sz="0" w:space="0" w:color="auto"/>
        <w:bottom w:val="none" w:sz="0" w:space="0" w:color="auto"/>
        <w:right w:val="none" w:sz="0" w:space="0" w:color="auto"/>
      </w:divBdr>
    </w:div>
    <w:div w:id="924537731">
      <w:bodyDiv w:val="1"/>
      <w:marLeft w:val="0"/>
      <w:marRight w:val="0"/>
      <w:marTop w:val="0"/>
      <w:marBottom w:val="0"/>
      <w:divBdr>
        <w:top w:val="none" w:sz="0" w:space="0" w:color="auto"/>
        <w:left w:val="none" w:sz="0" w:space="0" w:color="auto"/>
        <w:bottom w:val="none" w:sz="0" w:space="0" w:color="auto"/>
        <w:right w:val="none" w:sz="0" w:space="0" w:color="auto"/>
      </w:divBdr>
    </w:div>
    <w:div w:id="927077169">
      <w:bodyDiv w:val="1"/>
      <w:marLeft w:val="0"/>
      <w:marRight w:val="0"/>
      <w:marTop w:val="0"/>
      <w:marBottom w:val="0"/>
      <w:divBdr>
        <w:top w:val="none" w:sz="0" w:space="0" w:color="auto"/>
        <w:left w:val="none" w:sz="0" w:space="0" w:color="auto"/>
        <w:bottom w:val="none" w:sz="0" w:space="0" w:color="auto"/>
        <w:right w:val="none" w:sz="0" w:space="0" w:color="auto"/>
      </w:divBdr>
    </w:div>
    <w:div w:id="929043173">
      <w:bodyDiv w:val="1"/>
      <w:marLeft w:val="0"/>
      <w:marRight w:val="0"/>
      <w:marTop w:val="0"/>
      <w:marBottom w:val="0"/>
      <w:divBdr>
        <w:top w:val="none" w:sz="0" w:space="0" w:color="auto"/>
        <w:left w:val="none" w:sz="0" w:space="0" w:color="auto"/>
        <w:bottom w:val="none" w:sz="0" w:space="0" w:color="auto"/>
        <w:right w:val="none" w:sz="0" w:space="0" w:color="auto"/>
      </w:divBdr>
    </w:div>
    <w:div w:id="929628489">
      <w:bodyDiv w:val="1"/>
      <w:marLeft w:val="0"/>
      <w:marRight w:val="0"/>
      <w:marTop w:val="0"/>
      <w:marBottom w:val="0"/>
      <w:divBdr>
        <w:top w:val="none" w:sz="0" w:space="0" w:color="auto"/>
        <w:left w:val="none" w:sz="0" w:space="0" w:color="auto"/>
        <w:bottom w:val="none" w:sz="0" w:space="0" w:color="auto"/>
        <w:right w:val="none" w:sz="0" w:space="0" w:color="auto"/>
      </w:divBdr>
    </w:div>
    <w:div w:id="931158786">
      <w:bodyDiv w:val="1"/>
      <w:marLeft w:val="0"/>
      <w:marRight w:val="0"/>
      <w:marTop w:val="0"/>
      <w:marBottom w:val="0"/>
      <w:divBdr>
        <w:top w:val="none" w:sz="0" w:space="0" w:color="auto"/>
        <w:left w:val="none" w:sz="0" w:space="0" w:color="auto"/>
        <w:bottom w:val="none" w:sz="0" w:space="0" w:color="auto"/>
        <w:right w:val="none" w:sz="0" w:space="0" w:color="auto"/>
      </w:divBdr>
    </w:div>
    <w:div w:id="938485445">
      <w:bodyDiv w:val="1"/>
      <w:marLeft w:val="0"/>
      <w:marRight w:val="0"/>
      <w:marTop w:val="0"/>
      <w:marBottom w:val="0"/>
      <w:divBdr>
        <w:top w:val="none" w:sz="0" w:space="0" w:color="auto"/>
        <w:left w:val="none" w:sz="0" w:space="0" w:color="auto"/>
        <w:bottom w:val="none" w:sz="0" w:space="0" w:color="auto"/>
        <w:right w:val="none" w:sz="0" w:space="0" w:color="auto"/>
      </w:divBdr>
    </w:div>
    <w:div w:id="940138453">
      <w:bodyDiv w:val="1"/>
      <w:marLeft w:val="0"/>
      <w:marRight w:val="0"/>
      <w:marTop w:val="0"/>
      <w:marBottom w:val="0"/>
      <w:divBdr>
        <w:top w:val="none" w:sz="0" w:space="0" w:color="auto"/>
        <w:left w:val="none" w:sz="0" w:space="0" w:color="auto"/>
        <w:bottom w:val="none" w:sz="0" w:space="0" w:color="auto"/>
        <w:right w:val="none" w:sz="0" w:space="0" w:color="auto"/>
      </w:divBdr>
    </w:div>
    <w:div w:id="943612946">
      <w:bodyDiv w:val="1"/>
      <w:marLeft w:val="0"/>
      <w:marRight w:val="0"/>
      <w:marTop w:val="0"/>
      <w:marBottom w:val="0"/>
      <w:divBdr>
        <w:top w:val="none" w:sz="0" w:space="0" w:color="auto"/>
        <w:left w:val="none" w:sz="0" w:space="0" w:color="auto"/>
        <w:bottom w:val="none" w:sz="0" w:space="0" w:color="auto"/>
        <w:right w:val="none" w:sz="0" w:space="0" w:color="auto"/>
      </w:divBdr>
    </w:div>
    <w:div w:id="946885227">
      <w:bodyDiv w:val="1"/>
      <w:marLeft w:val="0"/>
      <w:marRight w:val="0"/>
      <w:marTop w:val="0"/>
      <w:marBottom w:val="0"/>
      <w:divBdr>
        <w:top w:val="none" w:sz="0" w:space="0" w:color="auto"/>
        <w:left w:val="none" w:sz="0" w:space="0" w:color="auto"/>
        <w:bottom w:val="none" w:sz="0" w:space="0" w:color="auto"/>
        <w:right w:val="none" w:sz="0" w:space="0" w:color="auto"/>
      </w:divBdr>
    </w:div>
    <w:div w:id="948194657">
      <w:bodyDiv w:val="1"/>
      <w:marLeft w:val="0"/>
      <w:marRight w:val="0"/>
      <w:marTop w:val="0"/>
      <w:marBottom w:val="0"/>
      <w:divBdr>
        <w:top w:val="none" w:sz="0" w:space="0" w:color="auto"/>
        <w:left w:val="none" w:sz="0" w:space="0" w:color="auto"/>
        <w:bottom w:val="none" w:sz="0" w:space="0" w:color="auto"/>
        <w:right w:val="none" w:sz="0" w:space="0" w:color="auto"/>
      </w:divBdr>
    </w:div>
    <w:div w:id="949239811">
      <w:bodyDiv w:val="1"/>
      <w:marLeft w:val="0"/>
      <w:marRight w:val="0"/>
      <w:marTop w:val="0"/>
      <w:marBottom w:val="0"/>
      <w:divBdr>
        <w:top w:val="none" w:sz="0" w:space="0" w:color="auto"/>
        <w:left w:val="none" w:sz="0" w:space="0" w:color="auto"/>
        <w:bottom w:val="none" w:sz="0" w:space="0" w:color="auto"/>
        <w:right w:val="none" w:sz="0" w:space="0" w:color="auto"/>
      </w:divBdr>
    </w:div>
    <w:div w:id="950357909">
      <w:bodyDiv w:val="1"/>
      <w:marLeft w:val="0"/>
      <w:marRight w:val="0"/>
      <w:marTop w:val="0"/>
      <w:marBottom w:val="0"/>
      <w:divBdr>
        <w:top w:val="none" w:sz="0" w:space="0" w:color="auto"/>
        <w:left w:val="none" w:sz="0" w:space="0" w:color="auto"/>
        <w:bottom w:val="none" w:sz="0" w:space="0" w:color="auto"/>
        <w:right w:val="none" w:sz="0" w:space="0" w:color="auto"/>
      </w:divBdr>
    </w:div>
    <w:div w:id="955332708">
      <w:bodyDiv w:val="1"/>
      <w:marLeft w:val="0"/>
      <w:marRight w:val="0"/>
      <w:marTop w:val="0"/>
      <w:marBottom w:val="0"/>
      <w:divBdr>
        <w:top w:val="none" w:sz="0" w:space="0" w:color="auto"/>
        <w:left w:val="none" w:sz="0" w:space="0" w:color="auto"/>
        <w:bottom w:val="none" w:sz="0" w:space="0" w:color="auto"/>
        <w:right w:val="none" w:sz="0" w:space="0" w:color="auto"/>
      </w:divBdr>
    </w:div>
    <w:div w:id="958071125">
      <w:bodyDiv w:val="1"/>
      <w:marLeft w:val="0"/>
      <w:marRight w:val="0"/>
      <w:marTop w:val="0"/>
      <w:marBottom w:val="0"/>
      <w:divBdr>
        <w:top w:val="none" w:sz="0" w:space="0" w:color="auto"/>
        <w:left w:val="none" w:sz="0" w:space="0" w:color="auto"/>
        <w:bottom w:val="none" w:sz="0" w:space="0" w:color="auto"/>
        <w:right w:val="none" w:sz="0" w:space="0" w:color="auto"/>
      </w:divBdr>
    </w:div>
    <w:div w:id="960837979">
      <w:bodyDiv w:val="1"/>
      <w:marLeft w:val="0"/>
      <w:marRight w:val="0"/>
      <w:marTop w:val="0"/>
      <w:marBottom w:val="0"/>
      <w:divBdr>
        <w:top w:val="none" w:sz="0" w:space="0" w:color="auto"/>
        <w:left w:val="none" w:sz="0" w:space="0" w:color="auto"/>
        <w:bottom w:val="none" w:sz="0" w:space="0" w:color="auto"/>
        <w:right w:val="none" w:sz="0" w:space="0" w:color="auto"/>
      </w:divBdr>
    </w:div>
    <w:div w:id="963732651">
      <w:bodyDiv w:val="1"/>
      <w:marLeft w:val="0"/>
      <w:marRight w:val="0"/>
      <w:marTop w:val="0"/>
      <w:marBottom w:val="0"/>
      <w:divBdr>
        <w:top w:val="none" w:sz="0" w:space="0" w:color="auto"/>
        <w:left w:val="none" w:sz="0" w:space="0" w:color="auto"/>
        <w:bottom w:val="none" w:sz="0" w:space="0" w:color="auto"/>
        <w:right w:val="none" w:sz="0" w:space="0" w:color="auto"/>
      </w:divBdr>
    </w:div>
    <w:div w:id="969821500">
      <w:bodyDiv w:val="1"/>
      <w:marLeft w:val="0"/>
      <w:marRight w:val="0"/>
      <w:marTop w:val="0"/>
      <w:marBottom w:val="0"/>
      <w:divBdr>
        <w:top w:val="none" w:sz="0" w:space="0" w:color="auto"/>
        <w:left w:val="none" w:sz="0" w:space="0" w:color="auto"/>
        <w:bottom w:val="none" w:sz="0" w:space="0" w:color="auto"/>
        <w:right w:val="none" w:sz="0" w:space="0" w:color="auto"/>
      </w:divBdr>
    </w:div>
    <w:div w:id="972180103">
      <w:bodyDiv w:val="1"/>
      <w:marLeft w:val="0"/>
      <w:marRight w:val="0"/>
      <w:marTop w:val="0"/>
      <w:marBottom w:val="0"/>
      <w:divBdr>
        <w:top w:val="none" w:sz="0" w:space="0" w:color="auto"/>
        <w:left w:val="none" w:sz="0" w:space="0" w:color="auto"/>
        <w:bottom w:val="none" w:sz="0" w:space="0" w:color="auto"/>
        <w:right w:val="none" w:sz="0" w:space="0" w:color="auto"/>
      </w:divBdr>
    </w:div>
    <w:div w:id="976107228">
      <w:bodyDiv w:val="1"/>
      <w:marLeft w:val="0"/>
      <w:marRight w:val="0"/>
      <w:marTop w:val="0"/>
      <w:marBottom w:val="0"/>
      <w:divBdr>
        <w:top w:val="none" w:sz="0" w:space="0" w:color="auto"/>
        <w:left w:val="none" w:sz="0" w:space="0" w:color="auto"/>
        <w:bottom w:val="none" w:sz="0" w:space="0" w:color="auto"/>
        <w:right w:val="none" w:sz="0" w:space="0" w:color="auto"/>
      </w:divBdr>
    </w:div>
    <w:div w:id="979728215">
      <w:bodyDiv w:val="1"/>
      <w:marLeft w:val="0"/>
      <w:marRight w:val="0"/>
      <w:marTop w:val="0"/>
      <w:marBottom w:val="0"/>
      <w:divBdr>
        <w:top w:val="none" w:sz="0" w:space="0" w:color="auto"/>
        <w:left w:val="none" w:sz="0" w:space="0" w:color="auto"/>
        <w:bottom w:val="none" w:sz="0" w:space="0" w:color="auto"/>
        <w:right w:val="none" w:sz="0" w:space="0" w:color="auto"/>
      </w:divBdr>
    </w:div>
    <w:div w:id="981883045">
      <w:bodyDiv w:val="1"/>
      <w:marLeft w:val="0"/>
      <w:marRight w:val="0"/>
      <w:marTop w:val="0"/>
      <w:marBottom w:val="0"/>
      <w:divBdr>
        <w:top w:val="none" w:sz="0" w:space="0" w:color="auto"/>
        <w:left w:val="none" w:sz="0" w:space="0" w:color="auto"/>
        <w:bottom w:val="none" w:sz="0" w:space="0" w:color="auto"/>
        <w:right w:val="none" w:sz="0" w:space="0" w:color="auto"/>
      </w:divBdr>
    </w:div>
    <w:div w:id="986125940">
      <w:bodyDiv w:val="1"/>
      <w:marLeft w:val="0"/>
      <w:marRight w:val="0"/>
      <w:marTop w:val="0"/>
      <w:marBottom w:val="0"/>
      <w:divBdr>
        <w:top w:val="none" w:sz="0" w:space="0" w:color="auto"/>
        <w:left w:val="none" w:sz="0" w:space="0" w:color="auto"/>
        <w:bottom w:val="none" w:sz="0" w:space="0" w:color="auto"/>
        <w:right w:val="none" w:sz="0" w:space="0" w:color="auto"/>
      </w:divBdr>
    </w:div>
    <w:div w:id="987906621">
      <w:bodyDiv w:val="1"/>
      <w:marLeft w:val="0"/>
      <w:marRight w:val="0"/>
      <w:marTop w:val="0"/>
      <w:marBottom w:val="0"/>
      <w:divBdr>
        <w:top w:val="none" w:sz="0" w:space="0" w:color="auto"/>
        <w:left w:val="none" w:sz="0" w:space="0" w:color="auto"/>
        <w:bottom w:val="none" w:sz="0" w:space="0" w:color="auto"/>
        <w:right w:val="none" w:sz="0" w:space="0" w:color="auto"/>
      </w:divBdr>
    </w:div>
    <w:div w:id="990838991">
      <w:bodyDiv w:val="1"/>
      <w:marLeft w:val="0"/>
      <w:marRight w:val="0"/>
      <w:marTop w:val="0"/>
      <w:marBottom w:val="0"/>
      <w:divBdr>
        <w:top w:val="none" w:sz="0" w:space="0" w:color="auto"/>
        <w:left w:val="none" w:sz="0" w:space="0" w:color="auto"/>
        <w:bottom w:val="none" w:sz="0" w:space="0" w:color="auto"/>
        <w:right w:val="none" w:sz="0" w:space="0" w:color="auto"/>
      </w:divBdr>
    </w:div>
    <w:div w:id="994141596">
      <w:bodyDiv w:val="1"/>
      <w:marLeft w:val="0"/>
      <w:marRight w:val="0"/>
      <w:marTop w:val="0"/>
      <w:marBottom w:val="0"/>
      <w:divBdr>
        <w:top w:val="none" w:sz="0" w:space="0" w:color="auto"/>
        <w:left w:val="none" w:sz="0" w:space="0" w:color="auto"/>
        <w:bottom w:val="none" w:sz="0" w:space="0" w:color="auto"/>
        <w:right w:val="none" w:sz="0" w:space="0" w:color="auto"/>
      </w:divBdr>
    </w:div>
    <w:div w:id="994187439">
      <w:bodyDiv w:val="1"/>
      <w:marLeft w:val="0"/>
      <w:marRight w:val="0"/>
      <w:marTop w:val="0"/>
      <w:marBottom w:val="0"/>
      <w:divBdr>
        <w:top w:val="none" w:sz="0" w:space="0" w:color="auto"/>
        <w:left w:val="none" w:sz="0" w:space="0" w:color="auto"/>
        <w:bottom w:val="none" w:sz="0" w:space="0" w:color="auto"/>
        <w:right w:val="none" w:sz="0" w:space="0" w:color="auto"/>
      </w:divBdr>
    </w:div>
    <w:div w:id="999960679">
      <w:bodyDiv w:val="1"/>
      <w:marLeft w:val="0"/>
      <w:marRight w:val="0"/>
      <w:marTop w:val="0"/>
      <w:marBottom w:val="0"/>
      <w:divBdr>
        <w:top w:val="none" w:sz="0" w:space="0" w:color="auto"/>
        <w:left w:val="none" w:sz="0" w:space="0" w:color="auto"/>
        <w:bottom w:val="none" w:sz="0" w:space="0" w:color="auto"/>
        <w:right w:val="none" w:sz="0" w:space="0" w:color="auto"/>
      </w:divBdr>
    </w:div>
    <w:div w:id="1000278598">
      <w:bodyDiv w:val="1"/>
      <w:marLeft w:val="0"/>
      <w:marRight w:val="0"/>
      <w:marTop w:val="0"/>
      <w:marBottom w:val="0"/>
      <w:divBdr>
        <w:top w:val="none" w:sz="0" w:space="0" w:color="auto"/>
        <w:left w:val="none" w:sz="0" w:space="0" w:color="auto"/>
        <w:bottom w:val="none" w:sz="0" w:space="0" w:color="auto"/>
        <w:right w:val="none" w:sz="0" w:space="0" w:color="auto"/>
      </w:divBdr>
    </w:div>
    <w:div w:id="1000888628">
      <w:bodyDiv w:val="1"/>
      <w:marLeft w:val="0"/>
      <w:marRight w:val="0"/>
      <w:marTop w:val="0"/>
      <w:marBottom w:val="0"/>
      <w:divBdr>
        <w:top w:val="none" w:sz="0" w:space="0" w:color="auto"/>
        <w:left w:val="none" w:sz="0" w:space="0" w:color="auto"/>
        <w:bottom w:val="none" w:sz="0" w:space="0" w:color="auto"/>
        <w:right w:val="none" w:sz="0" w:space="0" w:color="auto"/>
      </w:divBdr>
    </w:div>
    <w:div w:id="1007248173">
      <w:bodyDiv w:val="1"/>
      <w:marLeft w:val="0"/>
      <w:marRight w:val="0"/>
      <w:marTop w:val="0"/>
      <w:marBottom w:val="0"/>
      <w:divBdr>
        <w:top w:val="none" w:sz="0" w:space="0" w:color="auto"/>
        <w:left w:val="none" w:sz="0" w:space="0" w:color="auto"/>
        <w:bottom w:val="none" w:sz="0" w:space="0" w:color="auto"/>
        <w:right w:val="none" w:sz="0" w:space="0" w:color="auto"/>
      </w:divBdr>
    </w:div>
    <w:div w:id="1011419823">
      <w:bodyDiv w:val="1"/>
      <w:marLeft w:val="0"/>
      <w:marRight w:val="0"/>
      <w:marTop w:val="0"/>
      <w:marBottom w:val="0"/>
      <w:divBdr>
        <w:top w:val="none" w:sz="0" w:space="0" w:color="auto"/>
        <w:left w:val="none" w:sz="0" w:space="0" w:color="auto"/>
        <w:bottom w:val="none" w:sz="0" w:space="0" w:color="auto"/>
        <w:right w:val="none" w:sz="0" w:space="0" w:color="auto"/>
      </w:divBdr>
    </w:div>
    <w:div w:id="1022362528">
      <w:bodyDiv w:val="1"/>
      <w:marLeft w:val="0"/>
      <w:marRight w:val="0"/>
      <w:marTop w:val="0"/>
      <w:marBottom w:val="0"/>
      <w:divBdr>
        <w:top w:val="none" w:sz="0" w:space="0" w:color="auto"/>
        <w:left w:val="none" w:sz="0" w:space="0" w:color="auto"/>
        <w:bottom w:val="none" w:sz="0" w:space="0" w:color="auto"/>
        <w:right w:val="none" w:sz="0" w:space="0" w:color="auto"/>
      </w:divBdr>
    </w:div>
    <w:div w:id="1022897858">
      <w:bodyDiv w:val="1"/>
      <w:marLeft w:val="0"/>
      <w:marRight w:val="0"/>
      <w:marTop w:val="0"/>
      <w:marBottom w:val="0"/>
      <w:divBdr>
        <w:top w:val="none" w:sz="0" w:space="0" w:color="auto"/>
        <w:left w:val="none" w:sz="0" w:space="0" w:color="auto"/>
        <w:bottom w:val="none" w:sz="0" w:space="0" w:color="auto"/>
        <w:right w:val="none" w:sz="0" w:space="0" w:color="auto"/>
      </w:divBdr>
    </w:div>
    <w:div w:id="1026248905">
      <w:bodyDiv w:val="1"/>
      <w:marLeft w:val="0"/>
      <w:marRight w:val="0"/>
      <w:marTop w:val="0"/>
      <w:marBottom w:val="0"/>
      <w:divBdr>
        <w:top w:val="none" w:sz="0" w:space="0" w:color="auto"/>
        <w:left w:val="none" w:sz="0" w:space="0" w:color="auto"/>
        <w:bottom w:val="none" w:sz="0" w:space="0" w:color="auto"/>
        <w:right w:val="none" w:sz="0" w:space="0" w:color="auto"/>
      </w:divBdr>
    </w:div>
    <w:div w:id="1026326163">
      <w:bodyDiv w:val="1"/>
      <w:marLeft w:val="0"/>
      <w:marRight w:val="0"/>
      <w:marTop w:val="0"/>
      <w:marBottom w:val="0"/>
      <w:divBdr>
        <w:top w:val="none" w:sz="0" w:space="0" w:color="auto"/>
        <w:left w:val="none" w:sz="0" w:space="0" w:color="auto"/>
        <w:bottom w:val="none" w:sz="0" w:space="0" w:color="auto"/>
        <w:right w:val="none" w:sz="0" w:space="0" w:color="auto"/>
      </w:divBdr>
    </w:div>
    <w:div w:id="1028678587">
      <w:bodyDiv w:val="1"/>
      <w:marLeft w:val="0"/>
      <w:marRight w:val="0"/>
      <w:marTop w:val="0"/>
      <w:marBottom w:val="0"/>
      <w:divBdr>
        <w:top w:val="none" w:sz="0" w:space="0" w:color="auto"/>
        <w:left w:val="none" w:sz="0" w:space="0" w:color="auto"/>
        <w:bottom w:val="none" w:sz="0" w:space="0" w:color="auto"/>
        <w:right w:val="none" w:sz="0" w:space="0" w:color="auto"/>
      </w:divBdr>
    </w:div>
    <w:div w:id="1029405465">
      <w:bodyDiv w:val="1"/>
      <w:marLeft w:val="0"/>
      <w:marRight w:val="0"/>
      <w:marTop w:val="0"/>
      <w:marBottom w:val="0"/>
      <w:divBdr>
        <w:top w:val="none" w:sz="0" w:space="0" w:color="auto"/>
        <w:left w:val="none" w:sz="0" w:space="0" w:color="auto"/>
        <w:bottom w:val="none" w:sz="0" w:space="0" w:color="auto"/>
        <w:right w:val="none" w:sz="0" w:space="0" w:color="auto"/>
      </w:divBdr>
    </w:div>
    <w:div w:id="1029641460">
      <w:bodyDiv w:val="1"/>
      <w:marLeft w:val="0"/>
      <w:marRight w:val="0"/>
      <w:marTop w:val="0"/>
      <w:marBottom w:val="0"/>
      <w:divBdr>
        <w:top w:val="none" w:sz="0" w:space="0" w:color="auto"/>
        <w:left w:val="none" w:sz="0" w:space="0" w:color="auto"/>
        <w:bottom w:val="none" w:sz="0" w:space="0" w:color="auto"/>
        <w:right w:val="none" w:sz="0" w:space="0" w:color="auto"/>
      </w:divBdr>
    </w:div>
    <w:div w:id="1033653083">
      <w:bodyDiv w:val="1"/>
      <w:marLeft w:val="0"/>
      <w:marRight w:val="0"/>
      <w:marTop w:val="0"/>
      <w:marBottom w:val="0"/>
      <w:divBdr>
        <w:top w:val="none" w:sz="0" w:space="0" w:color="auto"/>
        <w:left w:val="none" w:sz="0" w:space="0" w:color="auto"/>
        <w:bottom w:val="none" w:sz="0" w:space="0" w:color="auto"/>
        <w:right w:val="none" w:sz="0" w:space="0" w:color="auto"/>
      </w:divBdr>
    </w:div>
    <w:div w:id="1034229217">
      <w:bodyDiv w:val="1"/>
      <w:marLeft w:val="0"/>
      <w:marRight w:val="0"/>
      <w:marTop w:val="0"/>
      <w:marBottom w:val="0"/>
      <w:divBdr>
        <w:top w:val="none" w:sz="0" w:space="0" w:color="auto"/>
        <w:left w:val="none" w:sz="0" w:space="0" w:color="auto"/>
        <w:bottom w:val="none" w:sz="0" w:space="0" w:color="auto"/>
        <w:right w:val="none" w:sz="0" w:space="0" w:color="auto"/>
      </w:divBdr>
    </w:div>
    <w:div w:id="1037973352">
      <w:bodyDiv w:val="1"/>
      <w:marLeft w:val="0"/>
      <w:marRight w:val="0"/>
      <w:marTop w:val="0"/>
      <w:marBottom w:val="0"/>
      <w:divBdr>
        <w:top w:val="none" w:sz="0" w:space="0" w:color="auto"/>
        <w:left w:val="none" w:sz="0" w:space="0" w:color="auto"/>
        <w:bottom w:val="none" w:sz="0" w:space="0" w:color="auto"/>
        <w:right w:val="none" w:sz="0" w:space="0" w:color="auto"/>
      </w:divBdr>
    </w:div>
    <w:div w:id="1041856814">
      <w:bodyDiv w:val="1"/>
      <w:marLeft w:val="0"/>
      <w:marRight w:val="0"/>
      <w:marTop w:val="0"/>
      <w:marBottom w:val="0"/>
      <w:divBdr>
        <w:top w:val="none" w:sz="0" w:space="0" w:color="auto"/>
        <w:left w:val="none" w:sz="0" w:space="0" w:color="auto"/>
        <w:bottom w:val="none" w:sz="0" w:space="0" w:color="auto"/>
        <w:right w:val="none" w:sz="0" w:space="0" w:color="auto"/>
      </w:divBdr>
    </w:div>
    <w:div w:id="1042051070">
      <w:bodyDiv w:val="1"/>
      <w:marLeft w:val="0"/>
      <w:marRight w:val="0"/>
      <w:marTop w:val="0"/>
      <w:marBottom w:val="0"/>
      <w:divBdr>
        <w:top w:val="none" w:sz="0" w:space="0" w:color="auto"/>
        <w:left w:val="none" w:sz="0" w:space="0" w:color="auto"/>
        <w:bottom w:val="none" w:sz="0" w:space="0" w:color="auto"/>
        <w:right w:val="none" w:sz="0" w:space="0" w:color="auto"/>
      </w:divBdr>
      <w:divsChild>
        <w:div w:id="474488929">
          <w:marLeft w:val="547"/>
          <w:marRight w:val="0"/>
          <w:marTop w:val="0"/>
          <w:marBottom w:val="0"/>
          <w:divBdr>
            <w:top w:val="none" w:sz="0" w:space="0" w:color="auto"/>
            <w:left w:val="none" w:sz="0" w:space="0" w:color="auto"/>
            <w:bottom w:val="none" w:sz="0" w:space="0" w:color="auto"/>
            <w:right w:val="none" w:sz="0" w:space="0" w:color="auto"/>
          </w:divBdr>
        </w:div>
      </w:divsChild>
    </w:div>
    <w:div w:id="1043409642">
      <w:bodyDiv w:val="1"/>
      <w:marLeft w:val="0"/>
      <w:marRight w:val="0"/>
      <w:marTop w:val="0"/>
      <w:marBottom w:val="0"/>
      <w:divBdr>
        <w:top w:val="none" w:sz="0" w:space="0" w:color="auto"/>
        <w:left w:val="none" w:sz="0" w:space="0" w:color="auto"/>
        <w:bottom w:val="none" w:sz="0" w:space="0" w:color="auto"/>
        <w:right w:val="none" w:sz="0" w:space="0" w:color="auto"/>
      </w:divBdr>
    </w:div>
    <w:div w:id="1043752240">
      <w:bodyDiv w:val="1"/>
      <w:marLeft w:val="0"/>
      <w:marRight w:val="0"/>
      <w:marTop w:val="0"/>
      <w:marBottom w:val="0"/>
      <w:divBdr>
        <w:top w:val="none" w:sz="0" w:space="0" w:color="auto"/>
        <w:left w:val="none" w:sz="0" w:space="0" w:color="auto"/>
        <w:bottom w:val="none" w:sz="0" w:space="0" w:color="auto"/>
        <w:right w:val="none" w:sz="0" w:space="0" w:color="auto"/>
      </w:divBdr>
    </w:div>
    <w:div w:id="1045057474">
      <w:bodyDiv w:val="1"/>
      <w:marLeft w:val="0"/>
      <w:marRight w:val="0"/>
      <w:marTop w:val="0"/>
      <w:marBottom w:val="0"/>
      <w:divBdr>
        <w:top w:val="none" w:sz="0" w:space="0" w:color="auto"/>
        <w:left w:val="none" w:sz="0" w:space="0" w:color="auto"/>
        <w:bottom w:val="none" w:sz="0" w:space="0" w:color="auto"/>
        <w:right w:val="none" w:sz="0" w:space="0" w:color="auto"/>
      </w:divBdr>
    </w:div>
    <w:div w:id="1048576877">
      <w:bodyDiv w:val="1"/>
      <w:marLeft w:val="0"/>
      <w:marRight w:val="0"/>
      <w:marTop w:val="0"/>
      <w:marBottom w:val="0"/>
      <w:divBdr>
        <w:top w:val="none" w:sz="0" w:space="0" w:color="auto"/>
        <w:left w:val="none" w:sz="0" w:space="0" w:color="auto"/>
        <w:bottom w:val="none" w:sz="0" w:space="0" w:color="auto"/>
        <w:right w:val="none" w:sz="0" w:space="0" w:color="auto"/>
      </w:divBdr>
    </w:div>
    <w:div w:id="1054430128">
      <w:bodyDiv w:val="1"/>
      <w:marLeft w:val="0"/>
      <w:marRight w:val="0"/>
      <w:marTop w:val="0"/>
      <w:marBottom w:val="0"/>
      <w:divBdr>
        <w:top w:val="none" w:sz="0" w:space="0" w:color="auto"/>
        <w:left w:val="none" w:sz="0" w:space="0" w:color="auto"/>
        <w:bottom w:val="none" w:sz="0" w:space="0" w:color="auto"/>
        <w:right w:val="none" w:sz="0" w:space="0" w:color="auto"/>
      </w:divBdr>
    </w:div>
    <w:div w:id="1057096530">
      <w:bodyDiv w:val="1"/>
      <w:marLeft w:val="0"/>
      <w:marRight w:val="0"/>
      <w:marTop w:val="0"/>
      <w:marBottom w:val="0"/>
      <w:divBdr>
        <w:top w:val="none" w:sz="0" w:space="0" w:color="auto"/>
        <w:left w:val="none" w:sz="0" w:space="0" w:color="auto"/>
        <w:bottom w:val="none" w:sz="0" w:space="0" w:color="auto"/>
        <w:right w:val="none" w:sz="0" w:space="0" w:color="auto"/>
      </w:divBdr>
    </w:div>
    <w:div w:id="1062825728">
      <w:bodyDiv w:val="1"/>
      <w:marLeft w:val="0"/>
      <w:marRight w:val="0"/>
      <w:marTop w:val="0"/>
      <w:marBottom w:val="0"/>
      <w:divBdr>
        <w:top w:val="none" w:sz="0" w:space="0" w:color="auto"/>
        <w:left w:val="none" w:sz="0" w:space="0" w:color="auto"/>
        <w:bottom w:val="none" w:sz="0" w:space="0" w:color="auto"/>
        <w:right w:val="none" w:sz="0" w:space="0" w:color="auto"/>
      </w:divBdr>
    </w:div>
    <w:div w:id="1064136552">
      <w:bodyDiv w:val="1"/>
      <w:marLeft w:val="0"/>
      <w:marRight w:val="0"/>
      <w:marTop w:val="0"/>
      <w:marBottom w:val="0"/>
      <w:divBdr>
        <w:top w:val="none" w:sz="0" w:space="0" w:color="auto"/>
        <w:left w:val="none" w:sz="0" w:space="0" w:color="auto"/>
        <w:bottom w:val="none" w:sz="0" w:space="0" w:color="auto"/>
        <w:right w:val="none" w:sz="0" w:space="0" w:color="auto"/>
      </w:divBdr>
    </w:div>
    <w:div w:id="1066416007">
      <w:bodyDiv w:val="1"/>
      <w:marLeft w:val="0"/>
      <w:marRight w:val="0"/>
      <w:marTop w:val="0"/>
      <w:marBottom w:val="0"/>
      <w:divBdr>
        <w:top w:val="none" w:sz="0" w:space="0" w:color="auto"/>
        <w:left w:val="none" w:sz="0" w:space="0" w:color="auto"/>
        <w:bottom w:val="none" w:sz="0" w:space="0" w:color="auto"/>
        <w:right w:val="none" w:sz="0" w:space="0" w:color="auto"/>
      </w:divBdr>
    </w:div>
    <w:div w:id="1066611703">
      <w:bodyDiv w:val="1"/>
      <w:marLeft w:val="0"/>
      <w:marRight w:val="0"/>
      <w:marTop w:val="0"/>
      <w:marBottom w:val="0"/>
      <w:divBdr>
        <w:top w:val="none" w:sz="0" w:space="0" w:color="auto"/>
        <w:left w:val="none" w:sz="0" w:space="0" w:color="auto"/>
        <w:bottom w:val="none" w:sz="0" w:space="0" w:color="auto"/>
        <w:right w:val="none" w:sz="0" w:space="0" w:color="auto"/>
      </w:divBdr>
    </w:div>
    <w:div w:id="1067531554">
      <w:bodyDiv w:val="1"/>
      <w:marLeft w:val="0"/>
      <w:marRight w:val="0"/>
      <w:marTop w:val="0"/>
      <w:marBottom w:val="0"/>
      <w:divBdr>
        <w:top w:val="none" w:sz="0" w:space="0" w:color="auto"/>
        <w:left w:val="none" w:sz="0" w:space="0" w:color="auto"/>
        <w:bottom w:val="none" w:sz="0" w:space="0" w:color="auto"/>
        <w:right w:val="none" w:sz="0" w:space="0" w:color="auto"/>
      </w:divBdr>
    </w:div>
    <w:div w:id="1068184645">
      <w:bodyDiv w:val="1"/>
      <w:marLeft w:val="0"/>
      <w:marRight w:val="0"/>
      <w:marTop w:val="0"/>
      <w:marBottom w:val="0"/>
      <w:divBdr>
        <w:top w:val="none" w:sz="0" w:space="0" w:color="auto"/>
        <w:left w:val="none" w:sz="0" w:space="0" w:color="auto"/>
        <w:bottom w:val="none" w:sz="0" w:space="0" w:color="auto"/>
        <w:right w:val="none" w:sz="0" w:space="0" w:color="auto"/>
      </w:divBdr>
    </w:div>
    <w:div w:id="1069383454">
      <w:bodyDiv w:val="1"/>
      <w:marLeft w:val="0"/>
      <w:marRight w:val="0"/>
      <w:marTop w:val="0"/>
      <w:marBottom w:val="0"/>
      <w:divBdr>
        <w:top w:val="none" w:sz="0" w:space="0" w:color="auto"/>
        <w:left w:val="none" w:sz="0" w:space="0" w:color="auto"/>
        <w:bottom w:val="none" w:sz="0" w:space="0" w:color="auto"/>
        <w:right w:val="none" w:sz="0" w:space="0" w:color="auto"/>
      </w:divBdr>
    </w:div>
    <w:div w:id="1071198171">
      <w:bodyDiv w:val="1"/>
      <w:marLeft w:val="0"/>
      <w:marRight w:val="0"/>
      <w:marTop w:val="0"/>
      <w:marBottom w:val="0"/>
      <w:divBdr>
        <w:top w:val="none" w:sz="0" w:space="0" w:color="auto"/>
        <w:left w:val="none" w:sz="0" w:space="0" w:color="auto"/>
        <w:bottom w:val="none" w:sz="0" w:space="0" w:color="auto"/>
        <w:right w:val="none" w:sz="0" w:space="0" w:color="auto"/>
      </w:divBdr>
    </w:div>
    <w:div w:id="1075394529">
      <w:bodyDiv w:val="1"/>
      <w:marLeft w:val="0"/>
      <w:marRight w:val="0"/>
      <w:marTop w:val="0"/>
      <w:marBottom w:val="0"/>
      <w:divBdr>
        <w:top w:val="none" w:sz="0" w:space="0" w:color="auto"/>
        <w:left w:val="none" w:sz="0" w:space="0" w:color="auto"/>
        <w:bottom w:val="none" w:sz="0" w:space="0" w:color="auto"/>
        <w:right w:val="none" w:sz="0" w:space="0" w:color="auto"/>
      </w:divBdr>
    </w:div>
    <w:div w:id="1084255149">
      <w:bodyDiv w:val="1"/>
      <w:marLeft w:val="0"/>
      <w:marRight w:val="0"/>
      <w:marTop w:val="0"/>
      <w:marBottom w:val="0"/>
      <w:divBdr>
        <w:top w:val="none" w:sz="0" w:space="0" w:color="auto"/>
        <w:left w:val="none" w:sz="0" w:space="0" w:color="auto"/>
        <w:bottom w:val="none" w:sz="0" w:space="0" w:color="auto"/>
        <w:right w:val="none" w:sz="0" w:space="0" w:color="auto"/>
      </w:divBdr>
    </w:div>
    <w:div w:id="1086804852">
      <w:bodyDiv w:val="1"/>
      <w:marLeft w:val="0"/>
      <w:marRight w:val="0"/>
      <w:marTop w:val="0"/>
      <w:marBottom w:val="0"/>
      <w:divBdr>
        <w:top w:val="none" w:sz="0" w:space="0" w:color="auto"/>
        <w:left w:val="none" w:sz="0" w:space="0" w:color="auto"/>
        <w:bottom w:val="none" w:sz="0" w:space="0" w:color="auto"/>
        <w:right w:val="none" w:sz="0" w:space="0" w:color="auto"/>
      </w:divBdr>
    </w:div>
    <w:div w:id="1092900099">
      <w:bodyDiv w:val="1"/>
      <w:marLeft w:val="0"/>
      <w:marRight w:val="0"/>
      <w:marTop w:val="0"/>
      <w:marBottom w:val="0"/>
      <w:divBdr>
        <w:top w:val="none" w:sz="0" w:space="0" w:color="auto"/>
        <w:left w:val="none" w:sz="0" w:space="0" w:color="auto"/>
        <w:bottom w:val="none" w:sz="0" w:space="0" w:color="auto"/>
        <w:right w:val="none" w:sz="0" w:space="0" w:color="auto"/>
      </w:divBdr>
    </w:div>
    <w:div w:id="1093012736">
      <w:bodyDiv w:val="1"/>
      <w:marLeft w:val="0"/>
      <w:marRight w:val="0"/>
      <w:marTop w:val="0"/>
      <w:marBottom w:val="0"/>
      <w:divBdr>
        <w:top w:val="none" w:sz="0" w:space="0" w:color="auto"/>
        <w:left w:val="none" w:sz="0" w:space="0" w:color="auto"/>
        <w:bottom w:val="none" w:sz="0" w:space="0" w:color="auto"/>
        <w:right w:val="none" w:sz="0" w:space="0" w:color="auto"/>
      </w:divBdr>
    </w:div>
    <w:div w:id="1094130268">
      <w:bodyDiv w:val="1"/>
      <w:marLeft w:val="0"/>
      <w:marRight w:val="0"/>
      <w:marTop w:val="0"/>
      <w:marBottom w:val="0"/>
      <w:divBdr>
        <w:top w:val="none" w:sz="0" w:space="0" w:color="auto"/>
        <w:left w:val="none" w:sz="0" w:space="0" w:color="auto"/>
        <w:bottom w:val="none" w:sz="0" w:space="0" w:color="auto"/>
        <w:right w:val="none" w:sz="0" w:space="0" w:color="auto"/>
      </w:divBdr>
    </w:div>
    <w:div w:id="1097020315">
      <w:bodyDiv w:val="1"/>
      <w:marLeft w:val="0"/>
      <w:marRight w:val="0"/>
      <w:marTop w:val="0"/>
      <w:marBottom w:val="0"/>
      <w:divBdr>
        <w:top w:val="none" w:sz="0" w:space="0" w:color="auto"/>
        <w:left w:val="none" w:sz="0" w:space="0" w:color="auto"/>
        <w:bottom w:val="none" w:sz="0" w:space="0" w:color="auto"/>
        <w:right w:val="none" w:sz="0" w:space="0" w:color="auto"/>
      </w:divBdr>
    </w:div>
    <w:div w:id="1099181634">
      <w:bodyDiv w:val="1"/>
      <w:marLeft w:val="0"/>
      <w:marRight w:val="0"/>
      <w:marTop w:val="0"/>
      <w:marBottom w:val="0"/>
      <w:divBdr>
        <w:top w:val="none" w:sz="0" w:space="0" w:color="auto"/>
        <w:left w:val="none" w:sz="0" w:space="0" w:color="auto"/>
        <w:bottom w:val="none" w:sz="0" w:space="0" w:color="auto"/>
        <w:right w:val="none" w:sz="0" w:space="0" w:color="auto"/>
      </w:divBdr>
    </w:div>
    <w:div w:id="1100880195">
      <w:bodyDiv w:val="1"/>
      <w:marLeft w:val="0"/>
      <w:marRight w:val="0"/>
      <w:marTop w:val="0"/>
      <w:marBottom w:val="0"/>
      <w:divBdr>
        <w:top w:val="none" w:sz="0" w:space="0" w:color="auto"/>
        <w:left w:val="none" w:sz="0" w:space="0" w:color="auto"/>
        <w:bottom w:val="none" w:sz="0" w:space="0" w:color="auto"/>
        <w:right w:val="none" w:sz="0" w:space="0" w:color="auto"/>
      </w:divBdr>
    </w:div>
    <w:div w:id="1106582535">
      <w:bodyDiv w:val="1"/>
      <w:marLeft w:val="0"/>
      <w:marRight w:val="0"/>
      <w:marTop w:val="0"/>
      <w:marBottom w:val="0"/>
      <w:divBdr>
        <w:top w:val="none" w:sz="0" w:space="0" w:color="auto"/>
        <w:left w:val="none" w:sz="0" w:space="0" w:color="auto"/>
        <w:bottom w:val="none" w:sz="0" w:space="0" w:color="auto"/>
        <w:right w:val="none" w:sz="0" w:space="0" w:color="auto"/>
      </w:divBdr>
    </w:div>
    <w:div w:id="1106652905">
      <w:bodyDiv w:val="1"/>
      <w:marLeft w:val="0"/>
      <w:marRight w:val="0"/>
      <w:marTop w:val="0"/>
      <w:marBottom w:val="0"/>
      <w:divBdr>
        <w:top w:val="none" w:sz="0" w:space="0" w:color="auto"/>
        <w:left w:val="none" w:sz="0" w:space="0" w:color="auto"/>
        <w:bottom w:val="none" w:sz="0" w:space="0" w:color="auto"/>
        <w:right w:val="none" w:sz="0" w:space="0" w:color="auto"/>
      </w:divBdr>
    </w:div>
    <w:div w:id="1109472239">
      <w:bodyDiv w:val="1"/>
      <w:marLeft w:val="0"/>
      <w:marRight w:val="0"/>
      <w:marTop w:val="0"/>
      <w:marBottom w:val="0"/>
      <w:divBdr>
        <w:top w:val="none" w:sz="0" w:space="0" w:color="auto"/>
        <w:left w:val="none" w:sz="0" w:space="0" w:color="auto"/>
        <w:bottom w:val="none" w:sz="0" w:space="0" w:color="auto"/>
        <w:right w:val="none" w:sz="0" w:space="0" w:color="auto"/>
      </w:divBdr>
    </w:div>
    <w:div w:id="1109620694">
      <w:bodyDiv w:val="1"/>
      <w:marLeft w:val="0"/>
      <w:marRight w:val="0"/>
      <w:marTop w:val="0"/>
      <w:marBottom w:val="0"/>
      <w:divBdr>
        <w:top w:val="none" w:sz="0" w:space="0" w:color="auto"/>
        <w:left w:val="none" w:sz="0" w:space="0" w:color="auto"/>
        <w:bottom w:val="none" w:sz="0" w:space="0" w:color="auto"/>
        <w:right w:val="none" w:sz="0" w:space="0" w:color="auto"/>
      </w:divBdr>
    </w:div>
    <w:div w:id="1112748554">
      <w:bodyDiv w:val="1"/>
      <w:marLeft w:val="0"/>
      <w:marRight w:val="0"/>
      <w:marTop w:val="0"/>
      <w:marBottom w:val="0"/>
      <w:divBdr>
        <w:top w:val="none" w:sz="0" w:space="0" w:color="auto"/>
        <w:left w:val="none" w:sz="0" w:space="0" w:color="auto"/>
        <w:bottom w:val="none" w:sz="0" w:space="0" w:color="auto"/>
        <w:right w:val="none" w:sz="0" w:space="0" w:color="auto"/>
      </w:divBdr>
    </w:div>
    <w:div w:id="1119228994">
      <w:bodyDiv w:val="1"/>
      <w:marLeft w:val="0"/>
      <w:marRight w:val="0"/>
      <w:marTop w:val="0"/>
      <w:marBottom w:val="0"/>
      <w:divBdr>
        <w:top w:val="none" w:sz="0" w:space="0" w:color="auto"/>
        <w:left w:val="none" w:sz="0" w:space="0" w:color="auto"/>
        <w:bottom w:val="none" w:sz="0" w:space="0" w:color="auto"/>
        <w:right w:val="none" w:sz="0" w:space="0" w:color="auto"/>
      </w:divBdr>
    </w:div>
    <w:div w:id="1120683586">
      <w:bodyDiv w:val="1"/>
      <w:marLeft w:val="0"/>
      <w:marRight w:val="0"/>
      <w:marTop w:val="0"/>
      <w:marBottom w:val="0"/>
      <w:divBdr>
        <w:top w:val="none" w:sz="0" w:space="0" w:color="auto"/>
        <w:left w:val="none" w:sz="0" w:space="0" w:color="auto"/>
        <w:bottom w:val="none" w:sz="0" w:space="0" w:color="auto"/>
        <w:right w:val="none" w:sz="0" w:space="0" w:color="auto"/>
      </w:divBdr>
    </w:div>
    <w:div w:id="1121418613">
      <w:bodyDiv w:val="1"/>
      <w:marLeft w:val="0"/>
      <w:marRight w:val="0"/>
      <w:marTop w:val="0"/>
      <w:marBottom w:val="0"/>
      <w:divBdr>
        <w:top w:val="none" w:sz="0" w:space="0" w:color="auto"/>
        <w:left w:val="none" w:sz="0" w:space="0" w:color="auto"/>
        <w:bottom w:val="none" w:sz="0" w:space="0" w:color="auto"/>
        <w:right w:val="none" w:sz="0" w:space="0" w:color="auto"/>
      </w:divBdr>
    </w:div>
    <w:div w:id="1125465767">
      <w:bodyDiv w:val="1"/>
      <w:marLeft w:val="0"/>
      <w:marRight w:val="0"/>
      <w:marTop w:val="0"/>
      <w:marBottom w:val="0"/>
      <w:divBdr>
        <w:top w:val="none" w:sz="0" w:space="0" w:color="auto"/>
        <w:left w:val="none" w:sz="0" w:space="0" w:color="auto"/>
        <w:bottom w:val="none" w:sz="0" w:space="0" w:color="auto"/>
        <w:right w:val="none" w:sz="0" w:space="0" w:color="auto"/>
      </w:divBdr>
    </w:div>
    <w:div w:id="1128087414">
      <w:bodyDiv w:val="1"/>
      <w:marLeft w:val="0"/>
      <w:marRight w:val="0"/>
      <w:marTop w:val="0"/>
      <w:marBottom w:val="0"/>
      <w:divBdr>
        <w:top w:val="none" w:sz="0" w:space="0" w:color="auto"/>
        <w:left w:val="none" w:sz="0" w:space="0" w:color="auto"/>
        <w:bottom w:val="none" w:sz="0" w:space="0" w:color="auto"/>
        <w:right w:val="none" w:sz="0" w:space="0" w:color="auto"/>
      </w:divBdr>
    </w:div>
    <w:div w:id="1129857208">
      <w:bodyDiv w:val="1"/>
      <w:marLeft w:val="0"/>
      <w:marRight w:val="0"/>
      <w:marTop w:val="0"/>
      <w:marBottom w:val="0"/>
      <w:divBdr>
        <w:top w:val="none" w:sz="0" w:space="0" w:color="auto"/>
        <w:left w:val="none" w:sz="0" w:space="0" w:color="auto"/>
        <w:bottom w:val="none" w:sz="0" w:space="0" w:color="auto"/>
        <w:right w:val="none" w:sz="0" w:space="0" w:color="auto"/>
      </w:divBdr>
    </w:div>
    <w:div w:id="1134517101">
      <w:bodyDiv w:val="1"/>
      <w:marLeft w:val="0"/>
      <w:marRight w:val="0"/>
      <w:marTop w:val="0"/>
      <w:marBottom w:val="0"/>
      <w:divBdr>
        <w:top w:val="none" w:sz="0" w:space="0" w:color="auto"/>
        <w:left w:val="none" w:sz="0" w:space="0" w:color="auto"/>
        <w:bottom w:val="none" w:sz="0" w:space="0" w:color="auto"/>
        <w:right w:val="none" w:sz="0" w:space="0" w:color="auto"/>
      </w:divBdr>
    </w:div>
    <w:div w:id="1136221610">
      <w:bodyDiv w:val="1"/>
      <w:marLeft w:val="0"/>
      <w:marRight w:val="0"/>
      <w:marTop w:val="0"/>
      <w:marBottom w:val="0"/>
      <w:divBdr>
        <w:top w:val="none" w:sz="0" w:space="0" w:color="auto"/>
        <w:left w:val="none" w:sz="0" w:space="0" w:color="auto"/>
        <w:bottom w:val="none" w:sz="0" w:space="0" w:color="auto"/>
        <w:right w:val="none" w:sz="0" w:space="0" w:color="auto"/>
      </w:divBdr>
    </w:div>
    <w:div w:id="1138180173">
      <w:bodyDiv w:val="1"/>
      <w:marLeft w:val="0"/>
      <w:marRight w:val="0"/>
      <w:marTop w:val="0"/>
      <w:marBottom w:val="0"/>
      <w:divBdr>
        <w:top w:val="none" w:sz="0" w:space="0" w:color="auto"/>
        <w:left w:val="none" w:sz="0" w:space="0" w:color="auto"/>
        <w:bottom w:val="none" w:sz="0" w:space="0" w:color="auto"/>
        <w:right w:val="none" w:sz="0" w:space="0" w:color="auto"/>
      </w:divBdr>
    </w:div>
    <w:div w:id="1143083069">
      <w:bodyDiv w:val="1"/>
      <w:marLeft w:val="0"/>
      <w:marRight w:val="0"/>
      <w:marTop w:val="0"/>
      <w:marBottom w:val="0"/>
      <w:divBdr>
        <w:top w:val="none" w:sz="0" w:space="0" w:color="auto"/>
        <w:left w:val="none" w:sz="0" w:space="0" w:color="auto"/>
        <w:bottom w:val="none" w:sz="0" w:space="0" w:color="auto"/>
        <w:right w:val="none" w:sz="0" w:space="0" w:color="auto"/>
      </w:divBdr>
    </w:div>
    <w:div w:id="1145707295">
      <w:bodyDiv w:val="1"/>
      <w:marLeft w:val="0"/>
      <w:marRight w:val="0"/>
      <w:marTop w:val="0"/>
      <w:marBottom w:val="0"/>
      <w:divBdr>
        <w:top w:val="none" w:sz="0" w:space="0" w:color="auto"/>
        <w:left w:val="none" w:sz="0" w:space="0" w:color="auto"/>
        <w:bottom w:val="none" w:sz="0" w:space="0" w:color="auto"/>
        <w:right w:val="none" w:sz="0" w:space="0" w:color="auto"/>
      </w:divBdr>
    </w:div>
    <w:div w:id="1150515763">
      <w:bodyDiv w:val="1"/>
      <w:marLeft w:val="0"/>
      <w:marRight w:val="0"/>
      <w:marTop w:val="0"/>
      <w:marBottom w:val="0"/>
      <w:divBdr>
        <w:top w:val="none" w:sz="0" w:space="0" w:color="auto"/>
        <w:left w:val="none" w:sz="0" w:space="0" w:color="auto"/>
        <w:bottom w:val="none" w:sz="0" w:space="0" w:color="auto"/>
        <w:right w:val="none" w:sz="0" w:space="0" w:color="auto"/>
      </w:divBdr>
    </w:div>
    <w:div w:id="1150902658">
      <w:bodyDiv w:val="1"/>
      <w:marLeft w:val="0"/>
      <w:marRight w:val="0"/>
      <w:marTop w:val="0"/>
      <w:marBottom w:val="0"/>
      <w:divBdr>
        <w:top w:val="none" w:sz="0" w:space="0" w:color="auto"/>
        <w:left w:val="none" w:sz="0" w:space="0" w:color="auto"/>
        <w:bottom w:val="none" w:sz="0" w:space="0" w:color="auto"/>
        <w:right w:val="none" w:sz="0" w:space="0" w:color="auto"/>
      </w:divBdr>
    </w:div>
    <w:div w:id="1153065257">
      <w:bodyDiv w:val="1"/>
      <w:marLeft w:val="0"/>
      <w:marRight w:val="0"/>
      <w:marTop w:val="0"/>
      <w:marBottom w:val="0"/>
      <w:divBdr>
        <w:top w:val="none" w:sz="0" w:space="0" w:color="auto"/>
        <w:left w:val="none" w:sz="0" w:space="0" w:color="auto"/>
        <w:bottom w:val="none" w:sz="0" w:space="0" w:color="auto"/>
        <w:right w:val="none" w:sz="0" w:space="0" w:color="auto"/>
      </w:divBdr>
    </w:div>
    <w:div w:id="1153569436">
      <w:bodyDiv w:val="1"/>
      <w:marLeft w:val="0"/>
      <w:marRight w:val="0"/>
      <w:marTop w:val="0"/>
      <w:marBottom w:val="0"/>
      <w:divBdr>
        <w:top w:val="none" w:sz="0" w:space="0" w:color="auto"/>
        <w:left w:val="none" w:sz="0" w:space="0" w:color="auto"/>
        <w:bottom w:val="none" w:sz="0" w:space="0" w:color="auto"/>
        <w:right w:val="none" w:sz="0" w:space="0" w:color="auto"/>
      </w:divBdr>
    </w:div>
    <w:div w:id="1163742431">
      <w:bodyDiv w:val="1"/>
      <w:marLeft w:val="0"/>
      <w:marRight w:val="0"/>
      <w:marTop w:val="0"/>
      <w:marBottom w:val="0"/>
      <w:divBdr>
        <w:top w:val="none" w:sz="0" w:space="0" w:color="auto"/>
        <w:left w:val="none" w:sz="0" w:space="0" w:color="auto"/>
        <w:bottom w:val="none" w:sz="0" w:space="0" w:color="auto"/>
        <w:right w:val="none" w:sz="0" w:space="0" w:color="auto"/>
      </w:divBdr>
    </w:div>
    <w:div w:id="1169827394">
      <w:bodyDiv w:val="1"/>
      <w:marLeft w:val="0"/>
      <w:marRight w:val="0"/>
      <w:marTop w:val="0"/>
      <w:marBottom w:val="0"/>
      <w:divBdr>
        <w:top w:val="none" w:sz="0" w:space="0" w:color="auto"/>
        <w:left w:val="none" w:sz="0" w:space="0" w:color="auto"/>
        <w:bottom w:val="none" w:sz="0" w:space="0" w:color="auto"/>
        <w:right w:val="none" w:sz="0" w:space="0" w:color="auto"/>
      </w:divBdr>
    </w:div>
    <w:div w:id="1171800360">
      <w:bodyDiv w:val="1"/>
      <w:marLeft w:val="0"/>
      <w:marRight w:val="0"/>
      <w:marTop w:val="0"/>
      <w:marBottom w:val="0"/>
      <w:divBdr>
        <w:top w:val="none" w:sz="0" w:space="0" w:color="auto"/>
        <w:left w:val="none" w:sz="0" w:space="0" w:color="auto"/>
        <w:bottom w:val="none" w:sz="0" w:space="0" w:color="auto"/>
        <w:right w:val="none" w:sz="0" w:space="0" w:color="auto"/>
      </w:divBdr>
    </w:div>
    <w:div w:id="1172834654">
      <w:bodyDiv w:val="1"/>
      <w:marLeft w:val="0"/>
      <w:marRight w:val="0"/>
      <w:marTop w:val="0"/>
      <w:marBottom w:val="0"/>
      <w:divBdr>
        <w:top w:val="none" w:sz="0" w:space="0" w:color="auto"/>
        <w:left w:val="none" w:sz="0" w:space="0" w:color="auto"/>
        <w:bottom w:val="none" w:sz="0" w:space="0" w:color="auto"/>
        <w:right w:val="none" w:sz="0" w:space="0" w:color="auto"/>
      </w:divBdr>
    </w:div>
    <w:div w:id="1177889514">
      <w:bodyDiv w:val="1"/>
      <w:marLeft w:val="0"/>
      <w:marRight w:val="0"/>
      <w:marTop w:val="0"/>
      <w:marBottom w:val="0"/>
      <w:divBdr>
        <w:top w:val="none" w:sz="0" w:space="0" w:color="auto"/>
        <w:left w:val="none" w:sz="0" w:space="0" w:color="auto"/>
        <w:bottom w:val="none" w:sz="0" w:space="0" w:color="auto"/>
        <w:right w:val="none" w:sz="0" w:space="0" w:color="auto"/>
      </w:divBdr>
    </w:div>
    <w:div w:id="1178274124">
      <w:bodyDiv w:val="1"/>
      <w:marLeft w:val="0"/>
      <w:marRight w:val="0"/>
      <w:marTop w:val="0"/>
      <w:marBottom w:val="0"/>
      <w:divBdr>
        <w:top w:val="none" w:sz="0" w:space="0" w:color="auto"/>
        <w:left w:val="none" w:sz="0" w:space="0" w:color="auto"/>
        <w:bottom w:val="none" w:sz="0" w:space="0" w:color="auto"/>
        <w:right w:val="none" w:sz="0" w:space="0" w:color="auto"/>
      </w:divBdr>
    </w:div>
    <w:div w:id="1182743722">
      <w:bodyDiv w:val="1"/>
      <w:marLeft w:val="0"/>
      <w:marRight w:val="0"/>
      <w:marTop w:val="0"/>
      <w:marBottom w:val="0"/>
      <w:divBdr>
        <w:top w:val="none" w:sz="0" w:space="0" w:color="auto"/>
        <w:left w:val="none" w:sz="0" w:space="0" w:color="auto"/>
        <w:bottom w:val="none" w:sz="0" w:space="0" w:color="auto"/>
        <w:right w:val="none" w:sz="0" w:space="0" w:color="auto"/>
      </w:divBdr>
    </w:div>
    <w:div w:id="1186217134">
      <w:bodyDiv w:val="1"/>
      <w:marLeft w:val="0"/>
      <w:marRight w:val="0"/>
      <w:marTop w:val="0"/>
      <w:marBottom w:val="0"/>
      <w:divBdr>
        <w:top w:val="none" w:sz="0" w:space="0" w:color="auto"/>
        <w:left w:val="none" w:sz="0" w:space="0" w:color="auto"/>
        <w:bottom w:val="none" w:sz="0" w:space="0" w:color="auto"/>
        <w:right w:val="none" w:sz="0" w:space="0" w:color="auto"/>
      </w:divBdr>
    </w:div>
    <w:div w:id="1186363574">
      <w:bodyDiv w:val="1"/>
      <w:marLeft w:val="0"/>
      <w:marRight w:val="0"/>
      <w:marTop w:val="0"/>
      <w:marBottom w:val="0"/>
      <w:divBdr>
        <w:top w:val="none" w:sz="0" w:space="0" w:color="auto"/>
        <w:left w:val="none" w:sz="0" w:space="0" w:color="auto"/>
        <w:bottom w:val="none" w:sz="0" w:space="0" w:color="auto"/>
        <w:right w:val="none" w:sz="0" w:space="0" w:color="auto"/>
      </w:divBdr>
    </w:div>
    <w:div w:id="1187520833">
      <w:bodyDiv w:val="1"/>
      <w:marLeft w:val="0"/>
      <w:marRight w:val="0"/>
      <w:marTop w:val="0"/>
      <w:marBottom w:val="0"/>
      <w:divBdr>
        <w:top w:val="none" w:sz="0" w:space="0" w:color="auto"/>
        <w:left w:val="none" w:sz="0" w:space="0" w:color="auto"/>
        <w:bottom w:val="none" w:sz="0" w:space="0" w:color="auto"/>
        <w:right w:val="none" w:sz="0" w:space="0" w:color="auto"/>
      </w:divBdr>
    </w:div>
    <w:div w:id="1187906319">
      <w:bodyDiv w:val="1"/>
      <w:marLeft w:val="0"/>
      <w:marRight w:val="0"/>
      <w:marTop w:val="0"/>
      <w:marBottom w:val="0"/>
      <w:divBdr>
        <w:top w:val="none" w:sz="0" w:space="0" w:color="auto"/>
        <w:left w:val="none" w:sz="0" w:space="0" w:color="auto"/>
        <w:bottom w:val="none" w:sz="0" w:space="0" w:color="auto"/>
        <w:right w:val="none" w:sz="0" w:space="0" w:color="auto"/>
      </w:divBdr>
    </w:div>
    <w:div w:id="1188450919">
      <w:bodyDiv w:val="1"/>
      <w:marLeft w:val="0"/>
      <w:marRight w:val="0"/>
      <w:marTop w:val="0"/>
      <w:marBottom w:val="0"/>
      <w:divBdr>
        <w:top w:val="none" w:sz="0" w:space="0" w:color="auto"/>
        <w:left w:val="none" w:sz="0" w:space="0" w:color="auto"/>
        <w:bottom w:val="none" w:sz="0" w:space="0" w:color="auto"/>
        <w:right w:val="none" w:sz="0" w:space="0" w:color="auto"/>
      </w:divBdr>
    </w:div>
    <w:div w:id="1189758376">
      <w:bodyDiv w:val="1"/>
      <w:marLeft w:val="0"/>
      <w:marRight w:val="0"/>
      <w:marTop w:val="0"/>
      <w:marBottom w:val="0"/>
      <w:divBdr>
        <w:top w:val="none" w:sz="0" w:space="0" w:color="auto"/>
        <w:left w:val="none" w:sz="0" w:space="0" w:color="auto"/>
        <w:bottom w:val="none" w:sz="0" w:space="0" w:color="auto"/>
        <w:right w:val="none" w:sz="0" w:space="0" w:color="auto"/>
      </w:divBdr>
    </w:div>
    <w:div w:id="1189946154">
      <w:bodyDiv w:val="1"/>
      <w:marLeft w:val="0"/>
      <w:marRight w:val="0"/>
      <w:marTop w:val="0"/>
      <w:marBottom w:val="0"/>
      <w:divBdr>
        <w:top w:val="none" w:sz="0" w:space="0" w:color="auto"/>
        <w:left w:val="none" w:sz="0" w:space="0" w:color="auto"/>
        <w:bottom w:val="none" w:sz="0" w:space="0" w:color="auto"/>
        <w:right w:val="none" w:sz="0" w:space="0" w:color="auto"/>
      </w:divBdr>
    </w:div>
    <w:div w:id="1190685899">
      <w:bodyDiv w:val="1"/>
      <w:marLeft w:val="0"/>
      <w:marRight w:val="0"/>
      <w:marTop w:val="0"/>
      <w:marBottom w:val="0"/>
      <w:divBdr>
        <w:top w:val="none" w:sz="0" w:space="0" w:color="auto"/>
        <w:left w:val="none" w:sz="0" w:space="0" w:color="auto"/>
        <w:bottom w:val="none" w:sz="0" w:space="0" w:color="auto"/>
        <w:right w:val="none" w:sz="0" w:space="0" w:color="auto"/>
      </w:divBdr>
    </w:div>
    <w:div w:id="1191601366">
      <w:bodyDiv w:val="1"/>
      <w:marLeft w:val="0"/>
      <w:marRight w:val="0"/>
      <w:marTop w:val="0"/>
      <w:marBottom w:val="0"/>
      <w:divBdr>
        <w:top w:val="none" w:sz="0" w:space="0" w:color="auto"/>
        <w:left w:val="none" w:sz="0" w:space="0" w:color="auto"/>
        <w:bottom w:val="none" w:sz="0" w:space="0" w:color="auto"/>
        <w:right w:val="none" w:sz="0" w:space="0" w:color="auto"/>
      </w:divBdr>
    </w:div>
    <w:div w:id="1192719652">
      <w:bodyDiv w:val="1"/>
      <w:marLeft w:val="0"/>
      <w:marRight w:val="0"/>
      <w:marTop w:val="0"/>
      <w:marBottom w:val="0"/>
      <w:divBdr>
        <w:top w:val="none" w:sz="0" w:space="0" w:color="auto"/>
        <w:left w:val="none" w:sz="0" w:space="0" w:color="auto"/>
        <w:bottom w:val="none" w:sz="0" w:space="0" w:color="auto"/>
        <w:right w:val="none" w:sz="0" w:space="0" w:color="auto"/>
      </w:divBdr>
    </w:div>
    <w:div w:id="1194002466">
      <w:bodyDiv w:val="1"/>
      <w:marLeft w:val="0"/>
      <w:marRight w:val="0"/>
      <w:marTop w:val="0"/>
      <w:marBottom w:val="0"/>
      <w:divBdr>
        <w:top w:val="none" w:sz="0" w:space="0" w:color="auto"/>
        <w:left w:val="none" w:sz="0" w:space="0" w:color="auto"/>
        <w:bottom w:val="none" w:sz="0" w:space="0" w:color="auto"/>
        <w:right w:val="none" w:sz="0" w:space="0" w:color="auto"/>
      </w:divBdr>
    </w:div>
    <w:div w:id="1199120535">
      <w:bodyDiv w:val="1"/>
      <w:marLeft w:val="0"/>
      <w:marRight w:val="0"/>
      <w:marTop w:val="0"/>
      <w:marBottom w:val="0"/>
      <w:divBdr>
        <w:top w:val="none" w:sz="0" w:space="0" w:color="auto"/>
        <w:left w:val="none" w:sz="0" w:space="0" w:color="auto"/>
        <w:bottom w:val="none" w:sz="0" w:space="0" w:color="auto"/>
        <w:right w:val="none" w:sz="0" w:space="0" w:color="auto"/>
      </w:divBdr>
    </w:div>
    <w:div w:id="1199784362">
      <w:bodyDiv w:val="1"/>
      <w:marLeft w:val="0"/>
      <w:marRight w:val="0"/>
      <w:marTop w:val="0"/>
      <w:marBottom w:val="0"/>
      <w:divBdr>
        <w:top w:val="none" w:sz="0" w:space="0" w:color="auto"/>
        <w:left w:val="none" w:sz="0" w:space="0" w:color="auto"/>
        <w:bottom w:val="none" w:sz="0" w:space="0" w:color="auto"/>
        <w:right w:val="none" w:sz="0" w:space="0" w:color="auto"/>
      </w:divBdr>
    </w:div>
    <w:div w:id="1201819760">
      <w:bodyDiv w:val="1"/>
      <w:marLeft w:val="0"/>
      <w:marRight w:val="0"/>
      <w:marTop w:val="0"/>
      <w:marBottom w:val="0"/>
      <w:divBdr>
        <w:top w:val="none" w:sz="0" w:space="0" w:color="auto"/>
        <w:left w:val="none" w:sz="0" w:space="0" w:color="auto"/>
        <w:bottom w:val="none" w:sz="0" w:space="0" w:color="auto"/>
        <w:right w:val="none" w:sz="0" w:space="0" w:color="auto"/>
      </w:divBdr>
    </w:div>
    <w:div w:id="1204363089">
      <w:bodyDiv w:val="1"/>
      <w:marLeft w:val="0"/>
      <w:marRight w:val="0"/>
      <w:marTop w:val="0"/>
      <w:marBottom w:val="0"/>
      <w:divBdr>
        <w:top w:val="none" w:sz="0" w:space="0" w:color="auto"/>
        <w:left w:val="none" w:sz="0" w:space="0" w:color="auto"/>
        <w:bottom w:val="none" w:sz="0" w:space="0" w:color="auto"/>
        <w:right w:val="none" w:sz="0" w:space="0" w:color="auto"/>
      </w:divBdr>
    </w:div>
    <w:div w:id="1207372671">
      <w:bodyDiv w:val="1"/>
      <w:marLeft w:val="0"/>
      <w:marRight w:val="0"/>
      <w:marTop w:val="0"/>
      <w:marBottom w:val="0"/>
      <w:divBdr>
        <w:top w:val="none" w:sz="0" w:space="0" w:color="auto"/>
        <w:left w:val="none" w:sz="0" w:space="0" w:color="auto"/>
        <w:bottom w:val="none" w:sz="0" w:space="0" w:color="auto"/>
        <w:right w:val="none" w:sz="0" w:space="0" w:color="auto"/>
      </w:divBdr>
    </w:div>
    <w:div w:id="1211040451">
      <w:bodyDiv w:val="1"/>
      <w:marLeft w:val="0"/>
      <w:marRight w:val="0"/>
      <w:marTop w:val="0"/>
      <w:marBottom w:val="0"/>
      <w:divBdr>
        <w:top w:val="none" w:sz="0" w:space="0" w:color="auto"/>
        <w:left w:val="none" w:sz="0" w:space="0" w:color="auto"/>
        <w:bottom w:val="none" w:sz="0" w:space="0" w:color="auto"/>
        <w:right w:val="none" w:sz="0" w:space="0" w:color="auto"/>
      </w:divBdr>
    </w:div>
    <w:div w:id="1211384398">
      <w:bodyDiv w:val="1"/>
      <w:marLeft w:val="0"/>
      <w:marRight w:val="0"/>
      <w:marTop w:val="0"/>
      <w:marBottom w:val="0"/>
      <w:divBdr>
        <w:top w:val="none" w:sz="0" w:space="0" w:color="auto"/>
        <w:left w:val="none" w:sz="0" w:space="0" w:color="auto"/>
        <w:bottom w:val="none" w:sz="0" w:space="0" w:color="auto"/>
        <w:right w:val="none" w:sz="0" w:space="0" w:color="auto"/>
      </w:divBdr>
    </w:div>
    <w:div w:id="1214347371">
      <w:bodyDiv w:val="1"/>
      <w:marLeft w:val="0"/>
      <w:marRight w:val="0"/>
      <w:marTop w:val="0"/>
      <w:marBottom w:val="0"/>
      <w:divBdr>
        <w:top w:val="none" w:sz="0" w:space="0" w:color="auto"/>
        <w:left w:val="none" w:sz="0" w:space="0" w:color="auto"/>
        <w:bottom w:val="none" w:sz="0" w:space="0" w:color="auto"/>
        <w:right w:val="none" w:sz="0" w:space="0" w:color="auto"/>
      </w:divBdr>
    </w:div>
    <w:div w:id="1223978538">
      <w:bodyDiv w:val="1"/>
      <w:marLeft w:val="0"/>
      <w:marRight w:val="0"/>
      <w:marTop w:val="0"/>
      <w:marBottom w:val="0"/>
      <w:divBdr>
        <w:top w:val="none" w:sz="0" w:space="0" w:color="auto"/>
        <w:left w:val="none" w:sz="0" w:space="0" w:color="auto"/>
        <w:bottom w:val="none" w:sz="0" w:space="0" w:color="auto"/>
        <w:right w:val="none" w:sz="0" w:space="0" w:color="auto"/>
      </w:divBdr>
    </w:div>
    <w:div w:id="1224294841">
      <w:bodyDiv w:val="1"/>
      <w:marLeft w:val="0"/>
      <w:marRight w:val="0"/>
      <w:marTop w:val="0"/>
      <w:marBottom w:val="0"/>
      <w:divBdr>
        <w:top w:val="none" w:sz="0" w:space="0" w:color="auto"/>
        <w:left w:val="none" w:sz="0" w:space="0" w:color="auto"/>
        <w:bottom w:val="none" w:sz="0" w:space="0" w:color="auto"/>
        <w:right w:val="none" w:sz="0" w:space="0" w:color="auto"/>
      </w:divBdr>
    </w:div>
    <w:div w:id="1232350892">
      <w:bodyDiv w:val="1"/>
      <w:marLeft w:val="0"/>
      <w:marRight w:val="0"/>
      <w:marTop w:val="0"/>
      <w:marBottom w:val="0"/>
      <w:divBdr>
        <w:top w:val="none" w:sz="0" w:space="0" w:color="auto"/>
        <w:left w:val="none" w:sz="0" w:space="0" w:color="auto"/>
        <w:bottom w:val="none" w:sz="0" w:space="0" w:color="auto"/>
        <w:right w:val="none" w:sz="0" w:space="0" w:color="auto"/>
      </w:divBdr>
    </w:div>
    <w:div w:id="1234393001">
      <w:bodyDiv w:val="1"/>
      <w:marLeft w:val="0"/>
      <w:marRight w:val="0"/>
      <w:marTop w:val="0"/>
      <w:marBottom w:val="0"/>
      <w:divBdr>
        <w:top w:val="none" w:sz="0" w:space="0" w:color="auto"/>
        <w:left w:val="none" w:sz="0" w:space="0" w:color="auto"/>
        <w:bottom w:val="none" w:sz="0" w:space="0" w:color="auto"/>
        <w:right w:val="none" w:sz="0" w:space="0" w:color="auto"/>
      </w:divBdr>
    </w:div>
    <w:div w:id="1234437741">
      <w:bodyDiv w:val="1"/>
      <w:marLeft w:val="0"/>
      <w:marRight w:val="0"/>
      <w:marTop w:val="0"/>
      <w:marBottom w:val="0"/>
      <w:divBdr>
        <w:top w:val="none" w:sz="0" w:space="0" w:color="auto"/>
        <w:left w:val="none" w:sz="0" w:space="0" w:color="auto"/>
        <w:bottom w:val="none" w:sz="0" w:space="0" w:color="auto"/>
        <w:right w:val="none" w:sz="0" w:space="0" w:color="auto"/>
      </w:divBdr>
    </w:div>
    <w:div w:id="1236286084">
      <w:bodyDiv w:val="1"/>
      <w:marLeft w:val="0"/>
      <w:marRight w:val="0"/>
      <w:marTop w:val="0"/>
      <w:marBottom w:val="0"/>
      <w:divBdr>
        <w:top w:val="none" w:sz="0" w:space="0" w:color="auto"/>
        <w:left w:val="none" w:sz="0" w:space="0" w:color="auto"/>
        <w:bottom w:val="none" w:sz="0" w:space="0" w:color="auto"/>
        <w:right w:val="none" w:sz="0" w:space="0" w:color="auto"/>
      </w:divBdr>
    </w:div>
    <w:div w:id="1239360312">
      <w:bodyDiv w:val="1"/>
      <w:marLeft w:val="0"/>
      <w:marRight w:val="0"/>
      <w:marTop w:val="0"/>
      <w:marBottom w:val="0"/>
      <w:divBdr>
        <w:top w:val="none" w:sz="0" w:space="0" w:color="auto"/>
        <w:left w:val="none" w:sz="0" w:space="0" w:color="auto"/>
        <w:bottom w:val="none" w:sz="0" w:space="0" w:color="auto"/>
        <w:right w:val="none" w:sz="0" w:space="0" w:color="auto"/>
      </w:divBdr>
    </w:div>
    <w:div w:id="1239443964">
      <w:bodyDiv w:val="1"/>
      <w:marLeft w:val="0"/>
      <w:marRight w:val="0"/>
      <w:marTop w:val="0"/>
      <w:marBottom w:val="0"/>
      <w:divBdr>
        <w:top w:val="none" w:sz="0" w:space="0" w:color="auto"/>
        <w:left w:val="none" w:sz="0" w:space="0" w:color="auto"/>
        <w:bottom w:val="none" w:sz="0" w:space="0" w:color="auto"/>
        <w:right w:val="none" w:sz="0" w:space="0" w:color="auto"/>
      </w:divBdr>
    </w:div>
    <w:div w:id="1241060855">
      <w:bodyDiv w:val="1"/>
      <w:marLeft w:val="0"/>
      <w:marRight w:val="0"/>
      <w:marTop w:val="0"/>
      <w:marBottom w:val="0"/>
      <w:divBdr>
        <w:top w:val="none" w:sz="0" w:space="0" w:color="auto"/>
        <w:left w:val="none" w:sz="0" w:space="0" w:color="auto"/>
        <w:bottom w:val="none" w:sz="0" w:space="0" w:color="auto"/>
        <w:right w:val="none" w:sz="0" w:space="0" w:color="auto"/>
      </w:divBdr>
    </w:div>
    <w:div w:id="1241410388">
      <w:bodyDiv w:val="1"/>
      <w:marLeft w:val="0"/>
      <w:marRight w:val="0"/>
      <w:marTop w:val="0"/>
      <w:marBottom w:val="0"/>
      <w:divBdr>
        <w:top w:val="none" w:sz="0" w:space="0" w:color="auto"/>
        <w:left w:val="none" w:sz="0" w:space="0" w:color="auto"/>
        <w:bottom w:val="none" w:sz="0" w:space="0" w:color="auto"/>
        <w:right w:val="none" w:sz="0" w:space="0" w:color="auto"/>
      </w:divBdr>
    </w:div>
    <w:div w:id="1243490958">
      <w:bodyDiv w:val="1"/>
      <w:marLeft w:val="0"/>
      <w:marRight w:val="0"/>
      <w:marTop w:val="0"/>
      <w:marBottom w:val="0"/>
      <w:divBdr>
        <w:top w:val="none" w:sz="0" w:space="0" w:color="auto"/>
        <w:left w:val="none" w:sz="0" w:space="0" w:color="auto"/>
        <w:bottom w:val="none" w:sz="0" w:space="0" w:color="auto"/>
        <w:right w:val="none" w:sz="0" w:space="0" w:color="auto"/>
      </w:divBdr>
    </w:div>
    <w:div w:id="1253932671">
      <w:bodyDiv w:val="1"/>
      <w:marLeft w:val="0"/>
      <w:marRight w:val="0"/>
      <w:marTop w:val="0"/>
      <w:marBottom w:val="0"/>
      <w:divBdr>
        <w:top w:val="none" w:sz="0" w:space="0" w:color="auto"/>
        <w:left w:val="none" w:sz="0" w:space="0" w:color="auto"/>
        <w:bottom w:val="none" w:sz="0" w:space="0" w:color="auto"/>
        <w:right w:val="none" w:sz="0" w:space="0" w:color="auto"/>
      </w:divBdr>
    </w:div>
    <w:div w:id="1255169232">
      <w:bodyDiv w:val="1"/>
      <w:marLeft w:val="0"/>
      <w:marRight w:val="0"/>
      <w:marTop w:val="0"/>
      <w:marBottom w:val="0"/>
      <w:divBdr>
        <w:top w:val="none" w:sz="0" w:space="0" w:color="auto"/>
        <w:left w:val="none" w:sz="0" w:space="0" w:color="auto"/>
        <w:bottom w:val="none" w:sz="0" w:space="0" w:color="auto"/>
        <w:right w:val="none" w:sz="0" w:space="0" w:color="auto"/>
      </w:divBdr>
    </w:div>
    <w:div w:id="1256397219">
      <w:bodyDiv w:val="1"/>
      <w:marLeft w:val="0"/>
      <w:marRight w:val="0"/>
      <w:marTop w:val="0"/>
      <w:marBottom w:val="0"/>
      <w:divBdr>
        <w:top w:val="none" w:sz="0" w:space="0" w:color="auto"/>
        <w:left w:val="none" w:sz="0" w:space="0" w:color="auto"/>
        <w:bottom w:val="none" w:sz="0" w:space="0" w:color="auto"/>
        <w:right w:val="none" w:sz="0" w:space="0" w:color="auto"/>
      </w:divBdr>
    </w:div>
    <w:div w:id="1256749706">
      <w:bodyDiv w:val="1"/>
      <w:marLeft w:val="0"/>
      <w:marRight w:val="0"/>
      <w:marTop w:val="0"/>
      <w:marBottom w:val="0"/>
      <w:divBdr>
        <w:top w:val="none" w:sz="0" w:space="0" w:color="auto"/>
        <w:left w:val="none" w:sz="0" w:space="0" w:color="auto"/>
        <w:bottom w:val="none" w:sz="0" w:space="0" w:color="auto"/>
        <w:right w:val="none" w:sz="0" w:space="0" w:color="auto"/>
      </w:divBdr>
    </w:div>
    <w:div w:id="1256862905">
      <w:bodyDiv w:val="1"/>
      <w:marLeft w:val="0"/>
      <w:marRight w:val="0"/>
      <w:marTop w:val="0"/>
      <w:marBottom w:val="0"/>
      <w:divBdr>
        <w:top w:val="none" w:sz="0" w:space="0" w:color="auto"/>
        <w:left w:val="none" w:sz="0" w:space="0" w:color="auto"/>
        <w:bottom w:val="none" w:sz="0" w:space="0" w:color="auto"/>
        <w:right w:val="none" w:sz="0" w:space="0" w:color="auto"/>
      </w:divBdr>
    </w:div>
    <w:div w:id="1259171152">
      <w:bodyDiv w:val="1"/>
      <w:marLeft w:val="0"/>
      <w:marRight w:val="0"/>
      <w:marTop w:val="0"/>
      <w:marBottom w:val="0"/>
      <w:divBdr>
        <w:top w:val="none" w:sz="0" w:space="0" w:color="auto"/>
        <w:left w:val="none" w:sz="0" w:space="0" w:color="auto"/>
        <w:bottom w:val="none" w:sz="0" w:space="0" w:color="auto"/>
        <w:right w:val="none" w:sz="0" w:space="0" w:color="auto"/>
      </w:divBdr>
    </w:div>
    <w:div w:id="1260873782">
      <w:bodyDiv w:val="1"/>
      <w:marLeft w:val="0"/>
      <w:marRight w:val="0"/>
      <w:marTop w:val="0"/>
      <w:marBottom w:val="0"/>
      <w:divBdr>
        <w:top w:val="none" w:sz="0" w:space="0" w:color="auto"/>
        <w:left w:val="none" w:sz="0" w:space="0" w:color="auto"/>
        <w:bottom w:val="none" w:sz="0" w:space="0" w:color="auto"/>
        <w:right w:val="none" w:sz="0" w:space="0" w:color="auto"/>
      </w:divBdr>
    </w:div>
    <w:div w:id="1261254822">
      <w:bodyDiv w:val="1"/>
      <w:marLeft w:val="0"/>
      <w:marRight w:val="0"/>
      <w:marTop w:val="0"/>
      <w:marBottom w:val="0"/>
      <w:divBdr>
        <w:top w:val="none" w:sz="0" w:space="0" w:color="auto"/>
        <w:left w:val="none" w:sz="0" w:space="0" w:color="auto"/>
        <w:bottom w:val="none" w:sz="0" w:space="0" w:color="auto"/>
        <w:right w:val="none" w:sz="0" w:space="0" w:color="auto"/>
      </w:divBdr>
    </w:div>
    <w:div w:id="1264535372">
      <w:bodyDiv w:val="1"/>
      <w:marLeft w:val="0"/>
      <w:marRight w:val="0"/>
      <w:marTop w:val="0"/>
      <w:marBottom w:val="0"/>
      <w:divBdr>
        <w:top w:val="none" w:sz="0" w:space="0" w:color="auto"/>
        <w:left w:val="none" w:sz="0" w:space="0" w:color="auto"/>
        <w:bottom w:val="none" w:sz="0" w:space="0" w:color="auto"/>
        <w:right w:val="none" w:sz="0" w:space="0" w:color="auto"/>
      </w:divBdr>
    </w:div>
    <w:div w:id="1272321066">
      <w:bodyDiv w:val="1"/>
      <w:marLeft w:val="0"/>
      <w:marRight w:val="0"/>
      <w:marTop w:val="0"/>
      <w:marBottom w:val="0"/>
      <w:divBdr>
        <w:top w:val="none" w:sz="0" w:space="0" w:color="auto"/>
        <w:left w:val="none" w:sz="0" w:space="0" w:color="auto"/>
        <w:bottom w:val="none" w:sz="0" w:space="0" w:color="auto"/>
        <w:right w:val="none" w:sz="0" w:space="0" w:color="auto"/>
      </w:divBdr>
    </w:div>
    <w:div w:id="1282371980">
      <w:bodyDiv w:val="1"/>
      <w:marLeft w:val="0"/>
      <w:marRight w:val="0"/>
      <w:marTop w:val="0"/>
      <w:marBottom w:val="0"/>
      <w:divBdr>
        <w:top w:val="none" w:sz="0" w:space="0" w:color="auto"/>
        <w:left w:val="none" w:sz="0" w:space="0" w:color="auto"/>
        <w:bottom w:val="none" w:sz="0" w:space="0" w:color="auto"/>
        <w:right w:val="none" w:sz="0" w:space="0" w:color="auto"/>
      </w:divBdr>
    </w:div>
    <w:div w:id="1283728513">
      <w:bodyDiv w:val="1"/>
      <w:marLeft w:val="0"/>
      <w:marRight w:val="0"/>
      <w:marTop w:val="0"/>
      <w:marBottom w:val="0"/>
      <w:divBdr>
        <w:top w:val="none" w:sz="0" w:space="0" w:color="auto"/>
        <w:left w:val="none" w:sz="0" w:space="0" w:color="auto"/>
        <w:bottom w:val="none" w:sz="0" w:space="0" w:color="auto"/>
        <w:right w:val="none" w:sz="0" w:space="0" w:color="auto"/>
      </w:divBdr>
    </w:div>
    <w:div w:id="1284313945">
      <w:bodyDiv w:val="1"/>
      <w:marLeft w:val="0"/>
      <w:marRight w:val="0"/>
      <w:marTop w:val="0"/>
      <w:marBottom w:val="0"/>
      <w:divBdr>
        <w:top w:val="none" w:sz="0" w:space="0" w:color="auto"/>
        <w:left w:val="none" w:sz="0" w:space="0" w:color="auto"/>
        <w:bottom w:val="none" w:sz="0" w:space="0" w:color="auto"/>
        <w:right w:val="none" w:sz="0" w:space="0" w:color="auto"/>
      </w:divBdr>
    </w:div>
    <w:div w:id="1285693476">
      <w:bodyDiv w:val="1"/>
      <w:marLeft w:val="0"/>
      <w:marRight w:val="0"/>
      <w:marTop w:val="0"/>
      <w:marBottom w:val="0"/>
      <w:divBdr>
        <w:top w:val="none" w:sz="0" w:space="0" w:color="auto"/>
        <w:left w:val="none" w:sz="0" w:space="0" w:color="auto"/>
        <w:bottom w:val="none" w:sz="0" w:space="0" w:color="auto"/>
        <w:right w:val="none" w:sz="0" w:space="0" w:color="auto"/>
      </w:divBdr>
    </w:div>
    <w:div w:id="1291518166">
      <w:bodyDiv w:val="1"/>
      <w:marLeft w:val="0"/>
      <w:marRight w:val="0"/>
      <w:marTop w:val="0"/>
      <w:marBottom w:val="0"/>
      <w:divBdr>
        <w:top w:val="none" w:sz="0" w:space="0" w:color="auto"/>
        <w:left w:val="none" w:sz="0" w:space="0" w:color="auto"/>
        <w:bottom w:val="none" w:sz="0" w:space="0" w:color="auto"/>
        <w:right w:val="none" w:sz="0" w:space="0" w:color="auto"/>
      </w:divBdr>
    </w:div>
    <w:div w:id="1294555172">
      <w:bodyDiv w:val="1"/>
      <w:marLeft w:val="0"/>
      <w:marRight w:val="0"/>
      <w:marTop w:val="0"/>
      <w:marBottom w:val="0"/>
      <w:divBdr>
        <w:top w:val="none" w:sz="0" w:space="0" w:color="auto"/>
        <w:left w:val="none" w:sz="0" w:space="0" w:color="auto"/>
        <w:bottom w:val="none" w:sz="0" w:space="0" w:color="auto"/>
        <w:right w:val="none" w:sz="0" w:space="0" w:color="auto"/>
      </w:divBdr>
    </w:div>
    <w:div w:id="1297183283">
      <w:bodyDiv w:val="1"/>
      <w:marLeft w:val="0"/>
      <w:marRight w:val="0"/>
      <w:marTop w:val="0"/>
      <w:marBottom w:val="0"/>
      <w:divBdr>
        <w:top w:val="none" w:sz="0" w:space="0" w:color="auto"/>
        <w:left w:val="none" w:sz="0" w:space="0" w:color="auto"/>
        <w:bottom w:val="none" w:sz="0" w:space="0" w:color="auto"/>
        <w:right w:val="none" w:sz="0" w:space="0" w:color="auto"/>
      </w:divBdr>
    </w:div>
    <w:div w:id="1304652087">
      <w:bodyDiv w:val="1"/>
      <w:marLeft w:val="0"/>
      <w:marRight w:val="0"/>
      <w:marTop w:val="0"/>
      <w:marBottom w:val="0"/>
      <w:divBdr>
        <w:top w:val="none" w:sz="0" w:space="0" w:color="auto"/>
        <w:left w:val="none" w:sz="0" w:space="0" w:color="auto"/>
        <w:bottom w:val="none" w:sz="0" w:space="0" w:color="auto"/>
        <w:right w:val="none" w:sz="0" w:space="0" w:color="auto"/>
      </w:divBdr>
    </w:div>
    <w:div w:id="1305697280">
      <w:bodyDiv w:val="1"/>
      <w:marLeft w:val="0"/>
      <w:marRight w:val="0"/>
      <w:marTop w:val="0"/>
      <w:marBottom w:val="0"/>
      <w:divBdr>
        <w:top w:val="none" w:sz="0" w:space="0" w:color="auto"/>
        <w:left w:val="none" w:sz="0" w:space="0" w:color="auto"/>
        <w:bottom w:val="none" w:sz="0" w:space="0" w:color="auto"/>
        <w:right w:val="none" w:sz="0" w:space="0" w:color="auto"/>
      </w:divBdr>
    </w:div>
    <w:div w:id="1305743151">
      <w:bodyDiv w:val="1"/>
      <w:marLeft w:val="0"/>
      <w:marRight w:val="0"/>
      <w:marTop w:val="0"/>
      <w:marBottom w:val="0"/>
      <w:divBdr>
        <w:top w:val="none" w:sz="0" w:space="0" w:color="auto"/>
        <w:left w:val="none" w:sz="0" w:space="0" w:color="auto"/>
        <w:bottom w:val="none" w:sz="0" w:space="0" w:color="auto"/>
        <w:right w:val="none" w:sz="0" w:space="0" w:color="auto"/>
      </w:divBdr>
    </w:div>
    <w:div w:id="1306541721">
      <w:bodyDiv w:val="1"/>
      <w:marLeft w:val="0"/>
      <w:marRight w:val="0"/>
      <w:marTop w:val="0"/>
      <w:marBottom w:val="0"/>
      <w:divBdr>
        <w:top w:val="none" w:sz="0" w:space="0" w:color="auto"/>
        <w:left w:val="none" w:sz="0" w:space="0" w:color="auto"/>
        <w:bottom w:val="none" w:sz="0" w:space="0" w:color="auto"/>
        <w:right w:val="none" w:sz="0" w:space="0" w:color="auto"/>
      </w:divBdr>
    </w:div>
    <w:div w:id="1312635053">
      <w:bodyDiv w:val="1"/>
      <w:marLeft w:val="0"/>
      <w:marRight w:val="0"/>
      <w:marTop w:val="0"/>
      <w:marBottom w:val="0"/>
      <w:divBdr>
        <w:top w:val="none" w:sz="0" w:space="0" w:color="auto"/>
        <w:left w:val="none" w:sz="0" w:space="0" w:color="auto"/>
        <w:bottom w:val="none" w:sz="0" w:space="0" w:color="auto"/>
        <w:right w:val="none" w:sz="0" w:space="0" w:color="auto"/>
      </w:divBdr>
    </w:div>
    <w:div w:id="1316451816">
      <w:bodyDiv w:val="1"/>
      <w:marLeft w:val="0"/>
      <w:marRight w:val="0"/>
      <w:marTop w:val="0"/>
      <w:marBottom w:val="0"/>
      <w:divBdr>
        <w:top w:val="none" w:sz="0" w:space="0" w:color="auto"/>
        <w:left w:val="none" w:sz="0" w:space="0" w:color="auto"/>
        <w:bottom w:val="none" w:sz="0" w:space="0" w:color="auto"/>
        <w:right w:val="none" w:sz="0" w:space="0" w:color="auto"/>
      </w:divBdr>
    </w:div>
    <w:div w:id="1319069345">
      <w:bodyDiv w:val="1"/>
      <w:marLeft w:val="0"/>
      <w:marRight w:val="0"/>
      <w:marTop w:val="0"/>
      <w:marBottom w:val="0"/>
      <w:divBdr>
        <w:top w:val="none" w:sz="0" w:space="0" w:color="auto"/>
        <w:left w:val="none" w:sz="0" w:space="0" w:color="auto"/>
        <w:bottom w:val="none" w:sz="0" w:space="0" w:color="auto"/>
        <w:right w:val="none" w:sz="0" w:space="0" w:color="auto"/>
      </w:divBdr>
    </w:div>
    <w:div w:id="1321689339">
      <w:bodyDiv w:val="1"/>
      <w:marLeft w:val="0"/>
      <w:marRight w:val="0"/>
      <w:marTop w:val="0"/>
      <w:marBottom w:val="0"/>
      <w:divBdr>
        <w:top w:val="none" w:sz="0" w:space="0" w:color="auto"/>
        <w:left w:val="none" w:sz="0" w:space="0" w:color="auto"/>
        <w:bottom w:val="none" w:sz="0" w:space="0" w:color="auto"/>
        <w:right w:val="none" w:sz="0" w:space="0" w:color="auto"/>
      </w:divBdr>
    </w:div>
    <w:div w:id="1321813590">
      <w:bodyDiv w:val="1"/>
      <w:marLeft w:val="0"/>
      <w:marRight w:val="0"/>
      <w:marTop w:val="0"/>
      <w:marBottom w:val="0"/>
      <w:divBdr>
        <w:top w:val="none" w:sz="0" w:space="0" w:color="auto"/>
        <w:left w:val="none" w:sz="0" w:space="0" w:color="auto"/>
        <w:bottom w:val="none" w:sz="0" w:space="0" w:color="auto"/>
        <w:right w:val="none" w:sz="0" w:space="0" w:color="auto"/>
      </w:divBdr>
    </w:div>
    <w:div w:id="1322391116">
      <w:bodyDiv w:val="1"/>
      <w:marLeft w:val="0"/>
      <w:marRight w:val="0"/>
      <w:marTop w:val="0"/>
      <w:marBottom w:val="0"/>
      <w:divBdr>
        <w:top w:val="none" w:sz="0" w:space="0" w:color="auto"/>
        <w:left w:val="none" w:sz="0" w:space="0" w:color="auto"/>
        <w:bottom w:val="none" w:sz="0" w:space="0" w:color="auto"/>
        <w:right w:val="none" w:sz="0" w:space="0" w:color="auto"/>
      </w:divBdr>
    </w:div>
    <w:div w:id="1328242187">
      <w:bodyDiv w:val="1"/>
      <w:marLeft w:val="0"/>
      <w:marRight w:val="0"/>
      <w:marTop w:val="0"/>
      <w:marBottom w:val="0"/>
      <w:divBdr>
        <w:top w:val="none" w:sz="0" w:space="0" w:color="auto"/>
        <w:left w:val="none" w:sz="0" w:space="0" w:color="auto"/>
        <w:bottom w:val="none" w:sz="0" w:space="0" w:color="auto"/>
        <w:right w:val="none" w:sz="0" w:space="0" w:color="auto"/>
      </w:divBdr>
    </w:div>
    <w:div w:id="1330132426">
      <w:bodyDiv w:val="1"/>
      <w:marLeft w:val="0"/>
      <w:marRight w:val="0"/>
      <w:marTop w:val="0"/>
      <w:marBottom w:val="0"/>
      <w:divBdr>
        <w:top w:val="none" w:sz="0" w:space="0" w:color="auto"/>
        <w:left w:val="none" w:sz="0" w:space="0" w:color="auto"/>
        <w:bottom w:val="none" w:sz="0" w:space="0" w:color="auto"/>
        <w:right w:val="none" w:sz="0" w:space="0" w:color="auto"/>
      </w:divBdr>
    </w:div>
    <w:div w:id="1331637204">
      <w:bodyDiv w:val="1"/>
      <w:marLeft w:val="0"/>
      <w:marRight w:val="0"/>
      <w:marTop w:val="0"/>
      <w:marBottom w:val="0"/>
      <w:divBdr>
        <w:top w:val="none" w:sz="0" w:space="0" w:color="auto"/>
        <w:left w:val="none" w:sz="0" w:space="0" w:color="auto"/>
        <w:bottom w:val="none" w:sz="0" w:space="0" w:color="auto"/>
        <w:right w:val="none" w:sz="0" w:space="0" w:color="auto"/>
      </w:divBdr>
    </w:div>
    <w:div w:id="1335692581">
      <w:bodyDiv w:val="1"/>
      <w:marLeft w:val="0"/>
      <w:marRight w:val="0"/>
      <w:marTop w:val="0"/>
      <w:marBottom w:val="0"/>
      <w:divBdr>
        <w:top w:val="none" w:sz="0" w:space="0" w:color="auto"/>
        <w:left w:val="none" w:sz="0" w:space="0" w:color="auto"/>
        <w:bottom w:val="none" w:sz="0" w:space="0" w:color="auto"/>
        <w:right w:val="none" w:sz="0" w:space="0" w:color="auto"/>
      </w:divBdr>
    </w:div>
    <w:div w:id="1339115484">
      <w:bodyDiv w:val="1"/>
      <w:marLeft w:val="0"/>
      <w:marRight w:val="0"/>
      <w:marTop w:val="0"/>
      <w:marBottom w:val="0"/>
      <w:divBdr>
        <w:top w:val="none" w:sz="0" w:space="0" w:color="auto"/>
        <w:left w:val="none" w:sz="0" w:space="0" w:color="auto"/>
        <w:bottom w:val="none" w:sz="0" w:space="0" w:color="auto"/>
        <w:right w:val="none" w:sz="0" w:space="0" w:color="auto"/>
      </w:divBdr>
    </w:div>
    <w:div w:id="1340353795">
      <w:bodyDiv w:val="1"/>
      <w:marLeft w:val="0"/>
      <w:marRight w:val="0"/>
      <w:marTop w:val="0"/>
      <w:marBottom w:val="0"/>
      <w:divBdr>
        <w:top w:val="none" w:sz="0" w:space="0" w:color="auto"/>
        <w:left w:val="none" w:sz="0" w:space="0" w:color="auto"/>
        <w:bottom w:val="none" w:sz="0" w:space="0" w:color="auto"/>
        <w:right w:val="none" w:sz="0" w:space="0" w:color="auto"/>
      </w:divBdr>
    </w:div>
    <w:div w:id="1342005227">
      <w:bodyDiv w:val="1"/>
      <w:marLeft w:val="0"/>
      <w:marRight w:val="0"/>
      <w:marTop w:val="0"/>
      <w:marBottom w:val="0"/>
      <w:divBdr>
        <w:top w:val="none" w:sz="0" w:space="0" w:color="auto"/>
        <w:left w:val="none" w:sz="0" w:space="0" w:color="auto"/>
        <w:bottom w:val="none" w:sz="0" w:space="0" w:color="auto"/>
        <w:right w:val="none" w:sz="0" w:space="0" w:color="auto"/>
      </w:divBdr>
    </w:div>
    <w:div w:id="1345016972">
      <w:bodyDiv w:val="1"/>
      <w:marLeft w:val="0"/>
      <w:marRight w:val="0"/>
      <w:marTop w:val="0"/>
      <w:marBottom w:val="0"/>
      <w:divBdr>
        <w:top w:val="none" w:sz="0" w:space="0" w:color="auto"/>
        <w:left w:val="none" w:sz="0" w:space="0" w:color="auto"/>
        <w:bottom w:val="none" w:sz="0" w:space="0" w:color="auto"/>
        <w:right w:val="none" w:sz="0" w:space="0" w:color="auto"/>
      </w:divBdr>
    </w:div>
    <w:div w:id="1346861530">
      <w:bodyDiv w:val="1"/>
      <w:marLeft w:val="0"/>
      <w:marRight w:val="0"/>
      <w:marTop w:val="0"/>
      <w:marBottom w:val="0"/>
      <w:divBdr>
        <w:top w:val="none" w:sz="0" w:space="0" w:color="auto"/>
        <w:left w:val="none" w:sz="0" w:space="0" w:color="auto"/>
        <w:bottom w:val="none" w:sz="0" w:space="0" w:color="auto"/>
        <w:right w:val="none" w:sz="0" w:space="0" w:color="auto"/>
      </w:divBdr>
    </w:div>
    <w:div w:id="1350332906">
      <w:bodyDiv w:val="1"/>
      <w:marLeft w:val="0"/>
      <w:marRight w:val="0"/>
      <w:marTop w:val="0"/>
      <w:marBottom w:val="0"/>
      <w:divBdr>
        <w:top w:val="none" w:sz="0" w:space="0" w:color="auto"/>
        <w:left w:val="none" w:sz="0" w:space="0" w:color="auto"/>
        <w:bottom w:val="none" w:sz="0" w:space="0" w:color="auto"/>
        <w:right w:val="none" w:sz="0" w:space="0" w:color="auto"/>
      </w:divBdr>
    </w:div>
    <w:div w:id="1357073128">
      <w:bodyDiv w:val="1"/>
      <w:marLeft w:val="0"/>
      <w:marRight w:val="0"/>
      <w:marTop w:val="0"/>
      <w:marBottom w:val="0"/>
      <w:divBdr>
        <w:top w:val="none" w:sz="0" w:space="0" w:color="auto"/>
        <w:left w:val="none" w:sz="0" w:space="0" w:color="auto"/>
        <w:bottom w:val="none" w:sz="0" w:space="0" w:color="auto"/>
        <w:right w:val="none" w:sz="0" w:space="0" w:color="auto"/>
      </w:divBdr>
    </w:div>
    <w:div w:id="1357273522">
      <w:bodyDiv w:val="1"/>
      <w:marLeft w:val="0"/>
      <w:marRight w:val="0"/>
      <w:marTop w:val="0"/>
      <w:marBottom w:val="0"/>
      <w:divBdr>
        <w:top w:val="none" w:sz="0" w:space="0" w:color="auto"/>
        <w:left w:val="none" w:sz="0" w:space="0" w:color="auto"/>
        <w:bottom w:val="none" w:sz="0" w:space="0" w:color="auto"/>
        <w:right w:val="none" w:sz="0" w:space="0" w:color="auto"/>
      </w:divBdr>
    </w:div>
    <w:div w:id="1357347356">
      <w:bodyDiv w:val="1"/>
      <w:marLeft w:val="0"/>
      <w:marRight w:val="0"/>
      <w:marTop w:val="0"/>
      <w:marBottom w:val="0"/>
      <w:divBdr>
        <w:top w:val="none" w:sz="0" w:space="0" w:color="auto"/>
        <w:left w:val="none" w:sz="0" w:space="0" w:color="auto"/>
        <w:bottom w:val="none" w:sz="0" w:space="0" w:color="auto"/>
        <w:right w:val="none" w:sz="0" w:space="0" w:color="auto"/>
      </w:divBdr>
    </w:div>
    <w:div w:id="1358191778">
      <w:bodyDiv w:val="1"/>
      <w:marLeft w:val="0"/>
      <w:marRight w:val="0"/>
      <w:marTop w:val="0"/>
      <w:marBottom w:val="0"/>
      <w:divBdr>
        <w:top w:val="none" w:sz="0" w:space="0" w:color="auto"/>
        <w:left w:val="none" w:sz="0" w:space="0" w:color="auto"/>
        <w:bottom w:val="none" w:sz="0" w:space="0" w:color="auto"/>
        <w:right w:val="none" w:sz="0" w:space="0" w:color="auto"/>
      </w:divBdr>
    </w:div>
    <w:div w:id="1360812338">
      <w:bodyDiv w:val="1"/>
      <w:marLeft w:val="0"/>
      <w:marRight w:val="0"/>
      <w:marTop w:val="0"/>
      <w:marBottom w:val="0"/>
      <w:divBdr>
        <w:top w:val="none" w:sz="0" w:space="0" w:color="auto"/>
        <w:left w:val="none" w:sz="0" w:space="0" w:color="auto"/>
        <w:bottom w:val="none" w:sz="0" w:space="0" w:color="auto"/>
        <w:right w:val="none" w:sz="0" w:space="0" w:color="auto"/>
      </w:divBdr>
    </w:div>
    <w:div w:id="1361005111">
      <w:bodyDiv w:val="1"/>
      <w:marLeft w:val="0"/>
      <w:marRight w:val="0"/>
      <w:marTop w:val="0"/>
      <w:marBottom w:val="0"/>
      <w:divBdr>
        <w:top w:val="none" w:sz="0" w:space="0" w:color="auto"/>
        <w:left w:val="none" w:sz="0" w:space="0" w:color="auto"/>
        <w:bottom w:val="none" w:sz="0" w:space="0" w:color="auto"/>
        <w:right w:val="none" w:sz="0" w:space="0" w:color="auto"/>
      </w:divBdr>
    </w:div>
    <w:div w:id="1361123537">
      <w:bodyDiv w:val="1"/>
      <w:marLeft w:val="0"/>
      <w:marRight w:val="0"/>
      <w:marTop w:val="0"/>
      <w:marBottom w:val="0"/>
      <w:divBdr>
        <w:top w:val="none" w:sz="0" w:space="0" w:color="auto"/>
        <w:left w:val="none" w:sz="0" w:space="0" w:color="auto"/>
        <w:bottom w:val="none" w:sz="0" w:space="0" w:color="auto"/>
        <w:right w:val="none" w:sz="0" w:space="0" w:color="auto"/>
      </w:divBdr>
    </w:div>
    <w:div w:id="1366754775">
      <w:bodyDiv w:val="1"/>
      <w:marLeft w:val="0"/>
      <w:marRight w:val="0"/>
      <w:marTop w:val="0"/>
      <w:marBottom w:val="0"/>
      <w:divBdr>
        <w:top w:val="none" w:sz="0" w:space="0" w:color="auto"/>
        <w:left w:val="none" w:sz="0" w:space="0" w:color="auto"/>
        <w:bottom w:val="none" w:sz="0" w:space="0" w:color="auto"/>
        <w:right w:val="none" w:sz="0" w:space="0" w:color="auto"/>
      </w:divBdr>
    </w:div>
    <w:div w:id="1369185201">
      <w:bodyDiv w:val="1"/>
      <w:marLeft w:val="0"/>
      <w:marRight w:val="0"/>
      <w:marTop w:val="0"/>
      <w:marBottom w:val="0"/>
      <w:divBdr>
        <w:top w:val="none" w:sz="0" w:space="0" w:color="auto"/>
        <w:left w:val="none" w:sz="0" w:space="0" w:color="auto"/>
        <w:bottom w:val="none" w:sz="0" w:space="0" w:color="auto"/>
        <w:right w:val="none" w:sz="0" w:space="0" w:color="auto"/>
      </w:divBdr>
    </w:div>
    <w:div w:id="1376084461">
      <w:bodyDiv w:val="1"/>
      <w:marLeft w:val="0"/>
      <w:marRight w:val="0"/>
      <w:marTop w:val="0"/>
      <w:marBottom w:val="0"/>
      <w:divBdr>
        <w:top w:val="none" w:sz="0" w:space="0" w:color="auto"/>
        <w:left w:val="none" w:sz="0" w:space="0" w:color="auto"/>
        <w:bottom w:val="none" w:sz="0" w:space="0" w:color="auto"/>
        <w:right w:val="none" w:sz="0" w:space="0" w:color="auto"/>
      </w:divBdr>
    </w:div>
    <w:div w:id="1377196145">
      <w:bodyDiv w:val="1"/>
      <w:marLeft w:val="0"/>
      <w:marRight w:val="0"/>
      <w:marTop w:val="0"/>
      <w:marBottom w:val="0"/>
      <w:divBdr>
        <w:top w:val="none" w:sz="0" w:space="0" w:color="auto"/>
        <w:left w:val="none" w:sz="0" w:space="0" w:color="auto"/>
        <w:bottom w:val="none" w:sz="0" w:space="0" w:color="auto"/>
        <w:right w:val="none" w:sz="0" w:space="0" w:color="auto"/>
      </w:divBdr>
    </w:div>
    <w:div w:id="1379165186">
      <w:bodyDiv w:val="1"/>
      <w:marLeft w:val="0"/>
      <w:marRight w:val="0"/>
      <w:marTop w:val="0"/>
      <w:marBottom w:val="0"/>
      <w:divBdr>
        <w:top w:val="none" w:sz="0" w:space="0" w:color="auto"/>
        <w:left w:val="none" w:sz="0" w:space="0" w:color="auto"/>
        <w:bottom w:val="none" w:sz="0" w:space="0" w:color="auto"/>
        <w:right w:val="none" w:sz="0" w:space="0" w:color="auto"/>
      </w:divBdr>
    </w:div>
    <w:div w:id="1383362442">
      <w:bodyDiv w:val="1"/>
      <w:marLeft w:val="0"/>
      <w:marRight w:val="0"/>
      <w:marTop w:val="0"/>
      <w:marBottom w:val="0"/>
      <w:divBdr>
        <w:top w:val="none" w:sz="0" w:space="0" w:color="auto"/>
        <w:left w:val="none" w:sz="0" w:space="0" w:color="auto"/>
        <w:bottom w:val="none" w:sz="0" w:space="0" w:color="auto"/>
        <w:right w:val="none" w:sz="0" w:space="0" w:color="auto"/>
      </w:divBdr>
    </w:div>
    <w:div w:id="1389496788">
      <w:bodyDiv w:val="1"/>
      <w:marLeft w:val="0"/>
      <w:marRight w:val="0"/>
      <w:marTop w:val="0"/>
      <w:marBottom w:val="0"/>
      <w:divBdr>
        <w:top w:val="none" w:sz="0" w:space="0" w:color="auto"/>
        <w:left w:val="none" w:sz="0" w:space="0" w:color="auto"/>
        <w:bottom w:val="none" w:sz="0" w:space="0" w:color="auto"/>
        <w:right w:val="none" w:sz="0" w:space="0" w:color="auto"/>
      </w:divBdr>
    </w:div>
    <w:div w:id="1396201407">
      <w:bodyDiv w:val="1"/>
      <w:marLeft w:val="0"/>
      <w:marRight w:val="0"/>
      <w:marTop w:val="0"/>
      <w:marBottom w:val="0"/>
      <w:divBdr>
        <w:top w:val="none" w:sz="0" w:space="0" w:color="auto"/>
        <w:left w:val="none" w:sz="0" w:space="0" w:color="auto"/>
        <w:bottom w:val="none" w:sz="0" w:space="0" w:color="auto"/>
        <w:right w:val="none" w:sz="0" w:space="0" w:color="auto"/>
      </w:divBdr>
    </w:div>
    <w:div w:id="1397708112">
      <w:bodyDiv w:val="1"/>
      <w:marLeft w:val="0"/>
      <w:marRight w:val="0"/>
      <w:marTop w:val="0"/>
      <w:marBottom w:val="0"/>
      <w:divBdr>
        <w:top w:val="none" w:sz="0" w:space="0" w:color="auto"/>
        <w:left w:val="none" w:sz="0" w:space="0" w:color="auto"/>
        <w:bottom w:val="none" w:sz="0" w:space="0" w:color="auto"/>
        <w:right w:val="none" w:sz="0" w:space="0" w:color="auto"/>
      </w:divBdr>
    </w:div>
    <w:div w:id="1399785346">
      <w:bodyDiv w:val="1"/>
      <w:marLeft w:val="0"/>
      <w:marRight w:val="0"/>
      <w:marTop w:val="0"/>
      <w:marBottom w:val="0"/>
      <w:divBdr>
        <w:top w:val="none" w:sz="0" w:space="0" w:color="auto"/>
        <w:left w:val="none" w:sz="0" w:space="0" w:color="auto"/>
        <w:bottom w:val="none" w:sz="0" w:space="0" w:color="auto"/>
        <w:right w:val="none" w:sz="0" w:space="0" w:color="auto"/>
      </w:divBdr>
    </w:div>
    <w:div w:id="1399935411">
      <w:bodyDiv w:val="1"/>
      <w:marLeft w:val="0"/>
      <w:marRight w:val="0"/>
      <w:marTop w:val="0"/>
      <w:marBottom w:val="0"/>
      <w:divBdr>
        <w:top w:val="none" w:sz="0" w:space="0" w:color="auto"/>
        <w:left w:val="none" w:sz="0" w:space="0" w:color="auto"/>
        <w:bottom w:val="none" w:sz="0" w:space="0" w:color="auto"/>
        <w:right w:val="none" w:sz="0" w:space="0" w:color="auto"/>
      </w:divBdr>
    </w:div>
    <w:div w:id="1411463879">
      <w:bodyDiv w:val="1"/>
      <w:marLeft w:val="0"/>
      <w:marRight w:val="0"/>
      <w:marTop w:val="0"/>
      <w:marBottom w:val="0"/>
      <w:divBdr>
        <w:top w:val="none" w:sz="0" w:space="0" w:color="auto"/>
        <w:left w:val="none" w:sz="0" w:space="0" w:color="auto"/>
        <w:bottom w:val="none" w:sz="0" w:space="0" w:color="auto"/>
        <w:right w:val="none" w:sz="0" w:space="0" w:color="auto"/>
      </w:divBdr>
    </w:div>
    <w:div w:id="1417482070">
      <w:bodyDiv w:val="1"/>
      <w:marLeft w:val="0"/>
      <w:marRight w:val="0"/>
      <w:marTop w:val="0"/>
      <w:marBottom w:val="0"/>
      <w:divBdr>
        <w:top w:val="none" w:sz="0" w:space="0" w:color="auto"/>
        <w:left w:val="none" w:sz="0" w:space="0" w:color="auto"/>
        <w:bottom w:val="none" w:sz="0" w:space="0" w:color="auto"/>
        <w:right w:val="none" w:sz="0" w:space="0" w:color="auto"/>
      </w:divBdr>
    </w:div>
    <w:div w:id="1418791296">
      <w:bodyDiv w:val="1"/>
      <w:marLeft w:val="0"/>
      <w:marRight w:val="0"/>
      <w:marTop w:val="0"/>
      <w:marBottom w:val="0"/>
      <w:divBdr>
        <w:top w:val="none" w:sz="0" w:space="0" w:color="auto"/>
        <w:left w:val="none" w:sz="0" w:space="0" w:color="auto"/>
        <w:bottom w:val="none" w:sz="0" w:space="0" w:color="auto"/>
        <w:right w:val="none" w:sz="0" w:space="0" w:color="auto"/>
      </w:divBdr>
    </w:div>
    <w:div w:id="1428161684">
      <w:bodyDiv w:val="1"/>
      <w:marLeft w:val="0"/>
      <w:marRight w:val="0"/>
      <w:marTop w:val="0"/>
      <w:marBottom w:val="0"/>
      <w:divBdr>
        <w:top w:val="none" w:sz="0" w:space="0" w:color="auto"/>
        <w:left w:val="none" w:sz="0" w:space="0" w:color="auto"/>
        <w:bottom w:val="none" w:sz="0" w:space="0" w:color="auto"/>
        <w:right w:val="none" w:sz="0" w:space="0" w:color="auto"/>
      </w:divBdr>
    </w:div>
    <w:div w:id="1430547019">
      <w:bodyDiv w:val="1"/>
      <w:marLeft w:val="0"/>
      <w:marRight w:val="0"/>
      <w:marTop w:val="0"/>
      <w:marBottom w:val="0"/>
      <w:divBdr>
        <w:top w:val="none" w:sz="0" w:space="0" w:color="auto"/>
        <w:left w:val="none" w:sz="0" w:space="0" w:color="auto"/>
        <w:bottom w:val="none" w:sz="0" w:space="0" w:color="auto"/>
        <w:right w:val="none" w:sz="0" w:space="0" w:color="auto"/>
      </w:divBdr>
    </w:div>
    <w:div w:id="1433164213">
      <w:bodyDiv w:val="1"/>
      <w:marLeft w:val="0"/>
      <w:marRight w:val="0"/>
      <w:marTop w:val="0"/>
      <w:marBottom w:val="0"/>
      <w:divBdr>
        <w:top w:val="none" w:sz="0" w:space="0" w:color="auto"/>
        <w:left w:val="none" w:sz="0" w:space="0" w:color="auto"/>
        <w:bottom w:val="none" w:sz="0" w:space="0" w:color="auto"/>
        <w:right w:val="none" w:sz="0" w:space="0" w:color="auto"/>
      </w:divBdr>
    </w:div>
    <w:div w:id="1433208250">
      <w:bodyDiv w:val="1"/>
      <w:marLeft w:val="0"/>
      <w:marRight w:val="0"/>
      <w:marTop w:val="0"/>
      <w:marBottom w:val="0"/>
      <w:divBdr>
        <w:top w:val="none" w:sz="0" w:space="0" w:color="auto"/>
        <w:left w:val="none" w:sz="0" w:space="0" w:color="auto"/>
        <w:bottom w:val="none" w:sz="0" w:space="0" w:color="auto"/>
        <w:right w:val="none" w:sz="0" w:space="0" w:color="auto"/>
      </w:divBdr>
    </w:div>
    <w:div w:id="1435127403">
      <w:bodyDiv w:val="1"/>
      <w:marLeft w:val="0"/>
      <w:marRight w:val="0"/>
      <w:marTop w:val="0"/>
      <w:marBottom w:val="0"/>
      <w:divBdr>
        <w:top w:val="none" w:sz="0" w:space="0" w:color="auto"/>
        <w:left w:val="none" w:sz="0" w:space="0" w:color="auto"/>
        <w:bottom w:val="none" w:sz="0" w:space="0" w:color="auto"/>
        <w:right w:val="none" w:sz="0" w:space="0" w:color="auto"/>
      </w:divBdr>
    </w:div>
    <w:div w:id="1439065025">
      <w:bodyDiv w:val="1"/>
      <w:marLeft w:val="0"/>
      <w:marRight w:val="0"/>
      <w:marTop w:val="0"/>
      <w:marBottom w:val="0"/>
      <w:divBdr>
        <w:top w:val="none" w:sz="0" w:space="0" w:color="auto"/>
        <w:left w:val="none" w:sz="0" w:space="0" w:color="auto"/>
        <w:bottom w:val="none" w:sz="0" w:space="0" w:color="auto"/>
        <w:right w:val="none" w:sz="0" w:space="0" w:color="auto"/>
      </w:divBdr>
    </w:div>
    <w:div w:id="1440026065">
      <w:bodyDiv w:val="1"/>
      <w:marLeft w:val="0"/>
      <w:marRight w:val="0"/>
      <w:marTop w:val="0"/>
      <w:marBottom w:val="0"/>
      <w:divBdr>
        <w:top w:val="none" w:sz="0" w:space="0" w:color="auto"/>
        <w:left w:val="none" w:sz="0" w:space="0" w:color="auto"/>
        <w:bottom w:val="none" w:sz="0" w:space="0" w:color="auto"/>
        <w:right w:val="none" w:sz="0" w:space="0" w:color="auto"/>
      </w:divBdr>
    </w:div>
    <w:div w:id="1443764959">
      <w:bodyDiv w:val="1"/>
      <w:marLeft w:val="0"/>
      <w:marRight w:val="0"/>
      <w:marTop w:val="0"/>
      <w:marBottom w:val="0"/>
      <w:divBdr>
        <w:top w:val="none" w:sz="0" w:space="0" w:color="auto"/>
        <w:left w:val="none" w:sz="0" w:space="0" w:color="auto"/>
        <w:bottom w:val="none" w:sz="0" w:space="0" w:color="auto"/>
        <w:right w:val="none" w:sz="0" w:space="0" w:color="auto"/>
      </w:divBdr>
    </w:div>
    <w:div w:id="1444035460">
      <w:bodyDiv w:val="1"/>
      <w:marLeft w:val="0"/>
      <w:marRight w:val="0"/>
      <w:marTop w:val="0"/>
      <w:marBottom w:val="0"/>
      <w:divBdr>
        <w:top w:val="none" w:sz="0" w:space="0" w:color="auto"/>
        <w:left w:val="none" w:sz="0" w:space="0" w:color="auto"/>
        <w:bottom w:val="none" w:sz="0" w:space="0" w:color="auto"/>
        <w:right w:val="none" w:sz="0" w:space="0" w:color="auto"/>
      </w:divBdr>
    </w:div>
    <w:div w:id="1446726651">
      <w:bodyDiv w:val="1"/>
      <w:marLeft w:val="0"/>
      <w:marRight w:val="0"/>
      <w:marTop w:val="0"/>
      <w:marBottom w:val="0"/>
      <w:divBdr>
        <w:top w:val="none" w:sz="0" w:space="0" w:color="auto"/>
        <w:left w:val="none" w:sz="0" w:space="0" w:color="auto"/>
        <w:bottom w:val="none" w:sz="0" w:space="0" w:color="auto"/>
        <w:right w:val="none" w:sz="0" w:space="0" w:color="auto"/>
      </w:divBdr>
    </w:div>
    <w:div w:id="1449423438">
      <w:bodyDiv w:val="1"/>
      <w:marLeft w:val="0"/>
      <w:marRight w:val="0"/>
      <w:marTop w:val="0"/>
      <w:marBottom w:val="0"/>
      <w:divBdr>
        <w:top w:val="none" w:sz="0" w:space="0" w:color="auto"/>
        <w:left w:val="none" w:sz="0" w:space="0" w:color="auto"/>
        <w:bottom w:val="none" w:sz="0" w:space="0" w:color="auto"/>
        <w:right w:val="none" w:sz="0" w:space="0" w:color="auto"/>
      </w:divBdr>
    </w:div>
    <w:div w:id="1449931464">
      <w:bodyDiv w:val="1"/>
      <w:marLeft w:val="0"/>
      <w:marRight w:val="0"/>
      <w:marTop w:val="0"/>
      <w:marBottom w:val="0"/>
      <w:divBdr>
        <w:top w:val="none" w:sz="0" w:space="0" w:color="auto"/>
        <w:left w:val="none" w:sz="0" w:space="0" w:color="auto"/>
        <w:bottom w:val="none" w:sz="0" w:space="0" w:color="auto"/>
        <w:right w:val="none" w:sz="0" w:space="0" w:color="auto"/>
      </w:divBdr>
    </w:div>
    <w:div w:id="1452287190">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9255546">
      <w:bodyDiv w:val="1"/>
      <w:marLeft w:val="0"/>
      <w:marRight w:val="0"/>
      <w:marTop w:val="0"/>
      <w:marBottom w:val="0"/>
      <w:divBdr>
        <w:top w:val="none" w:sz="0" w:space="0" w:color="auto"/>
        <w:left w:val="none" w:sz="0" w:space="0" w:color="auto"/>
        <w:bottom w:val="none" w:sz="0" w:space="0" w:color="auto"/>
        <w:right w:val="none" w:sz="0" w:space="0" w:color="auto"/>
      </w:divBdr>
    </w:div>
    <w:div w:id="1462115390">
      <w:bodyDiv w:val="1"/>
      <w:marLeft w:val="0"/>
      <w:marRight w:val="0"/>
      <w:marTop w:val="0"/>
      <w:marBottom w:val="0"/>
      <w:divBdr>
        <w:top w:val="none" w:sz="0" w:space="0" w:color="auto"/>
        <w:left w:val="none" w:sz="0" w:space="0" w:color="auto"/>
        <w:bottom w:val="none" w:sz="0" w:space="0" w:color="auto"/>
        <w:right w:val="none" w:sz="0" w:space="0" w:color="auto"/>
      </w:divBdr>
    </w:div>
    <w:div w:id="1464273273">
      <w:bodyDiv w:val="1"/>
      <w:marLeft w:val="0"/>
      <w:marRight w:val="0"/>
      <w:marTop w:val="0"/>
      <w:marBottom w:val="0"/>
      <w:divBdr>
        <w:top w:val="none" w:sz="0" w:space="0" w:color="auto"/>
        <w:left w:val="none" w:sz="0" w:space="0" w:color="auto"/>
        <w:bottom w:val="none" w:sz="0" w:space="0" w:color="auto"/>
        <w:right w:val="none" w:sz="0" w:space="0" w:color="auto"/>
      </w:divBdr>
    </w:div>
    <w:div w:id="1464808255">
      <w:bodyDiv w:val="1"/>
      <w:marLeft w:val="0"/>
      <w:marRight w:val="0"/>
      <w:marTop w:val="0"/>
      <w:marBottom w:val="0"/>
      <w:divBdr>
        <w:top w:val="none" w:sz="0" w:space="0" w:color="auto"/>
        <w:left w:val="none" w:sz="0" w:space="0" w:color="auto"/>
        <w:bottom w:val="none" w:sz="0" w:space="0" w:color="auto"/>
        <w:right w:val="none" w:sz="0" w:space="0" w:color="auto"/>
      </w:divBdr>
    </w:div>
    <w:div w:id="1466509124">
      <w:bodyDiv w:val="1"/>
      <w:marLeft w:val="0"/>
      <w:marRight w:val="0"/>
      <w:marTop w:val="0"/>
      <w:marBottom w:val="0"/>
      <w:divBdr>
        <w:top w:val="none" w:sz="0" w:space="0" w:color="auto"/>
        <w:left w:val="none" w:sz="0" w:space="0" w:color="auto"/>
        <w:bottom w:val="none" w:sz="0" w:space="0" w:color="auto"/>
        <w:right w:val="none" w:sz="0" w:space="0" w:color="auto"/>
      </w:divBdr>
    </w:div>
    <w:div w:id="1467317496">
      <w:bodyDiv w:val="1"/>
      <w:marLeft w:val="0"/>
      <w:marRight w:val="0"/>
      <w:marTop w:val="0"/>
      <w:marBottom w:val="0"/>
      <w:divBdr>
        <w:top w:val="none" w:sz="0" w:space="0" w:color="auto"/>
        <w:left w:val="none" w:sz="0" w:space="0" w:color="auto"/>
        <w:bottom w:val="none" w:sz="0" w:space="0" w:color="auto"/>
        <w:right w:val="none" w:sz="0" w:space="0" w:color="auto"/>
      </w:divBdr>
    </w:div>
    <w:div w:id="1467550811">
      <w:bodyDiv w:val="1"/>
      <w:marLeft w:val="0"/>
      <w:marRight w:val="0"/>
      <w:marTop w:val="0"/>
      <w:marBottom w:val="0"/>
      <w:divBdr>
        <w:top w:val="none" w:sz="0" w:space="0" w:color="auto"/>
        <w:left w:val="none" w:sz="0" w:space="0" w:color="auto"/>
        <w:bottom w:val="none" w:sz="0" w:space="0" w:color="auto"/>
        <w:right w:val="none" w:sz="0" w:space="0" w:color="auto"/>
      </w:divBdr>
    </w:div>
    <w:div w:id="1469972849">
      <w:bodyDiv w:val="1"/>
      <w:marLeft w:val="0"/>
      <w:marRight w:val="0"/>
      <w:marTop w:val="0"/>
      <w:marBottom w:val="0"/>
      <w:divBdr>
        <w:top w:val="none" w:sz="0" w:space="0" w:color="auto"/>
        <w:left w:val="none" w:sz="0" w:space="0" w:color="auto"/>
        <w:bottom w:val="none" w:sz="0" w:space="0" w:color="auto"/>
        <w:right w:val="none" w:sz="0" w:space="0" w:color="auto"/>
      </w:divBdr>
    </w:div>
    <w:div w:id="1469978344">
      <w:bodyDiv w:val="1"/>
      <w:marLeft w:val="0"/>
      <w:marRight w:val="0"/>
      <w:marTop w:val="0"/>
      <w:marBottom w:val="0"/>
      <w:divBdr>
        <w:top w:val="none" w:sz="0" w:space="0" w:color="auto"/>
        <w:left w:val="none" w:sz="0" w:space="0" w:color="auto"/>
        <w:bottom w:val="none" w:sz="0" w:space="0" w:color="auto"/>
        <w:right w:val="none" w:sz="0" w:space="0" w:color="auto"/>
      </w:divBdr>
    </w:div>
    <w:div w:id="1470241169">
      <w:bodyDiv w:val="1"/>
      <w:marLeft w:val="0"/>
      <w:marRight w:val="0"/>
      <w:marTop w:val="0"/>
      <w:marBottom w:val="0"/>
      <w:divBdr>
        <w:top w:val="none" w:sz="0" w:space="0" w:color="auto"/>
        <w:left w:val="none" w:sz="0" w:space="0" w:color="auto"/>
        <w:bottom w:val="none" w:sz="0" w:space="0" w:color="auto"/>
        <w:right w:val="none" w:sz="0" w:space="0" w:color="auto"/>
      </w:divBdr>
    </w:div>
    <w:div w:id="1471551814">
      <w:bodyDiv w:val="1"/>
      <w:marLeft w:val="0"/>
      <w:marRight w:val="0"/>
      <w:marTop w:val="0"/>
      <w:marBottom w:val="0"/>
      <w:divBdr>
        <w:top w:val="none" w:sz="0" w:space="0" w:color="auto"/>
        <w:left w:val="none" w:sz="0" w:space="0" w:color="auto"/>
        <w:bottom w:val="none" w:sz="0" w:space="0" w:color="auto"/>
        <w:right w:val="none" w:sz="0" w:space="0" w:color="auto"/>
      </w:divBdr>
    </w:div>
    <w:div w:id="1473911824">
      <w:bodyDiv w:val="1"/>
      <w:marLeft w:val="0"/>
      <w:marRight w:val="0"/>
      <w:marTop w:val="0"/>
      <w:marBottom w:val="0"/>
      <w:divBdr>
        <w:top w:val="none" w:sz="0" w:space="0" w:color="auto"/>
        <w:left w:val="none" w:sz="0" w:space="0" w:color="auto"/>
        <w:bottom w:val="none" w:sz="0" w:space="0" w:color="auto"/>
        <w:right w:val="none" w:sz="0" w:space="0" w:color="auto"/>
      </w:divBdr>
    </w:div>
    <w:div w:id="1481924552">
      <w:bodyDiv w:val="1"/>
      <w:marLeft w:val="0"/>
      <w:marRight w:val="0"/>
      <w:marTop w:val="0"/>
      <w:marBottom w:val="0"/>
      <w:divBdr>
        <w:top w:val="none" w:sz="0" w:space="0" w:color="auto"/>
        <w:left w:val="none" w:sz="0" w:space="0" w:color="auto"/>
        <w:bottom w:val="none" w:sz="0" w:space="0" w:color="auto"/>
        <w:right w:val="none" w:sz="0" w:space="0" w:color="auto"/>
      </w:divBdr>
    </w:div>
    <w:div w:id="1482884238">
      <w:bodyDiv w:val="1"/>
      <w:marLeft w:val="0"/>
      <w:marRight w:val="0"/>
      <w:marTop w:val="0"/>
      <w:marBottom w:val="0"/>
      <w:divBdr>
        <w:top w:val="none" w:sz="0" w:space="0" w:color="auto"/>
        <w:left w:val="none" w:sz="0" w:space="0" w:color="auto"/>
        <w:bottom w:val="none" w:sz="0" w:space="0" w:color="auto"/>
        <w:right w:val="none" w:sz="0" w:space="0" w:color="auto"/>
      </w:divBdr>
    </w:div>
    <w:div w:id="1485898718">
      <w:bodyDiv w:val="1"/>
      <w:marLeft w:val="0"/>
      <w:marRight w:val="0"/>
      <w:marTop w:val="0"/>
      <w:marBottom w:val="0"/>
      <w:divBdr>
        <w:top w:val="none" w:sz="0" w:space="0" w:color="auto"/>
        <w:left w:val="none" w:sz="0" w:space="0" w:color="auto"/>
        <w:bottom w:val="none" w:sz="0" w:space="0" w:color="auto"/>
        <w:right w:val="none" w:sz="0" w:space="0" w:color="auto"/>
      </w:divBdr>
    </w:div>
    <w:div w:id="1487092373">
      <w:bodyDiv w:val="1"/>
      <w:marLeft w:val="0"/>
      <w:marRight w:val="0"/>
      <w:marTop w:val="0"/>
      <w:marBottom w:val="0"/>
      <w:divBdr>
        <w:top w:val="none" w:sz="0" w:space="0" w:color="auto"/>
        <w:left w:val="none" w:sz="0" w:space="0" w:color="auto"/>
        <w:bottom w:val="none" w:sz="0" w:space="0" w:color="auto"/>
        <w:right w:val="none" w:sz="0" w:space="0" w:color="auto"/>
      </w:divBdr>
    </w:div>
    <w:div w:id="1494296793">
      <w:bodyDiv w:val="1"/>
      <w:marLeft w:val="0"/>
      <w:marRight w:val="0"/>
      <w:marTop w:val="0"/>
      <w:marBottom w:val="0"/>
      <w:divBdr>
        <w:top w:val="none" w:sz="0" w:space="0" w:color="auto"/>
        <w:left w:val="none" w:sz="0" w:space="0" w:color="auto"/>
        <w:bottom w:val="none" w:sz="0" w:space="0" w:color="auto"/>
        <w:right w:val="none" w:sz="0" w:space="0" w:color="auto"/>
      </w:divBdr>
    </w:div>
    <w:div w:id="1501507436">
      <w:bodyDiv w:val="1"/>
      <w:marLeft w:val="0"/>
      <w:marRight w:val="0"/>
      <w:marTop w:val="0"/>
      <w:marBottom w:val="0"/>
      <w:divBdr>
        <w:top w:val="none" w:sz="0" w:space="0" w:color="auto"/>
        <w:left w:val="none" w:sz="0" w:space="0" w:color="auto"/>
        <w:bottom w:val="none" w:sz="0" w:space="0" w:color="auto"/>
        <w:right w:val="none" w:sz="0" w:space="0" w:color="auto"/>
      </w:divBdr>
    </w:div>
    <w:div w:id="1502086309">
      <w:bodyDiv w:val="1"/>
      <w:marLeft w:val="0"/>
      <w:marRight w:val="0"/>
      <w:marTop w:val="0"/>
      <w:marBottom w:val="0"/>
      <w:divBdr>
        <w:top w:val="none" w:sz="0" w:space="0" w:color="auto"/>
        <w:left w:val="none" w:sz="0" w:space="0" w:color="auto"/>
        <w:bottom w:val="none" w:sz="0" w:space="0" w:color="auto"/>
        <w:right w:val="none" w:sz="0" w:space="0" w:color="auto"/>
      </w:divBdr>
    </w:div>
    <w:div w:id="1504316339">
      <w:bodyDiv w:val="1"/>
      <w:marLeft w:val="0"/>
      <w:marRight w:val="0"/>
      <w:marTop w:val="0"/>
      <w:marBottom w:val="0"/>
      <w:divBdr>
        <w:top w:val="none" w:sz="0" w:space="0" w:color="auto"/>
        <w:left w:val="none" w:sz="0" w:space="0" w:color="auto"/>
        <w:bottom w:val="none" w:sz="0" w:space="0" w:color="auto"/>
        <w:right w:val="none" w:sz="0" w:space="0" w:color="auto"/>
      </w:divBdr>
    </w:div>
    <w:div w:id="1505629513">
      <w:bodyDiv w:val="1"/>
      <w:marLeft w:val="0"/>
      <w:marRight w:val="0"/>
      <w:marTop w:val="0"/>
      <w:marBottom w:val="0"/>
      <w:divBdr>
        <w:top w:val="none" w:sz="0" w:space="0" w:color="auto"/>
        <w:left w:val="none" w:sz="0" w:space="0" w:color="auto"/>
        <w:bottom w:val="none" w:sz="0" w:space="0" w:color="auto"/>
        <w:right w:val="none" w:sz="0" w:space="0" w:color="auto"/>
      </w:divBdr>
    </w:div>
    <w:div w:id="1508865148">
      <w:bodyDiv w:val="1"/>
      <w:marLeft w:val="0"/>
      <w:marRight w:val="0"/>
      <w:marTop w:val="0"/>
      <w:marBottom w:val="0"/>
      <w:divBdr>
        <w:top w:val="none" w:sz="0" w:space="0" w:color="auto"/>
        <w:left w:val="none" w:sz="0" w:space="0" w:color="auto"/>
        <w:bottom w:val="none" w:sz="0" w:space="0" w:color="auto"/>
        <w:right w:val="none" w:sz="0" w:space="0" w:color="auto"/>
      </w:divBdr>
    </w:div>
    <w:div w:id="1511331663">
      <w:bodyDiv w:val="1"/>
      <w:marLeft w:val="0"/>
      <w:marRight w:val="0"/>
      <w:marTop w:val="0"/>
      <w:marBottom w:val="0"/>
      <w:divBdr>
        <w:top w:val="none" w:sz="0" w:space="0" w:color="auto"/>
        <w:left w:val="none" w:sz="0" w:space="0" w:color="auto"/>
        <w:bottom w:val="none" w:sz="0" w:space="0" w:color="auto"/>
        <w:right w:val="none" w:sz="0" w:space="0" w:color="auto"/>
      </w:divBdr>
    </w:div>
    <w:div w:id="1511488581">
      <w:bodyDiv w:val="1"/>
      <w:marLeft w:val="0"/>
      <w:marRight w:val="0"/>
      <w:marTop w:val="0"/>
      <w:marBottom w:val="0"/>
      <w:divBdr>
        <w:top w:val="none" w:sz="0" w:space="0" w:color="auto"/>
        <w:left w:val="none" w:sz="0" w:space="0" w:color="auto"/>
        <w:bottom w:val="none" w:sz="0" w:space="0" w:color="auto"/>
        <w:right w:val="none" w:sz="0" w:space="0" w:color="auto"/>
      </w:divBdr>
    </w:div>
    <w:div w:id="1512522437">
      <w:bodyDiv w:val="1"/>
      <w:marLeft w:val="0"/>
      <w:marRight w:val="0"/>
      <w:marTop w:val="0"/>
      <w:marBottom w:val="0"/>
      <w:divBdr>
        <w:top w:val="none" w:sz="0" w:space="0" w:color="auto"/>
        <w:left w:val="none" w:sz="0" w:space="0" w:color="auto"/>
        <w:bottom w:val="none" w:sz="0" w:space="0" w:color="auto"/>
        <w:right w:val="none" w:sz="0" w:space="0" w:color="auto"/>
      </w:divBdr>
    </w:div>
    <w:div w:id="1518732831">
      <w:bodyDiv w:val="1"/>
      <w:marLeft w:val="0"/>
      <w:marRight w:val="0"/>
      <w:marTop w:val="0"/>
      <w:marBottom w:val="0"/>
      <w:divBdr>
        <w:top w:val="none" w:sz="0" w:space="0" w:color="auto"/>
        <w:left w:val="none" w:sz="0" w:space="0" w:color="auto"/>
        <w:bottom w:val="none" w:sz="0" w:space="0" w:color="auto"/>
        <w:right w:val="none" w:sz="0" w:space="0" w:color="auto"/>
      </w:divBdr>
    </w:div>
    <w:div w:id="1518763407">
      <w:bodyDiv w:val="1"/>
      <w:marLeft w:val="0"/>
      <w:marRight w:val="0"/>
      <w:marTop w:val="0"/>
      <w:marBottom w:val="0"/>
      <w:divBdr>
        <w:top w:val="none" w:sz="0" w:space="0" w:color="auto"/>
        <w:left w:val="none" w:sz="0" w:space="0" w:color="auto"/>
        <w:bottom w:val="none" w:sz="0" w:space="0" w:color="auto"/>
        <w:right w:val="none" w:sz="0" w:space="0" w:color="auto"/>
      </w:divBdr>
    </w:div>
    <w:div w:id="1521122256">
      <w:bodyDiv w:val="1"/>
      <w:marLeft w:val="0"/>
      <w:marRight w:val="0"/>
      <w:marTop w:val="0"/>
      <w:marBottom w:val="0"/>
      <w:divBdr>
        <w:top w:val="none" w:sz="0" w:space="0" w:color="auto"/>
        <w:left w:val="none" w:sz="0" w:space="0" w:color="auto"/>
        <w:bottom w:val="none" w:sz="0" w:space="0" w:color="auto"/>
        <w:right w:val="none" w:sz="0" w:space="0" w:color="auto"/>
      </w:divBdr>
    </w:div>
    <w:div w:id="1525751624">
      <w:bodyDiv w:val="1"/>
      <w:marLeft w:val="0"/>
      <w:marRight w:val="0"/>
      <w:marTop w:val="0"/>
      <w:marBottom w:val="0"/>
      <w:divBdr>
        <w:top w:val="none" w:sz="0" w:space="0" w:color="auto"/>
        <w:left w:val="none" w:sz="0" w:space="0" w:color="auto"/>
        <w:bottom w:val="none" w:sz="0" w:space="0" w:color="auto"/>
        <w:right w:val="none" w:sz="0" w:space="0" w:color="auto"/>
      </w:divBdr>
    </w:div>
    <w:div w:id="1526359619">
      <w:bodyDiv w:val="1"/>
      <w:marLeft w:val="0"/>
      <w:marRight w:val="0"/>
      <w:marTop w:val="0"/>
      <w:marBottom w:val="0"/>
      <w:divBdr>
        <w:top w:val="none" w:sz="0" w:space="0" w:color="auto"/>
        <w:left w:val="none" w:sz="0" w:space="0" w:color="auto"/>
        <w:bottom w:val="none" w:sz="0" w:space="0" w:color="auto"/>
        <w:right w:val="none" w:sz="0" w:space="0" w:color="auto"/>
      </w:divBdr>
    </w:div>
    <w:div w:id="1534731676">
      <w:bodyDiv w:val="1"/>
      <w:marLeft w:val="0"/>
      <w:marRight w:val="0"/>
      <w:marTop w:val="0"/>
      <w:marBottom w:val="0"/>
      <w:divBdr>
        <w:top w:val="none" w:sz="0" w:space="0" w:color="auto"/>
        <w:left w:val="none" w:sz="0" w:space="0" w:color="auto"/>
        <w:bottom w:val="none" w:sz="0" w:space="0" w:color="auto"/>
        <w:right w:val="none" w:sz="0" w:space="0" w:color="auto"/>
      </w:divBdr>
    </w:div>
    <w:div w:id="1538280058">
      <w:bodyDiv w:val="1"/>
      <w:marLeft w:val="0"/>
      <w:marRight w:val="0"/>
      <w:marTop w:val="0"/>
      <w:marBottom w:val="0"/>
      <w:divBdr>
        <w:top w:val="none" w:sz="0" w:space="0" w:color="auto"/>
        <w:left w:val="none" w:sz="0" w:space="0" w:color="auto"/>
        <w:bottom w:val="none" w:sz="0" w:space="0" w:color="auto"/>
        <w:right w:val="none" w:sz="0" w:space="0" w:color="auto"/>
      </w:divBdr>
    </w:div>
    <w:div w:id="1543712120">
      <w:bodyDiv w:val="1"/>
      <w:marLeft w:val="0"/>
      <w:marRight w:val="0"/>
      <w:marTop w:val="0"/>
      <w:marBottom w:val="0"/>
      <w:divBdr>
        <w:top w:val="none" w:sz="0" w:space="0" w:color="auto"/>
        <w:left w:val="none" w:sz="0" w:space="0" w:color="auto"/>
        <w:bottom w:val="none" w:sz="0" w:space="0" w:color="auto"/>
        <w:right w:val="none" w:sz="0" w:space="0" w:color="auto"/>
      </w:divBdr>
    </w:div>
    <w:div w:id="1547373065">
      <w:bodyDiv w:val="1"/>
      <w:marLeft w:val="0"/>
      <w:marRight w:val="0"/>
      <w:marTop w:val="0"/>
      <w:marBottom w:val="0"/>
      <w:divBdr>
        <w:top w:val="none" w:sz="0" w:space="0" w:color="auto"/>
        <w:left w:val="none" w:sz="0" w:space="0" w:color="auto"/>
        <w:bottom w:val="none" w:sz="0" w:space="0" w:color="auto"/>
        <w:right w:val="none" w:sz="0" w:space="0" w:color="auto"/>
      </w:divBdr>
    </w:div>
    <w:div w:id="1553885585">
      <w:bodyDiv w:val="1"/>
      <w:marLeft w:val="0"/>
      <w:marRight w:val="0"/>
      <w:marTop w:val="0"/>
      <w:marBottom w:val="0"/>
      <w:divBdr>
        <w:top w:val="none" w:sz="0" w:space="0" w:color="auto"/>
        <w:left w:val="none" w:sz="0" w:space="0" w:color="auto"/>
        <w:bottom w:val="none" w:sz="0" w:space="0" w:color="auto"/>
        <w:right w:val="none" w:sz="0" w:space="0" w:color="auto"/>
      </w:divBdr>
    </w:div>
    <w:div w:id="1560096587">
      <w:bodyDiv w:val="1"/>
      <w:marLeft w:val="0"/>
      <w:marRight w:val="0"/>
      <w:marTop w:val="0"/>
      <w:marBottom w:val="0"/>
      <w:divBdr>
        <w:top w:val="none" w:sz="0" w:space="0" w:color="auto"/>
        <w:left w:val="none" w:sz="0" w:space="0" w:color="auto"/>
        <w:bottom w:val="none" w:sz="0" w:space="0" w:color="auto"/>
        <w:right w:val="none" w:sz="0" w:space="0" w:color="auto"/>
      </w:divBdr>
    </w:div>
    <w:div w:id="1564485616">
      <w:bodyDiv w:val="1"/>
      <w:marLeft w:val="0"/>
      <w:marRight w:val="0"/>
      <w:marTop w:val="0"/>
      <w:marBottom w:val="0"/>
      <w:divBdr>
        <w:top w:val="none" w:sz="0" w:space="0" w:color="auto"/>
        <w:left w:val="none" w:sz="0" w:space="0" w:color="auto"/>
        <w:bottom w:val="none" w:sz="0" w:space="0" w:color="auto"/>
        <w:right w:val="none" w:sz="0" w:space="0" w:color="auto"/>
      </w:divBdr>
    </w:div>
    <w:div w:id="1564952922">
      <w:bodyDiv w:val="1"/>
      <w:marLeft w:val="0"/>
      <w:marRight w:val="0"/>
      <w:marTop w:val="0"/>
      <w:marBottom w:val="0"/>
      <w:divBdr>
        <w:top w:val="none" w:sz="0" w:space="0" w:color="auto"/>
        <w:left w:val="none" w:sz="0" w:space="0" w:color="auto"/>
        <w:bottom w:val="none" w:sz="0" w:space="0" w:color="auto"/>
        <w:right w:val="none" w:sz="0" w:space="0" w:color="auto"/>
      </w:divBdr>
    </w:div>
    <w:div w:id="1566186248">
      <w:bodyDiv w:val="1"/>
      <w:marLeft w:val="0"/>
      <w:marRight w:val="0"/>
      <w:marTop w:val="0"/>
      <w:marBottom w:val="0"/>
      <w:divBdr>
        <w:top w:val="none" w:sz="0" w:space="0" w:color="auto"/>
        <w:left w:val="none" w:sz="0" w:space="0" w:color="auto"/>
        <w:bottom w:val="none" w:sz="0" w:space="0" w:color="auto"/>
        <w:right w:val="none" w:sz="0" w:space="0" w:color="auto"/>
      </w:divBdr>
    </w:div>
    <w:div w:id="1566646783">
      <w:bodyDiv w:val="1"/>
      <w:marLeft w:val="0"/>
      <w:marRight w:val="0"/>
      <w:marTop w:val="0"/>
      <w:marBottom w:val="0"/>
      <w:divBdr>
        <w:top w:val="none" w:sz="0" w:space="0" w:color="auto"/>
        <w:left w:val="none" w:sz="0" w:space="0" w:color="auto"/>
        <w:bottom w:val="none" w:sz="0" w:space="0" w:color="auto"/>
        <w:right w:val="none" w:sz="0" w:space="0" w:color="auto"/>
      </w:divBdr>
    </w:div>
    <w:div w:id="1567495061">
      <w:bodyDiv w:val="1"/>
      <w:marLeft w:val="0"/>
      <w:marRight w:val="0"/>
      <w:marTop w:val="0"/>
      <w:marBottom w:val="0"/>
      <w:divBdr>
        <w:top w:val="none" w:sz="0" w:space="0" w:color="auto"/>
        <w:left w:val="none" w:sz="0" w:space="0" w:color="auto"/>
        <w:bottom w:val="none" w:sz="0" w:space="0" w:color="auto"/>
        <w:right w:val="none" w:sz="0" w:space="0" w:color="auto"/>
      </w:divBdr>
    </w:div>
    <w:div w:id="1571621496">
      <w:bodyDiv w:val="1"/>
      <w:marLeft w:val="0"/>
      <w:marRight w:val="0"/>
      <w:marTop w:val="0"/>
      <w:marBottom w:val="0"/>
      <w:divBdr>
        <w:top w:val="none" w:sz="0" w:space="0" w:color="auto"/>
        <w:left w:val="none" w:sz="0" w:space="0" w:color="auto"/>
        <w:bottom w:val="none" w:sz="0" w:space="0" w:color="auto"/>
        <w:right w:val="none" w:sz="0" w:space="0" w:color="auto"/>
      </w:divBdr>
    </w:div>
    <w:div w:id="1576695671">
      <w:bodyDiv w:val="1"/>
      <w:marLeft w:val="0"/>
      <w:marRight w:val="0"/>
      <w:marTop w:val="0"/>
      <w:marBottom w:val="0"/>
      <w:divBdr>
        <w:top w:val="none" w:sz="0" w:space="0" w:color="auto"/>
        <w:left w:val="none" w:sz="0" w:space="0" w:color="auto"/>
        <w:bottom w:val="none" w:sz="0" w:space="0" w:color="auto"/>
        <w:right w:val="none" w:sz="0" w:space="0" w:color="auto"/>
      </w:divBdr>
    </w:div>
    <w:div w:id="1584946569">
      <w:bodyDiv w:val="1"/>
      <w:marLeft w:val="0"/>
      <w:marRight w:val="0"/>
      <w:marTop w:val="0"/>
      <w:marBottom w:val="0"/>
      <w:divBdr>
        <w:top w:val="none" w:sz="0" w:space="0" w:color="auto"/>
        <w:left w:val="none" w:sz="0" w:space="0" w:color="auto"/>
        <w:bottom w:val="none" w:sz="0" w:space="0" w:color="auto"/>
        <w:right w:val="none" w:sz="0" w:space="0" w:color="auto"/>
      </w:divBdr>
    </w:div>
    <w:div w:id="1586379088">
      <w:bodyDiv w:val="1"/>
      <w:marLeft w:val="0"/>
      <w:marRight w:val="0"/>
      <w:marTop w:val="0"/>
      <w:marBottom w:val="0"/>
      <w:divBdr>
        <w:top w:val="none" w:sz="0" w:space="0" w:color="auto"/>
        <w:left w:val="none" w:sz="0" w:space="0" w:color="auto"/>
        <w:bottom w:val="none" w:sz="0" w:space="0" w:color="auto"/>
        <w:right w:val="none" w:sz="0" w:space="0" w:color="auto"/>
      </w:divBdr>
    </w:div>
    <w:div w:id="1590309349">
      <w:bodyDiv w:val="1"/>
      <w:marLeft w:val="0"/>
      <w:marRight w:val="0"/>
      <w:marTop w:val="0"/>
      <w:marBottom w:val="0"/>
      <w:divBdr>
        <w:top w:val="none" w:sz="0" w:space="0" w:color="auto"/>
        <w:left w:val="none" w:sz="0" w:space="0" w:color="auto"/>
        <w:bottom w:val="none" w:sz="0" w:space="0" w:color="auto"/>
        <w:right w:val="none" w:sz="0" w:space="0" w:color="auto"/>
      </w:divBdr>
    </w:div>
    <w:div w:id="1591742870">
      <w:bodyDiv w:val="1"/>
      <w:marLeft w:val="0"/>
      <w:marRight w:val="0"/>
      <w:marTop w:val="0"/>
      <w:marBottom w:val="0"/>
      <w:divBdr>
        <w:top w:val="none" w:sz="0" w:space="0" w:color="auto"/>
        <w:left w:val="none" w:sz="0" w:space="0" w:color="auto"/>
        <w:bottom w:val="none" w:sz="0" w:space="0" w:color="auto"/>
        <w:right w:val="none" w:sz="0" w:space="0" w:color="auto"/>
      </w:divBdr>
    </w:div>
    <w:div w:id="1595088924">
      <w:bodyDiv w:val="1"/>
      <w:marLeft w:val="0"/>
      <w:marRight w:val="0"/>
      <w:marTop w:val="0"/>
      <w:marBottom w:val="0"/>
      <w:divBdr>
        <w:top w:val="none" w:sz="0" w:space="0" w:color="auto"/>
        <w:left w:val="none" w:sz="0" w:space="0" w:color="auto"/>
        <w:bottom w:val="none" w:sz="0" w:space="0" w:color="auto"/>
        <w:right w:val="none" w:sz="0" w:space="0" w:color="auto"/>
      </w:divBdr>
    </w:div>
    <w:div w:id="1595898098">
      <w:bodyDiv w:val="1"/>
      <w:marLeft w:val="0"/>
      <w:marRight w:val="0"/>
      <w:marTop w:val="0"/>
      <w:marBottom w:val="0"/>
      <w:divBdr>
        <w:top w:val="none" w:sz="0" w:space="0" w:color="auto"/>
        <w:left w:val="none" w:sz="0" w:space="0" w:color="auto"/>
        <w:bottom w:val="none" w:sz="0" w:space="0" w:color="auto"/>
        <w:right w:val="none" w:sz="0" w:space="0" w:color="auto"/>
      </w:divBdr>
    </w:div>
    <w:div w:id="1596670102">
      <w:bodyDiv w:val="1"/>
      <w:marLeft w:val="0"/>
      <w:marRight w:val="0"/>
      <w:marTop w:val="0"/>
      <w:marBottom w:val="0"/>
      <w:divBdr>
        <w:top w:val="none" w:sz="0" w:space="0" w:color="auto"/>
        <w:left w:val="none" w:sz="0" w:space="0" w:color="auto"/>
        <w:bottom w:val="none" w:sz="0" w:space="0" w:color="auto"/>
        <w:right w:val="none" w:sz="0" w:space="0" w:color="auto"/>
      </w:divBdr>
    </w:div>
    <w:div w:id="1598371687">
      <w:bodyDiv w:val="1"/>
      <w:marLeft w:val="0"/>
      <w:marRight w:val="0"/>
      <w:marTop w:val="0"/>
      <w:marBottom w:val="0"/>
      <w:divBdr>
        <w:top w:val="none" w:sz="0" w:space="0" w:color="auto"/>
        <w:left w:val="none" w:sz="0" w:space="0" w:color="auto"/>
        <w:bottom w:val="none" w:sz="0" w:space="0" w:color="auto"/>
        <w:right w:val="none" w:sz="0" w:space="0" w:color="auto"/>
      </w:divBdr>
    </w:div>
    <w:div w:id="1599210716">
      <w:bodyDiv w:val="1"/>
      <w:marLeft w:val="0"/>
      <w:marRight w:val="0"/>
      <w:marTop w:val="0"/>
      <w:marBottom w:val="0"/>
      <w:divBdr>
        <w:top w:val="none" w:sz="0" w:space="0" w:color="auto"/>
        <w:left w:val="none" w:sz="0" w:space="0" w:color="auto"/>
        <w:bottom w:val="none" w:sz="0" w:space="0" w:color="auto"/>
        <w:right w:val="none" w:sz="0" w:space="0" w:color="auto"/>
      </w:divBdr>
    </w:div>
    <w:div w:id="1604339292">
      <w:bodyDiv w:val="1"/>
      <w:marLeft w:val="0"/>
      <w:marRight w:val="0"/>
      <w:marTop w:val="0"/>
      <w:marBottom w:val="0"/>
      <w:divBdr>
        <w:top w:val="none" w:sz="0" w:space="0" w:color="auto"/>
        <w:left w:val="none" w:sz="0" w:space="0" w:color="auto"/>
        <w:bottom w:val="none" w:sz="0" w:space="0" w:color="auto"/>
        <w:right w:val="none" w:sz="0" w:space="0" w:color="auto"/>
      </w:divBdr>
    </w:div>
    <w:div w:id="1606158395">
      <w:bodyDiv w:val="1"/>
      <w:marLeft w:val="0"/>
      <w:marRight w:val="0"/>
      <w:marTop w:val="0"/>
      <w:marBottom w:val="0"/>
      <w:divBdr>
        <w:top w:val="none" w:sz="0" w:space="0" w:color="auto"/>
        <w:left w:val="none" w:sz="0" w:space="0" w:color="auto"/>
        <w:bottom w:val="none" w:sz="0" w:space="0" w:color="auto"/>
        <w:right w:val="none" w:sz="0" w:space="0" w:color="auto"/>
      </w:divBdr>
    </w:div>
    <w:div w:id="1607809402">
      <w:bodyDiv w:val="1"/>
      <w:marLeft w:val="0"/>
      <w:marRight w:val="0"/>
      <w:marTop w:val="0"/>
      <w:marBottom w:val="0"/>
      <w:divBdr>
        <w:top w:val="none" w:sz="0" w:space="0" w:color="auto"/>
        <w:left w:val="none" w:sz="0" w:space="0" w:color="auto"/>
        <w:bottom w:val="none" w:sz="0" w:space="0" w:color="auto"/>
        <w:right w:val="none" w:sz="0" w:space="0" w:color="auto"/>
      </w:divBdr>
    </w:div>
    <w:div w:id="1609045413">
      <w:bodyDiv w:val="1"/>
      <w:marLeft w:val="0"/>
      <w:marRight w:val="0"/>
      <w:marTop w:val="0"/>
      <w:marBottom w:val="0"/>
      <w:divBdr>
        <w:top w:val="none" w:sz="0" w:space="0" w:color="auto"/>
        <w:left w:val="none" w:sz="0" w:space="0" w:color="auto"/>
        <w:bottom w:val="none" w:sz="0" w:space="0" w:color="auto"/>
        <w:right w:val="none" w:sz="0" w:space="0" w:color="auto"/>
      </w:divBdr>
    </w:div>
    <w:div w:id="1609463183">
      <w:bodyDiv w:val="1"/>
      <w:marLeft w:val="0"/>
      <w:marRight w:val="0"/>
      <w:marTop w:val="0"/>
      <w:marBottom w:val="0"/>
      <w:divBdr>
        <w:top w:val="none" w:sz="0" w:space="0" w:color="auto"/>
        <w:left w:val="none" w:sz="0" w:space="0" w:color="auto"/>
        <w:bottom w:val="none" w:sz="0" w:space="0" w:color="auto"/>
        <w:right w:val="none" w:sz="0" w:space="0" w:color="auto"/>
      </w:divBdr>
    </w:div>
    <w:div w:id="1609968868">
      <w:bodyDiv w:val="1"/>
      <w:marLeft w:val="0"/>
      <w:marRight w:val="0"/>
      <w:marTop w:val="0"/>
      <w:marBottom w:val="0"/>
      <w:divBdr>
        <w:top w:val="none" w:sz="0" w:space="0" w:color="auto"/>
        <w:left w:val="none" w:sz="0" w:space="0" w:color="auto"/>
        <w:bottom w:val="none" w:sz="0" w:space="0" w:color="auto"/>
        <w:right w:val="none" w:sz="0" w:space="0" w:color="auto"/>
      </w:divBdr>
    </w:div>
    <w:div w:id="1610429464">
      <w:bodyDiv w:val="1"/>
      <w:marLeft w:val="0"/>
      <w:marRight w:val="0"/>
      <w:marTop w:val="0"/>
      <w:marBottom w:val="0"/>
      <w:divBdr>
        <w:top w:val="none" w:sz="0" w:space="0" w:color="auto"/>
        <w:left w:val="none" w:sz="0" w:space="0" w:color="auto"/>
        <w:bottom w:val="none" w:sz="0" w:space="0" w:color="auto"/>
        <w:right w:val="none" w:sz="0" w:space="0" w:color="auto"/>
      </w:divBdr>
    </w:div>
    <w:div w:id="1612662466">
      <w:bodyDiv w:val="1"/>
      <w:marLeft w:val="0"/>
      <w:marRight w:val="0"/>
      <w:marTop w:val="0"/>
      <w:marBottom w:val="0"/>
      <w:divBdr>
        <w:top w:val="none" w:sz="0" w:space="0" w:color="auto"/>
        <w:left w:val="none" w:sz="0" w:space="0" w:color="auto"/>
        <w:bottom w:val="none" w:sz="0" w:space="0" w:color="auto"/>
        <w:right w:val="none" w:sz="0" w:space="0" w:color="auto"/>
      </w:divBdr>
    </w:div>
    <w:div w:id="1614052740">
      <w:bodyDiv w:val="1"/>
      <w:marLeft w:val="0"/>
      <w:marRight w:val="0"/>
      <w:marTop w:val="0"/>
      <w:marBottom w:val="0"/>
      <w:divBdr>
        <w:top w:val="none" w:sz="0" w:space="0" w:color="auto"/>
        <w:left w:val="none" w:sz="0" w:space="0" w:color="auto"/>
        <w:bottom w:val="none" w:sz="0" w:space="0" w:color="auto"/>
        <w:right w:val="none" w:sz="0" w:space="0" w:color="auto"/>
      </w:divBdr>
    </w:div>
    <w:div w:id="1624769506">
      <w:bodyDiv w:val="1"/>
      <w:marLeft w:val="0"/>
      <w:marRight w:val="0"/>
      <w:marTop w:val="0"/>
      <w:marBottom w:val="0"/>
      <w:divBdr>
        <w:top w:val="none" w:sz="0" w:space="0" w:color="auto"/>
        <w:left w:val="none" w:sz="0" w:space="0" w:color="auto"/>
        <w:bottom w:val="none" w:sz="0" w:space="0" w:color="auto"/>
        <w:right w:val="none" w:sz="0" w:space="0" w:color="auto"/>
      </w:divBdr>
    </w:div>
    <w:div w:id="1626931254">
      <w:bodyDiv w:val="1"/>
      <w:marLeft w:val="0"/>
      <w:marRight w:val="0"/>
      <w:marTop w:val="0"/>
      <w:marBottom w:val="0"/>
      <w:divBdr>
        <w:top w:val="none" w:sz="0" w:space="0" w:color="auto"/>
        <w:left w:val="none" w:sz="0" w:space="0" w:color="auto"/>
        <w:bottom w:val="none" w:sz="0" w:space="0" w:color="auto"/>
        <w:right w:val="none" w:sz="0" w:space="0" w:color="auto"/>
      </w:divBdr>
    </w:div>
    <w:div w:id="1633439361">
      <w:bodyDiv w:val="1"/>
      <w:marLeft w:val="0"/>
      <w:marRight w:val="0"/>
      <w:marTop w:val="0"/>
      <w:marBottom w:val="0"/>
      <w:divBdr>
        <w:top w:val="none" w:sz="0" w:space="0" w:color="auto"/>
        <w:left w:val="none" w:sz="0" w:space="0" w:color="auto"/>
        <w:bottom w:val="none" w:sz="0" w:space="0" w:color="auto"/>
        <w:right w:val="none" w:sz="0" w:space="0" w:color="auto"/>
      </w:divBdr>
    </w:div>
    <w:div w:id="1634485192">
      <w:bodyDiv w:val="1"/>
      <w:marLeft w:val="0"/>
      <w:marRight w:val="0"/>
      <w:marTop w:val="0"/>
      <w:marBottom w:val="0"/>
      <w:divBdr>
        <w:top w:val="none" w:sz="0" w:space="0" w:color="auto"/>
        <w:left w:val="none" w:sz="0" w:space="0" w:color="auto"/>
        <w:bottom w:val="none" w:sz="0" w:space="0" w:color="auto"/>
        <w:right w:val="none" w:sz="0" w:space="0" w:color="auto"/>
      </w:divBdr>
    </w:div>
    <w:div w:id="1639997472">
      <w:bodyDiv w:val="1"/>
      <w:marLeft w:val="0"/>
      <w:marRight w:val="0"/>
      <w:marTop w:val="0"/>
      <w:marBottom w:val="0"/>
      <w:divBdr>
        <w:top w:val="none" w:sz="0" w:space="0" w:color="auto"/>
        <w:left w:val="none" w:sz="0" w:space="0" w:color="auto"/>
        <w:bottom w:val="none" w:sz="0" w:space="0" w:color="auto"/>
        <w:right w:val="none" w:sz="0" w:space="0" w:color="auto"/>
      </w:divBdr>
    </w:div>
    <w:div w:id="1640114796">
      <w:bodyDiv w:val="1"/>
      <w:marLeft w:val="0"/>
      <w:marRight w:val="0"/>
      <w:marTop w:val="0"/>
      <w:marBottom w:val="0"/>
      <w:divBdr>
        <w:top w:val="none" w:sz="0" w:space="0" w:color="auto"/>
        <w:left w:val="none" w:sz="0" w:space="0" w:color="auto"/>
        <w:bottom w:val="none" w:sz="0" w:space="0" w:color="auto"/>
        <w:right w:val="none" w:sz="0" w:space="0" w:color="auto"/>
      </w:divBdr>
    </w:div>
    <w:div w:id="1643460145">
      <w:bodyDiv w:val="1"/>
      <w:marLeft w:val="0"/>
      <w:marRight w:val="0"/>
      <w:marTop w:val="0"/>
      <w:marBottom w:val="0"/>
      <w:divBdr>
        <w:top w:val="none" w:sz="0" w:space="0" w:color="auto"/>
        <w:left w:val="none" w:sz="0" w:space="0" w:color="auto"/>
        <w:bottom w:val="none" w:sz="0" w:space="0" w:color="auto"/>
        <w:right w:val="none" w:sz="0" w:space="0" w:color="auto"/>
      </w:divBdr>
    </w:div>
    <w:div w:id="1644771347">
      <w:bodyDiv w:val="1"/>
      <w:marLeft w:val="0"/>
      <w:marRight w:val="0"/>
      <w:marTop w:val="0"/>
      <w:marBottom w:val="0"/>
      <w:divBdr>
        <w:top w:val="none" w:sz="0" w:space="0" w:color="auto"/>
        <w:left w:val="none" w:sz="0" w:space="0" w:color="auto"/>
        <w:bottom w:val="none" w:sz="0" w:space="0" w:color="auto"/>
        <w:right w:val="none" w:sz="0" w:space="0" w:color="auto"/>
      </w:divBdr>
      <w:divsChild>
        <w:div w:id="2103912547">
          <w:marLeft w:val="547"/>
          <w:marRight w:val="0"/>
          <w:marTop w:val="0"/>
          <w:marBottom w:val="0"/>
          <w:divBdr>
            <w:top w:val="none" w:sz="0" w:space="0" w:color="auto"/>
            <w:left w:val="none" w:sz="0" w:space="0" w:color="auto"/>
            <w:bottom w:val="none" w:sz="0" w:space="0" w:color="auto"/>
            <w:right w:val="none" w:sz="0" w:space="0" w:color="auto"/>
          </w:divBdr>
        </w:div>
      </w:divsChild>
    </w:div>
    <w:div w:id="1645116835">
      <w:bodyDiv w:val="1"/>
      <w:marLeft w:val="0"/>
      <w:marRight w:val="0"/>
      <w:marTop w:val="0"/>
      <w:marBottom w:val="0"/>
      <w:divBdr>
        <w:top w:val="none" w:sz="0" w:space="0" w:color="auto"/>
        <w:left w:val="none" w:sz="0" w:space="0" w:color="auto"/>
        <w:bottom w:val="none" w:sz="0" w:space="0" w:color="auto"/>
        <w:right w:val="none" w:sz="0" w:space="0" w:color="auto"/>
      </w:divBdr>
    </w:div>
    <w:div w:id="1646818404">
      <w:bodyDiv w:val="1"/>
      <w:marLeft w:val="0"/>
      <w:marRight w:val="0"/>
      <w:marTop w:val="0"/>
      <w:marBottom w:val="0"/>
      <w:divBdr>
        <w:top w:val="none" w:sz="0" w:space="0" w:color="auto"/>
        <w:left w:val="none" w:sz="0" w:space="0" w:color="auto"/>
        <w:bottom w:val="none" w:sz="0" w:space="0" w:color="auto"/>
        <w:right w:val="none" w:sz="0" w:space="0" w:color="auto"/>
      </w:divBdr>
    </w:div>
    <w:div w:id="1647667528">
      <w:bodyDiv w:val="1"/>
      <w:marLeft w:val="0"/>
      <w:marRight w:val="0"/>
      <w:marTop w:val="0"/>
      <w:marBottom w:val="0"/>
      <w:divBdr>
        <w:top w:val="none" w:sz="0" w:space="0" w:color="auto"/>
        <w:left w:val="none" w:sz="0" w:space="0" w:color="auto"/>
        <w:bottom w:val="none" w:sz="0" w:space="0" w:color="auto"/>
        <w:right w:val="none" w:sz="0" w:space="0" w:color="auto"/>
      </w:divBdr>
    </w:div>
    <w:div w:id="1647860903">
      <w:bodyDiv w:val="1"/>
      <w:marLeft w:val="0"/>
      <w:marRight w:val="0"/>
      <w:marTop w:val="0"/>
      <w:marBottom w:val="0"/>
      <w:divBdr>
        <w:top w:val="none" w:sz="0" w:space="0" w:color="auto"/>
        <w:left w:val="none" w:sz="0" w:space="0" w:color="auto"/>
        <w:bottom w:val="none" w:sz="0" w:space="0" w:color="auto"/>
        <w:right w:val="none" w:sz="0" w:space="0" w:color="auto"/>
      </w:divBdr>
    </w:div>
    <w:div w:id="1654262994">
      <w:bodyDiv w:val="1"/>
      <w:marLeft w:val="0"/>
      <w:marRight w:val="0"/>
      <w:marTop w:val="0"/>
      <w:marBottom w:val="0"/>
      <w:divBdr>
        <w:top w:val="none" w:sz="0" w:space="0" w:color="auto"/>
        <w:left w:val="none" w:sz="0" w:space="0" w:color="auto"/>
        <w:bottom w:val="none" w:sz="0" w:space="0" w:color="auto"/>
        <w:right w:val="none" w:sz="0" w:space="0" w:color="auto"/>
      </w:divBdr>
    </w:div>
    <w:div w:id="1655067218">
      <w:bodyDiv w:val="1"/>
      <w:marLeft w:val="0"/>
      <w:marRight w:val="0"/>
      <w:marTop w:val="0"/>
      <w:marBottom w:val="0"/>
      <w:divBdr>
        <w:top w:val="none" w:sz="0" w:space="0" w:color="auto"/>
        <w:left w:val="none" w:sz="0" w:space="0" w:color="auto"/>
        <w:bottom w:val="none" w:sz="0" w:space="0" w:color="auto"/>
        <w:right w:val="none" w:sz="0" w:space="0" w:color="auto"/>
      </w:divBdr>
    </w:div>
    <w:div w:id="1655724209">
      <w:bodyDiv w:val="1"/>
      <w:marLeft w:val="0"/>
      <w:marRight w:val="0"/>
      <w:marTop w:val="0"/>
      <w:marBottom w:val="0"/>
      <w:divBdr>
        <w:top w:val="none" w:sz="0" w:space="0" w:color="auto"/>
        <w:left w:val="none" w:sz="0" w:space="0" w:color="auto"/>
        <w:bottom w:val="none" w:sz="0" w:space="0" w:color="auto"/>
        <w:right w:val="none" w:sz="0" w:space="0" w:color="auto"/>
      </w:divBdr>
    </w:div>
    <w:div w:id="1655795345">
      <w:bodyDiv w:val="1"/>
      <w:marLeft w:val="0"/>
      <w:marRight w:val="0"/>
      <w:marTop w:val="0"/>
      <w:marBottom w:val="0"/>
      <w:divBdr>
        <w:top w:val="none" w:sz="0" w:space="0" w:color="auto"/>
        <w:left w:val="none" w:sz="0" w:space="0" w:color="auto"/>
        <w:bottom w:val="none" w:sz="0" w:space="0" w:color="auto"/>
        <w:right w:val="none" w:sz="0" w:space="0" w:color="auto"/>
      </w:divBdr>
    </w:div>
    <w:div w:id="1657150276">
      <w:bodyDiv w:val="1"/>
      <w:marLeft w:val="0"/>
      <w:marRight w:val="0"/>
      <w:marTop w:val="0"/>
      <w:marBottom w:val="0"/>
      <w:divBdr>
        <w:top w:val="none" w:sz="0" w:space="0" w:color="auto"/>
        <w:left w:val="none" w:sz="0" w:space="0" w:color="auto"/>
        <w:bottom w:val="none" w:sz="0" w:space="0" w:color="auto"/>
        <w:right w:val="none" w:sz="0" w:space="0" w:color="auto"/>
      </w:divBdr>
    </w:div>
    <w:div w:id="1661732969">
      <w:bodyDiv w:val="1"/>
      <w:marLeft w:val="0"/>
      <w:marRight w:val="0"/>
      <w:marTop w:val="0"/>
      <w:marBottom w:val="0"/>
      <w:divBdr>
        <w:top w:val="none" w:sz="0" w:space="0" w:color="auto"/>
        <w:left w:val="none" w:sz="0" w:space="0" w:color="auto"/>
        <w:bottom w:val="none" w:sz="0" w:space="0" w:color="auto"/>
        <w:right w:val="none" w:sz="0" w:space="0" w:color="auto"/>
      </w:divBdr>
    </w:div>
    <w:div w:id="1666472140">
      <w:bodyDiv w:val="1"/>
      <w:marLeft w:val="0"/>
      <w:marRight w:val="0"/>
      <w:marTop w:val="0"/>
      <w:marBottom w:val="0"/>
      <w:divBdr>
        <w:top w:val="none" w:sz="0" w:space="0" w:color="auto"/>
        <w:left w:val="none" w:sz="0" w:space="0" w:color="auto"/>
        <w:bottom w:val="none" w:sz="0" w:space="0" w:color="auto"/>
        <w:right w:val="none" w:sz="0" w:space="0" w:color="auto"/>
      </w:divBdr>
    </w:div>
    <w:div w:id="1669938408">
      <w:bodyDiv w:val="1"/>
      <w:marLeft w:val="0"/>
      <w:marRight w:val="0"/>
      <w:marTop w:val="0"/>
      <w:marBottom w:val="0"/>
      <w:divBdr>
        <w:top w:val="none" w:sz="0" w:space="0" w:color="auto"/>
        <w:left w:val="none" w:sz="0" w:space="0" w:color="auto"/>
        <w:bottom w:val="none" w:sz="0" w:space="0" w:color="auto"/>
        <w:right w:val="none" w:sz="0" w:space="0" w:color="auto"/>
      </w:divBdr>
    </w:div>
    <w:div w:id="1672758975">
      <w:bodyDiv w:val="1"/>
      <w:marLeft w:val="0"/>
      <w:marRight w:val="0"/>
      <w:marTop w:val="0"/>
      <w:marBottom w:val="0"/>
      <w:divBdr>
        <w:top w:val="none" w:sz="0" w:space="0" w:color="auto"/>
        <w:left w:val="none" w:sz="0" w:space="0" w:color="auto"/>
        <w:bottom w:val="none" w:sz="0" w:space="0" w:color="auto"/>
        <w:right w:val="none" w:sz="0" w:space="0" w:color="auto"/>
      </w:divBdr>
    </w:div>
    <w:div w:id="1673023092">
      <w:bodyDiv w:val="1"/>
      <w:marLeft w:val="0"/>
      <w:marRight w:val="0"/>
      <w:marTop w:val="0"/>
      <w:marBottom w:val="0"/>
      <w:divBdr>
        <w:top w:val="none" w:sz="0" w:space="0" w:color="auto"/>
        <w:left w:val="none" w:sz="0" w:space="0" w:color="auto"/>
        <w:bottom w:val="none" w:sz="0" w:space="0" w:color="auto"/>
        <w:right w:val="none" w:sz="0" w:space="0" w:color="auto"/>
      </w:divBdr>
    </w:div>
    <w:div w:id="1673993429">
      <w:bodyDiv w:val="1"/>
      <w:marLeft w:val="0"/>
      <w:marRight w:val="0"/>
      <w:marTop w:val="0"/>
      <w:marBottom w:val="0"/>
      <w:divBdr>
        <w:top w:val="none" w:sz="0" w:space="0" w:color="auto"/>
        <w:left w:val="none" w:sz="0" w:space="0" w:color="auto"/>
        <w:bottom w:val="none" w:sz="0" w:space="0" w:color="auto"/>
        <w:right w:val="none" w:sz="0" w:space="0" w:color="auto"/>
      </w:divBdr>
    </w:div>
    <w:div w:id="1676566648">
      <w:bodyDiv w:val="1"/>
      <w:marLeft w:val="0"/>
      <w:marRight w:val="0"/>
      <w:marTop w:val="0"/>
      <w:marBottom w:val="0"/>
      <w:divBdr>
        <w:top w:val="none" w:sz="0" w:space="0" w:color="auto"/>
        <w:left w:val="none" w:sz="0" w:space="0" w:color="auto"/>
        <w:bottom w:val="none" w:sz="0" w:space="0" w:color="auto"/>
        <w:right w:val="none" w:sz="0" w:space="0" w:color="auto"/>
      </w:divBdr>
    </w:div>
    <w:div w:id="1677540818">
      <w:bodyDiv w:val="1"/>
      <w:marLeft w:val="0"/>
      <w:marRight w:val="0"/>
      <w:marTop w:val="0"/>
      <w:marBottom w:val="0"/>
      <w:divBdr>
        <w:top w:val="none" w:sz="0" w:space="0" w:color="auto"/>
        <w:left w:val="none" w:sz="0" w:space="0" w:color="auto"/>
        <w:bottom w:val="none" w:sz="0" w:space="0" w:color="auto"/>
        <w:right w:val="none" w:sz="0" w:space="0" w:color="auto"/>
      </w:divBdr>
    </w:div>
    <w:div w:id="1682270098">
      <w:bodyDiv w:val="1"/>
      <w:marLeft w:val="0"/>
      <w:marRight w:val="0"/>
      <w:marTop w:val="0"/>
      <w:marBottom w:val="0"/>
      <w:divBdr>
        <w:top w:val="none" w:sz="0" w:space="0" w:color="auto"/>
        <w:left w:val="none" w:sz="0" w:space="0" w:color="auto"/>
        <w:bottom w:val="none" w:sz="0" w:space="0" w:color="auto"/>
        <w:right w:val="none" w:sz="0" w:space="0" w:color="auto"/>
      </w:divBdr>
    </w:div>
    <w:div w:id="1690714699">
      <w:bodyDiv w:val="1"/>
      <w:marLeft w:val="0"/>
      <w:marRight w:val="0"/>
      <w:marTop w:val="0"/>
      <w:marBottom w:val="0"/>
      <w:divBdr>
        <w:top w:val="none" w:sz="0" w:space="0" w:color="auto"/>
        <w:left w:val="none" w:sz="0" w:space="0" w:color="auto"/>
        <w:bottom w:val="none" w:sz="0" w:space="0" w:color="auto"/>
        <w:right w:val="none" w:sz="0" w:space="0" w:color="auto"/>
      </w:divBdr>
    </w:div>
    <w:div w:id="1701735688">
      <w:bodyDiv w:val="1"/>
      <w:marLeft w:val="0"/>
      <w:marRight w:val="0"/>
      <w:marTop w:val="0"/>
      <w:marBottom w:val="0"/>
      <w:divBdr>
        <w:top w:val="none" w:sz="0" w:space="0" w:color="auto"/>
        <w:left w:val="none" w:sz="0" w:space="0" w:color="auto"/>
        <w:bottom w:val="none" w:sz="0" w:space="0" w:color="auto"/>
        <w:right w:val="none" w:sz="0" w:space="0" w:color="auto"/>
      </w:divBdr>
    </w:div>
    <w:div w:id="1703358810">
      <w:bodyDiv w:val="1"/>
      <w:marLeft w:val="0"/>
      <w:marRight w:val="0"/>
      <w:marTop w:val="0"/>
      <w:marBottom w:val="0"/>
      <w:divBdr>
        <w:top w:val="none" w:sz="0" w:space="0" w:color="auto"/>
        <w:left w:val="none" w:sz="0" w:space="0" w:color="auto"/>
        <w:bottom w:val="none" w:sz="0" w:space="0" w:color="auto"/>
        <w:right w:val="none" w:sz="0" w:space="0" w:color="auto"/>
      </w:divBdr>
    </w:div>
    <w:div w:id="1705252283">
      <w:bodyDiv w:val="1"/>
      <w:marLeft w:val="0"/>
      <w:marRight w:val="0"/>
      <w:marTop w:val="0"/>
      <w:marBottom w:val="0"/>
      <w:divBdr>
        <w:top w:val="none" w:sz="0" w:space="0" w:color="auto"/>
        <w:left w:val="none" w:sz="0" w:space="0" w:color="auto"/>
        <w:bottom w:val="none" w:sz="0" w:space="0" w:color="auto"/>
        <w:right w:val="none" w:sz="0" w:space="0" w:color="auto"/>
      </w:divBdr>
    </w:div>
    <w:div w:id="1706910398">
      <w:bodyDiv w:val="1"/>
      <w:marLeft w:val="0"/>
      <w:marRight w:val="0"/>
      <w:marTop w:val="0"/>
      <w:marBottom w:val="0"/>
      <w:divBdr>
        <w:top w:val="none" w:sz="0" w:space="0" w:color="auto"/>
        <w:left w:val="none" w:sz="0" w:space="0" w:color="auto"/>
        <w:bottom w:val="none" w:sz="0" w:space="0" w:color="auto"/>
        <w:right w:val="none" w:sz="0" w:space="0" w:color="auto"/>
      </w:divBdr>
    </w:div>
    <w:div w:id="1708875892">
      <w:bodyDiv w:val="1"/>
      <w:marLeft w:val="0"/>
      <w:marRight w:val="0"/>
      <w:marTop w:val="0"/>
      <w:marBottom w:val="0"/>
      <w:divBdr>
        <w:top w:val="none" w:sz="0" w:space="0" w:color="auto"/>
        <w:left w:val="none" w:sz="0" w:space="0" w:color="auto"/>
        <w:bottom w:val="none" w:sz="0" w:space="0" w:color="auto"/>
        <w:right w:val="none" w:sz="0" w:space="0" w:color="auto"/>
      </w:divBdr>
      <w:divsChild>
        <w:div w:id="140511639">
          <w:marLeft w:val="547"/>
          <w:marRight w:val="0"/>
          <w:marTop w:val="0"/>
          <w:marBottom w:val="0"/>
          <w:divBdr>
            <w:top w:val="none" w:sz="0" w:space="0" w:color="auto"/>
            <w:left w:val="none" w:sz="0" w:space="0" w:color="auto"/>
            <w:bottom w:val="none" w:sz="0" w:space="0" w:color="auto"/>
            <w:right w:val="none" w:sz="0" w:space="0" w:color="auto"/>
          </w:divBdr>
        </w:div>
      </w:divsChild>
    </w:div>
    <w:div w:id="1713847112">
      <w:bodyDiv w:val="1"/>
      <w:marLeft w:val="0"/>
      <w:marRight w:val="0"/>
      <w:marTop w:val="0"/>
      <w:marBottom w:val="0"/>
      <w:divBdr>
        <w:top w:val="none" w:sz="0" w:space="0" w:color="auto"/>
        <w:left w:val="none" w:sz="0" w:space="0" w:color="auto"/>
        <w:bottom w:val="none" w:sz="0" w:space="0" w:color="auto"/>
        <w:right w:val="none" w:sz="0" w:space="0" w:color="auto"/>
      </w:divBdr>
    </w:div>
    <w:div w:id="1714844525">
      <w:bodyDiv w:val="1"/>
      <w:marLeft w:val="0"/>
      <w:marRight w:val="0"/>
      <w:marTop w:val="0"/>
      <w:marBottom w:val="0"/>
      <w:divBdr>
        <w:top w:val="none" w:sz="0" w:space="0" w:color="auto"/>
        <w:left w:val="none" w:sz="0" w:space="0" w:color="auto"/>
        <w:bottom w:val="none" w:sz="0" w:space="0" w:color="auto"/>
        <w:right w:val="none" w:sz="0" w:space="0" w:color="auto"/>
      </w:divBdr>
    </w:div>
    <w:div w:id="1714844870">
      <w:bodyDiv w:val="1"/>
      <w:marLeft w:val="0"/>
      <w:marRight w:val="0"/>
      <w:marTop w:val="0"/>
      <w:marBottom w:val="0"/>
      <w:divBdr>
        <w:top w:val="none" w:sz="0" w:space="0" w:color="auto"/>
        <w:left w:val="none" w:sz="0" w:space="0" w:color="auto"/>
        <w:bottom w:val="none" w:sz="0" w:space="0" w:color="auto"/>
        <w:right w:val="none" w:sz="0" w:space="0" w:color="auto"/>
      </w:divBdr>
    </w:div>
    <w:div w:id="1715812967">
      <w:bodyDiv w:val="1"/>
      <w:marLeft w:val="0"/>
      <w:marRight w:val="0"/>
      <w:marTop w:val="0"/>
      <w:marBottom w:val="0"/>
      <w:divBdr>
        <w:top w:val="none" w:sz="0" w:space="0" w:color="auto"/>
        <w:left w:val="none" w:sz="0" w:space="0" w:color="auto"/>
        <w:bottom w:val="none" w:sz="0" w:space="0" w:color="auto"/>
        <w:right w:val="none" w:sz="0" w:space="0" w:color="auto"/>
      </w:divBdr>
    </w:div>
    <w:div w:id="1718700849">
      <w:bodyDiv w:val="1"/>
      <w:marLeft w:val="0"/>
      <w:marRight w:val="0"/>
      <w:marTop w:val="0"/>
      <w:marBottom w:val="0"/>
      <w:divBdr>
        <w:top w:val="none" w:sz="0" w:space="0" w:color="auto"/>
        <w:left w:val="none" w:sz="0" w:space="0" w:color="auto"/>
        <w:bottom w:val="none" w:sz="0" w:space="0" w:color="auto"/>
        <w:right w:val="none" w:sz="0" w:space="0" w:color="auto"/>
      </w:divBdr>
    </w:div>
    <w:div w:id="1722090801">
      <w:bodyDiv w:val="1"/>
      <w:marLeft w:val="0"/>
      <w:marRight w:val="0"/>
      <w:marTop w:val="0"/>
      <w:marBottom w:val="0"/>
      <w:divBdr>
        <w:top w:val="none" w:sz="0" w:space="0" w:color="auto"/>
        <w:left w:val="none" w:sz="0" w:space="0" w:color="auto"/>
        <w:bottom w:val="none" w:sz="0" w:space="0" w:color="auto"/>
        <w:right w:val="none" w:sz="0" w:space="0" w:color="auto"/>
      </w:divBdr>
    </w:div>
    <w:div w:id="1726829927">
      <w:bodyDiv w:val="1"/>
      <w:marLeft w:val="0"/>
      <w:marRight w:val="0"/>
      <w:marTop w:val="0"/>
      <w:marBottom w:val="0"/>
      <w:divBdr>
        <w:top w:val="none" w:sz="0" w:space="0" w:color="auto"/>
        <w:left w:val="none" w:sz="0" w:space="0" w:color="auto"/>
        <w:bottom w:val="none" w:sz="0" w:space="0" w:color="auto"/>
        <w:right w:val="none" w:sz="0" w:space="0" w:color="auto"/>
      </w:divBdr>
    </w:div>
    <w:div w:id="1727533156">
      <w:bodyDiv w:val="1"/>
      <w:marLeft w:val="0"/>
      <w:marRight w:val="0"/>
      <w:marTop w:val="0"/>
      <w:marBottom w:val="0"/>
      <w:divBdr>
        <w:top w:val="none" w:sz="0" w:space="0" w:color="auto"/>
        <w:left w:val="none" w:sz="0" w:space="0" w:color="auto"/>
        <w:bottom w:val="none" w:sz="0" w:space="0" w:color="auto"/>
        <w:right w:val="none" w:sz="0" w:space="0" w:color="auto"/>
      </w:divBdr>
    </w:div>
    <w:div w:id="1730766882">
      <w:bodyDiv w:val="1"/>
      <w:marLeft w:val="0"/>
      <w:marRight w:val="0"/>
      <w:marTop w:val="0"/>
      <w:marBottom w:val="0"/>
      <w:divBdr>
        <w:top w:val="none" w:sz="0" w:space="0" w:color="auto"/>
        <w:left w:val="none" w:sz="0" w:space="0" w:color="auto"/>
        <w:bottom w:val="none" w:sz="0" w:space="0" w:color="auto"/>
        <w:right w:val="none" w:sz="0" w:space="0" w:color="auto"/>
      </w:divBdr>
    </w:div>
    <w:div w:id="1732728995">
      <w:bodyDiv w:val="1"/>
      <w:marLeft w:val="0"/>
      <w:marRight w:val="0"/>
      <w:marTop w:val="0"/>
      <w:marBottom w:val="0"/>
      <w:divBdr>
        <w:top w:val="none" w:sz="0" w:space="0" w:color="auto"/>
        <w:left w:val="none" w:sz="0" w:space="0" w:color="auto"/>
        <w:bottom w:val="none" w:sz="0" w:space="0" w:color="auto"/>
        <w:right w:val="none" w:sz="0" w:space="0" w:color="auto"/>
      </w:divBdr>
    </w:div>
    <w:div w:id="1733041891">
      <w:bodyDiv w:val="1"/>
      <w:marLeft w:val="0"/>
      <w:marRight w:val="0"/>
      <w:marTop w:val="0"/>
      <w:marBottom w:val="0"/>
      <w:divBdr>
        <w:top w:val="none" w:sz="0" w:space="0" w:color="auto"/>
        <w:left w:val="none" w:sz="0" w:space="0" w:color="auto"/>
        <w:bottom w:val="none" w:sz="0" w:space="0" w:color="auto"/>
        <w:right w:val="none" w:sz="0" w:space="0" w:color="auto"/>
      </w:divBdr>
    </w:div>
    <w:div w:id="1733693217">
      <w:bodyDiv w:val="1"/>
      <w:marLeft w:val="0"/>
      <w:marRight w:val="0"/>
      <w:marTop w:val="0"/>
      <w:marBottom w:val="0"/>
      <w:divBdr>
        <w:top w:val="none" w:sz="0" w:space="0" w:color="auto"/>
        <w:left w:val="none" w:sz="0" w:space="0" w:color="auto"/>
        <w:bottom w:val="none" w:sz="0" w:space="0" w:color="auto"/>
        <w:right w:val="none" w:sz="0" w:space="0" w:color="auto"/>
      </w:divBdr>
    </w:div>
    <w:div w:id="1735813142">
      <w:bodyDiv w:val="1"/>
      <w:marLeft w:val="0"/>
      <w:marRight w:val="0"/>
      <w:marTop w:val="0"/>
      <w:marBottom w:val="0"/>
      <w:divBdr>
        <w:top w:val="none" w:sz="0" w:space="0" w:color="auto"/>
        <w:left w:val="none" w:sz="0" w:space="0" w:color="auto"/>
        <w:bottom w:val="none" w:sz="0" w:space="0" w:color="auto"/>
        <w:right w:val="none" w:sz="0" w:space="0" w:color="auto"/>
      </w:divBdr>
    </w:div>
    <w:div w:id="1736781893">
      <w:bodyDiv w:val="1"/>
      <w:marLeft w:val="0"/>
      <w:marRight w:val="0"/>
      <w:marTop w:val="0"/>
      <w:marBottom w:val="0"/>
      <w:divBdr>
        <w:top w:val="none" w:sz="0" w:space="0" w:color="auto"/>
        <w:left w:val="none" w:sz="0" w:space="0" w:color="auto"/>
        <w:bottom w:val="none" w:sz="0" w:space="0" w:color="auto"/>
        <w:right w:val="none" w:sz="0" w:space="0" w:color="auto"/>
      </w:divBdr>
    </w:div>
    <w:div w:id="1738816076">
      <w:bodyDiv w:val="1"/>
      <w:marLeft w:val="0"/>
      <w:marRight w:val="0"/>
      <w:marTop w:val="0"/>
      <w:marBottom w:val="0"/>
      <w:divBdr>
        <w:top w:val="none" w:sz="0" w:space="0" w:color="auto"/>
        <w:left w:val="none" w:sz="0" w:space="0" w:color="auto"/>
        <w:bottom w:val="none" w:sz="0" w:space="0" w:color="auto"/>
        <w:right w:val="none" w:sz="0" w:space="0" w:color="auto"/>
      </w:divBdr>
    </w:div>
    <w:div w:id="1740713096">
      <w:bodyDiv w:val="1"/>
      <w:marLeft w:val="0"/>
      <w:marRight w:val="0"/>
      <w:marTop w:val="0"/>
      <w:marBottom w:val="0"/>
      <w:divBdr>
        <w:top w:val="none" w:sz="0" w:space="0" w:color="auto"/>
        <w:left w:val="none" w:sz="0" w:space="0" w:color="auto"/>
        <w:bottom w:val="none" w:sz="0" w:space="0" w:color="auto"/>
        <w:right w:val="none" w:sz="0" w:space="0" w:color="auto"/>
      </w:divBdr>
    </w:div>
    <w:div w:id="1743138664">
      <w:bodyDiv w:val="1"/>
      <w:marLeft w:val="0"/>
      <w:marRight w:val="0"/>
      <w:marTop w:val="0"/>
      <w:marBottom w:val="0"/>
      <w:divBdr>
        <w:top w:val="none" w:sz="0" w:space="0" w:color="auto"/>
        <w:left w:val="none" w:sz="0" w:space="0" w:color="auto"/>
        <w:bottom w:val="none" w:sz="0" w:space="0" w:color="auto"/>
        <w:right w:val="none" w:sz="0" w:space="0" w:color="auto"/>
      </w:divBdr>
    </w:div>
    <w:div w:id="1744521325">
      <w:bodyDiv w:val="1"/>
      <w:marLeft w:val="0"/>
      <w:marRight w:val="0"/>
      <w:marTop w:val="0"/>
      <w:marBottom w:val="0"/>
      <w:divBdr>
        <w:top w:val="none" w:sz="0" w:space="0" w:color="auto"/>
        <w:left w:val="none" w:sz="0" w:space="0" w:color="auto"/>
        <w:bottom w:val="none" w:sz="0" w:space="0" w:color="auto"/>
        <w:right w:val="none" w:sz="0" w:space="0" w:color="auto"/>
      </w:divBdr>
    </w:div>
    <w:div w:id="1748989258">
      <w:bodyDiv w:val="1"/>
      <w:marLeft w:val="0"/>
      <w:marRight w:val="0"/>
      <w:marTop w:val="0"/>
      <w:marBottom w:val="0"/>
      <w:divBdr>
        <w:top w:val="none" w:sz="0" w:space="0" w:color="auto"/>
        <w:left w:val="none" w:sz="0" w:space="0" w:color="auto"/>
        <w:bottom w:val="none" w:sz="0" w:space="0" w:color="auto"/>
        <w:right w:val="none" w:sz="0" w:space="0" w:color="auto"/>
      </w:divBdr>
    </w:div>
    <w:div w:id="1749114962">
      <w:bodyDiv w:val="1"/>
      <w:marLeft w:val="0"/>
      <w:marRight w:val="0"/>
      <w:marTop w:val="0"/>
      <w:marBottom w:val="0"/>
      <w:divBdr>
        <w:top w:val="none" w:sz="0" w:space="0" w:color="auto"/>
        <w:left w:val="none" w:sz="0" w:space="0" w:color="auto"/>
        <w:bottom w:val="none" w:sz="0" w:space="0" w:color="auto"/>
        <w:right w:val="none" w:sz="0" w:space="0" w:color="auto"/>
      </w:divBdr>
    </w:div>
    <w:div w:id="1752506305">
      <w:bodyDiv w:val="1"/>
      <w:marLeft w:val="0"/>
      <w:marRight w:val="0"/>
      <w:marTop w:val="0"/>
      <w:marBottom w:val="0"/>
      <w:divBdr>
        <w:top w:val="none" w:sz="0" w:space="0" w:color="auto"/>
        <w:left w:val="none" w:sz="0" w:space="0" w:color="auto"/>
        <w:bottom w:val="none" w:sz="0" w:space="0" w:color="auto"/>
        <w:right w:val="none" w:sz="0" w:space="0" w:color="auto"/>
      </w:divBdr>
    </w:div>
    <w:div w:id="1753702030">
      <w:bodyDiv w:val="1"/>
      <w:marLeft w:val="0"/>
      <w:marRight w:val="0"/>
      <w:marTop w:val="0"/>
      <w:marBottom w:val="0"/>
      <w:divBdr>
        <w:top w:val="none" w:sz="0" w:space="0" w:color="auto"/>
        <w:left w:val="none" w:sz="0" w:space="0" w:color="auto"/>
        <w:bottom w:val="none" w:sz="0" w:space="0" w:color="auto"/>
        <w:right w:val="none" w:sz="0" w:space="0" w:color="auto"/>
      </w:divBdr>
    </w:div>
    <w:div w:id="1757745408">
      <w:bodyDiv w:val="1"/>
      <w:marLeft w:val="0"/>
      <w:marRight w:val="0"/>
      <w:marTop w:val="0"/>
      <w:marBottom w:val="0"/>
      <w:divBdr>
        <w:top w:val="none" w:sz="0" w:space="0" w:color="auto"/>
        <w:left w:val="none" w:sz="0" w:space="0" w:color="auto"/>
        <w:bottom w:val="none" w:sz="0" w:space="0" w:color="auto"/>
        <w:right w:val="none" w:sz="0" w:space="0" w:color="auto"/>
      </w:divBdr>
    </w:div>
    <w:div w:id="1759787513">
      <w:bodyDiv w:val="1"/>
      <w:marLeft w:val="0"/>
      <w:marRight w:val="0"/>
      <w:marTop w:val="0"/>
      <w:marBottom w:val="0"/>
      <w:divBdr>
        <w:top w:val="none" w:sz="0" w:space="0" w:color="auto"/>
        <w:left w:val="none" w:sz="0" w:space="0" w:color="auto"/>
        <w:bottom w:val="none" w:sz="0" w:space="0" w:color="auto"/>
        <w:right w:val="none" w:sz="0" w:space="0" w:color="auto"/>
      </w:divBdr>
    </w:div>
    <w:div w:id="1760060081">
      <w:bodyDiv w:val="1"/>
      <w:marLeft w:val="0"/>
      <w:marRight w:val="0"/>
      <w:marTop w:val="0"/>
      <w:marBottom w:val="0"/>
      <w:divBdr>
        <w:top w:val="none" w:sz="0" w:space="0" w:color="auto"/>
        <w:left w:val="none" w:sz="0" w:space="0" w:color="auto"/>
        <w:bottom w:val="none" w:sz="0" w:space="0" w:color="auto"/>
        <w:right w:val="none" w:sz="0" w:space="0" w:color="auto"/>
      </w:divBdr>
    </w:div>
    <w:div w:id="1764454674">
      <w:bodyDiv w:val="1"/>
      <w:marLeft w:val="0"/>
      <w:marRight w:val="0"/>
      <w:marTop w:val="0"/>
      <w:marBottom w:val="0"/>
      <w:divBdr>
        <w:top w:val="none" w:sz="0" w:space="0" w:color="auto"/>
        <w:left w:val="none" w:sz="0" w:space="0" w:color="auto"/>
        <w:bottom w:val="none" w:sz="0" w:space="0" w:color="auto"/>
        <w:right w:val="none" w:sz="0" w:space="0" w:color="auto"/>
      </w:divBdr>
    </w:div>
    <w:div w:id="1765497407">
      <w:bodyDiv w:val="1"/>
      <w:marLeft w:val="0"/>
      <w:marRight w:val="0"/>
      <w:marTop w:val="0"/>
      <w:marBottom w:val="0"/>
      <w:divBdr>
        <w:top w:val="none" w:sz="0" w:space="0" w:color="auto"/>
        <w:left w:val="none" w:sz="0" w:space="0" w:color="auto"/>
        <w:bottom w:val="none" w:sz="0" w:space="0" w:color="auto"/>
        <w:right w:val="none" w:sz="0" w:space="0" w:color="auto"/>
      </w:divBdr>
    </w:div>
    <w:div w:id="1767459489">
      <w:bodyDiv w:val="1"/>
      <w:marLeft w:val="0"/>
      <w:marRight w:val="0"/>
      <w:marTop w:val="0"/>
      <w:marBottom w:val="0"/>
      <w:divBdr>
        <w:top w:val="none" w:sz="0" w:space="0" w:color="auto"/>
        <w:left w:val="none" w:sz="0" w:space="0" w:color="auto"/>
        <w:bottom w:val="none" w:sz="0" w:space="0" w:color="auto"/>
        <w:right w:val="none" w:sz="0" w:space="0" w:color="auto"/>
      </w:divBdr>
    </w:div>
    <w:div w:id="1768385310">
      <w:bodyDiv w:val="1"/>
      <w:marLeft w:val="0"/>
      <w:marRight w:val="0"/>
      <w:marTop w:val="0"/>
      <w:marBottom w:val="0"/>
      <w:divBdr>
        <w:top w:val="none" w:sz="0" w:space="0" w:color="auto"/>
        <w:left w:val="none" w:sz="0" w:space="0" w:color="auto"/>
        <w:bottom w:val="none" w:sz="0" w:space="0" w:color="auto"/>
        <w:right w:val="none" w:sz="0" w:space="0" w:color="auto"/>
      </w:divBdr>
    </w:div>
    <w:div w:id="1774279134">
      <w:bodyDiv w:val="1"/>
      <w:marLeft w:val="0"/>
      <w:marRight w:val="0"/>
      <w:marTop w:val="0"/>
      <w:marBottom w:val="0"/>
      <w:divBdr>
        <w:top w:val="none" w:sz="0" w:space="0" w:color="auto"/>
        <w:left w:val="none" w:sz="0" w:space="0" w:color="auto"/>
        <w:bottom w:val="none" w:sz="0" w:space="0" w:color="auto"/>
        <w:right w:val="none" w:sz="0" w:space="0" w:color="auto"/>
      </w:divBdr>
    </w:div>
    <w:div w:id="1774591069">
      <w:bodyDiv w:val="1"/>
      <w:marLeft w:val="0"/>
      <w:marRight w:val="0"/>
      <w:marTop w:val="0"/>
      <w:marBottom w:val="0"/>
      <w:divBdr>
        <w:top w:val="none" w:sz="0" w:space="0" w:color="auto"/>
        <w:left w:val="none" w:sz="0" w:space="0" w:color="auto"/>
        <w:bottom w:val="none" w:sz="0" w:space="0" w:color="auto"/>
        <w:right w:val="none" w:sz="0" w:space="0" w:color="auto"/>
      </w:divBdr>
    </w:div>
    <w:div w:id="1774671606">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776630355">
      <w:bodyDiv w:val="1"/>
      <w:marLeft w:val="0"/>
      <w:marRight w:val="0"/>
      <w:marTop w:val="0"/>
      <w:marBottom w:val="0"/>
      <w:divBdr>
        <w:top w:val="none" w:sz="0" w:space="0" w:color="auto"/>
        <w:left w:val="none" w:sz="0" w:space="0" w:color="auto"/>
        <w:bottom w:val="none" w:sz="0" w:space="0" w:color="auto"/>
        <w:right w:val="none" w:sz="0" w:space="0" w:color="auto"/>
      </w:divBdr>
    </w:div>
    <w:div w:id="1777827016">
      <w:bodyDiv w:val="1"/>
      <w:marLeft w:val="0"/>
      <w:marRight w:val="0"/>
      <w:marTop w:val="0"/>
      <w:marBottom w:val="0"/>
      <w:divBdr>
        <w:top w:val="none" w:sz="0" w:space="0" w:color="auto"/>
        <w:left w:val="none" w:sz="0" w:space="0" w:color="auto"/>
        <w:bottom w:val="none" w:sz="0" w:space="0" w:color="auto"/>
        <w:right w:val="none" w:sz="0" w:space="0" w:color="auto"/>
      </w:divBdr>
    </w:div>
    <w:div w:id="1779136842">
      <w:bodyDiv w:val="1"/>
      <w:marLeft w:val="0"/>
      <w:marRight w:val="0"/>
      <w:marTop w:val="0"/>
      <w:marBottom w:val="0"/>
      <w:divBdr>
        <w:top w:val="none" w:sz="0" w:space="0" w:color="auto"/>
        <w:left w:val="none" w:sz="0" w:space="0" w:color="auto"/>
        <w:bottom w:val="none" w:sz="0" w:space="0" w:color="auto"/>
        <w:right w:val="none" w:sz="0" w:space="0" w:color="auto"/>
      </w:divBdr>
    </w:div>
    <w:div w:id="1781217915">
      <w:bodyDiv w:val="1"/>
      <w:marLeft w:val="0"/>
      <w:marRight w:val="0"/>
      <w:marTop w:val="0"/>
      <w:marBottom w:val="0"/>
      <w:divBdr>
        <w:top w:val="none" w:sz="0" w:space="0" w:color="auto"/>
        <w:left w:val="none" w:sz="0" w:space="0" w:color="auto"/>
        <w:bottom w:val="none" w:sz="0" w:space="0" w:color="auto"/>
        <w:right w:val="none" w:sz="0" w:space="0" w:color="auto"/>
      </w:divBdr>
    </w:div>
    <w:div w:id="1786578849">
      <w:bodyDiv w:val="1"/>
      <w:marLeft w:val="0"/>
      <w:marRight w:val="0"/>
      <w:marTop w:val="0"/>
      <w:marBottom w:val="0"/>
      <w:divBdr>
        <w:top w:val="none" w:sz="0" w:space="0" w:color="auto"/>
        <w:left w:val="none" w:sz="0" w:space="0" w:color="auto"/>
        <w:bottom w:val="none" w:sz="0" w:space="0" w:color="auto"/>
        <w:right w:val="none" w:sz="0" w:space="0" w:color="auto"/>
      </w:divBdr>
    </w:div>
    <w:div w:id="1787961623">
      <w:bodyDiv w:val="1"/>
      <w:marLeft w:val="0"/>
      <w:marRight w:val="0"/>
      <w:marTop w:val="0"/>
      <w:marBottom w:val="0"/>
      <w:divBdr>
        <w:top w:val="none" w:sz="0" w:space="0" w:color="auto"/>
        <w:left w:val="none" w:sz="0" w:space="0" w:color="auto"/>
        <w:bottom w:val="none" w:sz="0" w:space="0" w:color="auto"/>
        <w:right w:val="none" w:sz="0" w:space="0" w:color="auto"/>
      </w:divBdr>
    </w:div>
    <w:div w:id="1788810015">
      <w:bodyDiv w:val="1"/>
      <w:marLeft w:val="0"/>
      <w:marRight w:val="0"/>
      <w:marTop w:val="0"/>
      <w:marBottom w:val="0"/>
      <w:divBdr>
        <w:top w:val="none" w:sz="0" w:space="0" w:color="auto"/>
        <w:left w:val="none" w:sz="0" w:space="0" w:color="auto"/>
        <w:bottom w:val="none" w:sz="0" w:space="0" w:color="auto"/>
        <w:right w:val="none" w:sz="0" w:space="0" w:color="auto"/>
      </w:divBdr>
    </w:div>
    <w:div w:id="1790126986">
      <w:bodyDiv w:val="1"/>
      <w:marLeft w:val="0"/>
      <w:marRight w:val="0"/>
      <w:marTop w:val="0"/>
      <w:marBottom w:val="0"/>
      <w:divBdr>
        <w:top w:val="none" w:sz="0" w:space="0" w:color="auto"/>
        <w:left w:val="none" w:sz="0" w:space="0" w:color="auto"/>
        <w:bottom w:val="none" w:sz="0" w:space="0" w:color="auto"/>
        <w:right w:val="none" w:sz="0" w:space="0" w:color="auto"/>
      </w:divBdr>
    </w:div>
    <w:div w:id="1795976581">
      <w:bodyDiv w:val="1"/>
      <w:marLeft w:val="0"/>
      <w:marRight w:val="0"/>
      <w:marTop w:val="0"/>
      <w:marBottom w:val="0"/>
      <w:divBdr>
        <w:top w:val="none" w:sz="0" w:space="0" w:color="auto"/>
        <w:left w:val="none" w:sz="0" w:space="0" w:color="auto"/>
        <w:bottom w:val="none" w:sz="0" w:space="0" w:color="auto"/>
        <w:right w:val="none" w:sz="0" w:space="0" w:color="auto"/>
      </w:divBdr>
    </w:div>
    <w:div w:id="1797411632">
      <w:bodyDiv w:val="1"/>
      <w:marLeft w:val="0"/>
      <w:marRight w:val="0"/>
      <w:marTop w:val="0"/>
      <w:marBottom w:val="0"/>
      <w:divBdr>
        <w:top w:val="none" w:sz="0" w:space="0" w:color="auto"/>
        <w:left w:val="none" w:sz="0" w:space="0" w:color="auto"/>
        <w:bottom w:val="none" w:sz="0" w:space="0" w:color="auto"/>
        <w:right w:val="none" w:sz="0" w:space="0" w:color="auto"/>
      </w:divBdr>
    </w:div>
    <w:div w:id="1798986951">
      <w:bodyDiv w:val="1"/>
      <w:marLeft w:val="0"/>
      <w:marRight w:val="0"/>
      <w:marTop w:val="0"/>
      <w:marBottom w:val="0"/>
      <w:divBdr>
        <w:top w:val="none" w:sz="0" w:space="0" w:color="auto"/>
        <w:left w:val="none" w:sz="0" w:space="0" w:color="auto"/>
        <w:bottom w:val="none" w:sz="0" w:space="0" w:color="auto"/>
        <w:right w:val="none" w:sz="0" w:space="0" w:color="auto"/>
      </w:divBdr>
    </w:div>
    <w:div w:id="1800999194">
      <w:bodyDiv w:val="1"/>
      <w:marLeft w:val="0"/>
      <w:marRight w:val="0"/>
      <w:marTop w:val="0"/>
      <w:marBottom w:val="0"/>
      <w:divBdr>
        <w:top w:val="none" w:sz="0" w:space="0" w:color="auto"/>
        <w:left w:val="none" w:sz="0" w:space="0" w:color="auto"/>
        <w:bottom w:val="none" w:sz="0" w:space="0" w:color="auto"/>
        <w:right w:val="none" w:sz="0" w:space="0" w:color="auto"/>
      </w:divBdr>
    </w:div>
    <w:div w:id="1801343412">
      <w:bodyDiv w:val="1"/>
      <w:marLeft w:val="0"/>
      <w:marRight w:val="0"/>
      <w:marTop w:val="0"/>
      <w:marBottom w:val="0"/>
      <w:divBdr>
        <w:top w:val="none" w:sz="0" w:space="0" w:color="auto"/>
        <w:left w:val="none" w:sz="0" w:space="0" w:color="auto"/>
        <w:bottom w:val="none" w:sz="0" w:space="0" w:color="auto"/>
        <w:right w:val="none" w:sz="0" w:space="0" w:color="auto"/>
      </w:divBdr>
    </w:div>
    <w:div w:id="1801459476">
      <w:bodyDiv w:val="1"/>
      <w:marLeft w:val="0"/>
      <w:marRight w:val="0"/>
      <w:marTop w:val="0"/>
      <w:marBottom w:val="0"/>
      <w:divBdr>
        <w:top w:val="none" w:sz="0" w:space="0" w:color="auto"/>
        <w:left w:val="none" w:sz="0" w:space="0" w:color="auto"/>
        <w:bottom w:val="none" w:sz="0" w:space="0" w:color="auto"/>
        <w:right w:val="none" w:sz="0" w:space="0" w:color="auto"/>
      </w:divBdr>
    </w:div>
    <w:div w:id="1802646666">
      <w:bodyDiv w:val="1"/>
      <w:marLeft w:val="0"/>
      <w:marRight w:val="0"/>
      <w:marTop w:val="0"/>
      <w:marBottom w:val="0"/>
      <w:divBdr>
        <w:top w:val="none" w:sz="0" w:space="0" w:color="auto"/>
        <w:left w:val="none" w:sz="0" w:space="0" w:color="auto"/>
        <w:bottom w:val="none" w:sz="0" w:space="0" w:color="auto"/>
        <w:right w:val="none" w:sz="0" w:space="0" w:color="auto"/>
      </w:divBdr>
    </w:div>
    <w:div w:id="1805460717">
      <w:bodyDiv w:val="1"/>
      <w:marLeft w:val="0"/>
      <w:marRight w:val="0"/>
      <w:marTop w:val="0"/>
      <w:marBottom w:val="0"/>
      <w:divBdr>
        <w:top w:val="none" w:sz="0" w:space="0" w:color="auto"/>
        <w:left w:val="none" w:sz="0" w:space="0" w:color="auto"/>
        <w:bottom w:val="none" w:sz="0" w:space="0" w:color="auto"/>
        <w:right w:val="none" w:sz="0" w:space="0" w:color="auto"/>
      </w:divBdr>
    </w:div>
    <w:div w:id="1805997491">
      <w:bodyDiv w:val="1"/>
      <w:marLeft w:val="0"/>
      <w:marRight w:val="0"/>
      <w:marTop w:val="0"/>
      <w:marBottom w:val="0"/>
      <w:divBdr>
        <w:top w:val="none" w:sz="0" w:space="0" w:color="auto"/>
        <w:left w:val="none" w:sz="0" w:space="0" w:color="auto"/>
        <w:bottom w:val="none" w:sz="0" w:space="0" w:color="auto"/>
        <w:right w:val="none" w:sz="0" w:space="0" w:color="auto"/>
      </w:divBdr>
    </w:div>
    <w:div w:id="1808815447">
      <w:bodyDiv w:val="1"/>
      <w:marLeft w:val="0"/>
      <w:marRight w:val="0"/>
      <w:marTop w:val="0"/>
      <w:marBottom w:val="0"/>
      <w:divBdr>
        <w:top w:val="none" w:sz="0" w:space="0" w:color="auto"/>
        <w:left w:val="none" w:sz="0" w:space="0" w:color="auto"/>
        <w:bottom w:val="none" w:sz="0" w:space="0" w:color="auto"/>
        <w:right w:val="none" w:sz="0" w:space="0" w:color="auto"/>
      </w:divBdr>
    </w:div>
    <w:div w:id="1808819323">
      <w:bodyDiv w:val="1"/>
      <w:marLeft w:val="0"/>
      <w:marRight w:val="0"/>
      <w:marTop w:val="0"/>
      <w:marBottom w:val="0"/>
      <w:divBdr>
        <w:top w:val="none" w:sz="0" w:space="0" w:color="auto"/>
        <w:left w:val="none" w:sz="0" w:space="0" w:color="auto"/>
        <w:bottom w:val="none" w:sz="0" w:space="0" w:color="auto"/>
        <w:right w:val="none" w:sz="0" w:space="0" w:color="auto"/>
      </w:divBdr>
    </w:div>
    <w:div w:id="1814567687">
      <w:bodyDiv w:val="1"/>
      <w:marLeft w:val="0"/>
      <w:marRight w:val="0"/>
      <w:marTop w:val="0"/>
      <w:marBottom w:val="0"/>
      <w:divBdr>
        <w:top w:val="none" w:sz="0" w:space="0" w:color="auto"/>
        <w:left w:val="none" w:sz="0" w:space="0" w:color="auto"/>
        <w:bottom w:val="none" w:sz="0" w:space="0" w:color="auto"/>
        <w:right w:val="none" w:sz="0" w:space="0" w:color="auto"/>
      </w:divBdr>
    </w:div>
    <w:div w:id="1815020938">
      <w:bodyDiv w:val="1"/>
      <w:marLeft w:val="0"/>
      <w:marRight w:val="0"/>
      <w:marTop w:val="0"/>
      <w:marBottom w:val="0"/>
      <w:divBdr>
        <w:top w:val="none" w:sz="0" w:space="0" w:color="auto"/>
        <w:left w:val="none" w:sz="0" w:space="0" w:color="auto"/>
        <w:bottom w:val="none" w:sz="0" w:space="0" w:color="auto"/>
        <w:right w:val="none" w:sz="0" w:space="0" w:color="auto"/>
      </w:divBdr>
    </w:div>
    <w:div w:id="1816222170">
      <w:bodyDiv w:val="1"/>
      <w:marLeft w:val="0"/>
      <w:marRight w:val="0"/>
      <w:marTop w:val="0"/>
      <w:marBottom w:val="0"/>
      <w:divBdr>
        <w:top w:val="none" w:sz="0" w:space="0" w:color="auto"/>
        <w:left w:val="none" w:sz="0" w:space="0" w:color="auto"/>
        <w:bottom w:val="none" w:sz="0" w:space="0" w:color="auto"/>
        <w:right w:val="none" w:sz="0" w:space="0" w:color="auto"/>
      </w:divBdr>
    </w:div>
    <w:div w:id="1818716834">
      <w:bodyDiv w:val="1"/>
      <w:marLeft w:val="0"/>
      <w:marRight w:val="0"/>
      <w:marTop w:val="0"/>
      <w:marBottom w:val="0"/>
      <w:divBdr>
        <w:top w:val="none" w:sz="0" w:space="0" w:color="auto"/>
        <w:left w:val="none" w:sz="0" w:space="0" w:color="auto"/>
        <w:bottom w:val="none" w:sz="0" w:space="0" w:color="auto"/>
        <w:right w:val="none" w:sz="0" w:space="0" w:color="auto"/>
      </w:divBdr>
    </w:div>
    <w:div w:id="1820999737">
      <w:bodyDiv w:val="1"/>
      <w:marLeft w:val="0"/>
      <w:marRight w:val="0"/>
      <w:marTop w:val="0"/>
      <w:marBottom w:val="0"/>
      <w:divBdr>
        <w:top w:val="none" w:sz="0" w:space="0" w:color="auto"/>
        <w:left w:val="none" w:sz="0" w:space="0" w:color="auto"/>
        <w:bottom w:val="none" w:sz="0" w:space="0" w:color="auto"/>
        <w:right w:val="none" w:sz="0" w:space="0" w:color="auto"/>
      </w:divBdr>
    </w:div>
    <w:div w:id="1821186506">
      <w:bodyDiv w:val="1"/>
      <w:marLeft w:val="0"/>
      <w:marRight w:val="0"/>
      <w:marTop w:val="0"/>
      <w:marBottom w:val="0"/>
      <w:divBdr>
        <w:top w:val="none" w:sz="0" w:space="0" w:color="auto"/>
        <w:left w:val="none" w:sz="0" w:space="0" w:color="auto"/>
        <w:bottom w:val="none" w:sz="0" w:space="0" w:color="auto"/>
        <w:right w:val="none" w:sz="0" w:space="0" w:color="auto"/>
      </w:divBdr>
    </w:div>
    <w:div w:id="1821456749">
      <w:bodyDiv w:val="1"/>
      <w:marLeft w:val="0"/>
      <w:marRight w:val="0"/>
      <w:marTop w:val="0"/>
      <w:marBottom w:val="0"/>
      <w:divBdr>
        <w:top w:val="none" w:sz="0" w:space="0" w:color="auto"/>
        <w:left w:val="none" w:sz="0" w:space="0" w:color="auto"/>
        <w:bottom w:val="none" w:sz="0" w:space="0" w:color="auto"/>
        <w:right w:val="none" w:sz="0" w:space="0" w:color="auto"/>
      </w:divBdr>
    </w:div>
    <w:div w:id="1832215197">
      <w:bodyDiv w:val="1"/>
      <w:marLeft w:val="0"/>
      <w:marRight w:val="0"/>
      <w:marTop w:val="0"/>
      <w:marBottom w:val="0"/>
      <w:divBdr>
        <w:top w:val="none" w:sz="0" w:space="0" w:color="auto"/>
        <w:left w:val="none" w:sz="0" w:space="0" w:color="auto"/>
        <w:bottom w:val="none" w:sz="0" w:space="0" w:color="auto"/>
        <w:right w:val="none" w:sz="0" w:space="0" w:color="auto"/>
      </w:divBdr>
    </w:div>
    <w:div w:id="1834758287">
      <w:bodyDiv w:val="1"/>
      <w:marLeft w:val="0"/>
      <w:marRight w:val="0"/>
      <w:marTop w:val="0"/>
      <w:marBottom w:val="0"/>
      <w:divBdr>
        <w:top w:val="none" w:sz="0" w:space="0" w:color="auto"/>
        <w:left w:val="none" w:sz="0" w:space="0" w:color="auto"/>
        <w:bottom w:val="none" w:sz="0" w:space="0" w:color="auto"/>
        <w:right w:val="none" w:sz="0" w:space="0" w:color="auto"/>
      </w:divBdr>
    </w:div>
    <w:div w:id="1838886753">
      <w:bodyDiv w:val="1"/>
      <w:marLeft w:val="0"/>
      <w:marRight w:val="0"/>
      <w:marTop w:val="0"/>
      <w:marBottom w:val="0"/>
      <w:divBdr>
        <w:top w:val="none" w:sz="0" w:space="0" w:color="auto"/>
        <w:left w:val="none" w:sz="0" w:space="0" w:color="auto"/>
        <w:bottom w:val="none" w:sz="0" w:space="0" w:color="auto"/>
        <w:right w:val="none" w:sz="0" w:space="0" w:color="auto"/>
      </w:divBdr>
    </w:div>
    <w:div w:id="1840467407">
      <w:bodyDiv w:val="1"/>
      <w:marLeft w:val="0"/>
      <w:marRight w:val="0"/>
      <w:marTop w:val="0"/>
      <w:marBottom w:val="0"/>
      <w:divBdr>
        <w:top w:val="none" w:sz="0" w:space="0" w:color="auto"/>
        <w:left w:val="none" w:sz="0" w:space="0" w:color="auto"/>
        <w:bottom w:val="none" w:sz="0" w:space="0" w:color="auto"/>
        <w:right w:val="none" w:sz="0" w:space="0" w:color="auto"/>
      </w:divBdr>
    </w:div>
    <w:div w:id="1841002990">
      <w:bodyDiv w:val="1"/>
      <w:marLeft w:val="0"/>
      <w:marRight w:val="0"/>
      <w:marTop w:val="0"/>
      <w:marBottom w:val="0"/>
      <w:divBdr>
        <w:top w:val="none" w:sz="0" w:space="0" w:color="auto"/>
        <w:left w:val="none" w:sz="0" w:space="0" w:color="auto"/>
        <w:bottom w:val="none" w:sz="0" w:space="0" w:color="auto"/>
        <w:right w:val="none" w:sz="0" w:space="0" w:color="auto"/>
      </w:divBdr>
    </w:div>
    <w:div w:id="1841696094">
      <w:bodyDiv w:val="1"/>
      <w:marLeft w:val="0"/>
      <w:marRight w:val="0"/>
      <w:marTop w:val="0"/>
      <w:marBottom w:val="0"/>
      <w:divBdr>
        <w:top w:val="none" w:sz="0" w:space="0" w:color="auto"/>
        <w:left w:val="none" w:sz="0" w:space="0" w:color="auto"/>
        <w:bottom w:val="none" w:sz="0" w:space="0" w:color="auto"/>
        <w:right w:val="none" w:sz="0" w:space="0" w:color="auto"/>
      </w:divBdr>
    </w:div>
    <w:div w:id="1844281154">
      <w:bodyDiv w:val="1"/>
      <w:marLeft w:val="0"/>
      <w:marRight w:val="0"/>
      <w:marTop w:val="0"/>
      <w:marBottom w:val="0"/>
      <w:divBdr>
        <w:top w:val="none" w:sz="0" w:space="0" w:color="auto"/>
        <w:left w:val="none" w:sz="0" w:space="0" w:color="auto"/>
        <w:bottom w:val="none" w:sz="0" w:space="0" w:color="auto"/>
        <w:right w:val="none" w:sz="0" w:space="0" w:color="auto"/>
      </w:divBdr>
    </w:div>
    <w:div w:id="1844739003">
      <w:bodyDiv w:val="1"/>
      <w:marLeft w:val="0"/>
      <w:marRight w:val="0"/>
      <w:marTop w:val="0"/>
      <w:marBottom w:val="0"/>
      <w:divBdr>
        <w:top w:val="none" w:sz="0" w:space="0" w:color="auto"/>
        <w:left w:val="none" w:sz="0" w:space="0" w:color="auto"/>
        <w:bottom w:val="none" w:sz="0" w:space="0" w:color="auto"/>
        <w:right w:val="none" w:sz="0" w:space="0" w:color="auto"/>
      </w:divBdr>
    </w:div>
    <w:div w:id="1845509790">
      <w:bodyDiv w:val="1"/>
      <w:marLeft w:val="0"/>
      <w:marRight w:val="0"/>
      <w:marTop w:val="0"/>
      <w:marBottom w:val="0"/>
      <w:divBdr>
        <w:top w:val="none" w:sz="0" w:space="0" w:color="auto"/>
        <w:left w:val="none" w:sz="0" w:space="0" w:color="auto"/>
        <w:bottom w:val="none" w:sz="0" w:space="0" w:color="auto"/>
        <w:right w:val="none" w:sz="0" w:space="0" w:color="auto"/>
      </w:divBdr>
    </w:div>
    <w:div w:id="1847279782">
      <w:bodyDiv w:val="1"/>
      <w:marLeft w:val="0"/>
      <w:marRight w:val="0"/>
      <w:marTop w:val="0"/>
      <w:marBottom w:val="0"/>
      <w:divBdr>
        <w:top w:val="none" w:sz="0" w:space="0" w:color="auto"/>
        <w:left w:val="none" w:sz="0" w:space="0" w:color="auto"/>
        <w:bottom w:val="none" w:sz="0" w:space="0" w:color="auto"/>
        <w:right w:val="none" w:sz="0" w:space="0" w:color="auto"/>
      </w:divBdr>
    </w:div>
    <w:div w:id="1847818105">
      <w:bodyDiv w:val="1"/>
      <w:marLeft w:val="0"/>
      <w:marRight w:val="0"/>
      <w:marTop w:val="0"/>
      <w:marBottom w:val="0"/>
      <w:divBdr>
        <w:top w:val="none" w:sz="0" w:space="0" w:color="auto"/>
        <w:left w:val="none" w:sz="0" w:space="0" w:color="auto"/>
        <w:bottom w:val="none" w:sz="0" w:space="0" w:color="auto"/>
        <w:right w:val="none" w:sz="0" w:space="0" w:color="auto"/>
      </w:divBdr>
    </w:div>
    <w:div w:id="1849979489">
      <w:bodyDiv w:val="1"/>
      <w:marLeft w:val="0"/>
      <w:marRight w:val="0"/>
      <w:marTop w:val="0"/>
      <w:marBottom w:val="0"/>
      <w:divBdr>
        <w:top w:val="none" w:sz="0" w:space="0" w:color="auto"/>
        <w:left w:val="none" w:sz="0" w:space="0" w:color="auto"/>
        <w:bottom w:val="none" w:sz="0" w:space="0" w:color="auto"/>
        <w:right w:val="none" w:sz="0" w:space="0" w:color="auto"/>
      </w:divBdr>
    </w:div>
    <w:div w:id="1852258305">
      <w:bodyDiv w:val="1"/>
      <w:marLeft w:val="0"/>
      <w:marRight w:val="0"/>
      <w:marTop w:val="0"/>
      <w:marBottom w:val="0"/>
      <w:divBdr>
        <w:top w:val="none" w:sz="0" w:space="0" w:color="auto"/>
        <w:left w:val="none" w:sz="0" w:space="0" w:color="auto"/>
        <w:bottom w:val="none" w:sz="0" w:space="0" w:color="auto"/>
        <w:right w:val="none" w:sz="0" w:space="0" w:color="auto"/>
      </w:divBdr>
    </w:div>
    <w:div w:id="1852573362">
      <w:bodyDiv w:val="1"/>
      <w:marLeft w:val="0"/>
      <w:marRight w:val="0"/>
      <w:marTop w:val="0"/>
      <w:marBottom w:val="0"/>
      <w:divBdr>
        <w:top w:val="none" w:sz="0" w:space="0" w:color="auto"/>
        <w:left w:val="none" w:sz="0" w:space="0" w:color="auto"/>
        <w:bottom w:val="none" w:sz="0" w:space="0" w:color="auto"/>
        <w:right w:val="none" w:sz="0" w:space="0" w:color="auto"/>
      </w:divBdr>
    </w:div>
    <w:div w:id="1854219810">
      <w:bodyDiv w:val="1"/>
      <w:marLeft w:val="0"/>
      <w:marRight w:val="0"/>
      <w:marTop w:val="0"/>
      <w:marBottom w:val="0"/>
      <w:divBdr>
        <w:top w:val="none" w:sz="0" w:space="0" w:color="auto"/>
        <w:left w:val="none" w:sz="0" w:space="0" w:color="auto"/>
        <w:bottom w:val="none" w:sz="0" w:space="0" w:color="auto"/>
        <w:right w:val="none" w:sz="0" w:space="0" w:color="auto"/>
      </w:divBdr>
    </w:div>
    <w:div w:id="1856840022">
      <w:bodyDiv w:val="1"/>
      <w:marLeft w:val="0"/>
      <w:marRight w:val="0"/>
      <w:marTop w:val="0"/>
      <w:marBottom w:val="0"/>
      <w:divBdr>
        <w:top w:val="none" w:sz="0" w:space="0" w:color="auto"/>
        <w:left w:val="none" w:sz="0" w:space="0" w:color="auto"/>
        <w:bottom w:val="none" w:sz="0" w:space="0" w:color="auto"/>
        <w:right w:val="none" w:sz="0" w:space="0" w:color="auto"/>
      </w:divBdr>
    </w:div>
    <w:div w:id="1857697345">
      <w:bodyDiv w:val="1"/>
      <w:marLeft w:val="0"/>
      <w:marRight w:val="0"/>
      <w:marTop w:val="0"/>
      <w:marBottom w:val="0"/>
      <w:divBdr>
        <w:top w:val="none" w:sz="0" w:space="0" w:color="auto"/>
        <w:left w:val="none" w:sz="0" w:space="0" w:color="auto"/>
        <w:bottom w:val="none" w:sz="0" w:space="0" w:color="auto"/>
        <w:right w:val="none" w:sz="0" w:space="0" w:color="auto"/>
      </w:divBdr>
    </w:div>
    <w:div w:id="1860122836">
      <w:bodyDiv w:val="1"/>
      <w:marLeft w:val="0"/>
      <w:marRight w:val="0"/>
      <w:marTop w:val="0"/>
      <w:marBottom w:val="0"/>
      <w:divBdr>
        <w:top w:val="none" w:sz="0" w:space="0" w:color="auto"/>
        <w:left w:val="none" w:sz="0" w:space="0" w:color="auto"/>
        <w:bottom w:val="none" w:sz="0" w:space="0" w:color="auto"/>
        <w:right w:val="none" w:sz="0" w:space="0" w:color="auto"/>
      </w:divBdr>
    </w:div>
    <w:div w:id="1861817697">
      <w:bodyDiv w:val="1"/>
      <w:marLeft w:val="0"/>
      <w:marRight w:val="0"/>
      <w:marTop w:val="0"/>
      <w:marBottom w:val="0"/>
      <w:divBdr>
        <w:top w:val="none" w:sz="0" w:space="0" w:color="auto"/>
        <w:left w:val="none" w:sz="0" w:space="0" w:color="auto"/>
        <w:bottom w:val="none" w:sz="0" w:space="0" w:color="auto"/>
        <w:right w:val="none" w:sz="0" w:space="0" w:color="auto"/>
      </w:divBdr>
    </w:div>
    <w:div w:id="1869635582">
      <w:bodyDiv w:val="1"/>
      <w:marLeft w:val="0"/>
      <w:marRight w:val="0"/>
      <w:marTop w:val="0"/>
      <w:marBottom w:val="0"/>
      <w:divBdr>
        <w:top w:val="none" w:sz="0" w:space="0" w:color="auto"/>
        <w:left w:val="none" w:sz="0" w:space="0" w:color="auto"/>
        <w:bottom w:val="none" w:sz="0" w:space="0" w:color="auto"/>
        <w:right w:val="none" w:sz="0" w:space="0" w:color="auto"/>
      </w:divBdr>
    </w:div>
    <w:div w:id="1873766644">
      <w:bodyDiv w:val="1"/>
      <w:marLeft w:val="0"/>
      <w:marRight w:val="0"/>
      <w:marTop w:val="0"/>
      <w:marBottom w:val="0"/>
      <w:divBdr>
        <w:top w:val="none" w:sz="0" w:space="0" w:color="auto"/>
        <w:left w:val="none" w:sz="0" w:space="0" w:color="auto"/>
        <w:bottom w:val="none" w:sz="0" w:space="0" w:color="auto"/>
        <w:right w:val="none" w:sz="0" w:space="0" w:color="auto"/>
      </w:divBdr>
    </w:div>
    <w:div w:id="1873835272">
      <w:bodyDiv w:val="1"/>
      <w:marLeft w:val="0"/>
      <w:marRight w:val="0"/>
      <w:marTop w:val="0"/>
      <w:marBottom w:val="0"/>
      <w:divBdr>
        <w:top w:val="none" w:sz="0" w:space="0" w:color="auto"/>
        <w:left w:val="none" w:sz="0" w:space="0" w:color="auto"/>
        <w:bottom w:val="none" w:sz="0" w:space="0" w:color="auto"/>
        <w:right w:val="none" w:sz="0" w:space="0" w:color="auto"/>
      </w:divBdr>
    </w:div>
    <w:div w:id="1877503760">
      <w:bodyDiv w:val="1"/>
      <w:marLeft w:val="0"/>
      <w:marRight w:val="0"/>
      <w:marTop w:val="0"/>
      <w:marBottom w:val="0"/>
      <w:divBdr>
        <w:top w:val="none" w:sz="0" w:space="0" w:color="auto"/>
        <w:left w:val="none" w:sz="0" w:space="0" w:color="auto"/>
        <w:bottom w:val="none" w:sz="0" w:space="0" w:color="auto"/>
        <w:right w:val="none" w:sz="0" w:space="0" w:color="auto"/>
      </w:divBdr>
    </w:div>
    <w:div w:id="1877618833">
      <w:bodyDiv w:val="1"/>
      <w:marLeft w:val="0"/>
      <w:marRight w:val="0"/>
      <w:marTop w:val="0"/>
      <w:marBottom w:val="0"/>
      <w:divBdr>
        <w:top w:val="none" w:sz="0" w:space="0" w:color="auto"/>
        <w:left w:val="none" w:sz="0" w:space="0" w:color="auto"/>
        <w:bottom w:val="none" w:sz="0" w:space="0" w:color="auto"/>
        <w:right w:val="none" w:sz="0" w:space="0" w:color="auto"/>
      </w:divBdr>
    </w:div>
    <w:div w:id="1886600325">
      <w:bodyDiv w:val="1"/>
      <w:marLeft w:val="0"/>
      <w:marRight w:val="0"/>
      <w:marTop w:val="0"/>
      <w:marBottom w:val="0"/>
      <w:divBdr>
        <w:top w:val="none" w:sz="0" w:space="0" w:color="auto"/>
        <w:left w:val="none" w:sz="0" w:space="0" w:color="auto"/>
        <w:bottom w:val="none" w:sz="0" w:space="0" w:color="auto"/>
        <w:right w:val="none" w:sz="0" w:space="0" w:color="auto"/>
      </w:divBdr>
    </w:div>
    <w:div w:id="1887180355">
      <w:bodyDiv w:val="1"/>
      <w:marLeft w:val="0"/>
      <w:marRight w:val="0"/>
      <w:marTop w:val="0"/>
      <w:marBottom w:val="0"/>
      <w:divBdr>
        <w:top w:val="none" w:sz="0" w:space="0" w:color="auto"/>
        <w:left w:val="none" w:sz="0" w:space="0" w:color="auto"/>
        <w:bottom w:val="none" w:sz="0" w:space="0" w:color="auto"/>
        <w:right w:val="none" w:sz="0" w:space="0" w:color="auto"/>
      </w:divBdr>
    </w:div>
    <w:div w:id="1887911065">
      <w:bodyDiv w:val="1"/>
      <w:marLeft w:val="0"/>
      <w:marRight w:val="0"/>
      <w:marTop w:val="0"/>
      <w:marBottom w:val="0"/>
      <w:divBdr>
        <w:top w:val="none" w:sz="0" w:space="0" w:color="auto"/>
        <w:left w:val="none" w:sz="0" w:space="0" w:color="auto"/>
        <w:bottom w:val="none" w:sz="0" w:space="0" w:color="auto"/>
        <w:right w:val="none" w:sz="0" w:space="0" w:color="auto"/>
      </w:divBdr>
    </w:div>
    <w:div w:id="1889757765">
      <w:bodyDiv w:val="1"/>
      <w:marLeft w:val="0"/>
      <w:marRight w:val="0"/>
      <w:marTop w:val="0"/>
      <w:marBottom w:val="0"/>
      <w:divBdr>
        <w:top w:val="none" w:sz="0" w:space="0" w:color="auto"/>
        <w:left w:val="none" w:sz="0" w:space="0" w:color="auto"/>
        <w:bottom w:val="none" w:sz="0" w:space="0" w:color="auto"/>
        <w:right w:val="none" w:sz="0" w:space="0" w:color="auto"/>
      </w:divBdr>
    </w:div>
    <w:div w:id="1896356316">
      <w:bodyDiv w:val="1"/>
      <w:marLeft w:val="0"/>
      <w:marRight w:val="0"/>
      <w:marTop w:val="0"/>
      <w:marBottom w:val="0"/>
      <w:divBdr>
        <w:top w:val="none" w:sz="0" w:space="0" w:color="auto"/>
        <w:left w:val="none" w:sz="0" w:space="0" w:color="auto"/>
        <w:bottom w:val="none" w:sz="0" w:space="0" w:color="auto"/>
        <w:right w:val="none" w:sz="0" w:space="0" w:color="auto"/>
      </w:divBdr>
    </w:div>
    <w:div w:id="1900167600">
      <w:bodyDiv w:val="1"/>
      <w:marLeft w:val="0"/>
      <w:marRight w:val="0"/>
      <w:marTop w:val="0"/>
      <w:marBottom w:val="0"/>
      <w:divBdr>
        <w:top w:val="none" w:sz="0" w:space="0" w:color="auto"/>
        <w:left w:val="none" w:sz="0" w:space="0" w:color="auto"/>
        <w:bottom w:val="none" w:sz="0" w:space="0" w:color="auto"/>
        <w:right w:val="none" w:sz="0" w:space="0" w:color="auto"/>
      </w:divBdr>
    </w:div>
    <w:div w:id="1919050474">
      <w:bodyDiv w:val="1"/>
      <w:marLeft w:val="0"/>
      <w:marRight w:val="0"/>
      <w:marTop w:val="0"/>
      <w:marBottom w:val="0"/>
      <w:divBdr>
        <w:top w:val="none" w:sz="0" w:space="0" w:color="auto"/>
        <w:left w:val="none" w:sz="0" w:space="0" w:color="auto"/>
        <w:bottom w:val="none" w:sz="0" w:space="0" w:color="auto"/>
        <w:right w:val="none" w:sz="0" w:space="0" w:color="auto"/>
      </w:divBdr>
    </w:div>
    <w:div w:id="1922911587">
      <w:bodyDiv w:val="1"/>
      <w:marLeft w:val="0"/>
      <w:marRight w:val="0"/>
      <w:marTop w:val="0"/>
      <w:marBottom w:val="0"/>
      <w:divBdr>
        <w:top w:val="none" w:sz="0" w:space="0" w:color="auto"/>
        <w:left w:val="none" w:sz="0" w:space="0" w:color="auto"/>
        <w:bottom w:val="none" w:sz="0" w:space="0" w:color="auto"/>
        <w:right w:val="none" w:sz="0" w:space="0" w:color="auto"/>
      </w:divBdr>
    </w:div>
    <w:div w:id="1930888904">
      <w:bodyDiv w:val="1"/>
      <w:marLeft w:val="0"/>
      <w:marRight w:val="0"/>
      <w:marTop w:val="0"/>
      <w:marBottom w:val="0"/>
      <w:divBdr>
        <w:top w:val="none" w:sz="0" w:space="0" w:color="auto"/>
        <w:left w:val="none" w:sz="0" w:space="0" w:color="auto"/>
        <w:bottom w:val="none" w:sz="0" w:space="0" w:color="auto"/>
        <w:right w:val="none" w:sz="0" w:space="0" w:color="auto"/>
      </w:divBdr>
    </w:div>
    <w:div w:id="1937900203">
      <w:bodyDiv w:val="1"/>
      <w:marLeft w:val="0"/>
      <w:marRight w:val="0"/>
      <w:marTop w:val="0"/>
      <w:marBottom w:val="0"/>
      <w:divBdr>
        <w:top w:val="none" w:sz="0" w:space="0" w:color="auto"/>
        <w:left w:val="none" w:sz="0" w:space="0" w:color="auto"/>
        <w:bottom w:val="none" w:sz="0" w:space="0" w:color="auto"/>
        <w:right w:val="none" w:sz="0" w:space="0" w:color="auto"/>
      </w:divBdr>
    </w:div>
    <w:div w:id="1941638794">
      <w:bodyDiv w:val="1"/>
      <w:marLeft w:val="0"/>
      <w:marRight w:val="0"/>
      <w:marTop w:val="0"/>
      <w:marBottom w:val="0"/>
      <w:divBdr>
        <w:top w:val="none" w:sz="0" w:space="0" w:color="auto"/>
        <w:left w:val="none" w:sz="0" w:space="0" w:color="auto"/>
        <w:bottom w:val="none" w:sz="0" w:space="0" w:color="auto"/>
        <w:right w:val="none" w:sz="0" w:space="0" w:color="auto"/>
      </w:divBdr>
    </w:div>
    <w:div w:id="1948192349">
      <w:bodyDiv w:val="1"/>
      <w:marLeft w:val="0"/>
      <w:marRight w:val="0"/>
      <w:marTop w:val="0"/>
      <w:marBottom w:val="0"/>
      <w:divBdr>
        <w:top w:val="none" w:sz="0" w:space="0" w:color="auto"/>
        <w:left w:val="none" w:sz="0" w:space="0" w:color="auto"/>
        <w:bottom w:val="none" w:sz="0" w:space="0" w:color="auto"/>
        <w:right w:val="none" w:sz="0" w:space="0" w:color="auto"/>
      </w:divBdr>
    </w:div>
    <w:div w:id="1950160855">
      <w:bodyDiv w:val="1"/>
      <w:marLeft w:val="0"/>
      <w:marRight w:val="0"/>
      <w:marTop w:val="0"/>
      <w:marBottom w:val="0"/>
      <w:divBdr>
        <w:top w:val="none" w:sz="0" w:space="0" w:color="auto"/>
        <w:left w:val="none" w:sz="0" w:space="0" w:color="auto"/>
        <w:bottom w:val="none" w:sz="0" w:space="0" w:color="auto"/>
        <w:right w:val="none" w:sz="0" w:space="0" w:color="auto"/>
      </w:divBdr>
    </w:div>
    <w:div w:id="1951158550">
      <w:bodyDiv w:val="1"/>
      <w:marLeft w:val="0"/>
      <w:marRight w:val="0"/>
      <w:marTop w:val="0"/>
      <w:marBottom w:val="0"/>
      <w:divBdr>
        <w:top w:val="none" w:sz="0" w:space="0" w:color="auto"/>
        <w:left w:val="none" w:sz="0" w:space="0" w:color="auto"/>
        <w:bottom w:val="none" w:sz="0" w:space="0" w:color="auto"/>
        <w:right w:val="none" w:sz="0" w:space="0" w:color="auto"/>
      </w:divBdr>
    </w:div>
    <w:div w:id="1951162774">
      <w:bodyDiv w:val="1"/>
      <w:marLeft w:val="0"/>
      <w:marRight w:val="0"/>
      <w:marTop w:val="0"/>
      <w:marBottom w:val="0"/>
      <w:divBdr>
        <w:top w:val="none" w:sz="0" w:space="0" w:color="auto"/>
        <w:left w:val="none" w:sz="0" w:space="0" w:color="auto"/>
        <w:bottom w:val="none" w:sz="0" w:space="0" w:color="auto"/>
        <w:right w:val="none" w:sz="0" w:space="0" w:color="auto"/>
      </w:divBdr>
    </w:div>
    <w:div w:id="1967929171">
      <w:bodyDiv w:val="1"/>
      <w:marLeft w:val="0"/>
      <w:marRight w:val="0"/>
      <w:marTop w:val="0"/>
      <w:marBottom w:val="0"/>
      <w:divBdr>
        <w:top w:val="none" w:sz="0" w:space="0" w:color="auto"/>
        <w:left w:val="none" w:sz="0" w:space="0" w:color="auto"/>
        <w:bottom w:val="none" w:sz="0" w:space="0" w:color="auto"/>
        <w:right w:val="none" w:sz="0" w:space="0" w:color="auto"/>
      </w:divBdr>
    </w:div>
    <w:div w:id="1972051268">
      <w:bodyDiv w:val="1"/>
      <w:marLeft w:val="0"/>
      <w:marRight w:val="0"/>
      <w:marTop w:val="0"/>
      <w:marBottom w:val="0"/>
      <w:divBdr>
        <w:top w:val="none" w:sz="0" w:space="0" w:color="auto"/>
        <w:left w:val="none" w:sz="0" w:space="0" w:color="auto"/>
        <w:bottom w:val="none" w:sz="0" w:space="0" w:color="auto"/>
        <w:right w:val="none" w:sz="0" w:space="0" w:color="auto"/>
      </w:divBdr>
    </w:div>
    <w:div w:id="1972519485">
      <w:bodyDiv w:val="1"/>
      <w:marLeft w:val="0"/>
      <w:marRight w:val="0"/>
      <w:marTop w:val="0"/>
      <w:marBottom w:val="0"/>
      <w:divBdr>
        <w:top w:val="none" w:sz="0" w:space="0" w:color="auto"/>
        <w:left w:val="none" w:sz="0" w:space="0" w:color="auto"/>
        <w:bottom w:val="none" w:sz="0" w:space="0" w:color="auto"/>
        <w:right w:val="none" w:sz="0" w:space="0" w:color="auto"/>
      </w:divBdr>
    </w:div>
    <w:div w:id="1974559018">
      <w:bodyDiv w:val="1"/>
      <w:marLeft w:val="0"/>
      <w:marRight w:val="0"/>
      <w:marTop w:val="0"/>
      <w:marBottom w:val="0"/>
      <w:divBdr>
        <w:top w:val="none" w:sz="0" w:space="0" w:color="auto"/>
        <w:left w:val="none" w:sz="0" w:space="0" w:color="auto"/>
        <w:bottom w:val="none" w:sz="0" w:space="0" w:color="auto"/>
        <w:right w:val="none" w:sz="0" w:space="0" w:color="auto"/>
      </w:divBdr>
    </w:div>
    <w:div w:id="1976450862">
      <w:bodyDiv w:val="1"/>
      <w:marLeft w:val="0"/>
      <w:marRight w:val="0"/>
      <w:marTop w:val="0"/>
      <w:marBottom w:val="0"/>
      <w:divBdr>
        <w:top w:val="none" w:sz="0" w:space="0" w:color="auto"/>
        <w:left w:val="none" w:sz="0" w:space="0" w:color="auto"/>
        <w:bottom w:val="none" w:sz="0" w:space="0" w:color="auto"/>
        <w:right w:val="none" w:sz="0" w:space="0" w:color="auto"/>
      </w:divBdr>
    </w:div>
    <w:div w:id="1981614543">
      <w:bodyDiv w:val="1"/>
      <w:marLeft w:val="0"/>
      <w:marRight w:val="0"/>
      <w:marTop w:val="0"/>
      <w:marBottom w:val="0"/>
      <w:divBdr>
        <w:top w:val="none" w:sz="0" w:space="0" w:color="auto"/>
        <w:left w:val="none" w:sz="0" w:space="0" w:color="auto"/>
        <w:bottom w:val="none" w:sz="0" w:space="0" w:color="auto"/>
        <w:right w:val="none" w:sz="0" w:space="0" w:color="auto"/>
      </w:divBdr>
    </w:div>
    <w:div w:id="1984693456">
      <w:bodyDiv w:val="1"/>
      <w:marLeft w:val="0"/>
      <w:marRight w:val="0"/>
      <w:marTop w:val="0"/>
      <w:marBottom w:val="0"/>
      <w:divBdr>
        <w:top w:val="none" w:sz="0" w:space="0" w:color="auto"/>
        <w:left w:val="none" w:sz="0" w:space="0" w:color="auto"/>
        <w:bottom w:val="none" w:sz="0" w:space="0" w:color="auto"/>
        <w:right w:val="none" w:sz="0" w:space="0" w:color="auto"/>
      </w:divBdr>
    </w:div>
    <w:div w:id="1997878314">
      <w:bodyDiv w:val="1"/>
      <w:marLeft w:val="0"/>
      <w:marRight w:val="0"/>
      <w:marTop w:val="0"/>
      <w:marBottom w:val="0"/>
      <w:divBdr>
        <w:top w:val="none" w:sz="0" w:space="0" w:color="auto"/>
        <w:left w:val="none" w:sz="0" w:space="0" w:color="auto"/>
        <w:bottom w:val="none" w:sz="0" w:space="0" w:color="auto"/>
        <w:right w:val="none" w:sz="0" w:space="0" w:color="auto"/>
      </w:divBdr>
    </w:div>
    <w:div w:id="1998681070">
      <w:bodyDiv w:val="1"/>
      <w:marLeft w:val="0"/>
      <w:marRight w:val="0"/>
      <w:marTop w:val="0"/>
      <w:marBottom w:val="0"/>
      <w:divBdr>
        <w:top w:val="none" w:sz="0" w:space="0" w:color="auto"/>
        <w:left w:val="none" w:sz="0" w:space="0" w:color="auto"/>
        <w:bottom w:val="none" w:sz="0" w:space="0" w:color="auto"/>
        <w:right w:val="none" w:sz="0" w:space="0" w:color="auto"/>
      </w:divBdr>
    </w:div>
    <w:div w:id="2003196360">
      <w:bodyDiv w:val="1"/>
      <w:marLeft w:val="0"/>
      <w:marRight w:val="0"/>
      <w:marTop w:val="0"/>
      <w:marBottom w:val="0"/>
      <w:divBdr>
        <w:top w:val="none" w:sz="0" w:space="0" w:color="auto"/>
        <w:left w:val="none" w:sz="0" w:space="0" w:color="auto"/>
        <w:bottom w:val="none" w:sz="0" w:space="0" w:color="auto"/>
        <w:right w:val="none" w:sz="0" w:space="0" w:color="auto"/>
      </w:divBdr>
    </w:div>
    <w:div w:id="2007130284">
      <w:bodyDiv w:val="1"/>
      <w:marLeft w:val="0"/>
      <w:marRight w:val="0"/>
      <w:marTop w:val="0"/>
      <w:marBottom w:val="0"/>
      <w:divBdr>
        <w:top w:val="none" w:sz="0" w:space="0" w:color="auto"/>
        <w:left w:val="none" w:sz="0" w:space="0" w:color="auto"/>
        <w:bottom w:val="none" w:sz="0" w:space="0" w:color="auto"/>
        <w:right w:val="none" w:sz="0" w:space="0" w:color="auto"/>
      </w:divBdr>
    </w:div>
    <w:div w:id="2015447537">
      <w:bodyDiv w:val="1"/>
      <w:marLeft w:val="0"/>
      <w:marRight w:val="0"/>
      <w:marTop w:val="0"/>
      <w:marBottom w:val="0"/>
      <w:divBdr>
        <w:top w:val="none" w:sz="0" w:space="0" w:color="auto"/>
        <w:left w:val="none" w:sz="0" w:space="0" w:color="auto"/>
        <w:bottom w:val="none" w:sz="0" w:space="0" w:color="auto"/>
        <w:right w:val="none" w:sz="0" w:space="0" w:color="auto"/>
      </w:divBdr>
    </w:div>
    <w:div w:id="2015722909">
      <w:bodyDiv w:val="1"/>
      <w:marLeft w:val="0"/>
      <w:marRight w:val="0"/>
      <w:marTop w:val="0"/>
      <w:marBottom w:val="0"/>
      <w:divBdr>
        <w:top w:val="none" w:sz="0" w:space="0" w:color="auto"/>
        <w:left w:val="none" w:sz="0" w:space="0" w:color="auto"/>
        <w:bottom w:val="none" w:sz="0" w:space="0" w:color="auto"/>
        <w:right w:val="none" w:sz="0" w:space="0" w:color="auto"/>
      </w:divBdr>
    </w:div>
    <w:div w:id="2016878973">
      <w:bodyDiv w:val="1"/>
      <w:marLeft w:val="0"/>
      <w:marRight w:val="0"/>
      <w:marTop w:val="0"/>
      <w:marBottom w:val="0"/>
      <w:divBdr>
        <w:top w:val="none" w:sz="0" w:space="0" w:color="auto"/>
        <w:left w:val="none" w:sz="0" w:space="0" w:color="auto"/>
        <w:bottom w:val="none" w:sz="0" w:space="0" w:color="auto"/>
        <w:right w:val="none" w:sz="0" w:space="0" w:color="auto"/>
      </w:divBdr>
    </w:div>
    <w:div w:id="2017295403">
      <w:bodyDiv w:val="1"/>
      <w:marLeft w:val="0"/>
      <w:marRight w:val="0"/>
      <w:marTop w:val="0"/>
      <w:marBottom w:val="0"/>
      <w:divBdr>
        <w:top w:val="none" w:sz="0" w:space="0" w:color="auto"/>
        <w:left w:val="none" w:sz="0" w:space="0" w:color="auto"/>
        <w:bottom w:val="none" w:sz="0" w:space="0" w:color="auto"/>
        <w:right w:val="none" w:sz="0" w:space="0" w:color="auto"/>
      </w:divBdr>
    </w:div>
    <w:div w:id="2019038047">
      <w:bodyDiv w:val="1"/>
      <w:marLeft w:val="0"/>
      <w:marRight w:val="0"/>
      <w:marTop w:val="0"/>
      <w:marBottom w:val="0"/>
      <w:divBdr>
        <w:top w:val="none" w:sz="0" w:space="0" w:color="auto"/>
        <w:left w:val="none" w:sz="0" w:space="0" w:color="auto"/>
        <w:bottom w:val="none" w:sz="0" w:space="0" w:color="auto"/>
        <w:right w:val="none" w:sz="0" w:space="0" w:color="auto"/>
      </w:divBdr>
    </w:div>
    <w:div w:id="2020891445">
      <w:bodyDiv w:val="1"/>
      <w:marLeft w:val="0"/>
      <w:marRight w:val="0"/>
      <w:marTop w:val="0"/>
      <w:marBottom w:val="0"/>
      <w:divBdr>
        <w:top w:val="none" w:sz="0" w:space="0" w:color="auto"/>
        <w:left w:val="none" w:sz="0" w:space="0" w:color="auto"/>
        <w:bottom w:val="none" w:sz="0" w:space="0" w:color="auto"/>
        <w:right w:val="none" w:sz="0" w:space="0" w:color="auto"/>
      </w:divBdr>
    </w:div>
    <w:div w:id="2023629914">
      <w:bodyDiv w:val="1"/>
      <w:marLeft w:val="0"/>
      <w:marRight w:val="0"/>
      <w:marTop w:val="0"/>
      <w:marBottom w:val="0"/>
      <w:divBdr>
        <w:top w:val="none" w:sz="0" w:space="0" w:color="auto"/>
        <w:left w:val="none" w:sz="0" w:space="0" w:color="auto"/>
        <w:bottom w:val="none" w:sz="0" w:space="0" w:color="auto"/>
        <w:right w:val="none" w:sz="0" w:space="0" w:color="auto"/>
      </w:divBdr>
    </w:div>
    <w:div w:id="2036883539">
      <w:bodyDiv w:val="1"/>
      <w:marLeft w:val="0"/>
      <w:marRight w:val="0"/>
      <w:marTop w:val="0"/>
      <w:marBottom w:val="0"/>
      <w:divBdr>
        <w:top w:val="none" w:sz="0" w:space="0" w:color="auto"/>
        <w:left w:val="none" w:sz="0" w:space="0" w:color="auto"/>
        <w:bottom w:val="none" w:sz="0" w:space="0" w:color="auto"/>
        <w:right w:val="none" w:sz="0" w:space="0" w:color="auto"/>
      </w:divBdr>
    </w:div>
    <w:div w:id="2037729643">
      <w:bodyDiv w:val="1"/>
      <w:marLeft w:val="0"/>
      <w:marRight w:val="0"/>
      <w:marTop w:val="0"/>
      <w:marBottom w:val="0"/>
      <w:divBdr>
        <w:top w:val="none" w:sz="0" w:space="0" w:color="auto"/>
        <w:left w:val="none" w:sz="0" w:space="0" w:color="auto"/>
        <w:bottom w:val="none" w:sz="0" w:space="0" w:color="auto"/>
        <w:right w:val="none" w:sz="0" w:space="0" w:color="auto"/>
      </w:divBdr>
    </w:div>
    <w:div w:id="2050647052">
      <w:bodyDiv w:val="1"/>
      <w:marLeft w:val="0"/>
      <w:marRight w:val="0"/>
      <w:marTop w:val="0"/>
      <w:marBottom w:val="0"/>
      <w:divBdr>
        <w:top w:val="none" w:sz="0" w:space="0" w:color="auto"/>
        <w:left w:val="none" w:sz="0" w:space="0" w:color="auto"/>
        <w:bottom w:val="none" w:sz="0" w:space="0" w:color="auto"/>
        <w:right w:val="none" w:sz="0" w:space="0" w:color="auto"/>
      </w:divBdr>
    </w:div>
    <w:div w:id="2053075135">
      <w:bodyDiv w:val="1"/>
      <w:marLeft w:val="0"/>
      <w:marRight w:val="0"/>
      <w:marTop w:val="0"/>
      <w:marBottom w:val="0"/>
      <w:divBdr>
        <w:top w:val="none" w:sz="0" w:space="0" w:color="auto"/>
        <w:left w:val="none" w:sz="0" w:space="0" w:color="auto"/>
        <w:bottom w:val="none" w:sz="0" w:space="0" w:color="auto"/>
        <w:right w:val="none" w:sz="0" w:space="0" w:color="auto"/>
      </w:divBdr>
    </w:div>
    <w:div w:id="2061513059">
      <w:bodyDiv w:val="1"/>
      <w:marLeft w:val="0"/>
      <w:marRight w:val="0"/>
      <w:marTop w:val="0"/>
      <w:marBottom w:val="0"/>
      <w:divBdr>
        <w:top w:val="none" w:sz="0" w:space="0" w:color="auto"/>
        <w:left w:val="none" w:sz="0" w:space="0" w:color="auto"/>
        <w:bottom w:val="none" w:sz="0" w:space="0" w:color="auto"/>
        <w:right w:val="none" w:sz="0" w:space="0" w:color="auto"/>
      </w:divBdr>
    </w:div>
    <w:div w:id="2070301833">
      <w:bodyDiv w:val="1"/>
      <w:marLeft w:val="0"/>
      <w:marRight w:val="0"/>
      <w:marTop w:val="0"/>
      <w:marBottom w:val="0"/>
      <w:divBdr>
        <w:top w:val="none" w:sz="0" w:space="0" w:color="auto"/>
        <w:left w:val="none" w:sz="0" w:space="0" w:color="auto"/>
        <w:bottom w:val="none" w:sz="0" w:space="0" w:color="auto"/>
        <w:right w:val="none" w:sz="0" w:space="0" w:color="auto"/>
      </w:divBdr>
    </w:div>
    <w:div w:id="2075807917">
      <w:bodyDiv w:val="1"/>
      <w:marLeft w:val="0"/>
      <w:marRight w:val="0"/>
      <w:marTop w:val="0"/>
      <w:marBottom w:val="0"/>
      <w:divBdr>
        <w:top w:val="none" w:sz="0" w:space="0" w:color="auto"/>
        <w:left w:val="none" w:sz="0" w:space="0" w:color="auto"/>
        <w:bottom w:val="none" w:sz="0" w:space="0" w:color="auto"/>
        <w:right w:val="none" w:sz="0" w:space="0" w:color="auto"/>
      </w:divBdr>
    </w:div>
    <w:div w:id="2077046190">
      <w:bodyDiv w:val="1"/>
      <w:marLeft w:val="0"/>
      <w:marRight w:val="0"/>
      <w:marTop w:val="0"/>
      <w:marBottom w:val="0"/>
      <w:divBdr>
        <w:top w:val="none" w:sz="0" w:space="0" w:color="auto"/>
        <w:left w:val="none" w:sz="0" w:space="0" w:color="auto"/>
        <w:bottom w:val="none" w:sz="0" w:space="0" w:color="auto"/>
        <w:right w:val="none" w:sz="0" w:space="0" w:color="auto"/>
      </w:divBdr>
    </w:div>
    <w:div w:id="2078670937">
      <w:bodyDiv w:val="1"/>
      <w:marLeft w:val="0"/>
      <w:marRight w:val="0"/>
      <w:marTop w:val="0"/>
      <w:marBottom w:val="0"/>
      <w:divBdr>
        <w:top w:val="none" w:sz="0" w:space="0" w:color="auto"/>
        <w:left w:val="none" w:sz="0" w:space="0" w:color="auto"/>
        <w:bottom w:val="none" w:sz="0" w:space="0" w:color="auto"/>
        <w:right w:val="none" w:sz="0" w:space="0" w:color="auto"/>
      </w:divBdr>
    </w:div>
    <w:div w:id="2081049970">
      <w:bodyDiv w:val="1"/>
      <w:marLeft w:val="0"/>
      <w:marRight w:val="0"/>
      <w:marTop w:val="0"/>
      <w:marBottom w:val="0"/>
      <w:divBdr>
        <w:top w:val="none" w:sz="0" w:space="0" w:color="auto"/>
        <w:left w:val="none" w:sz="0" w:space="0" w:color="auto"/>
        <w:bottom w:val="none" w:sz="0" w:space="0" w:color="auto"/>
        <w:right w:val="none" w:sz="0" w:space="0" w:color="auto"/>
      </w:divBdr>
    </w:div>
    <w:div w:id="2096900457">
      <w:bodyDiv w:val="1"/>
      <w:marLeft w:val="0"/>
      <w:marRight w:val="0"/>
      <w:marTop w:val="0"/>
      <w:marBottom w:val="0"/>
      <w:divBdr>
        <w:top w:val="none" w:sz="0" w:space="0" w:color="auto"/>
        <w:left w:val="none" w:sz="0" w:space="0" w:color="auto"/>
        <w:bottom w:val="none" w:sz="0" w:space="0" w:color="auto"/>
        <w:right w:val="none" w:sz="0" w:space="0" w:color="auto"/>
      </w:divBdr>
    </w:div>
    <w:div w:id="2103917346">
      <w:bodyDiv w:val="1"/>
      <w:marLeft w:val="0"/>
      <w:marRight w:val="0"/>
      <w:marTop w:val="0"/>
      <w:marBottom w:val="0"/>
      <w:divBdr>
        <w:top w:val="none" w:sz="0" w:space="0" w:color="auto"/>
        <w:left w:val="none" w:sz="0" w:space="0" w:color="auto"/>
        <w:bottom w:val="none" w:sz="0" w:space="0" w:color="auto"/>
        <w:right w:val="none" w:sz="0" w:space="0" w:color="auto"/>
      </w:divBdr>
    </w:div>
    <w:div w:id="2105371512">
      <w:bodyDiv w:val="1"/>
      <w:marLeft w:val="0"/>
      <w:marRight w:val="0"/>
      <w:marTop w:val="0"/>
      <w:marBottom w:val="0"/>
      <w:divBdr>
        <w:top w:val="none" w:sz="0" w:space="0" w:color="auto"/>
        <w:left w:val="none" w:sz="0" w:space="0" w:color="auto"/>
        <w:bottom w:val="none" w:sz="0" w:space="0" w:color="auto"/>
        <w:right w:val="none" w:sz="0" w:space="0" w:color="auto"/>
      </w:divBdr>
    </w:div>
    <w:div w:id="2108382237">
      <w:bodyDiv w:val="1"/>
      <w:marLeft w:val="0"/>
      <w:marRight w:val="0"/>
      <w:marTop w:val="0"/>
      <w:marBottom w:val="0"/>
      <w:divBdr>
        <w:top w:val="none" w:sz="0" w:space="0" w:color="auto"/>
        <w:left w:val="none" w:sz="0" w:space="0" w:color="auto"/>
        <w:bottom w:val="none" w:sz="0" w:space="0" w:color="auto"/>
        <w:right w:val="none" w:sz="0" w:space="0" w:color="auto"/>
      </w:divBdr>
    </w:div>
    <w:div w:id="2108765708">
      <w:bodyDiv w:val="1"/>
      <w:marLeft w:val="0"/>
      <w:marRight w:val="0"/>
      <w:marTop w:val="0"/>
      <w:marBottom w:val="0"/>
      <w:divBdr>
        <w:top w:val="none" w:sz="0" w:space="0" w:color="auto"/>
        <w:left w:val="none" w:sz="0" w:space="0" w:color="auto"/>
        <w:bottom w:val="none" w:sz="0" w:space="0" w:color="auto"/>
        <w:right w:val="none" w:sz="0" w:space="0" w:color="auto"/>
      </w:divBdr>
    </w:div>
    <w:div w:id="2110153258">
      <w:bodyDiv w:val="1"/>
      <w:marLeft w:val="0"/>
      <w:marRight w:val="0"/>
      <w:marTop w:val="0"/>
      <w:marBottom w:val="0"/>
      <w:divBdr>
        <w:top w:val="none" w:sz="0" w:space="0" w:color="auto"/>
        <w:left w:val="none" w:sz="0" w:space="0" w:color="auto"/>
        <w:bottom w:val="none" w:sz="0" w:space="0" w:color="auto"/>
        <w:right w:val="none" w:sz="0" w:space="0" w:color="auto"/>
      </w:divBdr>
    </w:div>
    <w:div w:id="2110812319">
      <w:bodyDiv w:val="1"/>
      <w:marLeft w:val="0"/>
      <w:marRight w:val="0"/>
      <w:marTop w:val="0"/>
      <w:marBottom w:val="0"/>
      <w:divBdr>
        <w:top w:val="none" w:sz="0" w:space="0" w:color="auto"/>
        <w:left w:val="none" w:sz="0" w:space="0" w:color="auto"/>
        <w:bottom w:val="none" w:sz="0" w:space="0" w:color="auto"/>
        <w:right w:val="none" w:sz="0" w:space="0" w:color="auto"/>
      </w:divBdr>
    </w:div>
    <w:div w:id="2112508630">
      <w:bodyDiv w:val="1"/>
      <w:marLeft w:val="0"/>
      <w:marRight w:val="0"/>
      <w:marTop w:val="0"/>
      <w:marBottom w:val="0"/>
      <w:divBdr>
        <w:top w:val="none" w:sz="0" w:space="0" w:color="auto"/>
        <w:left w:val="none" w:sz="0" w:space="0" w:color="auto"/>
        <w:bottom w:val="none" w:sz="0" w:space="0" w:color="auto"/>
        <w:right w:val="none" w:sz="0" w:space="0" w:color="auto"/>
      </w:divBdr>
    </w:div>
    <w:div w:id="2115705148">
      <w:bodyDiv w:val="1"/>
      <w:marLeft w:val="0"/>
      <w:marRight w:val="0"/>
      <w:marTop w:val="0"/>
      <w:marBottom w:val="0"/>
      <w:divBdr>
        <w:top w:val="none" w:sz="0" w:space="0" w:color="auto"/>
        <w:left w:val="none" w:sz="0" w:space="0" w:color="auto"/>
        <w:bottom w:val="none" w:sz="0" w:space="0" w:color="auto"/>
        <w:right w:val="none" w:sz="0" w:space="0" w:color="auto"/>
      </w:divBdr>
    </w:div>
    <w:div w:id="2116171137">
      <w:bodyDiv w:val="1"/>
      <w:marLeft w:val="0"/>
      <w:marRight w:val="0"/>
      <w:marTop w:val="0"/>
      <w:marBottom w:val="0"/>
      <w:divBdr>
        <w:top w:val="none" w:sz="0" w:space="0" w:color="auto"/>
        <w:left w:val="none" w:sz="0" w:space="0" w:color="auto"/>
        <w:bottom w:val="none" w:sz="0" w:space="0" w:color="auto"/>
        <w:right w:val="none" w:sz="0" w:space="0" w:color="auto"/>
      </w:divBdr>
    </w:div>
    <w:div w:id="2118327561">
      <w:bodyDiv w:val="1"/>
      <w:marLeft w:val="0"/>
      <w:marRight w:val="0"/>
      <w:marTop w:val="0"/>
      <w:marBottom w:val="0"/>
      <w:divBdr>
        <w:top w:val="none" w:sz="0" w:space="0" w:color="auto"/>
        <w:left w:val="none" w:sz="0" w:space="0" w:color="auto"/>
        <w:bottom w:val="none" w:sz="0" w:space="0" w:color="auto"/>
        <w:right w:val="none" w:sz="0" w:space="0" w:color="auto"/>
      </w:divBdr>
    </w:div>
    <w:div w:id="2119173231">
      <w:bodyDiv w:val="1"/>
      <w:marLeft w:val="0"/>
      <w:marRight w:val="0"/>
      <w:marTop w:val="0"/>
      <w:marBottom w:val="0"/>
      <w:divBdr>
        <w:top w:val="none" w:sz="0" w:space="0" w:color="auto"/>
        <w:left w:val="none" w:sz="0" w:space="0" w:color="auto"/>
        <w:bottom w:val="none" w:sz="0" w:space="0" w:color="auto"/>
        <w:right w:val="none" w:sz="0" w:space="0" w:color="auto"/>
      </w:divBdr>
    </w:div>
    <w:div w:id="2119331253">
      <w:bodyDiv w:val="1"/>
      <w:marLeft w:val="0"/>
      <w:marRight w:val="0"/>
      <w:marTop w:val="0"/>
      <w:marBottom w:val="0"/>
      <w:divBdr>
        <w:top w:val="none" w:sz="0" w:space="0" w:color="auto"/>
        <w:left w:val="none" w:sz="0" w:space="0" w:color="auto"/>
        <w:bottom w:val="none" w:sz="0" w:space="0" w:color="auto"/>
        <w:right w:val="none" w:sz="0" w:space="0" w:color="auto"/>
      </w:divBdr>
    </w:div>
    <w:div w:id="2123957020">
      <w:bodyDiv w:val="1"/>
      <w:marLeft w:val="0"/>
      <w:marRight w:val="0"/>
      <w:marTop w:val="0"/>
      <w:marBottom w:val="0"/>
      <w:divBdr>
        <w:top w:val="none" w:sz="0" w:space="0" w:color="auto"/>
        <w:left w:val="none" w:sz="0" w:space="0" w:color="auto"/>
        <w:bottom w:val="none" w:sz="0" w:space="0" w:color="auto"/>
        <w:right w:val="none" w:sz="0" w:space="0" w:color="auto"/>
      </w:divBdr>
    </w:div>
    <w:div w:id="2124615876">
      <w:bodyDiv w:val="1"/>
      <w:marLeft w:val="0"/>
      <w:marRight w:val="0"/>
      <w:marTop w:val="0"/>
      <w:marBottom w:val="0"/>
      <w:divBdr>
        <w:top w:val="none" w:sz="0" w:space="0" w:color="auto"/>
        <w:left w:val="none" w:sz="0" w:space="0" w:color="auto"/>
        <w:bottom w:val="none" w:sz="0" w:space="0" w:color="auto"/>
        <w:right w:val="none" w:sz="0" w:space="0" w:color="auto"/>
      </w:divBdr>
      <w:divsChild>
        <w:div w:id="1157258994">
          <w:marLeft w:val="0"/>
          <w:marRight w:val="0"/>
          <w:marTop w:val="0"/>
          <w:marBottom w:val="0"/>
          <w:divBdr>
            <w:top w:val="none" w:sz="0" w:space="0" w:color="auto"/>
            <w:left w:val="none" w:sz="0" w:space="0" w:color="auto"/>
            <w:bottom w:val="none" w:sz="0" w:space="0" w:color="auto"/>
            <w:right w:val="none" w:sz="0" w:space="0" w:color="auto"/>
          </w:divBdr>
        </w:div>
      </w:divsChild>
    </w:div>
    <w:div w:id="2132086111">
      <w:bodyDiv w:val="1"/>
      <w:marLeft w:val="0"/>
      <w:marRight w:val="0"/>
      <w:marTop w:val="0"/>
      <w:marBottom w:val="0"/>
      <w:divBdr>
        <w:top w:val="none" w:sz="0" w:space="0" w:color="auto"/>
        <w:left w:val="none" w:sz="0" w:space="0" w:color="auto"/>
        <w:bottom w:val="none" w:sz="0" w:space="0" w:color="auto"/>
        <w:right w:val="none" w:sz="0" w:space="0" w:color="auto"/>
      </w:divBdr>
    </w:div>
    <w:div w:id="2134327907">
      <w:bodyDiv w:val="1"/>
      <w:marLeft w:val="0"/>
      <w:marRight w:val="0"/>
      <w:marTop w:val="0"/>
      <w:marBottom w:val="0"/>
      <w:divBdr>
        <w:top w:val="none" w:sz="0" w:space="0" w:color="auto"/>
        <w:left w:val="none" w:sz="0" w:space="0" w:color="auto"/>
        <w:bottom w:val="none" w:sz="0" w:space="0" w:color="auto"/>
        <w:right w:val="none" w:sz="0" w:space="0" w:color="auto"/>
      </w:divBdr>
    </w:div>
    <w:div w:id="2137217579">
      <w:bodyDiv w:val="1"/>
      <w:marLeft w:val="0"/>
      <w:marRight w:val="0"/>
      <w:marTop w:val="0"/>
      <w:marBottom w:val="0"/>
      <w:divBdr>
        <w:top w:val="none" w:sz="0" w:space="0" w:color="auto"/>
        <w:left w:val="none" w:sz="0" w:space="0" w:color="auto"/>
        <w:bottom w:val="none" w:sz="0" w:space="0" w:color="auto"/>
        <w:right w:val="none" w:sz="0" w:space="0" w:color="auto"/>
      </w:divBdr>
    </w:div>
    <w:div w:id="2137675738">
      <w:bodyDiv w:val="1"/>
      <w:marLeft w:val="0"/>
      <w:marRight w:val="0"/>
      <w:marTop w:val="0"/>
      <w:marBottom w:val="0"/>
      <w:divBdr>
        <w:top w:val="none" w:sz="0" w:space="0" w:color="auto"/>
        <w:left w:val="none" w:sz="0" w:space="0" w:color="auto"/>
        <w:bottom w:val="none" w:sz="0" w:space="0" w:color="auto"/>
        <w:right w:val="none" w:sz="0" w:space="0" w:color="auto"/>
      </w:divBdr>
    </w:div>
    <w:div w:id="2145586821">
      <w:bodyDiv w:val="1"/>
      <w:marLeft w:val="0"/>
      <w:marRight w:val="0"/>
      <w:marTop w:val="0"/>
      <w:marBottom w:val="0"/>
      <w:divBdr>
        <w:top w:val="none" w:sz="0" w:space="0" w:color="auto"/>
        <w:left w:val="none" w:sz="0" w:space="0" w:color="auto"/>
        <w:bottom w:val="none" w:sz="0" w:space="0" w:color="auto"/>
        <w:right w:val="none" w:sz="0" w:space="0" w:color="auto"/>
      </w:divBdr>
    </w:div>
    <w:div w:id="2145809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korda.kz/ru/official_documents/strategies_and_programs" TargetMode="External"/><Relationship Id="rId117" Type="http://schemas.openxmlformats.org/officeDocument/2006/relationships/hyperlink" Target="file:///C:\Users\Hp\Documents\saule%202020\&#1044;&#1086;&#1082;&#1091;&#1084;&#1077;&#1085;&#1090;&#1099;\&#1052;&#1086;&#1103;%20&#1076;&#1086;&#1082;&#1090;&#1086;&#1088;&#1072;&#1085;&#1090;&#1091;&#1088;&#1072;%20PhD\&#1044;&#1080;&#1089;&#1089;&#1077;&#1088;&#1090;&#1072;&#1094;&#1080;&#1103;\&#1179;&#1086;&#1088;&#1171;&#1072;&#1091;&#1171;&#1072;%20&#1179;&#1201;&#1078;&#1072;&#1090;&#1090;&#1072;&#1088;\&#1055;&#1072;&#1074;&#1083;&#1086;&#1076;&#1072;&#1088;%20&#1086;&#1073;&#1083;&#1099;&#1089;&#1099;&#1085;&#1072;%20&#1073;&#1257;&#1083;&#1110;&#1085;&#1075;&#1077;&#1085;%20&#1088;&#1077;&#1089;&#1087;&#1091;&#1073;&#1083;&#1080;&#1082;&#1072;&#1083;&#1099;&#1179;%20&#1073;&#1102;&#1076;&#1078;&#1077;&#1090;%20&#1179;&#1072;&#1088;&#1072;&#1078;&#1072;&#1090;&#1099;&#1085;&#1099;&#1187;%20&#1087;&#1072;&#1081;&#1076;&#1072;&#1083;&#1072;&#1085;&#1099;&#1083;&#1091;%20&#1090;&#1080;&#1110;&#1084;&#1076;&#1110;&#1083;&#1110;&#1075;&#1110;&#1085;&#1077;%20&#1078;&#1199;&#1088;&#1075;&#1110;&#1079;&#1110;&#1083;&#1075;&#1077;&#1085;%20&#1084;&#1077;&#1084;&#1083;&#1077;&#1082;&#1077;&#1090;&#1090;&#1110;&#1082;%20&#1072;&#1091;&#1076;&#1080;&#1090;&#1090;&#1110;&#1187;%20&#1085;&#1241;&#1090;&#1080;&#1078;&#1077;&#1083;&#1077;&#1088;&#1110;%20&#1073;&#1086;&#1081;&#1099;&#1085;&#1096;&#1072;%20&#1072;&#1091;&#1076;&#1080;&#1090;&#1086;&#1088;&#1083;&#1099;&#1179;%20&#1179;&#1086;&#1088;&#1099;&#1090;&#1099;&#1085;&#1076;&#1099;%20\%20https:\www.gov.kz\memleket.15.08.2022%20&#1075;.%20" TargetMode="External"/><Relationship Id="rId21" Type="http://schemas.openxmlformats.org/officeDocument/2006/relationships/hyperlink" Target="https://adilet.zan.kz/kaz/docs/U030001149_" TargetMode="External"/><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hyperlink" Target="javascript:void(0)" TargetMode="External"/><Relationship Id="rId68" Type="http://schemas.openxmlformats.org/officeDocument/2006/relationships/hyperlink" Target="https://www.dissercat.com/content/audit-effektivnosti-v-sisteme-gosudarstvennogo-finansovogo-kontrolya?ysclid=liwksbhakt633769059" TargetMode="External"/><Relationship Id="rId84" Type="http://schemas.openxmlformats.org/officeDocument/2006/relationships/hyperlink" Target="https://pdf4pro.com/tag/83137/assurance-engagements-asae-3500-performance-engagements.html" TargetMode="External"/><Relationship Id="rId89" Type="http://schemas.openxmlformats.org/officeDocument/2006/relationships/hyperlink" Target="https://op.europa.eu/webpub/eca/book-state-audit/en/" TargetMode="External"/><Relationship Id="rId112" Type="http://schemas.openxmlformats.org/officeDocument/2006/relationships/hyperlink" Target="file:///C:\Users\Hp\Documents\saule%202020\&#1044;&#1086;&#1082;&#1091;&#1084;&#1077;&#1085;&#1090;&#1099;\&#1052;&#1086;&#1103;%20&#1076;&#1086;&#1082;&#1090;&#1086;&#1088;&#1072;&#1085;&#1090;&#1091;&#1088;&#1072;%20PhD\&#1044;&#1080;&#1089;&#1089;&#1077;&#1088;&#1090;&#1072;&#1094;&#1080;&#1103;\&#1055;&#1077;&#1088;&#1077;&#1095;&#1077;&#1085;&#1100;%20&#1086;&#1073;&#1098;&#1077;&#1082;&#1090;&#1086;&#1074;%20&#1075;&#1086;&#1089;&#1091;&#1076;&#1072;&#1088;&#1089;&#1090;&#1074;&#1077;&#1085;&#1085;&#1086;&#1075;&#1086;%20&#1072;&#1091;&#1076;&#1080;&#1090;&#1072;%20&#1042;&#1099;&#1089;&#1096;&#1077;&#1081;%20&#1072;&#1091;&#1076;&#1080;&#1090;&#1086;&#1088;&#1089;&#1082;&#1086;&#1081;%20&#1087;&#1072;&#1083;&#1072;&#1090;&#1099;%20&#1085;&#1072;%202022%20&#1075;&#1086;&#1076;%20\%20https:\www.gov.kz\memleket\entities\esep." TargetMode="External"/><Relationship Id="rId16" Type="http://schemas.openxmlformats.org/officeDocument/2006/relationships/hyperlink" Target="https://adilet.zan.kz/kaz/docs/P1700000790" TargetMode="External"/><Relationship Id="rId107" Type="http://schemas.openxmlformats.org/officeDocument/2006/relationships/hyperlink" Target="https://www.oecd-ilibrary.org/agriculture-and-food/agricultural-policy-monitoring-and-evaluation-2022_7f4542bf-en" TargetMode="External"/><Relationship Id="rId11" Type="http://schemas.openxmlformats.org/officeDocument/2006/relationships/hyperlink" Target="https://adilet.zan.kz/kaz/docs/V1800016689" TargetMode="External"/><Relationship Id="rId32" Type="http://schemas.microsoft.com/office/2007/relationships/diagramDrawing" Target="diagrams/drawing1.xml"/><Relationship Id="rId37" Type="http://schemas.openxmlformats.org/officeDocument/2006/relationships/diagramData" Target="diagrams/data2.xml"/><Relationship Id="rId53" Type="http://schemas.openxmlformats.org/officeDocument/2006/relationships/hyperlink" Target="https://primeminister.kz/addresses/01092021.%2012.10.2020" TargetMode="External"/><Relationship Id="rId58" Type="http://schemas.openxmlformats.org/officeDocument/2006/relationships/hyperlink" Target="https://egov.kz/cms/kk/zur" TargetMode="External"/><Relationship Id="rId74" Type="http://schemas.openxmlformats.org/officeDocument/2006/relationships/hyperlink" Target="file:///C:\Users\Hp\Documents\saule%202020\&#1044;&#1086;&#1082;&#1091;&#1084;&#1077;&#1085;&#1090;&#1099;\&#1052;&#1086;&#1103;%20&#1076;&#1086;&#1082;&#1090;&#1086;&#1088;&#1072;&#1085;&#1090;&#1091;&#1088;&#1072;%20PhD\&#1044;&#1080;&#1089;&#1089;&#1077;&#1088;&#1090;&#1072;&#1094;&#1080;&#1103;\&#1054;&#1073;%20&#1091;&#1090;&#1074;&#1077;&#1088;&#1078;&#1076;&#1077;&#1085;&#1080;&#1080;%20&#1087;&#1088;&#1086;&#1094;&#1077;&#1076;&#1091;&#1088;&#1085;&#1099;&#1093;%20&#1089;&#1090;&#1072;&#1085;&#1076;&#1072;&#1088;&#1090;&#1086;&#1074;%20&#1074;&#1085;&#1077;&#1096;&#1085;&#1077;&#1075;&#1086;%20&#1075;&#1086;&#1089;&#1091;&#1076;&#1072;&#1088;&#1089;&#1090;&#1074;&#1077;&#1085;&#1085;&#1086;&#1075;&#1086;%20&#1072;&#1091;&#1076;&#1080;&#1090;&#1072;%20&#1080;%20&#1092;&#1080;&#1085;&#1072;&#1085;&#1089;&#1086;&#1074;&#1086;&#1075;&#1086;%20&#1082;&#1086;&#1085;&#1090;&#1088;&#1086;&#1083;&#1103;:%20&#1091;&#1090;&#1074;.%2031%20&#1084;&#1072;&#1088;&#1090;&#1072;%202016%20&#1075;&#1086;&#1076;&#1072;,%20&#8470;5-&#1053;&#1178;%20\%20https:\adilet.zan.kz\rus\docs\V1600013647." TargetMode="External"/><Relationship Id="rId79" Type="http://schemas.openxmlformats.org/officeDocument/2006/relationships/hyperlink" Target="file:///C:\Users\Hp\Documents\saule%202020\&#1044;&#1086;&#1082;&#1091;&#1084;&#1077;&#1085;&#1090;&#1099;\&#1052;&#1086;&#1103;%20&#1076;&#1086;&#1082;&#1090;&#1086;&#1088;&#1072;&#1085;&#1090;&#1091;&#1088;&#1072;%20PhD\&#1044;&#1080;&#1089;&#1089;&#1077;&#1088;&#1090;&#1072;&#1094;&#1080;&#1103;\&#1178;&#1072;&#1079;&#1072;&#1179;&#1089;&#1090;&#1072;&#1085;%20&#1056;&#1077;&#1089;&#1087;&#1091;&#1073;&#1083;&#1080;&#1082;&#1072;&#1089;&#1099;&#1085;&#1099;&#1187;%20&#1041;&#1102;&#1076;&#1078;&#1077;&#1090;%20&#1082;&#1086;&#1076;&#1077;&#1082;&#1089;&#1110;:%202008%20&#1078;&#1099;&#1083;&#1076;&#1099;&#1187;%204%20&#1078;&#1077;&#1083;&#1090;&#1086;&#1179;&#1089;&#1072;&#1085;&#1076;&#1072;,%20&#8470;95%20&#1179;&#1072;&#1073;&#1099;&#1083;&#1076;&#1072;&#1085;&#1171;&#1072;&#1085;%20\" TargetMode="External"/><Relationship Id="rId102" Type="http://schemas.openxmlformats.org/officeDocument/2006/relationships/hyperlink" Target="https://www.gov.kz/memleket/entities/moa/documents/details/538192?lang=kk" TargetMode="External"/><Relationship Id="rId123" Type="http://schemas.openxmlformats.org/officeDocument/2006/relationships/hyperlink" Target="https://nonews.co/directory/lists/countries/global-food-security" TargetMode="External"/><Relationship Id="rId5" Type="http://schemas.openxmlformats.org/officeDocument/2006/relationships/webSettings" Target="webSettings.xml"/><Relationship Id="rId90" Type="http://schemas.openxmlformats.org/officeDocument/2006/relationships/hyperlink" Target="https://www.researchgate.net/publication/283974975_The_Performance_Impact_of_the_Supreme_Audit_Institutions_on_National_Budgets_Great_Britain_and_Romania_Case_-_Comparative_Study" TargetMode="External"/><Relationship Id="rId95" Type="http://schemas.openxmlformats.org/officeDocument/2006/relationships/hyperlink" Target="file:///C:\Users\Hp\Documents\saule%202020\&#1044;&#1086;&#1082;&#1091;&#1084;&#1077;&#1085;&#1090;&#1099;\&#1052;&#1086;&#1103;%20&#1076;&#1086;&#1082;&#1090;&#1086;&#1088;&#1072;&#1085;&#1090;&#1091;&#1088;&#1072;%20PhD\&#1044;&#1080;&#1089;&#1089;&#1077;&#1088;&#1090;&#1072;&#1094;&#1080;&#1103;\&#1178;&#1072;&#1079;&#1072;&#1179;&#1089;&#1090;&#1072;&#1085;%20&#1056;&#1077;&#1089;&#1087;&#1091;&#1073;&#1083;&#1080;&#1082;&#1072;&#1089;&#1099;&#1085;&#1099;&#1187;%20&#1040;&#1091;&#1099;&#1083;&#1076;&#1099;&#1179;%20&#1072;&#1091;&#1084;&#1072;&#1179;&#1090;&#1072;&#1088;&#1099;&#1085;%20&#1076;&#1072;&#1084;&#1099;&#1090;&#1091;&#1076;&#1099;&#1187;%202004-2010%20&#1078;&#1099;&#1083;&#1076;&#1072;&#1088;&#1171;&#1072;%20&#1072;&#1088;&#1085;&#1072;&#1083;&#1171;&#1072;&#1085;%20&#1084;&#1077;&#1084;&#1083;&#1077;&#1082;&#1077;&#1090;&#1090;i&#1082;%20&#1073;&#1072;&#1171;&#1076;&#1072;&#1088;&#1083;&#1072;&#1084;&#1072;&#1089;&#1099;%20&#1090;&#1091;&#1088;&#1072;&#1083;&#1099;:%202003%20&#1078;&#1099;&#1083;&#1076;&#1099;&#1187;%2010%20&#1096;&#1077;&#1083;&#1076;&#1077;&#1089;&#1110;,%20&#8470;1149%20&#1073;&#1077;&#1082;&#1110;&#1090;&#1110;&#1083;&#1075;&#1077;&#1085;%20\" TargetMode="External"/><Relationship Id="rId22" Type="http://schemas.openxmlformats.org/officeDocument/2006/relationships/hyperlink" Target="https://adilet.zan.kz/kaz/docs/P1300000151" TargetMode="External"/><Relationship Id="rId27" Type="http://schemas.openxmlformats.org/officeDocument/2006/relationships/hyperlink" Target="https://online.zakon.kz/Document/?doc_id=37022725&amp;base_id=1&amp;TryBillingDoc=1&amp;pos=5;-106" TargetMode="External"/><Relationship Id="rId43" Type="http://schemas.openxmlformats.org/officeDocument/2006/relationships/chart" Target="charts/chart6.xml"/><Relationship Id="rId48" Type="http://schemas.openxmlformats.org/officeDocument/2006/relationships/footer" Target="footer1.xml"/><Relationship Id="rId64" Type="http://schemas.openxmlformats.org/officeDocument/2006/relationships/hyperlink" Target="https://library.kazatu.kz:2057/record/display.uri?eid=2-s2.0-83655190355&amp;origin=reflist&amp;sort=plf-f&amp;src=s&amp;sid=79e48703b964b30b9a08a8b1e49c993e&amp;sot=b&amp;sdt=b&amp;sl=57&amp;s=TITLE-ABS-KEY%28audit+of+the+effectiveness+of+budget+funds%29" TargetMode="External"/><Relationship Id="rId69" Type="http://schemas.openxmlformats.org/officeDocument/2006/relationships/hyperlink" Target="https://static1.squarespace.com/static/57019a6db6aa607cbb909ab2/t/58db1b30ff7c50882b8749e0/1490754369563/FA+iCAT+Guidance.pdf" TargetMode="External"/><Relationship Id="rId113" Type="http://schemas.openxmlformats.org/officeDocument/2006/relationships/hyperlink" Target="file:///C:\Users\Hp\Documents\saule%202020\&#1044;&#1086;&#1082;&#1091;&#1084;&#1077;&#1085;&#1090;&#1099;\&#1052;&#1086;&#1103;%20&#1076;&#1086;&#1082;&#1090;&#1086;&#1088;&#1072;&#1085;&#1090;&#1091;&#1088;&#1072;%20PhD\&#1044;&#1080;&#1089;&#1089;&#1077;&#1088;&#1090;&#1072;&#1094;&#1080;&#1103;\&#1055;&#1077;&#1088;&#1077;&#1095;&#1077;&#1085;&#1100;%20&#1086;&#1073;&#1098;&#1077;&#1082;&#1090;&#1086;&#1074;%20&#1075;&#1086;&#1089;&#1091;&#1076;&#1072;&#1088;&#1089;&#1090;&#1074;&#1077;&#1085;&#1085;&#1086;&#1075;&#1086;%20&#1072;&#1091;&#1076;&#1080;&#1090;&#1072;%20&#1042;&#1099;&#1089;&#1096;&#1077;&#1081;%20&#1072;&#1091;&#1076;&#1080;&#1090;&#1086;&#1088;&#1089;&#1082;&#1086;&#1081;%20&#1087;&#1072;&#1083;&#1072;&#1090;&#1099;%20&#1085;&#1072;%202023%20&#1075;&#1086;&#1076;%20\%20https:\www.gov.kz\memleket\entities." TargetMode="External"/><Relationship Id="rId118" Type="http://schemas.openxmlformats.org/officeDocument/2006/relationships/hyperlink" Target="file:///C:\Users\Hp\Documents\saule%202020\&#1044;&#1086;&#1082;&#1091;&#1084;&#1077;&#1085;&#1090;&#1099;\&#1052;&#1086;&#1103;%20&#1076;&#1086;&#1082;&#1090;&#1086;&#1088;&#1072;&#1085;&#1090;&#1091;&#1088;&#1072;%20PhD\&#1044;&#1080;&#1089;&#1089;&#1077;&#1088;&#1090;&#1072;&#1094;&#1080;&#1103;\&#1179;&#1086;&#1088;&#1171;&#1072;&#1091;&#1171;&#1072;%20&#1179;&#1201;&#1078;&#1072;&#1090;&#1090;&#1072;&#1088;\&#1064;&#1099;&#1084;&#1082;&#1077;&#1085;&#1090;%20&#1179;.%20&#1073;&#1086;&#1081;&#1099;&#1085;&#1096;&#1072;%20&#1088;&#1077;&#1089;&#1087;&#1091;&#1073;&#1083;&#1080;&#1082;&#1072;&#1083;&#1099;&#1179;%20&#1073;&#1102;&#1076;&#1078;&#1077;&#1090;%20&#1179;&#1072;&#1088;&#1072;&#1078;&#1072;&#1090;&#1099;&#1085;&#1099;&#1187;%20&#1087;&#1072;&#1081;&#1076;&#1072;&#1083;&#1072;&#1085;&#1099;&#1083;&#1091;%20&#1090;&#1080;&#1110;&#1084;&#1076;&#1110;&#1083;&#1110;&#1075;&#1110;&#1085;&#1077;%20&#1084;&#1077;&#1084;&#1083;&#1077;&#1082;&#1077;&#1090;&#1090;&#1110;&#1082;%20&#1072;&#1091;&#1076;&#1080;&#1090;%20&#1078;&#1199;&#1088;&#1075;&#1110;&#1079;&#1091;,%20&#1089;&#1086;&#1085;&#1076;&#1072;&#1081;-&#1072;&#1179;%20&#1089;&#1090;&#1088;&#1072;&#1090;&#1077;&#1075;&#1080;&#1103;&#1083;&#1099;&#1179;%20&#1073;&#1072;&#1171;&#1076;&#1072;&#1088;&#1083;&#1072;&#1084;&#1072;&#1083;&#1099;&#1179;%20&#1179;&#1201;&#1078;&#1072;&#1090;&#1090;&#1072;&#1088;&#1076;&#1072;%20&#1082;&#1257;&#1079;&#1076;&#1077;&#1083;&#1075;&#1077;&#1085;%20&#1084;&#1072;&#1179;&#1089;&#1072;&#1090;&#1090;&#1072;&#1088;%20&#1084;&#1077;&#1085;%20&#1084;&#1110;&#1085;&#1076;&#1077;&#1090;&#1090;&#1077;&#1088;&#1076;&#1110;&#1187;%20&#1110;&#1089;&#1082;&#1077;%20&#1072;&#1089;&#1099;&#1088;&#1099;&#1083;&#1091;&#1099;&#1085;%20&#1073;&#1072;&#1171;&#1072;&#1083;&#1072;&#1091;:%20&#1072;&#1091;&#1076;&#1080;&#1090;&#1086;&#1088;&#1083;&#1099;&#1179;%20&#1110;&#1089;-&#1096;&#1072;&#1088;&#1072;&#1089;&#1099;&#1085;&#1099;&#1187;%20&#1085;&#1241;&#1090;&#1080;&#1078;&#1077;&#1083;&#1077;&#1088;&#1110;%20&#1073;&#1086;&#1081;&#1099;&#1085;&#1096;&#1072;%20&#1072;&#1091;&#1076;&#1080;&#1090;&#1086;&#1088;&#1083;&#1099;&#1179;%20&#1179;&#1086;&#1088;&#1099;&#1090;&#1099;&#1085;&#1076;&#1099;%20\%20https:\www.gov.kz\memleket\.%2020.08.2022%20&#1075;.%20" TargetMode="External"/><Relationship Id="rId80" Type="http://schemas.openxmlformats.org/officeDocument/2006/relationships/hyperlink" Target="https://adilet.zan.kz/kaz/docs/K080000095_" TargetMode="External"/><Relationship Id="rId85" Type="http://schemas.openxmlformats.org/officeDocument/2006/relationships/hyperlink" Target="https://www.gao.gov/assets/gao-22-104259.pdf" TargetMode="External"/><Relationship Id="rId12" Type="http://schemas.openxmlformats.org/officeDocument/2006/relationships/hyperlink" Target="https://adilet.zan.kz/rus/docs/K1200002050" TargetMode="External"/><Relationship Id="rId17" Type="http://schemas.openxmlformats.org/officeDocument/2006/relationships/hyperlink" Target="https://adilet.zan.kz/kaz/docs/P1700000799" TargetMode="External"/><Relationship Id="rId33" Type="http://schemas.openxmlformats.org/officeDocument/2006/relationships/chart" Target="charts/chart1.xml"/><Relationship Id="rId38" Type="http://schemas.openxmlformats.org/officeDocument/2006/relationships/diagramLayout" Target="diagrams/layout2.xml"/><Relationship Id="rId59" Type="http://schemas.openxmlformats.org/officeDocument/2006/relationships/hyperlink" Target="https://studylib.net/doc/8653508/performance-audit-guidelines--issai-3000-%E2%80%93-3100?ysclid=liy1zxobps958656511" TargetMode="External"/><Relationship Id="rId103" Type="http://schemas.openxmlformats.org/officeDocument/2006/relationships/hyperlink" Target="https://www.gov.kz/memleket/entities/moa/documents/details/465397?lang=kk" TargetMode="External"/><Relationship Id="rId108" Type="http://schemas.openxmlformats.org/officeDocument/2006/relationships/hyperlink" Target="file:///C:\Users\Hp\Documents\saule%202020\&#1044;&#1086;&#1082;&#1091;&#1084;&#1077;&#1085;&#1090;&#1099;\&#1052;&#1086;&#1103;%20&#1076;&#1086;&#1082;&#1090;&#1086;&#1088;&#1072;&#1085;&#1090;&#1091;&#1088;&#1072;%20PhD\&#1044;&#1080;&#1089;&#1089;&#1077;&#1088;&#1090;&#1072;&#1094;&#1080;&#1103;\&#1179;&#1086;&#1088;&#1171;&#1072;&#1091;&#1171;&#1072;%20&#1179;&#1201;&#1078;&#1072;&#1090;&#1090;&#1072;&#1088;\&#1052;&#1077;&#1084;&#1083;&#1077;&#1082;&#1077;&#1090;&#1090;&#1110;&#1082;%20&#1072;&#1091;&#1076;&#1080;&#1090;%20&#1086;&#1073;&#1098;&#1077;&#1082;&#1090;&#1110;&#1083;&#1077;&#1088;&#1110;&#1085;&#1110;&#1187;%202017%20&#1078;&#1099;&#1083;&#1171;&#1072;%20&#1072;&#1088;&#1085;&#1072;&#1083;&#1171;&#1072;&#1085;%20&#1090;&#1110;&#1079;&#1073;&#1077;&#1089;&#1110;%20https:\www.gov.kz\memleket\entities\esep\documents\details\36237?30.05.2021&#1075;.%20" TargetMode="External"/><Relationship Id="rId124" Type="http://schemas.openxmlformats.org/officeDocument/2006/relationships/fontTable" Target="fontTable.xml"/><Relationship Id="rId54" Type="http://schemas.openxmlformats.org/officeDocument/2006/relationships/hyperlink" Target="https://adilet.zan.kz/kaz/docs/K22002022_1" TargetMode="External"/><Relationship Id="rId70" Type="http://schemas.openxmlformats.org/officeDocument/2006/relationships/hyperlink" Target="https://www.intosai.org/fileadmin/downloads/documents/open_access/ISSAI_100_to_400/issai_300/ISSAI_300_ru_2019.pdf" TargetMode="External"/><Relationship Id="rId75" Type="http://schemas.openxmlformats.org/officeDocument/2006/relationships/hyperlink" Target="file:///C:\Users\Hp\Documents\saule%202020\&#1044;&#1086;&#1082;&#1091;&#1084;&#1077;&#1085;&#1090;&#1099;\&#1052;&#1086;&#1103;%20&#1076;&#1086;&#1082;&#1090;&#1086;&#1088;&#1072;&#1085;&#1090;&#1091;&#1088;&#1072;%20PhD\&#1044;&#1080;&#1089;&#1089;&#1077;&#1088;&#1090;&#1072;&#1094;&#1080;&#1103;\&#1057;&#1099;&#1088;&#1090;&#1179;&#1099;%20&#1084;&#1077;&#1084;&#1083;&#1077;&#1082;&#1077;&#1090;&#1090;&#1110;&#1082;%20&#1072;&#1091;&#1076;&#1080;&#1090;%20&#1078;&#1241;&#1085;&#1077;%20&#1179;&#1072;&#1088;&#1078;&#1099;&#1083;&#1099;&#1179;%20&#1073;&#1072;&#1179;&#1099;&#1083;&#1072;&#1091;%20&#1078;&#1199;&#1088;&#1075;&#1110;&#1079;&#1091;%20&#1179;&#1072;&#1171;&#1080;&#1076;&#1072;&#1083;&#1072;&#1088;&#1099;&#1085;%20&#1073;&#1077;&#1082;&#1110;&#1090;&#1091;%20&#1090;&#1091;&#1088;&#1072;&#1083;&#1099;:%202020%20&#1078;&#1099;&#1083;&#1076;&#1099;&#1187;%2030%20&#1096;i&#1083;&#1076;&#1077;&#1089;i,%20&#8470;6-&#1053;&#1178;%20&#1179;&#1072;&#1073;&#1099;&#1083;&#1076;&#1072;&#1085;&#1171;&#1072;&#1085;%20\%20https:\adilet.zan.kz\kaz\docs\V2000021070." TargetMode="External"/><Relationship Id="rId91" Type="http://schemas.openxmlformats.org/officeDocument/2006/relationships/hyperlink" Target="file:///C:\Users\Hp\Documents\saule%202020\&#1044;&#1086;&#1082;&#1091;&#1084;&#1077;&#1085;&#1090;&#1099;\&#1052;&#1086;&#1103;%20&#1076;&#1086;&#1082;&#1090;&#1086;&#1088;&#1072;&#1085;&#1090;&#1091;&#1088;&#1072;%20PhD\&#1044;&#1080;&#1089;&#1089;&#1077;&#1088;&#1090;&#1072;&#1094;&#1080;&#1103;\&#1178;&#1072;&#1079;&#1072;&#1179;&#1089;&#1090;&#1072;&#1085;%20&#1093;&#1072;&#1083;&#1179;&#1099;&#1085;&#1072;%20&#1078;&#1086;&#1083;&#1076;&#1072;&#1091;&#1099;%20\%20https:\adilet.zan.kz\kaz\docs\U1900000152" TargetMode="External"/><Relationship Id="rId96" Type="http://schemas.openxmlformats.org/officeDocument/2006/relationships/hyperlink" Target="https://adilet.zan.kz/kaz/docs/U030001149_15.03.20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meminister.kz/assets/media/gprapk-kaz.pdf?ysclid=lievxob8gt530758549" TargetMode="External"/><Relationship Id="rId28" Type="http://schemas.openxmlformats.org/officeDocument/2006/relationships/diagramData" Target="diagrams/data1.xml"/><Relationship Id="rId49" Type="http://schemas.openxmlformats.org/officeDocument/2006/relationships/chart" Target="charts/chart11.xml"/><Relationship Id="rId114" Type="http://schemas.openxmlformats.org/officeDocument/2006/relationships/hyperlink" Target="file:///C:\Users\Hp\Documents\saule%202020\&#1044;&#1086;&#1082;&#1091;&#1084;&#1077;&#1085;&#1090;&#1099;\&#1052;&#1086;&#1103;%20&#1076;&#1086;&#1082;&#1090;&#1086;&#1088;&#1072;&#1085;&#1090;&#1091;&#1088;&#1072;%20PhD\&#1044;&#1080;&#1089;&#1089;&#1077;&#1088;&#1090;&#1072;&#1094;&#1080;&#1103;\&#1040;&#1091;&#1076;&#1080;&#1090;&#1086;&#1088;&#1089;&#1082;&#1086;&#1077;%20&#1079;&#1072;&#1082;&#1083;&#1102;&#1095;&#1077;&#1085;&#1080;&#1077;%20&#8470;11%20&#1086;&#1090;%2028.07.2020%20&#1075;.%20\%20https:\www.gov.kz\memleket\entities." TargetMode="External"/><Relationship Id="rId119" Type="http://schemas.openxmlformats.org/officeDocument/2006/relationships/hyperlink" Target="file:///C:\Users\Hp\Documents\saule%202020\&#1044;&#1086;&#1082;&#1091;&#1084;&#1077;&#1085;&#1090;&#1099;\&#1052;&#1086;&#1103;%20&#1076;&#1086;&#1082;&#1090;&#1086;&#1088;&#1072;&#1085;&#1090;&#1091;&#1088;&#1072;%20PhD\&#1044;&#1080;&#1089;&#1089;&#1077;&#1088;&#1090;&#1072;&#1094;&#1080;&#1103;\&#1072;&#1091;&#1076;&#1080;&#1090;&#1086;&#1088;&#1083;&#1099;&#1179;%20&#1179;&#1086;&#1088;&#1099;&#1090;&#1099;&#1085;&#1076;&#1099;%20\%20https:\www.gov.kz\memleket\entities\kostanai-altynsarin-audany." TargetMode="External"/><Relationship Id="rId44" Type="http://schemas.openxmlformats.org/officeDocument/2006/relationships/chart" Target="charts/chart7.xml"/><Relationship Id="rId60" Type="http://schemas.openxmlformats.org/officeDocument/2006/relationships/hyperlink" Target="https://adilet.zan.kz/kaz/docs/Z1500000392/history" TargetMode="External"/><Relationship Id="rId65" Type="http://schemas.openxmlformats.org/officeDocument/2006/relationships/hyperlink" Target="https://cyberleninka.ru/article/n/audit-effektivnosti-ispolzovaniya-gosudarstvennoy-finansovoy-podderzhki-selskohozyaystvennyh-organizatsiy/viewer" TargetMode="External"/><Relationship Id="rId81" Type="http://schemas.openxmlformats.org/officeDocument/2006/relationships/hyperlink" Target="https://www.kazpravda.kz/fresh/view/budzhet-uzhestochit-trebovaniya" TargetMode="External"/><Relationship Id="rId86" Type="http://schemas.openxmlformats.org/officeDocument/2006/relationships/hyperlink" Target="https://www.gov.kz/memleket/entities/esep/documents/details/270890?lang=ru" TargetMode="External"/><Relationship Id="rId13" Type="http://schemas.openxmlformats.org/officeDocument/2006/relationships/hyperlink" Target="https://adilet.zan.kz/rus/docs/V1600013647" TargetMode="External"/><Relationship Id="rId18" Type="http://schemas.openxmlformats.org/officeDocument/2006/relationships/hyperlink" Target="https://www.gov.kz/memleket/entities/esep/documents/details/270890?lang=ru" TargetMode="External"/><Relationship Id="rId39" Type="http://schemas.openxmlformats.org/officeDocument/2006/relationships/diagramQuickStyle" Target="diagrams/quickStyle2.xml"/><Relationship Id="rId109" Type="http://schemas.openxmlformats.org/officeDocument/2006/relationships/hyperlink" Target="file:///C:\Users\Hp\Documents\saule%202020\&#1044;&#1086;&#1082;&#1091;&#1084;&#1077;&#1085;&#1090;&#1099;\&#1052;&#1086;&#1103;%20&#1076;&#1086;&#1082;&#1090;&#1086;&#1088;&#1072;&#1085;&#1090;&#1091;&#1088;&#1072;%20PhD\&#1044;&#1080;&#1089;&#1089;&#1077;&#1088;&#1090;&#1072;&#1094;&#1080;&#1103;\&#1179;&#1086;&#1088;&#1171;&#1072;&#1091;&#1171;&#1072;%20&#1179;&#1201;&#1078;&#1072;&#1090;&#1090;&#1072;&#1088;\&#1052;&#1077;&#1084;&#1083;&#1077;&#1082;&#1077;&#1090;&#1090;&#1110;&#1082;%20&#1072;&#1091;&#1076;&#1080;&#1090;%20&#1086;&#1073;&#1098;&#1077;&#1082;&#1090;&#1110;&#1083;&#1077;&#1088;&#1110;&#1085;&#1110;&#1187;%202019%20&#1078;&#1099;&#1083;&#1171;&#1072;%20&#1072;&#1088;&#1085;&#1072;&#1083;&#1171;&#1072;&#1085;%20&#1090;&#1110;&#1079;&#1073;&#1077;&#1089;&#1110;%20\%20https:\www.gov.kz\memleket\entities\esep\documents\details\8733?.%2030.05.2021&#1075;.%20" TargetMode="External"/><Relationship Id="rId34" Type="http://schemas.openxmlformats.org/officeDocument/2006/relationships/chart" Target="charts/chart2.xml"/><Relationship Id="rId50" Type="http://schemas.openxmlformats.org/officeDocument/2006/relationships/chart" Target="charts/chart12.xml"/><Relationship Id="rId55" Type="http://schemas.openxmlformats.org/officeDocument/2006/relationships/hyperlink" Target="https://adilet.zan.kz/rus/docs/P2100000960" TargetMode="External"/><Relationship Id="rId76" Type="http://schemas.openxmlformats.org/officeDocument/2006/relationships/hyperlink" Target="https://adilet.zan.kz/rus/docs/K1200002050" TargetMode="External"/><Relationship Id="rId97" Type="http://schemas.openxmlformats.org/officeDocument/2006/relationships/hyperlink" Target="https://zakon.uchet.kz/kaz" TargetMode="External"/><Relationship Id="rId104" Type="http://schemas.openxmlformats.org/officeDocument/2006/relationships/hyperlink" Target="https://www.gov.kz/memleket/entities/moa/about.%2017.04.2021" TargetMode="External"/><Relationship Id="rId120" Type="http://schemas.openxmlformats.org/officeDocument/2006/relationships/hyperlink" Target="https://www.gov.kz/memleket/entities/kvga/documents/details/291726?lang=ru&amp;ysclid=lppn6ygj7h166132904"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ssai.org/" TargetMode="External"/><Relationship Id="rId92" Type="http://schemas.openxmlformats.org/officeDocument/2006/relationships/hyperlink" Target="https://adilet.zan.kz/kaz/docs/P000000175_" TargetMode="Externa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hyperlink" Target="https://adilet.zan.kz/rus/docs/P2100000732" TargetMode="External"/><Relationship Id="rId40" Type="http://schemas.openxmlformats.org/officeDocument/2006/relationships/diagramColors" Target="diagrams/colors2.xml"/><Relationship Id="rId45" Type="http://schemas.openxmlformats.org/officeDocument/2006/relationships/chart" Target="charts/chart8.xml"/><Relationship Id="rId66" Type="http://schemas.openxmlformats.org/officeDocument/2006/relationships/hyperlink" Target="https://www.researchgate.net/publication/268632328_Project_Performance_Audit_Enhanced_Protocols_for_Triple_Bottom_Line_Results" TargetMode="External"/><Relationship Id="rId87" Type="http://schemas.openxmlformats.org/officeDocument/2006/relationships/hyperlink" Target="https://ach.gov.ru/upload/iblock/9d4/q4empef2lt5bll0ma2i1n1bg777r9vjb.pdf" TargetMode="External"/><Relationship Id="rId110" Type="http://schemas.openxmlformats.org/officeDocument/2006/relationships/hyperlink" Target="file:///C:\Users\Hp\Documents\saule%202020\&#1044;&#1086;&#1082;&#1091;&#1084;&#1077;&#1085;&#1090;&#1099;\&#1052;&#1086;&#1103;%20&#1076;&#1086;&#1082;&#1090;&#1086;&#1088;&#1072;&#1085;&#1090;&#1091;&#1088;&#1072;%20PhD\&#1044;&#1080;&#1089;&#1089;&#1077;&#1088;&#1090;&#1072;&#1094;&#1080;&#1103;\&#1052;&#1077;&#1084;&#1083;&#1077;&#1082;&#1077;&#1090;&#1090;&#1110;&#1082;%20&#1072;&#1091;&#1076;&#1080;&#1090;%20&#1086;&#1073;&#1098;&#1077;&#1082;&#1090;&#1110;&#1083;&#1077;&#1088;&#1110;&#1085;&#1110;&#1187;%202020%20&#1078;&#1099;&#1083;&#1171;&#1072;%20&#1072;&#1088;&#1085;&#1072;&#1083;&#1171;&#1072;&#1085;%20&#1090;&#1110;&#1079;&#1073;&#1077;&#1089;&#1110;%20\%20https:\www.gov.kz\memleket\entities\esep\documents\details\58043?." TargetMode="External"/><Relationship Id="rId115" Type="http://schemas.openxmlformats.org/officeDocument/2006/relationships/hyperlink" Target="file:///C:\Users\Hp\Documents\saule%202020\&#1044;&#1086;&#1082;&#1091;&#1084;&#1077;&#1085;&#1090;&#1099;\&#1052;&#1086;&#1103;%20&#1076;&#1086;&#1082;&#1090;&#1086;&#1088;&#1072;&#1085;&#1090;&#1091;&#1088;&#1072;%20PhD\&#1044;&#1080;&#1089;&#1089;&#1077;&#1088;&#1090;&#1072;&#1094;&#1080;&#1103;\&#1179;&#1086;&#1088;&#1171;&#1072;&#1091;&#1171;&#1072;%20&#1179;&#1201;&#1078;&#1072;&#1090;&#1090;&#1072;&#1088;\&#1040;&#1090;&#1099;&#1088;&#1072;&#1091;%20&#1086;&#1073;&#1083;&#1099;&#1089;&#1099;&#1085;&#1072;%20&#1073;&#1257;&#1083;&#1110;&#1085;&#1075;&#1077;&#1085;%20&#1073;&#1102;&#1076;&#1078;&#1077;&#1090;%20&#1179;&#1072;&#1088;&#1072;&#1078;&#1072;&#1090;&#1099;&#1085;&#1099;&#1187;%20&#1078;&#1241;&#1085;&#1077;%20&#1084;&#1077;&#1084;&#1083;&#1077;&#1082;&#1077;&#1090;%20&#1072;&#1082;&#1090;&#1080;&#1074;&#1090;&#1077;&#1088;&#1110;&#1085;&#1110;&#1187;%20&#1087;&#1072;&#1081;&#1076;&#1072;&#1083;&#1072;&#1085;&#1099;&#1083;&#1091;%20&#1090;&#1080;&#1110;&#1084;&#1076;&#1110;&#1083;&#1110;&#1075;&#1110;&#1085;&#1077;%20&#1078;&#1199;&#1088;&#1075;&#1110;&#1079;&#1110;&#1083;&#1075;&#1077;&#1085;%20&#1084;&#1077;&#1084;&#1083;&#1077;&#1082;&#1077;&#1090;&#1090;&#1110;&#1082;%20&#1072;&#1091;&#1076;&#1080;&#1090;&#1090;&#1110;&#1187;%20&#1085;&#1241;&#1090;&#1080;&#1078;&#1077;&#1083;&#1077;&#1088;&#1110;%20&#1073;&#1086;&#1081;&#1099;&#1085;&#1096;&#1072;%20&#1072;&#1091;&#1076;&#1080;&#1090;&#1086;&#1088;&#1083;&#1099;&#1179;%20&#1179;&#1086;&#1088;&#1099;&#1090;&#1099;&#1085;&#1076;&#1099;%20\%20https:\www.gov.kz\%20memleket\entities\esep\documents\details\249733?lang=kk&amp;ysclid.%2030.07.2022%20&#1075;.%20" TargetMode="External"/><Relationship Id="rId61" Type="http://schemas.openxmlformats.org/officeDocument/2006/relationships/hyperlink" Target="https://cyberleninka.ru/article/n/k-voprosu-o-ponyatii-effektivnost/viewer" TargetMode="External"/><Relationship Id="rId82" Type="http://schemas.openxmlformats.org/officeDocument/2006/relationships/hyperlink" Target="https://adilet.zan.kz/rus/docs/P1800000423" TargetMode="External"/><Relationship Id="rId19" Type="http://schemas.openxmlformats.org/officeDocument/2006/relationships/hyperlink" Target="https://adilet.zan.kz/kaz/docs/P000000175_" TargetMode="External"/><Relationship Id="rId14" Type="http://schemas.openxmlformats.org/officeDocument/2006/relationships/hyperlink" Target="https://adilet.zan.kz/rus/docs/V2000021070" TargetMode="External"/><Relationship Id="rId30" Type="http://schemas.openxmlformats.org/officeDocument/2006/relationships/diagramQuickStyle" Target="diagrams/quickStyle1.xml"/><Relationship Id="rId35" Type="http://schemas.openxmlformats.org/officeDocument/2006/relationships/chart" Target="charts/chart3.xml"/><Relationship Id="rId56" Type="http://schemas.openxmlformats.org/officeDocument/2006/relationships/hyperlink" Target="https://stat.gov.kz/" TargetMode="External"/><Relationship Id="rId77" Type="http://schemas.openxmlformats.org/officeDocument/2006/relationships/hyperlink" Target="https://adilet.zan.kz/kaz/docs/P1700000799" TargetMode="External"/><Relationship Id="rId100" Type="http://schemas.openxmlformats.org/officeDocument/2006/relationships/hyperlink" Target="https://www.iasonline.org/" TargetMode="External"/><Relationship Id="rId105" Type="http://schemas.openxmlformats.org/officeDocument/2006/relationships/hyperlink" Target="https://fcc.kz/korporacziya-turaly/damu-zhospary/" TargetMode="External"/><Relationship Id="rId8" Type="http://schemas.openxmlformats.org/officeDocument/2006/relationships/hyperlink" Target="https://adilet.zan.kz/kaz/docs/Z1500000392" TargetMode="External"/><Relationship Id="rId51" Type="http://schemas.openxmlformats.org/officeDocument/2006/relationships/hyperlink" Target="https://ach.gov.ru/statements/byulleten-schetnoy-palaty-3-2022" TargetMode="External"/><Relationship Id="rId72" Type="http://schemas.openxmlformats.org/officeDocument/2006/relationships/hyperlink" Target="https://www.issai.org/professional" TargetMode="External"/><Relationship Id="rId93" Type="http://schemas.openxmlformats.org/officeDocument/2006/relationships/hyperlink" Target="https://adilet.zan.kz/kaz/docs/P000000175_13.03.2021" TargetMode="External"/><Relationship Id="rId98" Type="http://schemas.openxmlformats.org/officeDocument/2006/relationships/hyperlink" Target="file:///C:\Users\Hp\Documents\saule%202020\&#1044;&#1086;&#1082;&#1091;&#1084;&#1077;&#1085;&#1090;&#1099;\&#1052;&#1086;&#1103;%20&#1076;&#1086;&#1082;&#1090;&#1086;&#1088;&#1072;&#1085;&#1090;&#1091;&#1088;&#1072;%20PhD\&#1044;&#1080;&#1089;&#1089;&#1077;&#1088;&#1090;&#1072;&#1094;&#1080;&#1103;\&#1054;&#1073;&#160;&#1091;&#1090;&#1074;&#1077;&#1088;&#1078;&#1076;&#1077;&#1085;&#1080;&#1080;%20&#1085;&#1072;&#1094;&#1080;&#1086;&#1085;&#1072;&#1083;&#1100;&#1085;&#1086;&#1075;&#1086;%20&#1087;&#1088;&#1086;&#1077;&#1082;&#1090;&#1072;%20&#1087;&#1086;%20&#1088;&#1072;&#1079;&#1074;&#1080;&#1090;&#1080;&#1102;%20&#1072;&#1075;&#1088;&#1086;&#1087;&#1088;&#1086;&#1084;&#1099;&#1096;&#1083;&#1077;&#1085;&#1085;&#1086;&#1075;&#1086;%20&#1082;&#1086;&#1084;&#1087;&#1083;&#1077;&#1082;&#1089;&#1072;%20&#1056;&#1077;&#1089;&#1087;&#1091;&#1073;&#1083;&#1080;&#1082;&#1080;%20&#1050;&#1072;&#1079;&#1072;&#1093;&#1089;&#1090;&#1072;&#1085;%20&#1085;&#1072;%202021-2025%20&#1075;&#1086;&#1076;&#1099;:%20&#1091;&#1090;&#1074;.%2012%20&#1086;&#1082;&#1090;&#1103;&#1073;&#1088;&#1103;%202021%20&#1075;&#1086;&#1076;&#1072;,%20&#8470;732%20\%20https:\adilet.zan.kz\rus\docs\P2100000732." TargetMode="External"/><Relationship Id="rId121" Type="http://schemas.openxmlformats.org/officeDocument/2006/relationships/hyperlink" Target="https://www.gov.kz/memleket/entities/kvga/documents/details/452846?lang=ru&amp;ysclid=lppn8lywwz613613738" TargetMode="External"/><Relationship Id="rId3" Type="http://schemas.openxmlformats.org/officeDocument/2006/relationships/styles" Target="styles.xml"/><Relationship Id="rId25" Type="http://schemas.openxmlformats.org/officeDocument/2006/relationships/hyperlink" Target="http://fcc.kz/upload/New%20Folder/%D0%9F%D0%BB%D0%B0%D0%BD%20%D1%80%D0%B0%D0%B7%D0%B2%D0%B8%D1%82%D0%B8%D1%8F%20%D0%90%D0%9E%20%D0%9D%D0%9A%20%D0%9F%D1%80%D0%BE%D0%B4%D0%BA%D0%BE%D1%80%D0%BF%D0%BE%D1%80%D0%B0%D1%86%D0%B8%D1%8F%20%D0%BD%D0%B0%202021-2030%20%D0%B3%D0%B31.pdf" TargetMode="External"/><Relationship Id="rId46" Type="http://schemas.openxmlformats.org/officeDocument/2006/relationships/chart" Target="charts/chart9.xml"/><Relationship Id="rId67" Type="http://schemas.openxmlformats.org/officeDocument/2006/relationships/hyperlink" Target="https://cyberleninka.ru/article/n/gosudarstvennyy-finansovyy-kontrol-kak-vazhneyshiy-instrument-obespecheniya-publichnyh-interesov-v-usloviyah-rynka-1/viewer" TargetMode="External"/><Relationship Id="rId116" Type="http://schemas.openxmlformats.org/officeDocument/2006/relationships/hyperlink" Target="file:///C:\Users\Hp\Documents\saule%202020\&#1044;&#1086;&#1082;&#1091;&#1084;&#1077;&#1085;&#1090;&#1099;\&#1052;&#1086;&#1103;%20&#1076;&#1086;&#1082;&#1090;&#1086;&#1088;&#1072;&#1085;&#1090;&#1091;&#1088;&#1072;%20PhD\&#1044;&#1080;&#1089;&#1089;&#1077;&#1088;&#1090;&#1072;&#1094;&#1080;&#1103;\&#1041;&#1072;&#1090;&#1099;&#1089;%20&#1178;&#1072;&#1079;&#1072;&#1179;&#1089;&#1090;&#1072;&#1085;%20&#1086;&#1073;&#1083;&#1099;&#1089;&#1099;&#1085;&#1072;%20&#1073;&#1257;&#1083;&#1110;&#1085;&#1075;&#1077;&#1085;%20&#1073;&#1102;&#1076;&#1078;&#1077;&#1090;%20&#1179;&#1072;&#1088;&#1072;&#1078;&#1072;&#1090;&#1099;&#1085;&#1099;&#1187;%20&#1078;&#1241;&#1085;&#1077;%20&#1084;&#1077;&#1084;&#1083;&#1077;&#1082;&#1077;&#1090;%20&#1072;&#1082;&#1090;&#1080;&#1074;&#1090;&#1077;&#1088;&#1110;&#1085;&#1110;&#1187;%20&#1087;&#1072;&#1081;&#1076;&#1072;&#1083;&#1072;&#1085;&#1099;&#1083;&#1091;%20&#1090;&#1080;&#1110;&#1084;&#1076;&#1110;&#1083;&#1110;&#1075;&#1110;&#1085;&#1077;%20&#1078;&#1199;&#1088;&#1075;&#1110;&#1079;&#1110;&#1083;&#1075;&#1077;&#1085;%20&#1084;&#1077;&#1084;&#1083;&#1077;&#1082;&#1077;&#1090;&#1090;&#1110;&#1082;%20&#1072;&#1091;&#1076;&#1080;&#1090;&#1090;&#1110;&#1187;%20&#1179;&#1086;&#1088;&#1099;&#1090;&#1099;&#1085;&#1076;&#1099;&#1083;&#1072;&#1088;&#1099;%20&#1090;&#1091;&#1088;&#1072;&#1083;&#1099;%20\%20https:\www.gov.kz\memleket." TargetMode="External"/><Relationship Id="rId20" Type="http://schemas.openxmlformats.org/officeDocument/2006/relationships/hyperlink" Target="https://adilet.zan.kz/kaz/docs/U020000889_" TargetMode="External"/><Relationship Id="rId41" Type="http://schemas.microsoft.com/office/2007/relationships/diagramDrawing" Target="diagrams/drawing2.xml"/><Relationship Id="rId62" Type="http://schemas.openxmlformats.org/officeDocument/2006/relationships/hyperlink" Target="https://kniknowledgebase.org/wp-content/uploads/2020/01/GUID5290_finalversion_RUS.pdf" TargetMode="External"/><Relationship Id="rId83" Type="http://schemas.openxmlformats.org/officeDocument/2006/relationships/hyperlink" Target="https://www.nass.usda.gov/" TargetMode="External"/><Relationship Id="rId88" Type="http://schemas.openxmlformats.org/officeDocument/2006/relationships/hyperlink" Target="https://ach.gov.ru/upload/iblock/460/460b8ddd57d9d200cb581435c9dc0fd4.pdf" TargetMode="External"/><Relationship Id="rId111" Type="http://schemas.openxmlformats.org/officeDocument/2006/relationships/hyperlink" Target="file:///C:\Users\Hp\Documents\saule%202020\&#1044;&#1086;&#1082;&#1091;&#1084;&#1077;&#1085;&#1090;&#1099;\&#1052;&#1086;&#1103;%20&#1076;&#1086;&#1082;&#1090;&#1086;&#1088;&#1072;&#1085;&#1090;&#1091;&#1088;&#1072;%20PhD\&#1044;&#1080;&#1089;&#1089;&#1077;&#1088;&#1090;&#1072;&#1094;&#1080;&#1103;\&#1052;&#1077;&#1084;&#1083;&#1077;&#1082;&#1077;&#1090;&#1090;&#1110;&#1082;%20&#1072;&#1091;&#1076;&#1080;&#1090;%20&#1086;&#1073;&#1098;&#1077;&#1082;&#1090;&#1110;&#1083;&#1077;&#1088;&#1110;&#1085;&#1110;&#1187;%202021%20&#1078;&#1099;&#1083;&#1171;&#1072;%20&#1072;&#1088;&#1085;&#1072;&#1083;&#1171;&#1072;&#1085;%20&#1090;&#1110;&#1079;&#1073;&#1077;&#1089;&#1110;%20\%20https:\www.gov.kz\memleket\entities\zhambyl\documents\details.%20" TargetMode="External"/><Relationship Id="rId15" Type="http://schemas.openxmlformats.org/officeDocument/2006/relationships/hyperlink" Target="https://adilet.zan.kz/kaz/docs/K080000095_" TargetMode="External"/><Relationship Id="rId36" Type="http://schemas.openxmlformats.org/officeDocument/2006/relationships/chart" Target="charts/chart4.xml"/><Relationship Id="rId57" Type="http://schemas.openxmlformats.org/officeDocument/2006/relationships/hyperlink" Target="https://adilet.zan.kz/kaz/docs/V1600013647" TargetMode="External"/><Relationship Id="rId106" Type="http://schemas.openxmlformats.org/officeDocument/2006/relationships/hyperlink" Target="https://www.akorda.kz/kz/memleket-basshysy-kasym-zhomart-tokaevtyn-kazakstan-halkyna-zholdauy-1622340" TargetMode="External"/><Relationship Id="rId10" Type="http://schemas.openxmlformats.org/officeDocument/2006/relationships/hyperlink" Target="https://adilet.zan.kz/kaz/docs/V2000021070" TargetMode="External"/><Relationship Id="rId31" Type="http://schemas.openxmlformats.org/officeDocument/2006/relationships/diagramColors" Target="diagrams/colors1.xml"/><Relationship Id="rId52" Type="http://schemas.openxmlformats.org/officeDocument/2006/relationships/hyperlink" Target="https://stat.gov.kz/" TargetMode="External"/><Relationship Id="rId73" Type="http://schemas.openxmlformats.org/officeDocument/2006/relationships/hyperlink" Target="https://www.eurosai.org/handle404?exporturi=/export/sites/eurosai/.content/documents/others/ISSAI/ISSAI-100-Fundamental-Principles-of-Public-Sector-Auditing_RU.pdf" TargetMode="External"/><Relationship Id="rId78" Type="http://schemas.openxmlformats.org/officeDocument/2006/relationships/hyperlink" Target="https://adilet.zan.kz/kaz." TargetMode="External"/><Relationship Id="rId94" Type="http://schemas.openxmlformats.org/officeDocument/2006/relationships/hyperlink" Target="file:///C:\Users\Hp\Documents\saule%202020\&#1044;&#1086;&#1082;&#1091;&#1084;&#1077;&#1085;&#1090;&#1099;\&#1052;&#1086;&#1103;%20&#1076;&#1086;&#1082;&#1090;&#1086;&#1088;&#1072;&#1085;&#1090;&#1091;&#1088;&#1072;%20PhD\&#1044;&#1080;&#1089;&#1089;&#1077;&#1088;&#1090;&#1072;&#1094;&#1080;&#1103;\&#1178;&#1072;&#1079;&#1072;&#1179;&#1089;&#1090;&#1072;&#1085;%20&#1056;&#1077;&#1089;&#1087;&#1091;&#1073;&#1083;&#1080;&#1082;&#1072;&#1089;&#1099;&#1085;&#1099;&#1187;%202003-2005%20&#1078;&#1099;&#1083;&#1076;&#1072;&#1088;&#1171;&#1072;%20&#1072;&#1088;&#1085;&#1072;&#1083;&#1171;&#1072;&#1085;%20&#1052;&#1077;&#1084;&#1083;&#1077;&#1082;&#1077;&#1090;&#1090;&#1110;&#1082;%20&#1072;&#1075;&#1088;&#1072;&#1088;&#1083;&#1099;&#1179;%20&#1072;&#1079;&#1099;&#1179;-&#1090;&#1199;&#1083;&#1110;&#1082;%20&#1073;&#1072;&#1171;&#1076;&#1072;&#1088;&#1083;&#1072;&#1084;&#1072;&#1089;&#1099;%20&#1090;&#1091;&#1088;&#1072;&#1083;&#1099;:2002%20&#1078;&#1099;&#1083;&#1076;&#1099;&#1187;%205%20&#1084;&#1072;&#1091;&#1089;&#1099;&#1084;&#1076;&#1072;,%20&#8470;889%20&#1073;&#1077;&#1082;&#1110;&#1090;&#1110;&#1083;&#1075;&#1077;&#1085;%20\%20https:\adilet.zan.kz\kaz\docs\U020000889_" TargetMode="External"/><Relationship Id="rId99" Type="http://schemas.openxmlformats.org/officeDocument/2006/relationships/hyperlink" Target="https://agrocredit.kz/main/about/annual-report/" TargetMode="External"/><Relationship Id="rId101" Type="http://schemas.openxmlformats.org/officeDocument/2006/relationships/hyperlink" Target="https://adilet.zan.kz/kaz/docs/V1400010176" TargetMode="External"/><Relationship Id="rId122" Type="http://schemas.openxmlformats.org/officeDocument/2006/relationships/hyperlink" Target="file:///C:\Users\Hp\Documents\saule%202020\&#1044;&#1086;&#1082;&#1091;&#1084;&#1077;&#1085;&#1090;&#1099;\&#1052;&#1086;&#1103;%20&#1076;&#1086;&#1082;&#1090;&#1086;&#1088;&#1072;&#1085;&#1090;&#1091;&#1088;&#1072;%20PhD\&#1044;&#1080;&#1089;&#1089;&#1077;&#1088;&#1090;&#1072;&#1094;&#1080;&#1103;\&#1179;&#1086;&#1088;&#1171;&#1072;&#1091;&#1171;&#1072;%20&#1179;&#1201;&#1078;&#1072;&#1090;&#1090;&#1072;&#1088;\&#1055;&#1088;&#1080;&#1082;&#1072;&#1079;%20&#1055;&#1088;&#1077;&#1076;&#1089;&#1077;&#1076;&#1072;&#1090;&#1077;&#1083;&#1103;%20&#1057;&#1095;&#1077;&#1090;&#1085;&#1086;&#1075;&#1086;%20&#1082;&#1086;&#1084;&#1080;&#1090;&#1077;&#1090;&#1072;%20&#1087;&#1086;%20&#1082;&#1086;&#1085;&#1090;&#1088;&#1086;&#1083;&#1102;%20&#1079;&#1072;%20&#1080;&#1089;&#1087;&#1086;&#1083;&#1085;&#1077;&#1085;&#1080;&#1077;&#1084;%20&#1088;&#1077;&#1089;&#1087;&#1091;&#1073;&#1083;&#1080;&#1082;&#1072;&#1085;&#1089;&#1082;&#1086;&#1075;&#1086;%20&#1073;&#1102;&#1076;&#1078;&#1077;&#1090;&#1072;.%20&#1054;&#1073;%20&#1091;&#1090;&#1074;&#1077;&#1088;&#1078;&#1076;&#1077;&#1085;&#1080;&#1080;%20&#1050;&#1083;&#1072;&#1089;&#1089;&#1080;&#1092;&#1080;&#1082;&#1072;&#1090;&#1086;&#1088;&#1072;%20&#1085;&#1072;&#1088;&#1091;&#1096;&#1077;&#1085;&#1080;&#1081;,%20&#1074;&#1099;&#1103;&#1074;&#1083;&#1103;&#1077;&#1084;&#1099;&#1093;%20&#1085;&#1072;%20&#1086;&#1073;&#1098;&#1077;&#1082;&#1090;&#1072;&#1093;%20&#1075;&#1086;&#1089;&#1091;&#1076;&#1072;&#1088;&#1089;&#1090;&#1074;&#1077;&#1085;&#1085;&#1086;&#1075;&#1086;%20&#1072;&#1091;&#1076;&#1080;&#1090;&#1072;%20&#1080;%20&#1092;&#1080;&#1085;&#1072;&#1085;&#1089;&#1086;&#1074;&#1086;&#1075;&#1086;%20&#1082;&#1086;&#1085;&#1090;&#1088;&#1086;&#1083;&#1103;:%20&#1091;&#1090;&#1074;.%2025%20&#1085;&#1086;&#1103;&#1073;&#1088;&#1103;%202022%20&#1075;&#1086;&#1076;&#1072;,%20&#8470;158-&#1085;\&#1179;%20\%20https:\online.zakon.kz%20\Document\?doc_id=37022725" TargetMode="External"/><Relationship Id="rId4" Type="http://schemas.openxmlformats.org/officeDocument/2006/relationships/settings" Target="settings.xml"/><Relationship Id="rId9" Type="http://schemas.openxmlformats.org/officeDocument/2006/relationships/hyperlink" Target="https://adilet.zan.kz/rus/docs/V160001364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saule%202020\&#1044;&#1086;&#1082;&#1091;&#1084;&#1077;&#1085;&#1090;&#1099;\&#1052;&#1086;&#1103;%20&#1076;&#1086;&#1082;&#1090;&#1086;&#1088;&#1072;&#1085;&#1090;&#1091;&#1088;&#1072;%20PhD\&#1044;&#1080;&#1089;&#1089;&#1077;&#1088;&#1090;&#1072;&#1094;&#1080;&#1103;\&#1179;&#1086;&#1088;&#1171;&#1072;&#1091;&#1171;&#1072;%20&#1179;&#1201;&#1078;&#1072;&#1090;&#1090;&#1072;&#1088;\&#1076;&#1083;&#1103;%20&#1079;&#1072;&#1097;&#1080;&#1090;&#1099;%20&#1075;&#1088;&#1072;&#1092;&#1080;&#1082;&#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88;&#1072;&#1089;&#1095;&#1077;&#1090;%20&#1087;&#1086;%20&#1084;&#1086;&#1076;&#1077;&#1083;&#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88;&#1072;&#1089;&#1095;&#1077;&#1090;%20&#1087;&#1086;%20&#1084;&#1086;&#1076;&#1077;&#1083;&#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88;&#1072;&#1089;&#1095;&#1077;&#1090;%20&#1087;&#1086;%20&#1084;&#1086;&#1076;&#1077;&#1083;&#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51;&#1080;&#1089;&#1090;%20Microsoft%20Office%20Exce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ocuments\saule%202020\&#1044;&#1086;&#1082;&#1091;&#1084;&#1077;&#1085;&#1090;&#1099;\&#1052;&#1086;&#1103;%20&#1076;&#1086;&#1082;&#1090;&#1086;&#1088;&#1072;&#1085;&#1090;&#1091;&#1088;&#1072;%20PhD\&#1044;&#1080;&#1089;&#1089;&#1077;&#1088;&#1090;&#1072;&#1094;&#1080;&#1103;\&#1088;&#1072;&#1089;&#1095;&#1077;&#1090;%20&#1087;&#1086;%20&#1085;&#1072;&#1094;%20&#1087;&#1088;&#1086;&#1077;&#1082;&#1090;&#1091;.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ocuments\saule%202020\&#1044;&#1086;&#1082;&#1091;&#1084;&#1077;&#1085;&#1090;&#1099;\&#1052;&#1086;&#1103;%20&#1076;&#1086;&#1082;&#1090;&#1086;&#1088;&#1072;&#1085;&#1090;&#1091;&#1088;&#1072;%20PhD\&#1044;&#1080;&#1089;&#1089;&#1077;&#1088;&#1090;&#1072;&#1094;&#1080;&#1103;\&#1088;&#1072;&#1089;&#1095;&#1077;&#1090;%20&#1087;&#1086;%20&#1084;&#1086;&#1076;&#1077;&#1083;&#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Субсидия алушылар ауыл шаруашылық өнімінің ЖІӨ, млрд. теңге</c:v>
          </c:tx>
          <c:spPr>
            <a:solidFill>
              <a:schemeClr val="accent1"/>
            </a:solidFill>
            <a:ln>
              <a:noFill/>
            </a:ln>
            <a:effectLst/>
          </c:spPr>
          <c:invertIfNegative val="0"/>
          <c:cat>
            <c:numLit>
              <c:formatCode>General</c:formatCode>
              <c:ptCount val="8"/>
              <c:pt idx="0">
                <c:v>2015</c:v>
              </c:pt>
              <c:pt idx="1">
                <c:v>2016</c:v>
              </c:pt>
              <c:pt idx="2">
                <c:v>2017</c:v>
              </c:pt>
              <c:pt idx="3">
                <c:v>2018</c:v>
              </c:pt>
              <c:pt idx="4">
                <c:v>2019</c:v>
              </c:pt>
              <c:pt idx="5">
                <c:v>2020</c:v>
              </c:pt>
              <c:pt idx="6">
                <c:v>2021</c:v>
              </c:pt>
              <c:pt idx="7">
                <c:v>2022</c:v>
              </c:pt>
            </c:numLit>
          </c:cat>
          <c:val>
            <c:numRef>
              <c:f>Лист1!$B$7:$I$7</c:f>
              <c:numCache>
                <c:formatCode>General</c:formatCode>
                <c:ptCount val="8"/>
                <c:pt idx="0">
                  <c:v>1599.6</c:v>
                </c:pt>
                <c:pt idx="1">
                  <c:v>1917</c:v>
                </c:pt>
                <c:pt idx="2">
                  <c:v>2149.3000000000002</c:v>
                </c:pt>
                <c:pt idx="3">
                  <c:v>2408.5</c:v>
                </c:pt>
                <c:pt idx="4">
                  <c:v>2901.8</c:v>
                </c:pt>
                <c:pt idx="5">
                  <c:v>3659.7</c:v>
                </c:pt>
                <c:pt idx="6">
                  <c:v>4347.8999999999996</c:v>
                </c:pt>
                <c:pt idx="7">
                  <c:v>5700.7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2B8-4481-BA2D-B4C276D5D991}"/>
            </c:ext>
          </c:extLst>
        </c:ser>
        <c:dLbls>
          <c:showLegendKey val="0"/>
          <c:showVal val="0"/>
          <c:showCatName val="0"/>
          <c:showSerName val="0"/>
          <c:showPercent val="0"/>
          <c:showBubbleSize val="0"/>
        </c:dLbls>
        <c:gapWidth val="150"/>
        <c:axId val="1715082336"/>
        <c:axId val="1715084512"/>
      </c:barChart>
      <c:lineChart>
        <c:grouping val="standard"/>
        <c:varyColors val="0"/>
        <c:ser>
          <c:idx val="1"/>
          <c:order val="1"/>
          <c:tx>
            <c:v>Жұмсалған бюджет қаражаты, млрд теңге</c:v>
          </c:tx>
          <c:spPr>
            <a:ln w="28575" cap="rnd">
              <a:solidFill>
                <a:schemeClr val="accent2"/>
              </a:solidFill>
              <a:round/>
            </a:ln>
            <a:effectLst/>
          </c:spPr>
          <c:marker>
            <c:symbol val="none"/>
          </c:marker>
          <c:cat>
            <c:numLit>
              <c:formatCode>General</c:formatCode>
              <c:ptCount val="9"/>
              <c:pt idx="0">
                <c:v>2015</c:v>
              </c:pt>
              <c:pt idx="1">
                <c:v>2016</c:v>
              </c:pt>
              <c:pt idx="2">
                <c:v>2017</c:v>
              </c:pt>
              <c:pt idx="3">
                <c:v>2018</c:v>
              </c:pt>
              <c:pt idx="4">
                <c:v>2019</c:v>
              </c:pt>
              <c:pt idx="5">
                <c:v>2020</c:v>
              </c:pt>
              <c:pt idx="6">
                <c:v>2021</c:v>
              </c:pt>
              <c:pt idx="7">
                <c:v>2022</c:v>
              </c:pt>
              <c:pt idx="8">
                <c:v>2023</c:v>
              </c:pt>
            </c:numLit>
          </c:cat>
          <c:val>
            <c:numRef>
              <c:f>Лист1!$B$9:$I$9</c:f>
              <c:numCache>
                <c:formatCode>General</c:formatCode>
                <c:ptCount val="8"/>
                <c:pt idx="0">
                  <c:v>376</c:v>
                </c:pt>
                <c:pt idx="1">
                  <c:v>414.5</c:v>
                </c:pt>
                <c:pt idx="2">
                  <c:v>474.3</c:v>
                </c:pt>
                <c:pt idx="3">
                  <c:v>501.8</c:v>
                </c:pt>
                <c:pt idx="4">
                  <c:v>583.4</c:v>
                </c:pt>
                <c:pt idx="5">
                  <c:v>668.3</c:v>
                </c:pt>
                <c:pt idx="6">
                  <c:v>717.8</c:v>
                </c:pt>
                <c:pt idx="7">
                  <c:v>816.4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E2B8-4481-BA2D-B4C276D5D991}"/>
            </c:ext>
          </c:extLst>
        </c:ser>
        <c:dLbls>
          <c:showLegendKey val="0"/>
          <c:showVal val="0"/>
          <c:showCatName val="0"/>
          <c:showSerName val="0"/>
          <c:showPercent val="0"/>
          <c:showBubbleSize val="0"/>
        </c:dLbls>
        <c:marker val="1"/>
        <c:smooth val="0"/>
        <c:axId val="1715080160"/>
        <c:axId val="1715079616"/>
      </c:lineChart>
      <c:catAx>
        <c:axId val="171508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4512"/>
        <c:crosses val="autoZero"/>
        <c:auto val="1"/>
        <c:lblAlgn val="ctr"/>
        <c:lblOffset val="100"/>
        <c:noMultiLvlLbl val="0"/>
      </c:catAx>
      <c:valAx>
        <c:axId val="171508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2336"/>
        <c:crosses val="autoZero"/>
        <c:crossBetween val="between"/>
      </c:valAx>
      <c:valAx>
        <c:axId val="171507961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0160"/>
        <c:crosses val="max"/>
        <c:crossBetween val="between"/>
      </c:valAx>
      <c:catAx>
        <c:axId val="1715080160"/>
        <c:scaling>
          <c:orientation val="minMax"/>
        </c:scaling>
        <c:delete val="1"/>
        <c:axPos val="b"/>
        <c:numFmt formatCode="General" sourceLinked="1"/>
        <c:majorTickMark val="none"/>
        <c:minorTickMark val="none"/>
        <c:tickLblPos val="nextTo"/>
        <c:crossAx val="1715079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Индикатордың оңтайлы мәні</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Лист7!$E$10:$E$17</c:f>
              <c:numCache>
                <c:formatCode>General</c:formatCode>
                <c:ptCount val="8"/>
                <c:pt idx="0">
                  <c:v>0.125</c:v>
                </c:pt>
                <c:pt idx="1">
                  <c:v>0.125</c:v>
                </c:pt>
                <c:pt idx="2">
                  <c:v>0.125</c:v>
                </c:pt>
                <c:pt idx="3">
                  <c:v>0.125</c:v>
                </c:pt>
                <c:pt idx="4">
                  <c:v>0.125</c:v>
                </c:pt>
                <c:pt idx="5">
                  <c:v>0.125</c:v>
                </c:pt>
                <c:pt idx="6">
                  <c:v>0.125</c:v>
                </c:pt>
                <c:pt idx="7">
                  <c:v>0.125</c:v>
                </c:pt>
              </c:numCache>
            </c:numRef>
          </c:val>
          <c:smooth val="0"/>
          <c:extLst xmlns:c16r2="http://schemas.microsoft.com/office/drawing/2015/06/chart">
            <c:ext xmlns:c16="http://schemas.microsoft.com/office/drawing/2014/chart" uri="{C3380CC4-5D6E-409C-BE32-E72D297353CC}">
              <c16:uniqueId val="{00000000-CEE7-4512-B1A3-DE7178CC27DE}"/>
            </c:ext>
          </c:extLst>
        </c:ser>
        <c:ser>
          <c:idx val="1"/>
          <c:order val="1"/>
          <c:tx>
            <c:v>Индикаторлардың нақты мәні</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Лист7!$F$10:$F$17</c:f>
              <c:numCache>
                <c:formatCode>General</c:formatCode>
                <c:ptCount val="8"/>
                <c:pt idx="0">
                  <c:v>0.119751819</c:v>
                </c:pt>
                <c:pt idx="1">
                  <c:v>0.123955784</c:v>
                </c:pt>
                <c:pt idx="2">
                  <c:v>0.115413183</c:v>
                </c:pt>
                <c:pt idx="3">
                  <c:v>0.121583095</c:v>
                </c:pt>
                <c:pt idx="4">
                  <c:v>0.12686202299999999</c:v>
                </c:pt>
                <c:pt idx="5">
                  <c:v>0.127044621</c:v>
                </c:pt>
                <c:pt idx="6">
                  <c:v>0.121389557</c:v>
                </c:pt>
                <c:pt idx="7">
                  <c:v>0.126853043</c:v>
                </c:pt>
              </c:numCache>
            </c:numRef>
          </c:val>
          <c:smooth val="0"/>
          <c:extLst xmlns:c16r2="http://schemas.microsoft.com/office/drawing/2015/06/chart">
            <c:ext xmlns:c16="http://schemas.microsoft.com/office/drawing/2014/chart" uri="{C3380CC4-5D6E-409C-BE32-E72D297353CC}">
              <c16:uniqueId val="{00000001-CEE7-4512-B1A3-DE7178CC27DE}"/>
            </c:ext>
          </c:extLst>
        </c:ser>
        <c:dLbls>
          <c:showLegendKey val="0"/>
          <c:showVal val="0"/>
          <c:showCatName val="0"/>
          <c:showSerName val="0"/>
          <c:showPercent val="0"/>
          <c:showBubbleSize val="0"/>
        </c:dLbls>
        <c:marker val="1"/>
        <c:smooth val="0"/>
        <c:axId val="1761542048"/>
        <c:axId val="1761530080"/>
      </c:lineChart>
      <c:catAx>
        <c:axId val="1761542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530080"/>
        <c:crosses val="autoZero"/>
        <c:auto val="1"/>
        <c:lblAlgn val="ctr"/>
        <c:lblOffset val="100"/>
        <c:noMultiLvlLbl val="0"/>
      </c:catAx>
      <c:valAx>
        <c:axId val="17615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542048"/>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Еңбек өнімділігін 2,5 есе ұлғайту</c:v>
          </c:tx>
          <c:spPr>
            <a:ln w="28575" cap="rnd">
              <a:solidFill>
                <a:schemeClr val="accent1"/>
              </a:solidFill>
              <a:round/>
            </a:ln>
            <a:effectLst/>
          </c:spPr>
          <c:marker>
            <c:symbol val="none"/>
          </c:marker>
          <c:cat>
            <c:numLit>
              <c:formatCode>General</c:formatCode>
              <c:ptCount val="5"/>
              <c:pt idx="0">
                <c:v>2021</c:v>
              </c:pt>
              <c:pt idx="1">
                <c:v>2022</c:v>
              </c:pt>
              <c:pt idx="2">
                <c:v>2023</c:v>
              </c:pt>
              <c:pt idx="3">
                <c:v>2024</c:v>
              </c:pt>
              <c:pt idx="4">
                <c:v>2025</c:v>
              </c:pt>
            </c:numLit>
          </c:cat>
          <c:val>
            <c:numRef>
              <c:f>Лист8!$B$2:$F$2</c:f>
              <c:numCache>
                <c:formatCode>General</c:formatCode>
                <c:ptCount val="5"/>
                <c:pt idx="0">
                  <c:v>0.154031</c:v>
                </c:pt>
                <c:pt idx="1">
                  <c:v>0.15330849999999999</c:v>
                </c:pt>
                <c:pt idx="2">
                  <c:v>0.16084399999999999</c:v>
                </c:pt>
                <c:pt idx="3">
                  <c:v>0.16763600000000001</c:v>
                </c:pt>
                <c:pt idx="4">
                  <c:v>0.1668395</c:v>
                </c:pt>
              </c:numCache>
            </c:numRef>
          </c:val>
          <c:smooth val="0"/>
          <c:extLst xmlns:c16r2="http://schemas.microsoft.com/office/drawing/2015/06/chart">
            <c:ext xmlns:c16="http://schemas.microsoft.com/office/drawing/2014/chart" uri="{C3380CC4-5D6E-409C-BE32-E72D297353CC}">
              <c16:uniqueId val="{00000000-4D2D-46D7-9887-A11458F1F94E}"/>
            </c:ext>
          </c:extLst>
        </c:ser>
        <c:ser>
          <c:idx val="1"/>
          <c:order val="1"/>
          <c:tx>
            <c:v>Экспорт көлемін ұлғайту</c:v>
          </c:tx>
          <c:spPr>
            <a:ln w="28575" cap="rnd">
              <a:solidFill>
                <a:schemeClr val="accent2"/>
              </a:solidFill>
              <a:round/>
            </a:ln>
            <a:effectLst/>
          </c:spPr>
          <c:marker>
            <c:symbol val="none"/>
          </c:marker>
          <c:cat>
            <c:numLit>
              <c:formatCode>General</c:formatCode>
              <c:ptCount val="5"/>
              <c:pt idx="0">
                <c:v>2021</c:v>
              </c:pt>
              <c:pt idx="1">
                <c:v>2022</c:v>
              </c:pt>
              <c:pt idx="2">
                <c:v>2023</c:v>
              </c:pt>
              <c:pt idx="3">
                <c:v>2024</c:v>
              </c:pt>
              <c:pt idx="4">
                <c:v>2025</c:v>
              </c:pt>
            </c:numLit>
          </c:cat>
          <c:val>
            <c:numRef>
              <c:f>Лист8!$B$3:$F$3</c:f>
              <c:numCache>
                <c:formatCode>General</c:formatCode>
                <c:ptCount val="5"/>
                <c:pt idx="0">
                  <c:v>0.15726100000000001</c:v>
                </c:pt>
                <c:pt idx="1">
                  <c:v>0.1567645</c:v>
                </c:pt>
                <c:pt idx="2">
                  <c:v>0.163827</c:v>
                </c:pt>
                <c:pt idx="3">
                  <c:v>0.16994300000000001</c:v>
                </c:pt>
                <c:pt idx="4">
                  <c:v>0.1694407</c:v>
                </c:pt>
              </c:numCache>
            </c:numRef>
          </c:val>
          <c:smooth val="0"/>
          <c:extLst xmlns:c16r2="http://schemas.microsoft.com/office/drawing/2015/06/chart">
            <c:ext xmlns:c16="http://schemas.microsoft.com/office/drawing/2014/chart" uri="{C3380CC4-5D6E-409C-BE32-E72D297353CC}">
              <c16:uniqueId val="{00000001-4D2D-46D7-9887-A11458F1F94E}"/>
            </c:ext>
          </c:extLst>
        </c:ser>
        <c:ser>
          <c:idx val="2"/>
          <c:order val="2"/>
          <c:tx>
            <c:v>Импорт көлемін азайту</c:v>
          </c:tx>
          <c:spPr>
            <a:ln w="28575" cap="rnd">
              <a:solidFill>
                <a:schemeClr val="accent3"/>
              </a:solidFill>
              <a:round/>
            </a:ln>
            <a:effectLst/>
          </c:spPr>
          <c:marker>
            <c:symbol val="none"/>
          </c:marker>
          <c:cat>
            <c:numLit>
              <c:formatCode>General</c:formatCode>
              <c:ptCount val="5"/>
              <c:pt idx="0">
                <c:v>2021</c:v>
              </c:pt>
              <c:pt idx="1">
                <c:v>2022</c:v>
              </c:pt>
              <c:pt idx="2">
                <c:v>2023</c:v>
              </c:pt>
              <c:pt idx="3">
                <c:v>2024</c:v>
              </c:pt>
              <c:pt idx="4">
                <c:v>2025</c:v>
              </c:pt>
            </c:numLit>
          </c:cat>
          <c:val>
            <c:numRef>
              <c:f>Лист8!$B$4:$F$4</c:f>
              <c:numCache>
                <c:formatCode>General</c:formatCode>
                <c:ptCount val="5"/>
                <c:pt idx="0">
                  <c:v>0.14619499999999999</c:v>
                </c:pt>
                <c:pt idx="1">
                  <c:v>0.1459897</c:v>
                </c:pt>
                <c:pt idx="2">
                  <c:v>0.15271299999999999</c:v>
                </c:pt>
                <c:pt idx="3">
                  <c:v>0.158169</c:v>
                </c:pt>
                <c:pt idx="4">
                  <c:v>0.15805230000000001</c:v>
                </c:pt>
              </c:numCache>
            </c:numRef>
          </c:val>
          <c:smooth val="0"/>
          <c:extLst xmlns:c16r2="http://schemas.microsoft.com/office/drawing/2015/06/chart">
            <c:ext xmlns:c16="http://schemas.microsoft.com/office/drawing/2014/chart" uri="{C3380CC4-5D6E-409C-BE32-E72D297353CC}">
              <c16:uniqueId val="{00000002-4D2D-46D7-9887-A11458F1F94E}"/>
            </c:ext>
          </c:extLst>
        </c:ser>
        <c:ser>
          <c:idx val="3"/>
          <c:order val="3"/>
          <c:tx>
            <c:v>Бағытталған инвестицияларды ұлғайту</c:v>
          </c:tx>
          <c:spPr>
            <a:ln w="28575" cap="rnd">
              <a:solidFill>
                <a:schemeClr val="accent4"/>
              </a:solidFill>
              <a:round/>
            </a:ln>
            <a:effectLst/>
          </c:spPr>
          <c:marker>
            <c:symbol val="none"/>
          </c:marker>
          <c:cat>
            <c:numLit>
              <c:formatCode>General</c:formatCode>
              <c:ptCount val="5"/>
              <c:pt idx="0">
                <c:v>2021</c:v>
              </c:pt>
              <c:pt idx="1">
                <c:v>2022</c:v>
              </c:pt>
              <c:pt idx="2">
                <c:v>2023</c:v>
              </c:pt>
              <c:pt idx="3">
                <c:v>2024</c:v>
              </c:pt>
              <c:pt idx="4">
                <c:v>2025</c:v>
              </c:pt>
            </c:numLit>
          </c:cat>
          <c:val>
            <c:numRef>
              <c:f>Лист8!$B$5:$F$5</c:f>
              <c:numCache>
                <c:formatCode>General</c:formatCode>
                <c:ptCount val="5"/>
                <c:pt idx="0">
                  <c:v>0.15503600000000001</c:v>
                </c:pt>
                <c:pt idx="1">
                  <c:v>0.15472369999999999</c:v>
                </c:pt>
                <c:pt idx="2">
                  <c:v>0.162019</c:v>
                </c:pt>
                <c:pt idx="3">
                  <c:v>0.16747500000000001</c:v>
                </c:pt>
                <c:pt idx="4">
                  <c:v>0.16734869999999999</c:v>
                </c:pt>
              </c:numCache>
            </c:numRef>
          </c:val>
          <c:smooth val="0"/>
          <c:extLst xmlns:c16r2="http://schemas.microsoft.com/office/drawing/2015/06/chart">
            <c:ext xmlns:c16="http://schemas.microsoft.com/office/drawing/2014/chart" uri="{C3380CC4-5D6E-409C-BE32-E72D297353CC}">
              <c16:uniqueId val="{00000003-4D2D-46D7-9887-A11458F1F94E}"/>
            </c:ext>
          </c:extLst>
        </c:ser>
        <c:ser>
          <c:idx val="4"/>
          <c:order val="4"/>
          <c:tx>
            <c:v>ЖІӨ-дегі үлесін ұлғайту</c:v>
          </c:tx>
          <c:spPr>
            <a:ln w="28575" cap="rnd">
              <a:solidFill>
                <a:schemeClr val="accent5"/>
              </a:solidFill>
              <a:round/>
            </a:ln>
            <a:effectLst/>
          </c:spPr>
          <c:marker>
            <c:symbol val="none"/>
          </c:marker>
          <c:cat>
            <c:numLit>
              <c:formatCode>General</c:formatCode>
              <c:ptCount val="5"/>
              <c:pt idx="0">
                <c:v>2021</c:v>
              </c:pt>
              <c:pt idx="1">
                <c:v>2022</c:v>
              </c:pt>
              <c:pt idx="2">
                <c:v>2023</c:v>
              </c:pt>
              <c:pt idx="3">
                <c:v>2024</c:v>
              </c:pt>
              <c:pt idx="4">
                <c:v>2025</c:v>
              </c:pt>
            </c:numLit>
          </c:cat>
          <c:val>
            <c:numRef>
              <c:f>Лист8!$B$6:$F$6</c:f>
              <c:numCache>
                <c:formatCode>General</c:formatCode>
                <c:ptCount val="5"/>
                <c:pt idx="0">
                  <c:v>0.15595100000000001</c:v>
                </c:pt>
                <c:pt idx="1">
                  <c:v>0.15534600000000001</c:v>
                </c:pt>
                <c:pt idx="2">
                  <c:v>0.161771</c:v>
                </c:pt>
                <c:pt idx="3">
                  <c:v>0.16794600000000001</c:v>
                </c:pt>
                <c:pt idx="4">
                  <c:v>0.16719990000000001</c:v>
                </c:pt>
              </c:numCache>
            </c:numRef>
          </c:val>
          <c:smooth val="0"/>
          <c:extLst xmlns:c16r2="http://schemas.microsoft.com/office/drawing/2015/06/chart">
            <c:ext xmlns:c16="http://schemas.microsoft.com/office/drawing/2014/chart" uri="{C3380CC4-5D6E-409C-BE32-E72D297353CC}">
              <c16:uniqueId val="{00000004-4D2D-46D7-9887-A11458F1F94E}"/>
            </c:ext>
          </c:extLst>
        </c:ser>
        <c:dLbls>
          <c:showLegendKey val="0"/>
          <c:showVal val="0"/>
          <c:showCatName val="0"/>
          <c:showSerName val="0"/>
          <c:showPercent val="0"/>
          <c:showBubbleSize val="0"/>
        </c:dLbls>
        <c:smooth val="0"/>
        <c:axId val="1761526816"/>
        <c:axId val="1761530624"/>
      </c:lineChart>
      <c:catAx>
        <c:axId val="17615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530624"/>
        <c:crosses val="autoZero"/>
        <c:auto val="1"/>
        <c:lblAlgn val="ctr"/>
        <c:lblOffset val="100"/>
        <c:noMultiLvlLbl val="0"/>
      </c:catAx>
      <c:valAx>
        <c:axId val="176153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526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Эталон мәні</c:v>
          </c:tx>
          <c:spPr>
            <a:ln w="28575" cap="rnd">
              <a:solidFill>
                <a:schemeClr val="accent1"/>
              </a:solidFill>
              <a:round/>
            </a:ln>
            <a:effectLst/>
          </c:spPr>
          <c:marker>
            <c:symbol val="none"/>
          </c:marker>
          <c:cat>
            <c:numLit>
              <c:formatCode>General</c:formatCode>
              <c:ptCount val="5"/>
              <c:pt idx="0">
                <c:v>1</c:v>
              </c:pt>
              <c:pt idx="1">
                <c:v>2</c:v>
              </c:pt>
              <c:pt idx="2">
                <c:v>3</c:v>
              </c:pt>
              <c:pt idx="3">
                <c:v>4</c:v>
              </c:pt>
              <c:pt idx="4">
                <c:v>5</c:v>
              </c:pt>
            </c:numLit>
          </c:cat>
          <c:val>
            <c:numRef>
              <c:f>Лист8!$A$8:$A$12</c:f>
              <c:numCache>
                <c:formatCode>General</c:formatCode>
                <c:ptCount val="5"/>
                <c:pt idx="0">
                  <c:v>0.2</c:v>
                </c:pt>
                <c:pt idx="1">
                  <c:v>0.2</c:v>
                </c:pt>
                <c:pt idx="2">
                  <c:v>0.2</c:v>
                </c:pt>
                <c:pt idx="3">
                  <c:v>0.2</c:v>
                </c:pt>
                <c:pt idx="4">
                  <c:v>0.2</c:v>
                </c:pt>
              </c:numCache>
            </c:numRef>
          </c:val>
          <c:smooth val="0"/>
          <c:extLst xmlns:c16r2="http://schemas.microsoft.com/office/drawing/2015/06/chart">
            <c:ext xmlns:c16="http://schemas.microsoft.com/office/drawing/2014/chart" uri="{C3380CC4-5D6E-409C-BE32-E72D297353CC}">
              <c16:uniqueId val="{00000000-A6FD-488F-9437-508B6076CE6D}"/>
            </c:ext>
          </c:extLst>
        </c:ser>
        <c:ser>
          <c:idx val="1"/>
          <c:order val="1"/>
          <c:tx>
            <c:v>Бағалау нәтижесі</c:v>
          </c:tx>
          <c:spPr>
            <a:ln w="28575" cap="rnd">
              <a:solidFill>
                <a:schemeClr val="accent2"/>
              </a:solidFill>
              <a:round/>
            </a:ln>
            <a:effectLst/>
          </c:spPr>
          <c:marker>
            <c:symbol val="none"/>
          </c:marker>
          <c:cat>
            <c:numLit>
              <c:formatCode>General</c:formatCode>
              <c:ptCount val="5"/>
              <c:pt idx="0">
                <c:v>1</c:v>
              </c:pt>
              <c:pt idx="1">
                <c:v>2</c:v>
              </c:pt>
              <c:pt idx="2">
                <c:v>3</c:v>
              </c:pt>
              <c:pt idx="3">
                <c:v>4</c:v>
              </c:pt>
              <c:pt idx="4">
                <c:v>5</c:v>
              </c:pt>
            </c:numLit>
          </c:cat>
          <c:val>
            <c:numRef>
              <c:f>Лист8!$B$8:$B$12</c:f>
              <c:numCache>
                <c:formatCode>General</c:formatCode>
                <c:ptCount val="5"/>
                <c:pt idx="0">
                  <c:v>0.20085459999999999</c:v>
                </c:pt>
                <c:pt idx="1">
                  <c:v>0.2045256</c:v>
                </c:pt>
                <c:pt idx="2">
                  <c:v>0.19047739999999999</c:v>
                </c:pt>
                <c:pt idx="3">
                  <c:v>0.2018634</c:v>
                </c:pt>
                <c:pt idx="4">
                  <c:v>0.20227909999999999</c:v>
                </c:pt>
              </c:numCache>
            </c:numRef>
          </c:val>
          <c:smooth val="0"/>
          <c:extLst xmlns:c16r2="http://schemas.microsoft.com/office/drawing/2015/06/chart">
            <c:ext xmlns:c16="http://schemas.microsoft.com/office/drawing/2014/chart" uri="{C3380CC4-5D6E-409C-BE32-E72D297353CC}">
              <c16:uniqueId val="{00000001-A6FD-488F-9437-508B6076CE6D}"/>
            </c:ext>
          </c:extLst>
        </c:ser>
        <c:dLbls>
          <c:showLegendKey val="0"/>
          <c:showVal val="0"/>
          <c:showCatName val="0"/>
          <c:showSerName val="0"/>
          <c:showPercent val="0"/>
          <c:showBubbleSize val="0"/>
        </c:dLbls>
        <c:smooth val="0"/>
        <c:axId val="1761539328"/>
        <c:axId val="1761541504"/>
      </c:lineChart>
      <c:catAx>
        <c:axId val="176153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541504"/>
        <c:crosses val="autoZero"/>
        <c:auto val="1"/>
        <c:lblAlgn val="ctr"/>
        <c:lblOffset val="100"/>
        <c:noMultiLvlLbl val="0"/>
      </c:catAx>
      <c:valAx>
        <c:axId val="176154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53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212 Бюджет бағдарламасы бойынша жоспарлы бюджет қаражаты, млн. теңге</c:v>
          </c:tx>
          <c:spPr>
            <a:solidFill>
              <a:schemeClr val="accent1"/>
            </a:solidFill>
            <a:ln>
              <a:noFill/>
            </a:ln>
            <a:effectLst/>
          </c:spPr>
          <c:invertIfNegative val="0"/>
          <c:cat>
            <c:numLit>
              <c:formatCode>General</c:formatCode>
              <c:ptCount val="7"/>
              <c:pt idx="0">
                <c:v>2016</c:v>
              </c:pt>
              <c:pt idx="1">
                <c:v>2017</c:v>
              </c:pt>
              <c:pt idx="2">
                <c:v>2018</c:v>
              </c:pt>
              <c:pt idx="3">
                <c:v>2019</c:v>
              </c:pt>
              <c:pt idx="4">
                <c:v>2020</c:v>
              </c:pt>
              <c:pt idx="5">
                <c:v>2021</c:v>
              </c:pt>
              <c:pt idx="6">
                <c:v>2022</c:v>
              </c:pt>
            </c:numLit>
          </c:cat>
          <c:val>
            <c:numRef>
              <c:f>(Лист12!$C$42,Лист12!$E$42,Лист12!$G$42,Лист12!$I$42,Лист12!$K$42,Лист12!$M$42,Лист12!$O$42)</c:f>
              <c:numCache>
                <c:formatCode>General</c:formatCode>
                <c:ptCount val="7"/>
                <c:pt idx="0">
                  <c:v>327100.09999999998</c:v>
                </c:pt>
                <c:pt idx="1">
                  <c:v>348059.4</c:v>
                </c:pt>
                <c:pt idx="2">
                  <c:v>403106.2</c:v>
                </c:pt>
                <c:pt idx="3">
                  <c:v>469362.9</c:v>
                </c:pt>
                <c:pt idx="4">
                  <c:v>423416.2</c:v>
                </c:pt>
                <c:pt idx="5">
                  <c:v>407131.3</c:v>
                </c:pt>
                <c:pt idx="6">
                  <c:v>566505.80000000005</c:v>
                </c:pt>
              </c:numCache>
            </c:numRef>
          </c:val>
          <c:extLst xmlns:c16r2="http://schemas.microsoft.com/office/drawing/2015/06/chart">
            <c:ext xmlns:c16="http://schemas.microsoft.com/office/drawing/2014/chart" uri="{C3380CC4-5D6E-409C-BE32-E72D297353CC}">
              <c16:uniqueId val="{00000000-600A-4F93-976D-AC887801440E}"/>
            </c:ext>
          </c:extLst>
        </c:ser>
        <c:ser>
          <c:idx val="1"/>
          <c:order val="1"/>
          <c:tx>
            <c:v>212 Бюджет бағдарламасы бойынша нақты жұмсалған бюджет қаражаты, млн.теңге</c:v>
          </c:tx>
          <c:spPr>
            <a:solidFill>
              <a:schemeClr val="accent2"/>
            </a:solidFill>
            <a:ln>
              <a:noFill/>
            </a:ln>
            <a:effectLst/>
          </c:spPr>
          <c:invertIfNegative val="0"/>
          <c:val>
            <c:numRef>
              <c:f>(Лист12!$C$43,Лист12!$E$43,Лист12!$G$43,Лист12!$I$43,Лист12!$K$43,Лист12!$M$43,Лист12!$O$43)</c:f>
              <c:numCache>
                <c:formatCode>General</c:formatCode>
                <c:ptCount val="7"/>
                <c:pt idx="0">
                  <c:v>326201.09999999998</c:v>
                </c:pt>
                <c:pt idx="1">
                  <c:v>346276.9</c:v>
                </c:pt>
                <c:pt idx="2">
                  <c:v>402931.20000000001</c:v>
                </c:pt>
                <c:pt idx="3">
                  <c:v>469353.9</c:v>
                </c:pt>
                <c:pt idx="4">
                  <c:v>423308.4</c:v>
                </c:pt>
                <c:pt idx="5">
                  <c:v>407042.7</c:v>
                </c:pt>
                <c:pt idx="6">
                  <c:v>561896.1</c:v>
                </c:pt>
              </c:numCache>
            </c:numRef>
          </c:val>
          <c:extLst xmlns:c16r2="http://schemas.microsoft.com/office/drawing/2015/06/chart">
            <c:ext xmlns:c16="http://schemas.microsoft.com/office/drawing/2014/chart" uri="{C3380CC4-5D6E-409C-BE32-E72D297353CC}">
              <c16:uniqueId val="{00000001-600A-4F93-976D-AC887801440E}"/>
            </c:ext>
          </c:extLst>
        </c:ser>
        <c:dLbls>
          <c:showLegendKey val="0"/>
          <c:showVal val="0"/>
          <c:showCatName val="0"/>
          <c:showSerName val="0"/>
          <c:showPercent val="0"/>
          <c:showBubbleSize val="0"/>
        </c:dLbls>
        <c:gapWidth val="219"/>
        <c:axId val="1715074720"/>
        <c:axId val="1715085056"/>
      </c:barChart>
      <c:catAx>
        <c:axId val="171507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5056"/>
        <c:crosses val="autoZero"/>
        <c:auto val="1"/>
        <c:lblAlgn val="ctr"/>
        <c:lblOffset val="100"/>
        <c:noMultiLvlLbl val="0"/>
      </c:catAx>
      <c:valAx>
        <c:axId val="17150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7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001 Ауыл шаруашылығы министрлігі қызметін ұйымдастыру</c:v>
          </c:tx>
          <c:spPr>
            <a:solidFill>
              <a:schemeClr val="accent1"/>
            </a:solidFill>
            <a:ln>
              <a:noFill/>
            </a:ln>
            <a:effectLst/>
            <a:sp3d/>
          </c:spPr>
          <c:invertIfNegative val="0"/>
          <c:cat>
            <c:numLit>
              <c:formatCode>General</c:formatCode>
              <c:ptCount val="7"/>
              <c:pt idx="0">
                <c:v>2016</c:v>
              </c:pt>
              <c:pt idx="1">
                <c:v>2017</c:v>
              </c:pt>
              <c:pt idx="2">
                <c:v>2018</c:v>
              </c:pt>
              <c:pt idx="3">
                <c:v>2019</c:v>
              </c:pt>
              <c:pt idx="4">
                <c:v>2020</c:v>
              </c:pt>
              <c:pt idx="5">
                <c:v>2021</c:v>
              </c:pt>
              <c:pt idx="6">
                <c:v>2022</c:v>
              </c:pt>
            </c:numLit>
          </c:cat>
          <c:val>
            <c:numRef>
              <c:f>(Лист12!$C$3,Лист12!$E$3,Лист12!$G$3,Лист12!$I$3,Лист12!$K$3,Лист12!$M$3,Лист12!$O$3)</c:f>
              <c:numCache>
                <c:formatCode>General</c:formatCode>
                <c:ptCount val="7"/>
                <c:pt idx="0">
                  <c:v>13368.3</c:v>
                </c:pt>
                <c:pt idx="1">
                  <c:v>11699.9</c:v>
                </c:pt>
                <c:pt idx="2">
                  <c:v>13802.4</c:v>
                </c:pt>
                <c:pt idx="3">
                  <c:v>12795.5</c:v>
                </c:pt>
                <c:pt idx="4">
                  <c:v>13001</c:v>
                </c:pt>
                <c:pt idx="5">
                  <c:v>17731.599999999999</c:v>
                </c:pt>
                <c:pt idx="6">
                  <c:v>21014.400000000001</c:v>
                </c:pt>
              </c:numCache>
            </c:numRef>
          </c:val>
          <c:extLst xmlns:c16r2="http://schemas.microsoft.com/office/drawing/2015/06/chart">
            <c:ext xmlns:c16="http://schemas.microsoft.com/office/drawing/2014/chart" uri="{C3380CC4-5D6E-409C-BE32-E72D297353CC}">
              <c16:uniqueId val="{00000000-4C47-40BE-8716-47CF4E513785}"/>
            </c:ext>
          </c:extLst>
        </c:ser>
        <c:ser>
          <c:idx val="1"/>
          <c:order val="1"/>
          <c:tx>
            <c:v>131 Ғылыми және (немесе) ғылыми-техникалық қызмет субъектілерін базалық қаржыландыруды қамтамасыз ету</c:v>
          </c:tx>
          <c:spPr>
            <a:solidFill>
              <a:schemeClr val="accent2"/>
            </a:solidFill>
            <a:ln>
              <a:noFill/>
            </a:ln>
            <a:effectLst/>
            <a:sp3d/>
          </c:spPr>
          <c:invertIfNegative val="0"/>
          <c:val>
            <c:numRef>
              <c:f>(Лист12!$C$19,Лист12!$E$19,Лист12!$G$19,Лист12!$I$19,Лист12!$K$19,Лист12!$M$19,Лист12!$O$19)</c:f>
              <c:numCache>
                <c:formatCode>General</c:formatCode>
                <c:ptCount val="7"/>
                <c:pt idx="0">
                  <c:v>960.3</c:v>
                </c:pt>
                <c:pt idx="1">
                  <c:v>1270.0999999999999</c:v>
                </c:pt>
                <c:pt idx="2">
                  <c:v>2663.6</c:v>
                </c:pt>
                <c:pt idx="3">
                  <c:v>996.7</c:v>
                </c:pt>
                <c:pt idx="4">
                  <c:v>1061.2</c:v>
                </c:pt>
                <c:pt idx="5">
                  <c:v>984.1</c:v>
                </c:pt>
                <c:pt idx="6">
                  <c:v>1290.7</c:v>
                </c:pt>
              </c:numCache>
            </c:numRef>
          </c:val>
          <c:extLst xmlns:c16r2="http://schemas.microsoft.com/office/drawing/2015/06/chart">
            <c:ext xmlns:c16="http://schemas.microsoft.com/office/drawing/2014/chart" uri="{C3380CC4-5D6E-409C-BE32-E72D297353CC}">
              <c16:uniqueId val="{00000001-4C47-40BE-8716-47CF4E513785}"/>
            </c:ext>
          </c:extLst>
        </c:ser>
        <c:ser>
          <c:idx val="2"/>
          <c:order val="2"/>
          <c:tx>
            <c:v>249 Мал шаруашылығын дамыту</c:v>
          </c:tx>
          <c:spPr>
            <a:solidFill>
              <a:schemeClr val="accent3"/>
            </a:solidFill>
            <a:ln>
              <a:noFill/>
            </a:ln>
            <a:effectLst/>
            <a:sp3d/>
          </c:spPr>
          <c:invertIfNegative val="0"/>
          <c:val>
            <c:numRef>
              <c:f>(Лист12!$C$20,Лист12!$E$20,Лист12!$G$20,Лист12!$I$20,Лист12!$K$20,Лист12!$M$20,Лист12!$O$20)</c:f>
              <c:numCache>
                <c:formatCode>General</c:formatCode>
                <c:ptCount val="7"/>
                <c:pt idx="0">
                  <c:v>54823.1</c:v>
                </c:pt>
                <c:pt idx="1">
                  <c:v>32729.7</c:v>
                </c:pt>
                <c:pt idx="2">
                  <c:v>21977.9</c:v>
                </c:pt>
                <c:pt idx="3">
                  <c:v>21401.4</c:v>
                </c:pt>
                <c:pt idx="4">
                  <c:v>35821.4</c:v>
                </c:pt>
                <c:pt idx="5">
                  <c:v>23355.5</c:v>
                </c:pt>
                <c:pt idx="6">
                  <c:v>49051.3</c:v>
                </c:pt>
              </c:numCache>
            </c:numRef>
          </c:val>
          <c:extLst xmlns:c16r2="http://schemas.microsoft.com/office/drawing/2015/06/chart">
            <c:ext xmlns:c16="http://schemas.microsoft.com/office/drawing/2014/chart" uri="{C3380CC4-5D6E-409C-BE32-E72D297353CC}">
              <c16:uniqueId val="{00000002-4C47-40BE-8716-47CF4E513785}"/>
            </c:ext>
          </c:extLst>
        </c:ser>
        <c:ser>
          <c:idx val="3"/>
          <c:order val="3"/>
          <c:tx>
            <c:v>250 Қаржылық көрсетілетін қызметтердің қолжетімділігін арттыру</c:v>
          </c:tx>
          <c:spPr>
            <a:solidFill>
              <a:schemeClr val="accent4"/>
            </a:solidFill>
            <a:ln>
              <a:noFill/>
            </a:ln>
            <a:effectLst/>
            <a:sp3d/>
          </c:spPr>
          <c:invertIfNegative val="0"/>
          <c:val>
            <c:numRef>
              <c:f>(Лист12!$C$21,Лист12!$E$21,Лист12!$G$21,Лист12!$I$21,Лист12!$K$21,Лист12!$M$21,Лист12!$O$21)</c:f>
              <c:numCache>
                <c:formatCode>General</c:formatCode>
                <c:ptCount val="7"/>
                <c:pt idx="0">
                  <c:v>57994</c:v>
                </c:pt>
                <c:pt idx="1">
                  <c:v>106312.7</c:v>
                </c:pt>
                <c:pt idx="2">
                  <c:v>76198.100000000006</c:v>
                </c:pt>
                <c:pt idx="3">
                  <c:v>132427</c:v>
                </c:pt>
                <c:pt idx="4">
                  <c:v>176340.9</c:v>
                </c:pt>
                <c:pt idx="5">
                  <c:v>192116.6</c:v>
                </c:pt>
                <c:pt idx="6">
                  <c:v>199430.39999999999</c:v>
                </c:pt>
              </c:numCache>
            </c:numRef>
          </c:val>
          <c:extLst xmlns:c16r2="http://schemas.microsoft.com/office/drawing/2015/06/chart">
            <c:ext xmlns:c16="http://schemas.microsoft.com/office/drawing/2014/chart" uri="{C3380CC4-5D6E-409C-BE32-E72D297353CC}">
              <c16:uniqueId val="{00000003-4C47-40BE-8716-47CF4E513785}"/>
            </c:ext>
          </c:extLst>
        </c:ser>
        <c:ser>
          <c:idx val="4"/>
          <c:order val="4"/>
          <c:tx>
            <c:v>255 Өсімдік шаруашылығы өнiмiн өндіруге жағдай жасау</c:v>
          </c:tx>
          <c:spPr>
            <a:solidFill>
              <a:schemeClr val="accent5"/>
            </a:solidFill>
            <a:ln>
              <a:noFill/>
            </a:ln>
            <a:effectLst/>
            <a:sp3d/>
          </c:spPr>
          <c:invertIfNegative val="0"/>
          <c:val>
            <c:numRef>
              <c:f>(Лист12!$C$22,Лист12!$E$22,Лист12!$G$22,Лист12!$I$22,Лист12!$K$22,Лист12!$M$22,Лист12!$O$22)</c:f>
              <c:numCache>
                <c:formatCode>General</c:formatCode>
                <c:ptCount val="7"/>
                <c:pt idx="0">
                  <c:v>8507.2000000000007</c:v>
                </c:pt>
                <c:pt idx="1">
                  <c:v>10086.9</c:v>
                </c:pt>
                <c:pt idx="2">
                  <c:v>6537.6</c:v>
                </c:pt>
                <c:pt idx="3">
                  <c:v>9287.2999999999993</c:v>
                </c:pt>
                <c:pt idx="4">
                  <c:v>18479.099999999999</c:v>
                </c:pt>
                <c:pt idx="5">
                  <c:v>18361.8</c:v>
                </c:pt>
                <c:pt idx="6">
                  <c:v>44214.2</c:v>
                </c:pt>
              </c:numCache>
            </c:numRef>
          </c:val>
          <c:extLst xmlns:c16r2="http://schemas.microsoft.com/office/drawing/2015/06/chart">
            <c:ext xmlns:c16="http://schemas.microsoft.com/office/drawing/2014/chart" uri="{C3380CC4-5D6E-409C-BE32-E72D297353CC}">
              <c16:uniqueId val="{00000004-4C47-40BE-8716-47CF4E513785}"/>
            </c:ext>
          </c:extLst>
        </c:ser>
        <c:ser>
          <c:idx val="5"/>
          <c:order val="5"/>
          <c:tx>
            <c:v>259 Жер ресурстарына ақпараттың қол жетімділігін жоғарылату</c:v>
          </c:tx>
          <c:spPr>
            <a:solidFill>
              <a:schemeClr val="accent6"/>
            </a:solidFill>
            <a:ln>
              <a:noFill/>
            </a:ln>
            <a:effectLst/>
            <a:sp3d/>
          </c:spPr>
          <c:invertIfNegative val="0"/>
          <c:val>
            <c:numRef>
              <c:f>(Лист12!$C$23,Лист12!$E$23,Лист12!$G$23,Лист12!$I$23,Лист12!$K$23,Лист12!$M$23,Лист12!$O$23)</c:f>
              <c:numCache>
                <c:formatCode>General</c:formatCode>
                <c:ptCount val="7"/>
                <c:pt idx="0">
                  <c:v>5939.9</c:v>
                </c:pt>
                <c:pt idx="1">
                  <c:v>7567</c:v>
                </c:pt>
                <c:pt idx="2">
                  <c:v>9295.2000000000007</c:v>
                </c:pt>
                <c:pt idx="3">
                  <c:v>7430.7</c:v>
                </c:pt>
                <c:pt idx="4">
                  <c:v>8524.4</c:v>
                </c:pt>
                <c:pt idx="5">
                  <c:v>9186.1</c:v>
                </c:pt>
                <c:pt idx="6">
                  <c:v>7671.4</c:v>
                </c:pt>
              </c:numCache>
            </c:numRef>
          </c:val>
          <c:extLst xmlns:c16r2="http://schemas.microsoft.com/office/drawing/2015/06/chart">
            <c:ext xmlns:c16="http://schemas.microsoft.com/office/drawing/2014/chart" uri="{C3380CC4-5D6E-409C-BE32-E72D297353CC}">
              <c16:uniqueId val="{00000005-4C47-40BE-8716-47CF4E513785}"/>
            </c:ext>
          </c:extLst>
        </c:ser>
        <c:ser>
          <c:idx val="6"/>
          <c:order val="6"/>
          <c:tx>
            <c:v>138 Мемлекеттік қызметкерлердің біліктілігін жоғарылатумен қамтамасыз ету</c:v>
          </c:tx>
          <c:spPr>
            <a:solidFill>
              <a:schemeClr val="accent1">
                <a:lumMod val="60000"/>
              </a:schemeClr>
            </a:solidFill>
            <a:ln>
              <a:noFill/>
            </a:ln>
            <a:effectLst/>
            <a:sp3d/>
          </c:spPr>
          <c:invertIfNegative val="0"/>
          <c:val>
            <c:numRef>
              <c:f>(Лист12!$C$24,Лист12!$E$24,Лист12!$G$24,Лист12!$I$24,Лист12!$K$24,Лист12!$M$24,Лист12!$O$24)</c:f>
              <c:numCache>
                <c:formatCode>General</c:formatCode>
                <c:ptCount val="7"/>
                <c:pt idx="0">
                  <c:v>32.1</c:v>
                </c:pt>
                <c:pt idx="1">
                  <c:v>58.5</c:v>
                </c:pt>
                <c:pt idx="2">
                  <c:v>95.9</c:v>
                </c:pt>
                <c:pt idx="3">
                  <c:v>41.6</c:v>
                </c:pt>
                <c:pt idx="4">
                  <c:v>47</c:v>
                </c:pt>
                <c:pt idx="5">
                  <c:v>43.1</c:v>
                </c:pt>
                <c:pt idx="6">
                  <c:v>52.5</c:v>
                </c:pt>
              </c:numCache>
            </c:numRef>
          </c:val>
          <c:extLst xmlns:c16r2="http://schemas.microsoft.com/office/drawing/2015/06/chart">
            <c:ext xmlns:c16="http://schemas.microsoft.com/office/drawing/2014/chart" uri="{C3380CC4-5D6E-409C-BE32-E72D297353CC}">
              <c16:uniqueId val="{00000006-4C47-40BE-8716-47CF4E513785}"/>
            </c:ext>
          </c:extLst>
        </c:ser>
        <c:dLbls>
          <c:showLegendKey val="0"/>
          <c:showVal val="0"/>
          <c:showCatName val="0"/>
          <c:showSerName val="0"/>
          <c:showPercent val="0"/>
          <c:showBubbleSize val="0"/>
        </c:dLbls>
        <c:gapWidth val="150"/>
        <c:shape val="box"/>
        <c:axId val="1715080704"/>
        <c:axId val="1715081248"/>
        <c:axId val="0"/>
      </c:bar3DChart>
      <c:catAx>
        <c:axId val="1715080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1248"/>
        <c:crosses val="autoZero"/>
        <c:auto val="1"/>
        <c:lblAlgn val="ctr"/>
        <c:lblOffset val="100"/>
        <c:noMultiLvlLbl val="0"/>
      </c:catAx>
      <c:valAx>
        <c:axId val="171508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0704"/>
        <c:crosses val="autoZero"/>
        <c:crossBetween val="between"/>
      </c:valAx>
      <c:spPr>
        <a:noFill/>
        <a:ln>
          <a:noFill/>
        </a:ln>
        <a:effectLst/>
      </c:spPr>
    </c:plotArea>
    <c:legend>
      <c:legendPos val="r"/>
      <c:layout>
        <c:manualLayout>
          <c:xMode val="edge"/>
          <c:yMode val="edge"/>
          <c:x val="0.65094614308738652"/>
          <c:y val="2.7163916416948982E-2"/>
          <c:w val="0.33630961539748061"/>
          <c:h val="0.972836181206643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АӨК дамытуға ұйымдар жарғылық капиталын толтыруға жұмсалған бюджет қаражаты, млн.теңге</c:v>
          </c:tx>
          <c:spPr>
            <a:solidFill>
              <a:schemeClr val="accent1"/>
            </a:solidFill>
            <a:ln>
              <a:noFill/>
            </a:ln>
            <a:effectLst/>
            <a:sp3d/>
          </c:spPr>
          <c:invertIfNegative val="0"/>
          <c:cat>
            <c:numLit>
              <c:formatCode>General</c:formatCode>
              <c:ptCount val="7"/>
              <c:pt idx="0">
                <c:v>2016</c:v>
              </c:pt>
              <c:pt idx="1">
                <c:v>2017</c:v>
              </c:pt>
              <c:pt idx="2">
                <c:v>2018</c:v>
              </c:pt>
              <c:pt idx="3">
                <c:v>2019</c:v>
              </c:pt>
              <c:pt idx="4">
                <c:v>2020</c:v>
              </c:pt>
              <c:pt idx="5">
                <c:v>2021</c:v>
              </c:pt>
              <c:pt idx="6">
                <c:v>2022</c:v>
              </c:pt>
            </c:numLit>
          </c:cat>
          <c:val>
            <c:numRef>
              <c:f>Лист13!$B$13:$H$13</c:f>
              <c:numCache>
                <c:formatCode>General</c:formatCode>
                <c:ptCount val="7"/>
                <c:pt idx="0">
                  <c:v>138549.6</c:v>
                </c:pt>
                <c:pt idx="1">
                  <c:v>83945.1</c:v>
                </c:pt>
                <c:pt idx="2">
                  <c:v>88054</c:v>
                </c:pt>
                <c:pt idx="3">
                  <c:v>90000</c:v>
                </c:pt>
                <c:pt idx="4">
                  <c:v>104550</c:v>
                </c:pt>
                <c:pt idx="5">
                  <c:v>85000</c:v>
                </c:pt>
                <c:pt idx="6">
                  <c:v>180000</c:v>
                </c:pt>
              </c:numCache>
            </c:numRef>
          </c:val>
          <c:extLst xmlns:c16r2="http://schemas.microsoft.com/office/drawing/2015/06/chart">
            <c:ext xmlns:c16="http://schemas.microsoft.com/office/drawing/2014/chart" uri="{C3380CC4-5D6E-409C-BE32-E72D297353CC}">
              <c16:uniqueId val="{00000000-35B8-422E-90D0-C438D8A70148}"/>
            </c:ext>
          </c:extLst>
        </c:ser>
        <c:dLbls>
          <c:showLegendKey val="0"/>
          <c:showVal val="0"/>
          <c:showCatName val="0"/>
          <c:showSerName val="0"/>
          <c:showPercent val="0"/>
          <c:showBubbleSize val="0"/>
        </c:dLbls>
        <c:gapWidth val="150"/>
        <c:shape val="box"/>
        <c:axId val="1715081792"/>
        <c:axId val="1568001744"/>
        <c:axId val="0"/>
      </c:bar3DChart>
      <c:catAx>
        <c:axId val="1715081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01744"/>
        <c:crosses val="autoZero"/>
        <c:auto val="1"/>
        <c:lblAlgn val="ctr"/>
        <c:lblOffset val="100"/>
        <c:noMultiLvlLbl val="0"/>
      </c:catAx>
      <c:valAx>
        <c:axId val="156800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081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Республикалық бюджет</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2017</c:v>
              </c:pt>
              <c:pt idx="1">
                <c:v>2018</c:v>
              </c:pt>
              <c:pt idx="2">
                <c:v>2019</c:v>
              </c:pt>
              <c:pt idx="3">
                <c:v>2020</c:v>
              </c:pt>
              <c:pt idx="4">
                <c:v>2021</c:v>
              </c:pt>
            </c:numLit>
          </c:cat>
          <c:val>
            <c:numRef>
              <c:f>Лист3!$H$1:$H$5</c:f>
              <c:numCache>
                <c:formatCode>General</c:formatCode>
                <c:ptCount val="5"/>
                <c:pt idx="0">
                  <c:v>232.5</c:v>
                </c:pt>
                <c:pt idx="1">
                  <c:v>262</c:v>
                </c:pt>
                <c:pt idx="2">
                  <c:v>290.60000000000002</c:v>
                </c:pt>
                <c:pt idx="3">
                  <c:v>468.4</c:v>
                </c:pt>
                <c:pt idx="4">
                  <c:v>576</c:v>
                </c:pt>
              </c:numCache>
            </c:numRef>
          </c:val>
          <c:extLst xmlns:c16r2="http://schemas.microsoft.com/office/drawing/2015/06/chart">
            <c:ext xmlns:c16="http://schemas.microsoft.com/office/drawing/2014/chart" uri="{C3380CC4-5D6E-409C-BE32-E72D297353CC}">
              <c16:uniqueId val="{00000000-E147-4B7D-B4FA-55760CA0D323}"/>
            </c:ext>
          </c:extLst>
        </c:ser>
        <c:ser>
          <c:idx val="1"/>
          <c:order val="1"/>
          <c:tx>
            <c:v>Жергілікті бюджет</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2017</c:v>
              </c:pt>
              <c:pt idx="1">
                <c:v>2018</c:v>
              </c:pt>
              <c:pt idx="2">
                <c:v>2019</c:v>
              </c:pt>
              <c:pt idx="3">
                <c:v>2020</c:v>
              </c:pt>
              <c:pt idx="4">
                <c:v>2021</c:v>
              </c:pt>
            </c:numLit>
          </c:cat>
          <c:val>
            <c:numRef>
              <c:f>Лист3!$I$1:$I$5</c:f>
              <c:numCache>
                <c:formatCode>General</c:formatCode>
                <c:ptCount val="5"/>
                <c:pt idx="0">
                  <c:v>140.19999999999999</c:v>
                </c:pt>
                <c:pt idx="1">
                  <c:v>150.1</c:v>
                </c:pt>
                <c:pt idx="2">
                  <c:v>156.69999999999999</c:v>
                </c:pt>
                <c:pt idx="3">
                  <c:v>200.6</c:v>
                </c:pt>
                <c:pt idx="4">
                  <c:v>202.1</c:v>
                </c:pt>
              </c:numCache>
            </c:numRef>
          </c:val>
          <c:extLst xmlns:c16r2="http://schemas.microsoft.com/office/drawing/2015/06/chart">
            <c:ext xmlns:c16="http://schemas.microsoft.com/office/drawing/2014/chart" uri="{C3380CC4-5D6E-409C-BE32-E72D297353CC}">
              <c16:uniqueId val="{00000001-E147-4B7D-B4FA-55760CA0D323}"/>
            </c:ext>
          </c:extLst>
        </c:ser>
        <c:ser>
          <c:idx val="2"/>
          <c:order val="2"/>
          <c:tx>
            <c:v>Басқа да көздер</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2017</c:v>
              </c:pt>
              <c:pt idx="1">
                <c:v>2018</c:v>
              </c:pt>
              <c:pt idx="2">
                <c:v>2019</c:v>
              </c:pt>
              <c:pt idx="3">
                <c:v>2020</c:v>
              </c:pt>
              <c:pt idx="4">
                <c:v>2021</c:v>
              </c:pt>
            </c:numLit>
          </c:cat>
          <c:val>
            <c:numRef>
              <c:f>Лист3!$J$1:$J$5</c:f>
              <c:numCache>
                <c:formatCode>General</c:formatCode>
                <c:ptCount val="5"/>
                <c:pt idx="0">
                  <c:v>0</c:v>
                </c:pt>
                <c:pt idx="1">
                  <c:v>42.3</c:v>
                </c:pt>
                <c:pt idx="2">
                  <c:v>60.2</c:v>
                </c:pt>
                <c:pt idx="3">
                  <c:v>76.5</c:v>
                </c:pt>
                <c:pt idx="4">
                  <c:v>88.6</c:v>
                </c:pt>
              </c:numCache>
            </c:numRef>
          </c:val>
          <c:extLst xmlns:c16r2="http://schemas.microsoft.com/office/drawing/2015/06/chart">
            <c:ext xmlns:c16="http://schemas.microsoft.com/office/drawing/2014/chart" uri="{C3380CC4-5D6E-409C-BE32-E72D297353CC}">
              <c16:uniqueId val="{00000002-E147-4B7D-B4FA-55760CA0D323}"/>
            </c:ext>
          </c:extLst>
        </c:ser>
        <c:dLbls>
          <c:showLegendKey val="0"/>
          <c:showVal val="1"/>
          <c:showCatName val="0"/>
          <c:showSerName val="0"/>
          <c:showPercent val="0"/>
          <c:showBubbleSize val="0"/>
        </c:dLbls>
        <c:gapWidth val="150"/>
        <c:shape val="box"/>
        <c:axId val="1568006640"/>
        <c:axId val="1568007184"/>
        <c:axId val="0"/>
      </c:bar3DChart>
      <c:catAx>
        <c:axId val="156800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07184"/>
        <c:crosses val="autoZero"/>
        <c:auto val="1"/>
        <c:lblAlgn val="ctr"/>
        <c:lblOffset val="100"/>
        <c:noMultiLvlLbl val="0"/>
      </c:catAx>
      <c:valAx>
        <c:axId val="1568007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06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v>Ауыл шаруашылығының ІЖӨ, млрд.теңге</c:v>
          </c:tx>
          <c:spPr>
            <a:ln w="34925" cap="rnd">
              <a:solidFill>
                <a:schemeClr val="accent1"/>
              </a:solidFill>
              <a:round/>
            </a:ln>
            <a:effectLst>
              <a:outerShdw blurRad="40000" dist="23000" dir="5400000" rotWithShape="0">
                <a:srgbClr val="000000">
                  <a:alpha val="35000"/>
                </a:srgbClr>
              </a:outerShdw>
            </a:effectLst>
          </c:spPr>
          <c:marker>
            <c:symbol val="none"/>
          </c:marker>
          <c:cat>
            <c:numLit>
              <c:formatCode>General</c:formatCode>
              <c:ptCount val="9"/>
              <c:pt idx="0">
                <c:v>2015</c:v>
              </c:pt>
              <c:pt idx="1">
                <c:v>2016</c:v>
              </c:pt>
              <c:pt idx="2">
                <c:v>2017</c:v>
              </c:pt>
              <c:pt idx="3">
                <c:v>2018</c:v>
              </c:pt>
              <c:pt idx="4">
                <c:v>2019</c:v>
              </c:pt>
              <c:pt idx="5">
                <c:v>2020</c:v>
              </c:pt>
              <c:pt idx="6">
                <c:v>2021</c:v>
              </c:pt>
              <c:pt idx="7">
                <c:v>2022</c:v>
              </c:pt>
              <c:pt idx="8">
                <c:v>2023</c:v>
              </c:pt>
            </c:numLit>
          </c:cat>
          <c:val>
            <c:numRef>
              <c:f>Лист9!$A$1:$I$1</c:f>
              <c:numCache>
                <c:formatCode>General</c:formatCode>
                <c:ptCount val="9"/>
                <c:pt idx="0">
                  <c:v>3307</c:v>
                </c:pt>
                <c:pt idx="1">
                  <c:v>3684.4</c:v>
                </c:pt>
                <c:pt idx="2">
                  <c:v>4070.9</c:v>
                </c:pt>
                <c:pt idx="3">
                  <c:v>4474.1000000000004</c:v>
                </c:pt>
                <c:pt idx="4">
                  <c:v>5239.8999999999996</c:v>
                </c:pt>
                <c:pt idx="5">
                  <c:v>6271</c:v>
                </c:pt>
                <c:pt idx="6">
                  <c:v>7376</c:v>
                </c:pt>
                <c:pt idx="7">
                  <c:v>9223</c:v>
                </c:pt>
                <c:pt idx="8">
                  <c:v>3094.8</c:v>
                </c:pt>
              </c:numCache>
            </c:numRef>
          </c:val>
          <c:smooth val="0"/>
          <c:extLst xmlns:c16r2="http://schemas.microsoft.com/office/drawing/2015/06/chart">
            <c:ext xmlns:c16="http://schemas.microsoft.com/office/drawing/2014/chart" uri="{C3380CC4-5D6E-409C-BE32-E72D297353CC}">
              <c16:uniqueId val="{00000000-DDA0-4EC5-A5A9-A6CDA54B95E5}"/>
            </c:ext>
          </c:extLst>
        </c:ser>
        <c:ser>
          <c:idx val="1"/>
          <c:order val="1"/>
          <c:tx>
            <c:v>Ауыл шаруашылығында жұмыс пен қамтылған халық саны, мың адам</c:v>
          </c:tx>
          <c:spPr>
            <a:ln w="34925" cap="rnd">
              <a:solidFill>
                <a:schemeClr val="accent2"/>
              </a:solidFill>
              <a:round/>
            </a:ln>
            <a:effectLst>
              <a:outerShdw blurRad="40000" dist="23000" dir="5400000" rotWithShape="0">
                <a:srgbClr val="000000">
                  <a:alpha val="35000"/>
                </a:srgbClr>
              </a:outerShdw>
            </a:effectLst>
          </c:spPr>
          <c:marker>
            <c:symbol val="none"/>
          </c:marker>
          <c:cat>
            <c:numLit>
              <c:formatCode>General</c:formatCode>
              <c:ptCount val="9"/>
              <c:pt idx="0">
                <c:v>2015</c:v>
              </c:pt>
              <c:pt idx="1">
                <c:v>2016</c:v>
              </c:pt>
              <c:pt idx="2">
                <c:v>2017</c:v>
              </c:pt>
              <c:pt idx="3">
                <c:v>2018</c:v>
              </c:pt>
              <c:pt idx="4">
                <c:v>2019</c:v>
              </c:pt>
              <c:pt idx="5">
                <c:v>2020</c:v>
              </c:pt>
              <c:pt idx="6">
                <c:v>2021</c:v>
              </c:pt>
              <c:pt idx="7">
                <c:v>2022</c:v>
              </c:pt>
              <c:pt idx="8">
                <c:v>2023</c:v>
              </c:pt>
            </c:numLit>
          </c:cat>
          <c:val>
            <c:numRef>
              <c:f>Лист9!$A$2:$I$2</c:f>
              <c:numCache>
                <c:formatCode>General</c:formatCode>
                <c:ptCount val="9"/>
                <c:pt idx="0">
                  <c:v>1362.9</c:v>
                </c:pt>
                <c:pt idx="1">
                  <c:v>1385.5</c:v>
                </c:pt>
                <c:pt idx="2">
                  <c:v>1319</c:v>
                </c:pt>
                <c:pt idx="3">
                  <c:v>1228.2</c:v>
                </c:pt>
                <c:pt idx="4">
                  <c:v>1184.7</c:v>
                </c:pt>
                <c:pt idx="5">
                  <c:v>1175.0999999999999</c:v>
                </c:pt>
                <c:pt idx="6">
                  <c:v>1176.4000000000001</c:v>
                </c:pt>
                <c:pt idx="7">
                  <c:v>1108.9000000000001</c:v>
                </c:pt>
                <c:pt idx="8">
                  <c:v>1078.2</c:v>
                </c:pt>
              </c:numCache>
            </c:numRef>
          </c:val>
          <c:smooth val="0"/>
          <c:extLst xmlns:c16r2="http://schemas.microsoft.com/office/drawing/2015/06/chart">
            <c:ext xmlns:c16="http://schemas.microsoft.com/office/drawing/2014/chart" uri="{C3380CC4-5D6E-409C-BE32-E72D297353CC}">
              <c16:uniqueId val="{00000001-DDA0-4EC5-A5A9-A6CDA54B95E5}"/>
            </c:ext>
          </c:extLst>
        </c:ser>
        <c:ser>
          <c:idx val="2"/>
          <c:order val="2"/>
          <c:tx>
            <c:v>Еңбек өнімділігі, мың теңге</c:v>
          </c:tx>
          <c:spPr>
            <a:ln w="34925" cap="rnd">
              <a:solidFill>
                <a:schemeClr val="accent3"/>
              </a:solidFill>
              <a:round/>
            </a:ln>
            <a:effectLst>
              <a:outerShdw blurRad="40000" dist="23000" dir="5400000" rotWithShape="0">
                <a:srgbClr val="000000">
                  <a:alpha val="35000"/>
                </a:srgbClr>
              </a:outerShdw>
            </a:effectLst>
          </c:spPr>
          <c:marker>
            <c:symbol val="none"/>
          </c:marker>
          <c:cat>
            <c:numLit>
              <c:formatCode>General</c:formatCode>
              <c:ptCount val="9"/>
              <c:pt idx="0">
                <c:v>2015</c:v>
              </c:pt>
              <c:pt idx="1">
                <c:v>2016</c:v>
              </c:pt>
              <c:pt idx="2">
                <c:v>2017</c:v>
              </c:pt>
              <c:pt idx="3">
                <c:v>2018</c:v>
              </c:pt>
              <c:pt idx="4">
                <c:v>2019</c:v>
              </c:pt>
              <c:pt idx="5">
                <c:v>2020</c:v>
              </c:pt>
              <c:pt idx="6">
                <c:v>2021</c:v>
              </c:pt>
              <c:pt idx="7">
                <c:v>2022</c:v>
              </c:pt>
              <c:pt idx="8">
                <c:v>2023</c:v>
              </c:pt>
            </c:numLit>
          </c:cat>
          <c:val>
            <c:numRef>
              <c:f>Лист9!$A$3:$I$3</c:f>
              <c:numCache>
                <c:formatCode>General</c:formatCode>
                <c:ptCount val="9"/>
                <c:pt idx="0">
                  <c:v>1242.3</c:v>
                </c:pt>
                <c:pt idx="1">
                  <c:v>1401.9</c:v>
                </c:pt>
                <c:pt idx="2">
                  <c:v>1735.9</c:v>
                </c:pt>
                <c:pt idx="3">
                  <c:v>2076.6</c:v>
                </c:pt>
                <c:pt idx="4">
                  <c:v>2466</c:v>
                </c:pt>
                <c:pt idx="5">
                  <c:v>3004.8</c:v>
                </c:pt>
                <c:pt idx="6">
                  <c:v>3334.8</c:v>
                </c:pt>
                <c:pt idx="7">
                  <c:v>8317.2999999999993</c:v>
                </c:pt>
                <c:pt idx="8">
                  <c:v>2870.3</c:v>
                </c:pt>
              </c:numCache>
            </c:numRef>
          </c:val>
          <c:smooth val="0"/>
          <c:extLst xmlns:c16r2="http://schemas.microsoft.com/office/drawing/2015/06/chart">
            <c:ext xmlns:c16="http://schemas.microsoft.com/office/drawing/2014/chart" uri="{C3380CC4-5D6E-409C-BE32-E72D297353CC}">
              <c16:uniqueId val="{00000002-DDA0-4EC5-A5A9-A6CDA54B95E5}"/>
            </c:ext>
          </c:extLst>
        </c:ser>
        <c:dLbls>
          <c:showLegendKey val="0"/>
          <c:showVal val="0"/>
          <c:showCatName val="0"/>
          <c:showSerName val="0"/>
          <c:showPercent val="0"/>
          <c:showBubbleSize val="0"/>
        </c:dLbls>
        <c:smooth val="0"/>
        <c:axId val="1568000112"/>
        <c:axId val="1568012624"/>
      </c:lineChart>
      <c:catAx>
        <c:axId val="156800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12624"/>
        <c:crosses val="autoZero"/>
        <c:auto val="1"/>
        <c:lblAlgn val="ctr"/>
        <c:lblOffset val="100"/>
        <c:noMultiLvlLbl val="0"/>
      </c:catAx>
      <c:valAx>
        <c:axId val="156801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00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Республикалық бюджет</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2021</c:v>
              </c:pt>
              <c:pt idx="1">
                <c:v>2022</c:v>
              </c:pt>
              <c:pt idx="2">
                <c:v>2023</c:v>
              </c:pt>
              <c:pt idx="3">
                <c:v>2024</c:v>
              </c:pt>
              <c:pt idx="4">
                <c:v>2025</c:v>
              </c:pt>
            </c:numLit>
          </c:cat>
          <c:val>
            <c:numRef>
              <c:f>'[Лист Microsoft Office Excel.xlsx]Лист14'!$A$7:$E$7</c:f>
              <c:numCache>
                <c:formatCode>General</c:formatCode>
                <c:ptCount val="5"/>
                <c:pt idx="0">
                  <c:v>290935</c:v>
                </c:pt>
                <c:pt idx="1">
                  <c:v>231278</c:v>
                </c:pt>
                <c:pt idx="2">
                  <c:v>296650</c:v>
                </c:pt>
                <c:pt idx="3">
                  <c:v>478019</c:v>
                </c:pt>
                <c:pt idx="4">
                  <c:v>452722</c:v>
                </c:pt>
              </c:numCache>
            </c:numRef>
          </c:val>
          <c:extLst xmlns:c16r2="http://schemas.microsoft.com/office/drawing/2015/06/chart">
            <c:ext xmlns:c16="http://schemas.microsoft.com/office/drawing/2014/chart" uri="{C3380CC4-5D6E-409C-BE32-E72D297353CC}">
              <c16:uniqueId val="{00000000-0892-4DFA-B351-143E1FEFAB26}"/>
            </c:ext>
          </c:extLst>
        </c:ser>
        <c:ser>
          <c:idx val="1"/>
          <c:order val="1"/>
          <c:tx>
            <c:v>Жергілікті бюджет</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2021</c:v>
              </c:pt>
              <c:pt idx="1">
                <c:v>2022</c:v>
              </c:pt>
              <c:pt idx="2">
                <c:v>2023</c:v>
              </c:pt>
              <c:pt idx="3">
                <c:v>2024</c:v>
              </c:pt>
              <c:pt idx="4">
                <c:v>2025</c:v>
              </c:pt>
            </c:numLit>
          </c:cat>
          <c:val>
            <c:numRef>
              <c:f>'[Лист Microsoft Office Excel.xlsx]Лист14'!$A$8:$E$8</c:f>
              <c:numCache>
                <c:formatCode>General</c:formatCode>
                <c:ptCount val="5"/>
                <c:pt idx="0">
                  <c:v>180972</c:v>
                </c:pt>
                <c:pt idx="1">
                  <c:v>182867</c:v>
                </c:pt>
                <c:pt idx="2">
                  <c:v>188621</c:v>
                </c:pt>
                <c:pt idx="3">
                  <c:v>196822</c:v>
                </c:pt>
                <c:pt idx="4">
                  <c:v>204172</c:v>
                </c:pt>
              </c:numCache>
            </c:numRef>
          </c:val>
          <c:extLst xmlns:c16r2="http://schemas.microsoft.com/office/drawing/2015/06/chart">
            <c:ext xmlns:c16="http://schemas.microsoft.com/office/drawing/2014/chart" uri="{C3380CC4-5D6E-409C-BE32-E72D297353CC}">
              <c16:uniqueId val="{00000001-0892-4DFA-B351-143E1FEFAB26}"/>
            </c:ext>
          </c:extLst>
        </c:ser>
        <c:ser>
          <c:idx val="2"/>
          <c:order val="2"/>
          <c:tx>
            <c:v>Бюджеттен тыс</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2021</c:v>
              </c:pt>
              <c:pt idx="1">
                <c:v>2022</c:v>
              </c:pt>
              <c:pt idx="2">
                <c:v>2023</c:v>
              </c:pt>
              <c:pt idx="3">
                <c:v>2024</c:v>
              </c:pt>
              <c:pt idx="4">
                <c:v>2025</c:v>
              </c:pt>
            </c:numLit>
          </c:cat>
          <c:val>
            <c:numRef>
              <c:f>'[Лист Microsoft Office Excel.xlsx]Лист14'!$A$9:$E$9</c:f>
              <c:numCache>
                <c:formatCode>General</c:formatCode>
                <c:ptCount val="5"/>
                <c:pt idx="0">
                  <c:v>807625</c:v>
                </c:pt>
                <c:pt idx="1">
                  <c:v>1052482</c:v>
                </c:pt>
                <c:pt idx="2">
                  <c:v>1028289</c:v>
                </c:pt>
                <c:pt idx="3">
                  <c:v>472196</c:v>
                </c:pt>
                <c:pt idx="4">
                  <c:v>739407</c:v>
                </c:pt>
              </c:numCache>
            </c:numRef>
          </c:val>
          <c:extLst xmlns:c16r2="http://schemas.microsoft.com/office/drawing/2015/06/chart">
            <c:ext xmlns:c16="http://schemas.microsoft.com/office/drawing/2014/chart" uri="{C3380CC4-5D6E-409C-BE32-E72D297353CC}">
              <c16:uniqueId val="{00000002-0892-4DFA-B351-143E1FEFAB26}"/>
            </c:ext>
          </c:extLst>
        </c:ser>
        <c:dLbls>
          <c:showLegendKey val="0"/>
          <c:showVal val="1"/>
          <c:showCatName val="0"/>
          <c:showSerName val="0"/>
          <c:showPercent val="0"/>
          <c:showBubbleSize val="0"/>
        </c:dLbls>
        <c:gapWidth val="150"/>
        <c:shape val="box"/>
        <c:axId val="1568007728"/>
        <c:axId val="1568011536"/>
        <c:axId val="0"/>
      </c:bar3DChart>
      <c:catAx>
        <c:axId val="1568007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11536"/>
        <c:crosses val="autoZero"/>
        <c:auto val="1"/>
        <c:lblAlgn val="ctr"/>
        <c:lblOffset val="100"/>
        <c:noMultiLvlLbl val="0"/>
      </c:catAx>
      <c:valAx>
        <c:axId val="156801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0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v>Республикалық бюджет</c:v>
          </c:tx>
          <c:spPr>
            <a:solidFill>
              <a:schemeClr val="accent1"/>
            </a:solidFill>
            <a:ln>
              <a:noFill/>
            </a:ln>
            <a:effectLst/>
            <a:sp3d/>
          </c:spPr>
          <c:invertIfNegative val="0"/>
          <c:cat>
            <c:numLit>
              <c:formatCode>General</c:formatCode>
              <c:ptCount val="5"/>
              <c:pt idx="0">
                <c:v>2021</c:v>
              </c:pt>
              <c:pt idx="1">
                <c:v>2022</c:v>
              </c:pt>
              <c:pt idx="2">
                <c:v>2023</c:v>
              </c:pt>
              <c:pt idx="3">
                <c:v>2024</c:v>
              </c:pt>
              <c:pt idx="4">
                <c:v>2025</c:v>
              </c:pt>
            </c:numLit>
          </c:cat>
          <c:val>
            <c:numRef>
              <c:f>Лист14!$A$1:$E$1</c:f>
              <c:numCache>
                <c:formatCode>General</c:formatCode>
                <c:ptCount val="5"/>
                <c:pt idx="0">
                  <c:v>22.7</c:v>
                </c:pt>
                <c:pt idx="1">
                  <c:v>15.8</c:v>
                </c:pt>
                <c:pt idx="2">
                  <c:v>19.600000000000001</c:v>
                </c:pt>
                <c:pt idx="3">
                  <c:v>41.7</c:v>
                </c:pt>
                <c:pt idx="4">
                  <c:v>32.42</c:v>
                </c:pt>
              </c:numCache>
            </c:numRef>
          </c:val>
          <c:extLst xmlns:c16r2="http://schemas.microsoft.com/office/drawing/2015/06/chart">
            <c:ext xmlns:c16="http://schemas.microsoft.com/office/drawing/2014/chart" uri="{C3380CC4-5D6E-409C-BE32-E72D297353CC}">
              <c16:uniqueId val="{00000000-7DA2-42A8-A95A-99318EE95E04}"/>
            </c:ext>
          </c:extLst>
        </c:ser>
        <c:ser>
          <c:idx val="1"/>
          <c:order val="1"/>
          <c:tx>
            <c:v>Жергілікті бюджет</c:v>
          </c:tx>
          <c:spPr>
            <a:solidFill>
              <a:schemeClr val="accent2"/>
            </a:solidFill>
            <a:ln>
              <a:noFill/>
            </a:ln>
            <a:effectLst/>
            <a:sp3d/>
          </c:spPr>
          <c:invertIfNegative val="0"/>
          <c:cat>
            <c:numLit>
              <c:formatCode>General</c:formatCode>
              <c:ptCount val="5"/>
              <c:pt idx="0">
                <c:v>2021</c:v>
              </c:pt>
              <c:pt idx="1">
                <c:v>2022</c:v>
              </c:pt>
              <c:pt idx="2">
                <c:v>2023</c:v>
              </c:pt>
              <c:pt idx="3">
                <c:v>2024</c:v>
              </c:pt>
              <c:pt idx="4">
                <c:v>2025</c:v>
              </c:pt>
            </c:numLit>
          </c:cat>
          <c:val>
            <c:numRef>
              <c:f>Лист14!$A$2:$E$2</c:f>
              <c:numCache>
                <c:formatCode>General</c:formatCode>
                <c:ptCount val="5"/>
                <c:pt idx="0">
                  <c:v>14.1</c:v>
                </c:pt>
                <c:pt idx="1">
                  <c:v>12.5</c:v>
                </c:pt>
                <c:pt idx="2">
                  <c:v>12.5</c:v>
                </c:pt>
                <c:pt idx="3">
                  <c:v>17.2</c:v>
                </c:pt>
                <c:pt idx="4">
                  <c:v>14.62</c:v>
                </c:pt>
              </c:numCache>
            </c:numRef>
          </c:val>
          <c:extLst xmlns:c16r2="http://schemas.microsoft.com/office/drawing/2015/06/chart">
            <c:ext xmlns:c16="http://schemas.microsoft.com/office/drawing/2014/chart" uri="{C3380CC4-5D6E-409C-BE32-E72D297353CC}">
              <c16:uniqueId val="{00000001-7DA2-42A8-A95A-99318EE95E04}"/>
            </c:ext>
          </c:extLst>
        </c:ser>
        <c:ser>
          <c:idx val="2"/>
          <c:order val="2"/>
          <c:tx>
            <c:v>Бюджеттен тыс</c:v>
          </c:tx>
          <c:spPr>
            <a:solidFill>
              <a:schemeClr val="accent3"/>
            </a:solidFill>
            <a:ln>
              <a:noFill/>
            </a:ln>
            <a:effectLst/>
            <a:sp3d/>
          </c:spPr>
          <c:invertIfNegative val="0"/>
          <c:cat>
            <c:numLit>
              <c:formatCode>General</c:formatCode>
              <c:ptCount val="5"/>
              <c:pt idx="0">
                <c:v>2021</c:v>
              </c:pt>
              <c:pt idx="1">
                <c:v>2022</c:v>
              </c:pt>
              <c:pt idx="2">
                <c:v>2023</c:v>
              </c:pt>
              <c:pt idx="3">
                <c:v>2024</c:v>
              </c:pt>
              <c:pt idx="4">
                <c:v>2025</c:v>
              </c:pt>
            </c:numLit>
          </c:cat>
          <c:val>
            <c:numRef>
              <c:f>Лист14!$A$3:$E$3</c:f>
              <c:numCache>
                <c:formatCode>General</c:formatCode>
                <c:ptCount val="5"/>
                <c:pt idx="0">
                  <c:v>63.1</c:v>
                </c:pt>
                <c:pt idx="1">
                  <c:v>71.8</c:v>
                </c:pt>
                <c:pt idx="2">
                  <c:v>67.900000000000006</c:v>
                </c:pt>
                <c:pt idx="3">
                  <c:v>41.2</c:v>
                </c:pt>
                <c:pt idx="4">
                  <c:v>52.95</c:v>
                </c:pt>
              </c:numCache>
            </c:numRef>
          </c:val>
          <c:extLst xmlns:c16r2="http://schemas.microsoft.com/office/drawing/2015/06/chart">
            <c:ext xmlns:c16="http://schemas.microsoft.com/office/drawing/2014/chart" uri="{C3380CC4-5D6E-409C-BE32-E72D297353CC}">
              <c16:uniqueId val="{00000002-7DA2-42A8-A95A-99318EE95E04}"/>
            </c:ext>
          </c:extLst>
        </c:ser>
        <c:dLbls>
          <c:showLegendKey val="0"/>
          <c:showVal val="0"/>
          <c:showCatName val="0"/>
          <c:showSerName val="0"/>
          <c:showPercent val="0"/>
          <c:showBubbleSize val="0"/>
        </c:dLbls>
        <c:gapWidth val="150"/>
        <c:shape val="box"/>
        <c:axId val="1580657104"/>
        <c:axId val="1580657648"/>
        <c:axId val="0"/>
      </c:bar3DChart>
      <c:catAx>
        <c:axId val="1580657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657648"/>
        <c:crosses val="autoZero"/>
        <c:auto val="1"/>
        <c:lblAlgn val="ctr"/>
        <c:lblOffset val="100"/>
        <c:noMultiLvlLbl val="0"/>
      </c:catAx>
      <c:valAx>
        <c:axId val="158065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65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2017</c:v>
          </c:tx>
          <c:spPr>
            <a:ln w="28575" cap="rnd">
              <a:solidFill>
                <a:schemeClr val="accent1"/>
              </a:solidFill>
              <a:round/>
            </a:ln>
            <a:effectLst/>
          </c:spPr>
          <c:marker>
            <c:symbol val="none"/>
          </c:marker>
          <c:val>
            <c:numRef>
              <c:f>Лист7!$B$20:$B$27</c:f>
              <c:numCache>
                <c:formatCode>General</c:formatCode>
                <c:ptCount val="8"/>
                <c:pt idx="0">
                  <c:v>9.6166325999999996E-2</c:v>
                </c:pt>
                <c:pt idx="1">
                  <c:v>0.116056531</c:v>
                </c:pt>
                <c:pt idx="2">
                  <c:v>8.0636576000000001E-2</c:v>
                </c:pt>
                <c:pt idx="3">
                  <c:v>9.6530904000000001E-2</c:v>
                </c:pt>
                <c:pt idx="4">
                  <c:v>0.17058289900000001</c:v>
                </c:pt>
                <c:pt idx="5">
                  <c:v>0.15491813500000001</c:v>
                </c:pt>
                <c:pt idx="6">
                  <c:v>0.113210278</c:v>
                </c:pt>
                <c:pt idx="7">
                  <c:v>0.17189834900000001</c:v>
                </c:pt>
              </c:numCache>
            </c:numRef>
          </c:val>
          <c:smooth val="0"/>
          <c:extLst xmlns:c16r2="http://schemas.microsoft.com/office/drawing/2015/06/chart">
            <c:ext xmlns:c16="http://schemas.microsoft.com/office/drawing/2014/chart" uri="{C3380CC4-5D6E-409C-BE32-E72D297353CC}">
              <c16:uniqueId val="{00000000-103E-4F36-8EDB-8D88A6EF1638}"/>
            </c:ext>
          </c:extLst>
        </c:ser>
        <c:ser>
          <c:idx val="1"/>
          <c:order val="1"/>
          <c:tx>
            <c:v>2018</c:v>
          </c:tx>
          <c:spPr>
            <a:ln w="28575" cap="rnd">
              <a:solidFill>
                <a:schemeClr val="accent2"/>
              </a:solidFill>
              <a:round/>
            </a:ln>
            <a:effectLst/>
          </c:spPr>
          <c:marker>
            <c:symbol val="none"/>
          </c:marker>
          <c:val>
            <c:numRef>
              <c:f>Лист7!$C$20:$C$27</c:f>
              <c:numCache>
                <c:formatCode>General</c:formatCode>
                <c:ptCount val="8"/>
                <c:pt idx="0">
                  <c:v>9.7686387999999999E-2</c:v>
                </c:pt>
                <c:pt idx="1">
                  <c:v>0.117076927</c:v>
                </c:pt>
                <c:pt idx="2">
                  <c:v>9.0459403999999993E-2</c:v>
                </c:pt>
                <c:pt idx="3">
                  <c:v>0.11131996800000001</c:v>
                </c:pt>
                <c:pt idx="4">
                  <c:v>0.15853262100000001</c:v>
                </c:pt>
                <c:pt idx="5">
                  <c:v>0.150481211</c:v>
                </c:pt>
                <c:pt idx="6">
                  <c:v>0.11611947</c:v>
                </c:pt>
                <c:pt idx="7">
                  <c:v>0.15832400899999999</c:v>
                </c:pt>
              </c:numCache>
            </c:numRef>
          </c:val>
          <c:smooth val="0"/>
          <c:extLst xmlns:c16r2="http://schemas.microsoft.com/office/drawing/2015/06/chart">
            <c:ext xmlns:c16="http://schemas.microsoft.com/office/drawing/2014/chart" uri="{C3380CC4-5D6E-409C-BE32-E72D297353CC}">
              <c16:uniqueId val="{00000001-103E-4F36-8EDB-8D88A6EF1638}"/>
            </c:ext>
          </c:extLst>
        </c:ser>
        <c:ser>
          <c:idx val="2"/>
          <c:order val="2"/>
          <c:tx>
            <c:v>2019</c:v>
          </c:tx>
          <c:spPr>
            <a:ln w="28575" cap="rnd">
              <a:solidFill>
                <a:schemeClr val="accent3"/>
              </a:solidFill>
              <a:round/>
            </a:ln>
            <a:effectLst/>
          </c:spPr>
          <c:marker>
            <c:symbol val="none"/>
          </c:marker>
          <c:val>
            <c:numRef>
              <c:f>Лист7!$D$20:$D$27</c:f>
              <c:numCache>
                <c:formatCode>General</c:formatCode>
                <c:ptCount val="8"/>
                <c:pt idx="0">
                  <c:v>0.13251930000000001</c:v>
                </c:pt>
                <c:pt idx="1">
                  <c:v>0.13048129999999999</c:v>
                </c:pt>
                <c:pt idx="2">
                  <c:v>0.1214022</c:v>
                </c:pt>
                <c:pt idx="3">
                  <c:v>0.13801469999999999</c:v>
                </c:pt>
                <c:pt idx="4">
                  <c:v>0.1246283</c:v>
                </c:pt>
                <c:pt idx="5">
                  <c:v>0.12441960000000001</c:v>
                </c:pt>
                <c:pt idx="6">
                  <c:v>0.1047326</c:v>
                </c:pt>
                <c:pt idx="7">
                  <c:v>0.123802</c:v>
                </c:pt>
              </c:numCache>
            </c:numRef>
          </c:val>
          <c:smooth val="0"/>
          <c:extLst xmlns:c16r2="http://schemas.microsoft.com/office/drawing/2015/06/chart">
            <c:ext xmlns:c16="http://schemas.microsoft.com/office/drawing/2014/chart" uri="{C3380CC4-5D6E-409C-BE32-E72D297353CC}">
              <c16:uniqueId val="{00000002-103E-4F36-8EDB-8D88A6EF1638}"/>
            </c:ext>
          </c:extLst>
        </c:ser>
        <c:ser>
          <c:idx val="3"/>
          <c:order val="3"/>
          <c:tx>
            <c:v>2020</c:v>
          </c:tx>
          <c:spPr>
            <a:ln w="28575" cap="rnd">
              <a:solidFill>
                <a:schemeClr val="accent4"/>
              </a:solidFill>
              <a:round/>
            </a:ln>
            <a:effectLst/>
          </c:spPr>
          <c:marker>
            <c:symbol val="none"/>
          </c:marker>
          <c:val>
            <c:numRef>
              <c:f>Лист7!$E$20:$E$27</c:f>
              <c:numCache>
                <c:formatCode>General</c:formatCode>
                <c:ptCount val="8"/>
                <c:pt idx="0">
                  <c:v>0.13900288999999999</c:v>
                </c:pt>
                <c:pt idx="1">
                  <c:v>0.13009308</c:v>
                </c:pt>
                <c:pt idx="2">
                  <c:v>0.14234616</c:v>
                </c:pt>
                <c:pt idx="3">
                  <c:v>0.13741796000000001</c:v>
                </c:pt>
                <c:pt idx="4">
                  <c:v>0.10785958</c:v>
                </c:pt>
                <c:pt idx="5">
                  <c:v>0.11355996</c:v>
                </c:pt>
                <c:pt idx="6">
                  <c:v>0.12269534999999999</c:v>
                </c:pt>
                <c:pt idx="7">
                  <c:v>0.10702502</c:v>
                </c:pt>
              </c:numCache>
            </c:numRef>
          </c:val>
          <c:smooth val="0"/>
          <c:extLst xmlns:c16r2="http://schemas.microsoft.com/office/drawing/2015/06/chart">
            <c:ext xmlns:c16="http://schemas.microsoft.com/office/drawing/2014/chart" uri="{C3380CC4-5D6E-409C-BE32-E72D297353CC}">
              <c16:uniqueId val="{00000003-103E-4F36-8EDB-8D88A6EF1638}"/>
            </c:ext>
          </c:extLst>
        </c:ser>
        <c:ser>
          <c:idx val="4"/>
          <c:order val="4"/>
          <c:tx>
            <c:v>2021</c:v>
          </c:tx>
          <c:spPr>
            <a:ln w="28575" cap="rnd">
              <a:solidFill>
                <a:schemeClr val="accent5"/>
              </a:solidFill>
              <a:round/>
            </a:ln>
            <a:effectLst/>
          </c:spPr>
          <c:marker>
            <c:symbol val="none"/>
          </c:marker>
          <c:val>
            <c:numRef>
              <c:f>Лист7!$F$20:$F$27</c:f>
              <c:numCache>
                <c:formatCode>General</c:formatCode>
                <c:ptCount val="8"/>
                <c:pt idx="0">
                  <c:v>0.14231489999999999</c:v>
                </c:pt>
                <c:pt idx="1">
                  <c:v>0.1268792</c:v>
                </c:pt>
                <c:pt idx="2">
                  <c:v>0.1624497</c:v>
                </c:pt>
                <c:pt idx="3">
                  <c:v>0.13036400000000001</c:v>
                </c:pt>
                <c:pt idx="4">
                  <c:v>9.0391700000000005E-2</c:v>
                </c:pt>
                <c:pt idx="5">
                  <c:v>0.1004808</c:v>
                </c:pt>
                <c:pt idx="6">
                  <c:v>0.1560291</c:v>
                </c:pt>
                <c:pt idx="7">
                  <c:v>9.1090500000000005E-2</c:v>
                </c:pt>
              </c:numCache>
            </c:numRef>
          </c:val>
          <c:smooth val="0"/>
          <c:extLst xmlns:c16r2="http://schemas.microsoft.com/office/drawing/2015/06/chart">
            <c:ext xmlns:c16="http://schemas.microsoft.com/office/drawing/2014/chart" uri="{C3380CC4-5D6E-409C-BE32-E72D297353CC}">
              <c16:uniqueId val="{00000004-103E-4F36-8EDB-8D88A6EF1638}"/>
            </c:ext>
          </c:extLst>
        </c:ser>
        <c:ser>
          <c:idx val="5"/>
          <c:order val="5"/>
          <c:tx>
            <c:v>Эталон</c:v>
          </c:tx>
          <c:spPr>
            <a:ln w="28575" cap="rnd">
              <a:solidFill>
                <a:schemeClr val="accent6"/>
              </a:solidFill>
              <a:round/>
            </a:ln>
            <a:effectLst/>
          </c:spPr>
          <c:marker>
            <c:symbol val="none"/>
          </c:marker>
          <c:val>
            <c:numRef>
              <c:f>Лист7!$E$10:$E$17</c:f>
              <c:numCache>
                <c:formatCode>General</c:formatCode>
                <c:ptCount val="8"/>
                <c:pt idx="0">
                  <c:v>0.125</c:v>
                </c:pt>
                <c:pt idx="1">
                  <c:v>0.125</c:v>
                </c:pt>
                <c:pt idx="2">
                  <c:v>0.125</c:v>
                </c:pt>
                <c:pt idx="3">
                  <c:v>0.125</c:v>
                </c:pt>
                <c:pt idx="4">
                  <c:v>0.125</c:v>
                </c:pt>
                <c:pt idx="5">
                  <c:v>0.125</c:v>
                </c:pt>
                <c:pt idx="6">
                  <c:v>0.125</c:v>
                </c:pt>
                <c:pt idx="7">
                  <c:v>0.125</c:v>
                </c:pt>
              </c:numCache>
            </c:numRef>
          </c:val>
          <c:smooth val="0"/>
          <c:extLst xmlns:c16r2="http://schemas.microsoft.com/office/drawing/2015/06/chart">
            <c:ext xmlns:c16="http://schemas.microsoft.com/office/drawing/2014/chart" uri="{C3380CC4-5D6E-409C-BE32-E72D297353CC}">
              <c16:uniqueId val="{00000005-103E-4F36-8EDB-8D88A6EF1638}"/>
            </c:ext>
          </c:extLst>
        </c:ser>
        <c:dLbls>
          <c:showLegendKey val="0"/>
          <c:showVal val="0"/>
          <c:showCatName val="0"/>
          <c:showSerName val="0"/>
          <c:showPercent val="0"/>
          <c:showBubbleSize val="0"/>
        </c:dLbls>
        <c:smooth val="0"/>
        <c:axId val="1204560736"/>
        <c:axId val="1634258352"/>
      </c:lineChart>
      <c:catAx>
        <c:axId val="12045607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258352"/>
        <c:crosses val="autoZero"/>
        <c:auto val="1"/>
        <c:lblAlgn val="ctr"/>
        <c:lblOffset val="100"/>
        <c:noMultiLvlLbl val="0"/>
      </c:catAx>
      <c:valAx>
        <c:axId val="163425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456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2.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2.png"/><Relationship Id="rId7" Type="http://schemas.openxmlformats.org/officeDocument/2006/relationships/image" Target="../media/image4.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10" Type="http://schemas.openxmlformats.org/officeDocument/2006/relationships/image" Target="../media/image10.svg"/><Relationship Id="rId4" Type="http://schemas.openxmlformats.org/officeDocument/2006/relationships/image" Target="../media/image4.svg"/><Relationship Id="rId9"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2.png"/><Relationship Id="rId7" Type="http://schemas.openxmlformats.org/officeDocument/2006/relationships/image" Target="../media/image4.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10" Type="http://schemas.openxmlformats.org/officeDocument/2006/relationships/image" Target="../media/image10.svg"/><Relationship Id="rId4" Type="http://schemas.openxmlformats.org/officeDocument/2006/relationships/image" Target="../media/image4.svg"/><Relationship Id="rId9"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A9A8EC-A8C5-4161-B371-641085ED33F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D05C4DB1-0CAB-4A72-AE5F-E1424D404766}">
      <dgm:prSet phldrT="[Текст]" custT="1"/>
      <dgm:spPr/>
      <dgm:t>
        <a:bodyPr/>
        <a:lstStyle/>
        <a:p>
          <a:pPr algn="ctr"/>
          <a:r>
            <a:rPr lang="ru-RU" sz="1000" dirty="0">
              <a:latin typeface="Times New Roman" panose="02020603050405020304" pitchFamily="18" charset="0"/>
              <a:cs typeface="Times New Roman" panose="02020603050405020304" pitchFamily="18" charset="0"/>
            </a:rPr>
            <a:t>АӨК </a:t>
          </a:r>
          <a:r>
            <a:rPr lang="ru-RU" sz="1000" dirty="0" err="1">
              <a:latin typeface="Times New Roman" panose="02020603050405020304" pitchFamily="18" charset="0"/>
              <a:cs typeface="Times New Roman" panose="02020603050405020304" pitchFamily="18" charset="0"/>
            </a:rPr>
            <a:t>дамытуға</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жұмсалған</a:t>
          </a:r>
          <a:r>
            <a:rPr lang="ru-RU" sz="1000" dirty="0">
              <a:latin typeface="Times New Roman" panose="02020603050405020304" pitchFamily="18" charset="0"/>
              <a:cs typeface="Times New Roman" panose="02020603050405020304" pitchFamily="18" charset="0"/>
            </a:rPr>
            <a:t> бюджет </a:t>
          </a:r>
          <a:r>
            <a:rPr lang="ru-RU" sz="1000" dirty="0" err="1">
              <a:latin typeface="Times New Roman" panose="02020603050405020304" pitchFamily="18" charset="0"/>
              <a:cs typeface="Times New Roman" panose="02020603050405020304" pitchFamily="18" charset="0"/>
            </a:rPr>
            <a:t>қаражаттарын</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пайдалану</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тиімділігі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аудитінің</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кезеңдері</a:t>
          </a:r>
          <a:endParaRPr lang="ru-RU" sz="1000" dirty="0">
            <a:latin typeface="Times New Roman" panose="02020603050405020304" pitchFamily="18" charset="0"/>
            <a:cs typeface="Times New Roman" panose="02020603050405020304" pitchFamily="18" charset="0"/>
          </a:endParaRPr>
        </a:p>
      </dgm:t>
    </dgm:pt>
    <dgm:pt modelId="{29F0B6F6-1F44-4228-8309-D7BEAF49C079}" type="parTrans" cxnId="{2B17A2CD-1876-4566-8598-56EC17C57B4F}">
      <dgm:prSet/>
      <dgm:spPr/>
      <dgm:t>
        <a:bodyPr/>
        <a:lstStyle/>
        <a:p>
          <a:pPr algn="ctr"/>
          <a:endParaRPr lang="ru-RU" sz="1000"/>
        </a:p>
      </dgm:t>
    </dgm:pt>
    <dgm:pt modelId="{BADA04F2-2E20-49D7-873E-929FD4E9C273}" type="sibTrans" cxnId="{2B17A2CD-1876-4566-8598-56EC17C57B4F}">
      <dgm:prSet/>
      <dgm:spPr/>
      <dgm:t>
        <a:bodyPr/>
        <a:lstStyle/>
        <a:p>
          <a:pPr algn="ctr"/>
          <a:endParaRPr lang="ru-RU" sz="1000"/>
        </a:p>
      </dgm:t>
    </dgm:pt>
    <dgm:pt modelId="{457EACA2-4DC7-4EDE-8905-95DE7F23806B}">
      <dgm:prSet phldrT="[Текст]" custT="1"/>
      <dgm:spPr/>
      <dgm:t>
        <a:bodyPr/>
        <a:lstStyle/>
        <a:p>
          <a:pPr algn="ctr"/>
          <a:r>
            <a:rPr lang="kk-KZ" sz="1000" dirty="0">
              <a:latin typeface="Times New Roman" panose="02020603050405020304" pitchFamily="18" charset="0"/>
              <a:cs typeface="Times New Roman" panose="02020603050405020304" pitchFamily="18" charset="0"/>
            </a:rPr>
            <a:t>Ішкі аудит қызметтері</a:t>
          </a:r>
          <a:endParaRPr lang="ru-RU" sz="1000" dirty="0">
            <a:latin typeface="Times New Roman" panose="02020603050405020304" pitchFamily="18" charset="0"/>
            <a:cs typeface="Times New Roman" panose="02020603050405020304" pitchFamily="18" charset="0"/>
          </a:endParaRPr>
        </a:p>
      </dgm:t>
    </dgm:pt>
    <dgm:pt modelId="{EDAD45B3-C73E-4672-B5F1-800B896E151C}" type="parTrans" cxnId="{92AF4360-C795-41C4-9EF5-222312EF16BE}">
      <dgm:prSet/>
      <dgm:spPr/>
      <dgm:t>
        <a:bodyPr/>
        <a:lstStyle/>
        <a:p>
          <a:pPr algn="ctr"/>
          <a:endParaRPr lang="ru-RU" sz="1000"/>
        </a:p>
      </dgm:t>
    </dgm:pt>
    <dgm:pt modelId="{2024051A-234A-4303-B793-A606D3A92813}" type="sibTrans" cxnId="{92AF4360-C795-41C4-9EF5-222312EF16BE}">
      <dgm:prSet/>
      <dgm:spPr/>
      <dgm:t>
        <a:bodyPr/>
        <a:lstStyle/>
        <a:p>
          <a:pPr algn="ctr"/>
          <a:endParaRPr lang="ru-RU" sz="1000"/>
        </a:p>
      </dgm:t>
    </dgm:pt>
    <dgm:pt modelId="{5A8CC29D-2C52-43FB-A057-F6E2DEA5C5B6}">
      <dgm:prSet phldrT="[Текст]" custT="1"/>
      <dgm:spPr/>
      <dgm:t>
        <a:bodyPr/>
        <a:lstStyle/>
        <a:p>
          <a:pPr algn="ctr"/>
          <a:r>
            <a:rPr lang="kk-KZ"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АӨК дамытуға арналған ұлттық жобаның тиімділігін алдын ала бағалау</a:t>
          </a:r>
          <a:endParaRPr lang="ru-RU" sz="1000" dirty="0">
            <a:solidFill>
              <a:schemeClr val="tx1"/>
            </a:solidFill>
          </a:endParaRPr>
        </a:p>
      </dgm:t>
    </dgm:pt>
    <dgm:pt modelId="{D7911487-7229-4705-9195-9012D2A4F082}" type="parTrans" cxnId="{DB3F10A7-0DB8-45BF-855D-90666B535A05}">
      <dgm:prSet/>
      <dgm:spPr/>
      <dgm:t>
        <a:bodyPr/>
        <a:lstStyle/>
        <a:p>
          <a:pPr algn="ctr"/>
          <a:endParaRPr lang="ru-RU" sz="1000"/>
        </a:p>
      </dgm:t>
    </dgm:pt>
    <dgm:pt modelId="{D3747996-D2DF-4D3B-A905-5F0E6F0F89FC}" type="sibTrans" cxnId="{DB3F10A7-0DB8-45BF-855D-90666B535A05}">
      <dgm:prSet/>
      <dgm:spPr/>
      <dgm:t>
        <a:bodyPr/>
        <a:lstStyle/>
        <a:p>
          <a:pPr algn="ctr"/>
          <a:endParaRPr lang="ru-RU" sz="1000"/>
        </a:p>
      </dgm:t>
    </dgm:pt>
    <dgm:pt modelId="{DD807A99-14E7-438D-890B-D893CE7DA457}">
      <dgm:prSet phldrT="[Текст]" custT="1"/>
      <dgm:spPr/>
      <dgm:t>
        <a:bodyPr/>
        <a:lstStyle/>
        <a:p>
          <a:pPr algn="ctr"/>
          <a:r>
            <a:rPr lang="kk-KZ" sz="1000" dirty="0">
              <a:latin typeface="Times New Roman" panose="02020603050405020304" pitchFamily="18" charset="0"/>
              <a:cs typeface="Times New Roman" panose="02020603050405020304" pitchFamily="18" charset="0"/>
            </a:rPr>
            <a:t>Сыртқы аудит органдары </a:t>
          </a:r>
          <a:endParaRPr lang="ru-RU" sz="1000" dirty="0">
            <a:latin typeface="Times New Roman" panose="02020603050405020304" pitchFamily="18" charset="0"/>
            <a:cs typeface="Times New Roman" panose="02020603050405020304" pitchFamily="18" charset="0"/>
          </a:endParaRPr>
        </a:p>
      </dgm:t>
    </dgm:pt>
    <dgm:pt modelId="{2E0075EB-2D0C-48CF-B7BA-BFAF78A9D4CA}" type="parTrans" cxnId="{64C90A52-642B-4A84-8100-C3B797FE9593}">
      <dgm:prSet/>
      <dgm:spPr/>
      <dgm:t>
        <a:bodyPr/>
        <a:lstStyle/>
        <a:p>
          <a:pPr algn="ctr"/>
          <a:endParaRPr lang="ru-RU" sz="1000"/>
        </a:p>
      </dgm:t>
    </dgm:pt>
    <dgm:pt modelId="{D483AFC6-128B-4409-9474-8C63CE982798}" type="sibTrans" cxnId="{64C90A52-642B-4A84-8100-C3B797FE9593}">
      <dgm:prSet/>
      <dgm:spPr/>
      <dgm:t>
        <a:bodyPr/>
        <a:lstStyle/>
        <a:p>
          <a:pPr algn="ctr"/>
          <a:endParaRPr lang="ru-RU" sz="1000"/>
        </a:p>
      </dgm:t>
    </dgm:pt>
    <dgm:pt modelId="{FA3E5B91-253D-4F10-A653-F08CF44F8B3A}">
      <dgm:prSet phldrT="[Текст]" custT="1"/>
      <dgm:spPr/>
      <dgm:t>
        <a:bodyPr/>
        <a:lstStyle/>
        <a:p>
          <a:pPr algn="ctr"/>
          <a:r>
            <a:rPr lang="ru-RU" sz="1000" dirty="0" err="1">
              <a:latin typeface="Times New Roman" panose="02020603050405020304" pitchFamily="18" charset="0"/>
              <a:cs typeface="Times New Roman" panose="02020603050405020304" pitchFamily="18" charset="0"/>
            </a:rPr>
            <a:t>Ұлттық</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жобаны</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жүзеге</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асырудың</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қорытынды</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есептерін</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талдау</a:t>
          </a:r>
          <a:r>
            <a:rPr lang="ru-RU" sz="1000" dirty="0">
              <a:latin typeface="Times New Roman" panose="02020603050405020304" pitchFamily="18" charset="0"/>
              <a:cs typeface="Times New Roman" panose="02020603050405020304" pitchFamily="18" charset="0"/>
            </a:rPr>
            <a:t>, осы </a:t>
          </a:r>
          <a:r>
            <a:rPr lang="ru-RU" sz="1000" dirty="0" err="1">
              <a:latin typeface="Times New Roman" panose="02020603050405020304" pitchFamily="18" charset="0"/>
              <a:cs typeface="Times New Roman" panose="02020603050405020304" pitchFamily="18" charset="0"/>
            </a:rPr>
            <a:t>бағыттағы</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мемлекеттік</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саясаттың</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тиімділігін</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бағалау</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кемшіліктерін</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анықтау</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және</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ұсыныстар</a:t>
          </a:r>
          <a:r>
            <a:rPr lang="ru-RU" sz="1000" dirty="0">
              <a:latin typeface="Times New Roman" panose="02020603050405020304" pitchFamily="18" charset="0"/>
              <a:cs typeface="Times New Roman" panose="02020603050405020304" pitchFamily="18" charset="0"/>
            </a:rPr>
            <a:t> беру; </a:t>
          </a:r>
          <a:br>
            <a:rPr lang="ru-RU" sz="1000" dirty="0">
              <a:latin typeface="Times New Roman" panose="02020603050405020304" pitchFamily="18" charset="0"/>
              <a:cs typeface="Times New Roman" panose="02020603050405020304" pitchFamily="18" charset="0"/>
            </a:rPr>
          </a:br>
          <a:endParaRPr lang="ru-RU" sz="1000" dirty="0">
            <a:latin typeface="Times New Roman" panose="02020603050405020304" pitchFamily="18" charset="0"/>
            <a:cs typeface="Times New Roman" panose="02020603050405020304" pitchFamily="18" charset="0"/>
          </a:endParaRPr>
        </a:p>
      </dgm:t>
    </dgm:pt>
    <dgm:pt modelId="{075624D6-76AE-43A3-A2AA-0A9F6E5A6F4D}" type="parTrans" cxnId="{2BFCD037-95C0-4776-93F9-58C49AFAA2BB}">
      <dgm:prSet/>
      <dgm:spPr/>
      <dgm:t>
        <a:bodyPr/>
        <a:lstStyle/>
        <a:p>
          <a:pPr algn="ctr"/>
          <a:endParaRPr lang="ru-RU" sz="1000"/>
        </a:p>
      </dgm:t>
    </dgm:pt>
    <dgm:pt modelId="{034542EE-D644-4A3D-B2E8-B097E38DE6AE}" type="sibTrans" cxnId="{2BFCD037-95C0-4776-93F9-58C49AFAA2BB}">
      <dgm:prSet/>
      <dgm:spPr/>
      <dgm:t>
        <a:bodyPr/>
        <a:lstStyle/>
        <a:p>
          <a:pPr algn="ctr"/>
          <a:endParaRPr lang="ru-RU" sz="1000"/>
        </a:p>
      </dgm:t>
    </dgm:pt>
    <dgm:pt modelId="{2BF4BC47-EFC6-48B4-8319-08760A9C7911}">
      <dgm:prSet custT="1"/>
      <dgm:spPr/>
      <dgm:t>
        <a:bodyPr/>
        <a:lstStyle/>
        <a:p>
          <a:pPr algn="ct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Қабылданған</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ұлттық</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жобаны</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орындау</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барысында</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ағымдық</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тексерісті</a:t>
          </a:r>
          <a:r>
            <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жүргізу</a:t>
          </a:r>
          <a:endParaRPr lang="ru-RU" sz="10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5B90A49C-4678-4CA1-B47B-F33F3E98CD41}" type="parTrans" cxnId="{8C4ADD46-CAA3-4B09-A3ED-466BFD864915}">
      <dgm:prSet/>
      <dgm:spPr/>
      <dgm:t>
        <a:bodyPr/>
        <a:lstStyle/>
        <a:p>
          <a:pPr algn="ctr"/>
          <a:endParaRPr lang="ru-RU" sz="1000"/>
        </a:p>
      </dgm:t>
    </dgm:pt>
    <dgm:pt modelId="{4341D17E-A35B-4B6F-96AA-502B55AE7E20}" type="sibTrans" cxnId="{8C4ADD46-CAA3-4B09-A3ED-466BFD864915}">
      <dgm:prSet/>
      <dgm:spPr/>
      <dgm:t>
        <a:bodyPr/>
        <a:lstStyle/>
        <a:p>
          <a:pPr algn="ctr"/>
          <a:endParaRPr lang="ru-RU" sz="1000"/>
        </a:p>
      </dgm:t>
    </dgm:pt>
    <dgm:pt modelId="{37A0A659-3600-4E95-BADA-299518D11BB2}">
      <dgm:prSet custT="1"/>
      <dgm:spPr/>
      <dgm:t>
        <a:bodyPr/>
        <a:lstStyle/>
        <a:p>
          <a:pPr algn="ctr"/>
          <a:r>
            <a:rPr lang="ru-RU" sz="1000" dirty="0">
              <a:latin typeface="Times New Roman" panose="02020603050405020304" pitchFamily="18" charset="0"/>
              <a:cs typeface="Times New Roman" panose="02020603050405020304" pitchFamily="18" charset="0"/>
            </a:rPr>
            <a:t>АӨК </a:t>
          </a:r>
          <a:r>
            <a:rPr lang="ru-RU" sz="1000" dirty="0" err="1">
              <a:latin typeface="Times New Roman" panose="02020603050405020304" pitchFamily="18" charset="0"/>
              <a:cs typeface="Times New Roman" panose="02020603050405020304" pitchFamily="18" charset="0"/>
            </a:rPr>
            <a:t>дамытуға</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бағытталған</a:t>
          </a:r>
          <a:r>
            <a:rPr lang="ru-RU" sz="1000" dirty="0">
              <a:latin typeface="Times New Roman" panose="02020603050405020304" pitchFamily="18" charset="0"/>
              <a:cs typeface="Times New Roman" panose="02020603050405020304" pitchFamily="18" charset="0"/>
            </a:rPr>
            <a:t> бюджет </a:t>
          </a:r>
          <a:r>
            <a:rPr lang="ru-RU" sz="1000" dirty="0" err="1">
              <a:latin typeface="Times New Roman" panose="02020603050405020304" pitchFamily="18" charset="0"/>
              <a:cs typeface="Times New Roman" panose="02020603050405020304" pitchFamily="18" charset="0"/>
            </a:rPr>
            <a:t>қаражаттарының</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игерілінуінің</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мемлекеттің</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әлеуметтік-экономикалық</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дамуына</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ықпалын</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талдау</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және</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бағалау</a:t>
          </a:r>
          <a:r>
            <a:rPr lang="ru-RU" sz="1000" dirty="0">
              <a:latin typeface="Times New Roman" panose="02020603050405020304" pitchFamily="18" charset="0"/>
              <a:cs typeface="Times New Roman" panose="02020603050405020304" pitchFamily="18" charset="0"/>
            </a:rPr>
            <a:t>.</a:t>
          </a:r>
        </a:p>
      </dgm:t>
    </dgm:pt>
    <dgm:pt modelId="{E6470693-1395-45E5-8C3E-85C685464AF2}" type="parTrans" cxnId="{49724F79-A176-4CD2-884F-841241475520}">
      <dgm:prSet/>
      <dgm:spPr/>
      <dgm:t>
        <a:bodyPr/>
        <a:lstStyle/>
        <a:p>
          <a:pPr algn="ctr"/>
          <a:endParaRPr lang="ru-RU" sz="1000"/>
        </a:p>
      </dgm:t>
    </dgm:pt>
    <dgm:pt modelId="{79F8CBF3-D653-4AA2-8F7D-DEE8AC7A9F05}" type="sibTrans" cxnId="{49724F79-A176-4CD2-884F-841241475520}">
      <dgm:prSet/>
      <dgm:spPr/>
      <dgm:t>
        <a:bodyPr/>
        <a:lstStyle/>
        <a:p>
          <a:pPr algn="ctr"/>
          <a:endParaRPr lang="ru-RU" sz="1000"/>
        </a:p>
      </dgm:t>
    </dgm:pt>
    <dgm:pt modelId="{6D924062-5C38-4706-939E-B7A8DA92F50B}" type="pres">
      <dgm:prSet presAssocID="{B4A9A8EC-A8C5-4161-B371-641085ED33FA}" presName="hierChild1" presStyleCnt="0">
        <dgm:presLayoutVars>
          <dgm:chPref val="1"/>
          <dgm:dir/>
          <dgm:animOne val="branch"/>
          <dgm:animLvl val="lvl"/>
          <dgm:resizeHandles/>
        </dgm:presLayoutVars>
      </dgm:prSet>
      <dgm:spPr/>
      <dgm:t>
        <a:bodyPr/>
        <a:lstStyle/>
        <a:p>
          <a:endParaRPr lang="ru-RU"/>
        </a:p>
      </dgm:t>
    </dgm:pt>
    <dgm:pt modelId="{54502EAD-4C9F-4B96-9BF4-040BDA961FC7}" type="pres">
      <dgm:prSet presAssocID="{D05C4DB1-0CAB-4A72-AE5F-E1424D404766}" presName="hierRoot1" presStyleCnt="0"/>
      <dgm:spPr/>
    </dgm:pt>
    <dgm:pt modelId="{981A280A-E18F-4421-A819-A85D79F2CBAE}" type="pres">
      <dgm:prSet presAssocID="{D05C4DB1-0CAB-4A72-AE5F-E1424D404766}" presName="composite" presStyleCnt="0"/>
      <dgm:spPr/>
    </dgm:pt>
    <dgm:pt modelId="{BD5F2508-3D6E-4DC2-B96D-7C5F9893BFB2}" type="pres">
      <dgm:prSet presAssocID="{D05C4DB1-0CAB-4A72-AE5F-E1424D404766}" presName="background" presStyleLbl="node0" presStyleIdx="0" presStyleCnt="1"/>
      <dgm:spPr/>
    </dgm:pt>
    <dgm:pt modelId="{776FC34B-40E5-48BF-8C79-AB34306814A1}" type="pres">
      <dgm:prSet presAssocID="{D05C4DB1-0CAB-4A72-AE5F-E1424D404766}" presName="text" presStyleLbl="fgAcc0" presStyleIdx="0" presStyleCnt="1" custScaleX="316011" custScaleY="91997">
        <dgm:presLayoutVars>
          <dgm:chPref val="3"/>
        </dgm:presLayoutVars>
      </dgm:prSet>
      <dgm:spPr/>
      <dgm:t>
        <a:bodyPr/>
        <a:lstStyle/>
        <a:p>
          <a:endParaRPr lang="ru-RU"/>
        </a:p>
      </dgm:t>
    </dgm:pt>
    <dgm:pt modelId="{634529CB-3F92-41C5-BAF1-0C4849C7AB2C}" type="pres">
      <dgm:prSet presAssocID="{D05C4DB1-0CAB-4A72-AE5F-E1424D404766}" presName="hierChild2" presStyleCnt="0"/>
      <dgm:spPr/>
    </dgm:pt>
    <dgm:pt modelId="{1F2A230B-C7E3-4137-8E65-881C8D2CB895}" type="pres">
      <dgm:prSet presAssocID="{EDAD45B3-C73E-4672-B5F1-800B896E151C}" presName="Name10" presStyleLbl="parChTrans1D2" presStyleIdx="0" presStyleCnt="2"/>
      <dgm:spPr/>
      <dgm:t>
        <a:bodyPr/>
        <a:lstStyle/>
        <a:p>
          <a:endParaRPr lang="ru-RU"/>
        </a:p>
      </dgm:t>
    </dgm:pt>
    <dgm:pt modelId="{2E68B1A0-20B2-4081-8A22-AD7821A5CE67}" type="pres">
      <dgm:prSet presAssocID="{457EACA2-4DC7-4EDE-8905-95DE7F23806B}" presName="hierRoot2" presStyleCnt="0"/>
      <dgm:spPr/>
    </dgm:pt>
    <dgm:pt modelId="{14E15F66-2A86-471B-A4B8-18901ABA85BA}" type="pres">
      <dgm:prSet presAssocID="{457EACA2-4DC7-4EDE-8905-95DE7F23806B}" presName="composite2" presStyleCnt="0"/>
      <dgm:spPr/>
    </dgm:pt>
    <dgm:pt modelId="{36CD7535-0DE6-48DD-B31F-EB6803DC35CB}" type="pres">
      <dgm:prSet presAssocID="{457EACA2-4DC7-4EDE-8905-95DE7F23806B}" presName="background2" presStyleLbl="node2" presStyleIdx="0" presStyleCnt="2"/>
      <dgm:spPr/>
    </dgm:pt>
    <dgm:pt modelId="{145C2270-7427-46D8-B344-794D50B83A90}" type="pres">
      <dgm:prSet presAssocID="{457EACA2-4DC7-4EDE-8905-95DE7F23806B}" presName="text2" presStyleLbl="fgAcc2" presStyleIdx="0" presStyleCnt="2" custScaleX="172323" custLinFactNeighborX="904" custLinFactNeighborY="-1737">
        <dgm:presLayoutVars>
          <dgm:chPref val="3"/>
        </dgm:presLayoutVars>
      </dgm:prSet>
      <dgm:spPr/>
      <dgm:t>
        <a:bodyPr/>
        <a:lstStyle/>
        <a:p>
          <a:endParaRPr lang="ru-RU"/>
        </a:p>
      </dgm:t>
    </dgm:pt>
    <dgm:pt modelId="{A84FB9FD-0AF2-41F5-8681-0A65D08B5FDB}" type="pres">
      <dgm:prSet presAssocID="{457EACA2-4DC7-4EDE-8905-95DE7F23806B}" presName="hierChild3" presStyleCnt="0"/>
      <dgm:spPr/>
    </dgm:pt>
    <dgm:pt modelId="{377E7940-1B8B-423C-AC53-159BB42BEDC5}" type="pres">
      <dgm:prSet presAssocID="{D7911487-7229-4705-9195-9012D2A4F082}" presName="Name17" presStyleLbl="parChTrans1D3" presStyleIdx="0" presStyleCnt="4"/>
      <dgm:spPr/>
      <dgm:t>
        <a:bodyPr/>
        <a:lstStyle/>
        <a:p>
          <a:endParaRPr lang="ru-RU"/>
        </a:p>
      </dgm:t>
    </dgm:pt>
    <dgm:pt modelId="{6586749A-03A5-4425-8A22-3FC876E74721}" type="pres">
      <dgm:prSet presAssocID="{5A8CC29D-2C52-43FB-A057-F6E2DEA5C5B6}" presName="hierRoot3" presStyleCnt="0"/>
      <dgm:spPr/>
    </dgm:pt>
    <dgm:pt modelId="{61566640-98AD-4F82-B66E-7734D2BD1F5A}" type="pres">
      <dgm:prSet presAssocID="{5A8CC29D-2C52-43FB-A057-F6E2DEA5C5B6}" presName="composite3" presStyleCnt="0"/>
      <dgm:spPr/>
    </dgm:pt>
    <dgm:pt modelId="{90EE0507-0157-45F3-BF2D-7390FE8ED7A0}" type="pres">
      <dgm:prSet presAssocID="{5A8CC29D-2C52-43FB-A057-F6E2DEA5C5B6}" presName="background3" presStyleLbl="node3" presStyleIdx="0" presStyleCnt="4"/>
      <dgm:spPr/>
    </dgm:pt>
    <dgm:pt modelId="{6F60A35B-2782-4523-948E-505698C31B21}" type="pres">
      <dgm:prSet presAssocID="{5A8CC29D-2C52-43FB-A057-F6E2DEA5C5B6}" presName="text3" presStyleLbl="fgAcc3" presStyleIdx="0" presStyleCnt="4" custScaleY="176624">
        <dgm:presLayoutVars>
          <dgm:chPref val="3"/>
        </dgm:presLayoutVars>
      </dgm:prSet>
      <dgm:spPr/>
      <dgm:t>
        <a:bodyPr/>
        <a:lstStyle/>
        <a:p>
          <a:endParaRPr lang="ru-RU"/>
        </a:p>
      </dgm:t>
    </dgm:pt>
    <dgm:pt modelId="{254E3757-06D1-4447-BEF2-71BB956993B9}" type="pres">
      <dgm:prSet presAssocID="{5A8CC29D-2C52-43FB-A057-F6E2DEA5C5B6}" presName="hierChild4" presStyleCnt="0"/>
      <dgm:spPr/>
    </dgm:pt>
    <dgm:pt modelId="{9D48B5C1-C07F-42BD-B79D-AD79D19D3D15}" type="pres">
      <dgm:prSet presAssocID="{5B90A49C-4678-4CA1-B47B-F33F3E98CD41}" presName="Name17" presStyleLbl="parChTrans1D3" presStyleIdx="1" presStyleCnt="4"/>
      <dgm:spPr/>
      <dgm:t>
        <a:bodyPr/>
        <a:lstStyle/>
        <a:p>
          <a:endParaRPr lang="ru-RU"/>
        </a:p>
      </dgm:t>
    </dgm:pt>
    <dgm:pt modelId="{D530D68A-D27A-40B8-98E6-8A830B6C77EE}" type="pres">
      <dgm:prSet presAssocID="{2BF4BC47-EFC6-48B4-8319-08760A9C7911}" presName="hierRoot3" presStyleCnt="0"/>
      <dgm:spPr/>
    </dgm:pt>
    <dgm:pt modelId="{803B053F-53A4-433D-8E20-4762D09E15B7}" type="pres">
      <dgm:prSet presAssocID="{2BF4BC47-EFC6-48B4-8319-08760A9C7911}" presName="composite3" presStyleCnt="0"/>
      <dgm:spPr/>
    </dgm:pt>
    <dgm:pt modelId="{20664361-8023-454A-BCC5-70F628C115F3}" type="pres">
      <dgm:prSet presAssocID="{2BF4BC47-EFC6-48B4-8319-08760A9C7911}" presName="background3" presStyleLbl="node3" presStyleIdx="1" presStyleCnt="4"/>
      <dgm:spPr/>
    </dgm:pt>
    <dgm:pt modelId="{4577ADC9-FA13-4F5B-ACE5-81049C9B5182}" type="pres">
      <dgm:prSet presAssocID="{2BF4BC47-EFC6-48B4-8319-08760A9C7911}" presName="text3" presStyleLbl="fgAcc3" presStyleIdx="1" presStyleCnt="4" custScaleX="104280" custScaleY="188674">
        <dgm:presLayoutVars>
          <dgm:chPref val="3"/>
        </dgm:presLayoutVars>
      </dgm:prSet>
      <dgm:spPr/>
      <dgm:t>
        <a:bodyPr/>
        <a:lstStyle/>
        <a:p>
          <a:endParaRPr lang="ru-RU"/>
        </a:p>
      </dgm:t>
    </dgm:pt>
    <dgm:pt modelId="{977FFEFA-3585-42C8-A8E9-4723DC3C18BB}" type="pres">
      <dgm:prSet presAssocID="{2BF4BC47-EFC6-48B4-8319-08760A9C7911}" presName="hierChild4" presStyleCnt="0"/>
      <dgm:spPr/>
    </dgm:pt>
    <dgm:pt modelId="{C53F8E84-291B-4E60-A44A-EA1C6A367A95}" type="pres">
      <dgm:prSet presAssocID="{2E0075EB-2D0C-48CF-B7BA-BFAF78A9D4CA}" presName="Name10" presStyleLbl="parChTrans1D2" presStyleIdx="1" presStyleCnt="2"/>
      <dgm:spPr/>
      <dgm:t>
        <a:bodyPr/>
        <a:lstStyle/>
        <a:p>
          <a:endParaRPr lang="ru-RU"/>
        </a:p>
      </dgm:t>
    </dgm:pt>
    <dgm:pt modelId="{6E0A33A0-34C3-4889-AE9C-EBDF3D3CEBDB}" type="pres">
      <dgm:prSet presAssocID="{DD807A99-14E7-438D-890B-D893CE7DA457}" presName="hierRoot2" presStyleCnt="0"/>
      <dgm:spPr/>
    </dgm:pt>
    <dgm:pt modelId="{2ECD82A1-C23F-4632-ADCE-59E62DAFAF1B}" type="pres">
      <dgm:prSet presAssocID="{DD807A99-14E7-438D-890B-D893CE7DA457}" presName="composite2" presStyleCnt="0"/>
      <dgm:spPr/>
    </dgm:pt>
    <dgm:pt modelId="{2906BBC0-14DA-47E5-B384-957320B41A3E}" type="pres">
      <dgm:prSet presAssocID="{DD807A99-14E7-438D-890B-D893CE7DA457}" presName="background2" presStyleLbl="node2" presStyleIdx="1" presStyleCnt="2"/>
      <dgm:spPr/>
    </dgm:pt>
    <dgm:pt modelId="{C15DC6F8-76AC-4AF4-A6F2-144F49A23186}" type="pres">
      <dgm:prSet presAssocID="{DD807A99-14E7-438D-890B-D893CE7DA457}" presName="text2" presStyleLbl="fgAcc2" presStyleIdx="1" presStyleCnt="2" custScaleX="172716">
        <dgm:presLayoutVars>
          <dgm:chPref val="3"/>
        </dgm:presLayoutVars>
      </dgm:prSet>
      <dgm:spPr/>
      <dgm:t>
        <a:bodyPr/>
        <a:lstStyle/>
        <a:p>
          <a:endParaRPr lang="ru-RU"/>
        </a:p>
      </dgm:t>
    </dgm:pt>
    <dgm:pt modelId="{DCA87C76-5D8E-4DC8-A4AB-11F32C422711}" type="pres">
      <dgm:prSet presAssocID="{DD807A99-14E7-438D-890B-D893CE7DA457}" presName="hierChild3" presStyleCnt="0"/>
      <dgm:spPr/>
    </dgm:pt>
    <dgm:pt modelId="{A702FF5B-97B1-49B7-821E-6C9E9C7109E0}" type="pres">
      <dgm:prSet presAssocID="{075624D6-76AE-43A3-A2AA-0A9F6E5A6F4D}" presName="Name17" presStyleLbl="parChTrans1D3" presStyleIdx="2" presStyleCnt="4"/>
      <dgm:spPr/>
      <dgm:t>
        <a:bodyPr/>
        <a:lstStyle/>
        <a:p>
          <a:endParaRPr lang="ru-RU"/>
        </a:p>
      </dgm:t>
    </dgm:pt>
    <dgm:pt modelId="{64AA9ACA-9796-414F-9591-E208F8E7BFA1}" type="pres">
      <dgm:prSet presAssocID="{FA3E5B91-253D-4F10-A653-F08CF44F8B3A}" presName="hierRoot3" presStyleCnt="0"/>
      <dgm:spPr/>
    </dgm:pt>
    <dgm:pt modelId="{AD3A5BA7-3298-49E3-A82E-709DBF50BFA9}" type="pres">
      <dgm:prSet presAssocID="{FA3E5B91-253D-4F10-A653-F08CF44F8B3A}" presName="composite3" presStyleCnt="0"/>
      <dgm:spPr/>
    </dgm:pt>
    <dgm:pt modelId="{894FFA1D-38E5-4313-B5B3-5A10E48C2308}" type="pres">
      <dgm:prSet presAssocID="{FA3E5B91-253D-4F10-A653-F08CF44F8B3A}" presName="background3" presStyleLbl="node3" presStyleIdx="2" presStyleCnt="4"/>
      <dgm:spPr/>
    </dgm:pt>
    <dgm:pt modelId="{7C5475FC-CB40-4515-AA06-B2A612A1295B}" type="pres">
      <dgm:prSet presAssocID="{FA3E5B91-253D-4F10-A653-F08CF44F8B3A}" presName="text3" presStyleLbl="fgAcc3" presStyleIdx="2" presStyleCnt="4" custScaleX="154375" custScaleY="194698">
        <dgm:presLayoutVars>
          <dgm:chPref val="3"/>
        </dgm:presLayoutVars>
      </dgm:prSet>
      <dgm:spPr/>
      <dgm:t>
        <a:bodyPr/>
        <a:lstStyle/>
        <a:p>
          <a:endParaRPr lang="ru-RU"/>
        </a:p>
      </dgm:t>
    </dgm:pt>
    <dgm:pt modelId="{96984121-92F8-451B-8FBD-9E2AA8494D91}" type="pres">
      <dgm:prSet presAssocID="{FA3E5B91-253D-4F10-A653-F08CF44F8B3A}" presName="hierChild4" presStyleCnt="0"/>
      <dgm:spPr/>
    </dgm:pt>
    <dgm:pt modelId="{EBCF793D-323B-4751-BF3A-52515AD914B5}" type="pres">
      <dgm:prSet presAssocID="{E6470693-1395-45E5-8C3E-85C685464AF2}" presName="Name17" presStyleLbl="parChTrans1D3" presStyleIdx="3" presStyleCnt="4"/>
      <dgm:spPr/>
      <dgm:t>
        <a:bodyPr/>
        <a:lstStyle/>
        <a:p>
          <a:endParaRPr lang="ru-RU"/>
        </a:p>
      </dgm:t>
    </dgm:pt>
    <dgm:pt modelId="{806A2F13-31E4-4ACE-8103-785370A242F5}" type="pres">
      <dgm:prSet presAssocID="{37A0A659-3600-4E95-BADA-299518D11BB2}" presName="hierRoot3" presStyleCnt="0"/>
      <dgm:spPr/>
    </dgm:pt>
    <dgm:pt modelId="{D6DC00A7-F873-4005-8AB9-3B7460BE4FDC}" type="pres">
      <dgm:prSet presAssocID="{37A0A659-3600-4E95-BADA-299518D11BB2}" presName="composite3" presStyleCnt="0"/>
      <dgm:spPr/>
    </dgm:pt>
    <dgm:pt modelId="{6C5470E9-E748-432C-A4F7-F0E5BD4ADFF9}" type="pres">
      <dgm:prSet presAssocID="{37A0A659-3600-4E95-BADA-299518D11BB2}" presName="background3" presStyleLbl="node3" presStyleIdx="3" presStyleCnt="4"/>
      <dgm:spPr/>
    </dgm:pt>
    <dgm:pt modelId="{D3347C07-BF89-4978-994F-E16BE9CE99FD}" type="pres">
      <dgm:prSet presAssocID="{37A0A659-3600-4E95-BADA-299518D11BB2}" presName="text3" presStyleLbl="fgAcc3" presStyleIdx="3" presStyleCnt="4" custScaleX="159612" custScaleY="183663">
        <dgm:presLayoutVars>
          <dgm:chPref val="3"/>
        </dgm:presLayoutVars>
      </dgm:prSet>
      <dgm:spPr/>
      <dgm:t>
        <a:bodyPr/>
        <a:lstStyle/>
        <a:p>
          <a:endParaRPr lang="ru-RU"/>
        </a:p>
      </dgm:t>
    </dgm:pt>
    <dgm:pt modelId="{AC26F7A7-F915-4014-AB5E-71D082E784B6}" type="pres">
      <dgm:prSet presAssocID="{37A0A659-3600-4E95-BADA-299518D11BB2}" presName="hierChild4" presStyleCnt="0"/>
      <dgm:spPr/>
    </dgm:pt>
  </dgm:ptLst>
  <dgm:cxnLst>
    <dgm:cxn modelId="{49724F79-A176-4CD2-884F-841241475520}" srcId="{DD807A99-14E7-438D-890B-D893CE7DA457}" destId="{37A0A659-3600-4E95-BADA-299518D11BB2}" srcOrd="1" destOrd="0" parTransId="{E6470693-1395-45E5-8C3E-85C685464AF2}" sibTransId="{79F8CBF3-D653-4AA2-8F7D-DEE8AC7A9F05}"/>
    <dgm:cxn modelId="{5A117D4B-E3CE-4305-852F-9E81B3241555}" type="presOf" srcId="{B4A9A8EC-A8C5-4161-B371-641085ED33FA}" destId="{6D924062-5C38-4706-939E-B7A8DA92F50B}" srcOrd="0" destOrd="0" presId="urn:microsoft.com/office/officeart/2005/8/layout/hierarchy1"/>
    <dgm:cxn modelId="{AD32FCD6-AC33-4BAC-BAB7-063C1F8B442F}" type="presOf" srcId="{E6470693-1395-45E5-8C3E-85C685464AF2}" destId="{EBCF793D-323B-4751-BF3A-52515AD914B5}" srcOrd="0" destOrd="0" presId="urn:microsoft.com/office/officeart/2005/8/layout/hierarchy1"/>
    <dgm:cxn modelId="{1D590763-E8A6-4892-86B5-B886F4CF540D}" type="presOf" srcId="{5A8CC29D-2C52-43FB-A057-F6E2DEA5C5B6}" destId="{6F60A35B-2782-4523-948E-505698C31B21}" srcOrd="0" destOrd="0" presId="urn:microsoft.com/office/officeart/2005/8/layout/hierarchy1"/>
    <dgm:cxn modelId="{2B17A2CD-1876-4566-8598-56EC17C57B4F}" srcId="{B4A9A8EC-A8C5-4161-B371-641085ED33FA}" destId="{D05C4DB1-0CAB-4A72-AE5F-E1424D404766}" srcOrd="0" destOrd="0" parTransId="{29F0B6F6-1F44-4228-8309-D7BEAF49C079}" sibTransId="{BADA04F2-2E20-49D7-873E-929FD4E9C273}"/>
    <dgm:cxn modelId="{85EB6F5C-79A7-4761-9397-295149D33DC4}" type="presOf" srcId="{37A0A659-3600-4E95-BADA-299518D11BB2}" destId="{D3347C07-BF89-4978-994F-E16BE9CE99FD}" srcOrd="0" destOrd="0" presId="urn:microsoft.com/office/officeart/2005/8/layout/hierarchy1"/>
    <dgm:cxn modelId="{8C4ADD46-CAA3-4B09-A3ED-466BFD864915}" srcId="{457EACA2-4DC7-4EDE-8905-95DE7F23806B}" destId="{2BF4BC47-EFC6-48B4-8319-08760A9C7911}" srcOrd="1" destOrd="0" parTransId="{5B90A49C-4678-4CA1-B47B-F33F3E98CD41}" sibTransId="{4341D17E-A35B-4B6F-96AA-502B55AE7E20}"/>
    <dgm:cxn modelId="{481D168D-050E-4E3F-AF4D-A6C48D541A12}" type="presOf" srcId="{EDAD45B3-C73E-4672-B5F1-800B896E151C}" destId="{1F2A230B-C7E3-4137-8E65-881C8D2CB895}" srcOrd="0" destOrd="0" presId="urn:microsoft.com/office/officeart/2005/8/layout/hierarchy1"/>
    <dgm:cxn modelId="{20D872DA-0629-40AD-BC1D-1E21E70A8417}" type="presOf" srcId="{D7911487-7229-4705-9195-9012D2A4F082}" destId="{377E7940-1B8B-423C-AC53-159BB42BEDC5}" srcOrd="0" destOrd="0" presId="urn:microsoft.com/office/officeart/2005/8/layout/hierarchy1"/>
    <dgm:cxn modelId="{64C90A52-642B-4A84-8100-C3B797FE9593}" srcId="{D05C4DB1-0CAB-4A72-AE5F-E1424D404766}" destId="{DD807A99-14E7-438D-890B-D893CE7DA457}" srcOrd="1" destOrd="0" parTransId="{2E0075EB-2D0C-48CF-B7BA-BFAF78A9D4CA}" sibTransId="{D483AFC6-128B-4409-9474-8C63CE982798}"/>
    <dgm:cxn modelId="{FE150DE4-A522-464A-B237-CED25FD96414}" type="presOf" srcId="{D05C4DB1-0CAB-4A72-AE5F-E1424D404766}" destId="{776FC34B-40E5-48BF-8C79-AB34306814A1}" srcOrd="0" destOrd="0" presId="urn:microsoft.com/office/officeart/2005/8/layout/hierarchy1"/>
    <dgm:cxn modelId="{2BFCD037-95C0-4776-93F9-58C49AFAA2BB}" srcId="{DD807A99-14E7-438D-890B-D893CE7DA457}" destId="{FA3E5B91-253D-4F10-A653-F08CF44F8B3A}" srcOrd="0" destOrd="0" parTransId="{075624D6-76AE-43A3-A2AA-0A9F6E5A6F4D}" sibTransId="{034542EE-D644-4A3D-B2E8-B097E38DE6AE}"/>
    <dgm:cxn modelId="{D612B797-6496-41CC-8399-12C2D4494A55}" type="presOf" srcId="{FA3E5B91-253D-4F10-A653-F08CF44F8B3A}" destId="{7C5475FC-CB40-4515-AA06-B2A612A1295B}" srcOrd="0" destOrd="0" presId="urn:microsoft.com/office/officeart/2005/8/layout/hierarchy1"/>
    <dgm:cxn modelId="{8C41D2E7-F4AB-4A22-BFD7-43E8D2C0DF3A}" type="presOf" srcId="{DD807A99-14E7-438D-890B-D893CE7DA457}" destId="{C15DC6F8-76AC-4AF4-A6F2-144F49A23186}" srcOrd="0" destOrd="0" presId="urn:microsoft.com/office/officeart/2005/8/layout/hierarchy1"/>
    <dgm:cxn modelId="{92AF4360-C795-41C4-9EF5-222312EF16BE}" srcId="{D05C4DB1-0CAB-4A72-AE5F-E1424D404766}" destId="{457EACA2-4DC7-4EDE-8905-95DE7F23806B}" srcOrd="0" destOrd="0" parTransId="{EDAD45B3-C73E-4672-B5F1-800B896E151C}" sibTransId="{2024051A-234A-4303-B793-A606D3A92813}"/>
    <dgm:cxn modelId="{DB3F10A7-0DB8-45BF-855D-90666B535A05}" srcId="{457EACA2-4DC7-4EDE-8905-95DE7F23806B}" destId="{5A8CC29D-2C52-43FB-A057-F6E2DEA5C5B6}" srcOrd="0" destOrd="0" parTransId="{D7911487-7229-4705-9195-9012D2A4F082}" sibTransId="{D3747996-D2DF-4D3B-A905-5F0E6F0F89FC}"/>
    <dgm:cxn modelId="{02D403E5-6FF1-4CD2-BF0A-A633B012FE87}" type="presOf" srcId="{2BF4BC47-EFC6-48B4-8319-08760A9C7911}" destId="{4577ADC9-FA13-4F5B-ACE5-81049C9B5182}" srcOrd="0" destOrd="0" presId="urn:microsoft.com/office/officeart/2005/8/layout/hierarchy1"/>
    <dgm:cxn modelId="{41D2ACB5-34E5-435E-8623-A16D1BAC2B20}" type="presOf" srcId="{457EACA2-4DC7-4EDE-8905-95DE7F23806B}" destId="{145C2270-7427-46D8-B344-794D50B83A90}" srcOrd="0" destOrd="0" presId="urn:microsoft.com/office/officeart/2005/8/layout/hierarchy1"/>
    <dgm:cxn modelId="{DF14F633-02CE-4B16-AF1F-BA8889805DCB}" type="presOf" srcId="{5B90A49C-4678-4CA1-B47B-F33F3E98CD41}" destId="{9D48B5C1-C07F-42BD-B79D-AD79D19D3D15}" srcOrd="0" destOrd="0" presId="urn:microsoft.com/office/officeart/2005/8/layout/hierarchy1"/>
    <dgm:cxn modelId="{D2D74017-8E63-4C7B-B059-365F217212A0}" type="presOf" srcId="{2E0075EB-2D0C-48CF-B7BA-BFAF78A9D4CA}" destId="{C53F8E84-291B-4E60-A44A-EA1C6A367A95}" srcOrd="0" destOrd="0" presId="urn:microsoft.com/office/officeart/2005/8/layout/hierarchy1"/>
    <dgm:cxn modelId="{CB5BA00D-2CF9-45C4-B418-E348666AE80A}" type="presOf" srcId="{075624D6-76AE-43A3-A2AA-0A9F6E5A6F4D}" destId="{A702FF5B-97B1-49B7-821E-6C9E9C7109E0}" srcOrd="0" destOrd="0" presId="urn:microsoft.com/office/officeart/2005/8/layout/hierarchy1"/>
    <dgm:cxn modelId="{82BBB686-3DD7-4D88-9A90-1D6C7697093A}" type="presParOf" srcId="{6D924062-5C38-4706-939E-B7A8DA92F50B}" destId="{54502EAD-4C9F-4B96-9BF4-040BDA961FC7}" srcOrd="0" destOrd="0" presId="urn:microsoft.com/office/officeart/2005/8/layout/hierarchy1"/>
    <dgm:cxn modelId="{C8873F72-D180-4AD7-8334-363480F0B61F}" type="presParOf" srcId="{54502EAD-4C9F-4B96-9BF4-040BDA961FC7}" destId="{981A280A-E18F-4421-A819-A85D79F2CBAE}" srcOrd="0" destOrd="0" presId="urn:microsoft.com/office/officeart/2005/8/layout/hierarchy1"/>
    <dgm:cxn modelId="{FD3D6769-3DC6-489D-B04C-9B54540A750E}" type="presParOf" srcId="{981A280A-E18F-4421-A819-A85D79F2CBAE}" destId="{BD5F2508-3D6E-4DC2-B96D-7C5F9893BFB2}" srcOrd="0" destOrd="0" presId="urn:microsoft.com/office/officeart/2005/8/layout/hierarchy1"/>
    <dgm:cxn modelId="{16A63C6D-C83C-46D4-8DB2-0301CE6AE5C5}" type="presParOf" srcId="{981A280A-E18F-4421-A819-A85D79F2CBAE}" destId="{776FC34B-40E5-48BF-8C79-AB34306814A1}" srcOrd="1" destOrd="0" presId="urn:microsoft.com/office/officeart/2005/8/layout/hierarchy1"/>
    <dgm:cxn modelId="{06434E29-87A7-479D-82F4-914C87EDECD5}" type="presParOf" srcId="{54502EAD-4C9F-4B96-9BF4-040BDA961FC7}" destId="{634529CB-3F92-41C5-BAF1-0C4849C7AB2C}" srcOrd="1" destOrd="0" presId="urn:microsoft.com/office/officeart/2005/8/layout/hierarchy1"/>
    <dgm:cxn modelId="{195ABE96-125D-477B-97AA-935F8268B86E}" type="presParOf" srcId="{634529CB-3F92-41C5-BAF1-0C4849C7AB2C}" destId="{1F2A230B-C7E3-4137-8E65-881C8D2CB895}" srcOrd="0" destOrd="0" presId="urn:microsoft.com/office/officeart/2005/8/layout/hierarchy1"/>
    <dgm:cxn modelId="{ABA81DC7-5F36-4B6E-97F8-BA8CC22F6667}" type="presParOf" srcId="{634529CB-3F92-41C5-BAF1-0C4849C7AB2C}" destId="{2E68B1A0-20B2-4081-8A22-AD7821A5CE67}" srcOrd="1" destOrd="0" presId="urn:microsoft.com/office/officeart/2005/8/layout/hierarchy1"/>
    <dgm:cxn modelId="{560AB4F5-FE99-4327-ACE2-C314116A7AB6}" type="presParOf" srcId="{2E68B1A0-20B2-4081-8A22-AD7821A5CE67}" destId="{14E15F66-2A86-471B-A4B8-18901ABA85BA}" srcOrd="0" destOrd="0" presId="urn:microsoft.com/office/officeart/2005/8/layout/hierarchy1"/>
    <dgm:cxn modelId="{CEDFF34D-66B8-4B3B-B046-A49A4B8606DA}" type="presParOf" srcId="{14E15F66-2A86-471B-A4B8-18901ABA85BA}" destId="{36CD7535-0DE6-48DD-B31F-EB6803DC35CB}" srcOrd="0" destOrd="0" presId="urn:microsoft.com/office/officeart/2005/8/layout/hierarchy1"/>
    <dgm:cxn modelId="{286272B7-56B6-405E-B434-41ABC6AD603E}" type="presParOf" srcId="{14E15F66-2A86-471B-A4B8-18901ABA85BA}" destId="{145C2270-7427-46D8-B344-794D50B83A90}" srcOrd="1" destOrd="0" presId="urn:microsoft.com/office/officeart/2005/8/layout/hierarchy1"/>
    <dgm:cxn modelId="{24EEB1BA-1872-4865-8273-34E56199D8FB}" type="presParOf" srcId="{2E68B1A0-20B2-4081-8A22-AD7821A5CE67}" destId="{A84FB9FD-0AF2-41F5-8681-0A65D08B5FDB}" srcOrd="1" destOrd="0" presId="urn:microsoft.com/office/officeart/2005/8/layout/hierarchy1"/>
    <dgm:cxn modelId="{9FE805C6-CB0E-4388-912F-4C71B90E0FB8}" type="presParOf" srcId="{A84FB9FD-0AF2-41F5-8681-0A65D08B5FDB}" destId="{377E7940-1B8B-423C-AC53-159BB42BEDC5}" srcOrd="0" destOrd="0" presId="urn:microsoft.com/office/officeart/2005/8/layout/hierarchy1"/>
    <dgm:cxn modelId="{03B6490C-ADA5-4EDA-A9B6-4960DFB1F667}" type="presParOf" srcId="{A84FB9FD-0AF2-41F5-8681-0A65D08B5FDB}" destId="{6586749A-03A5-4425-8A22-3FC876E74721}" srcOrd="1" destOrd="0" presId="urn:microsoft.com/office/officeart/2005/8/layout/hierarchy1"/>
    <dgm:cxn modelId="{F098631C-3CB6-434F-A359-EC0CB781A75E}" type="presParOf" srcId="{6586749A-03A5-4425-8A22-3FC876E74721}" destId="{61566640-98AD-4F82-B66E-7734D2BD1F5A}" srcOrd="0" destOrd="0" presId="urn:microsoft.com/office/officeart/2005/8/layout/hierarchy1"/>
    <dgm:cxn modelId="{3DB6FB44-400B-46F2-92A2-50495F7B2925}" type="presParOf" srcId="{61566640-98AD-4F82-B66E-7734D2BD1F5A}" destId="{90EE0507-0157-45F3-BF2D-7390FE8ED7A0}" srcOrd="0" destOrd="0" presId="urn:microsoft.com/office/officeart/2005/8/layout/hierarchy1"/>
    <dgm:cxn modelId="{67EA0257-305C-42F1-B2FF-90D833D2B619}" type="presParOf" srcId="{61566640-98AD-4F82-B66E-7734D2BD1F5A}" destId="{6F60A35B-2782-4523-948E-505698C31B21}" srcOrd="1" destOrd="0" presId="urn:microsoft.com/office/officeart/2005/8/layout/hierarchy1"/>
    <dgm:cxn modelId="{8A33EDDD-36B6-4EA2-AD56-044DA752F51D}" type="presParOf" srcId="{6586749A-03A5-4425-8A22-3FC876E74721}" destId="{254E3757-06D1-4447-BEF2-71BB956993B9}" srcOrd="1" destOrd="0" presId="urn:microsoft.com/office/officeart/2005/8/layout/hierarchy1"/>
    <dgm:cxn modelId="{D3245961-0AF3-4C24-A115-01BC5898B6AF}" type="presParOf" srcId="{A84FB9FD-0AF2-41F5-8681-0A65D08B5FDB}" destId="{9D48B5C1-C07F-42BD-B79D-AD79D19D3D15}" srcOrd="2" destOrd="0" presId="urn:microsoft.com/office/officeart/2005/8/layout/hierarchy1"/>
    <dgm:cxn modelId="{8034F6F2-6ACC-4A5F-8E33-28CBFAC539FA}" type="presParOf" srcId="{A84FB9FD-0AF2-41F5-8681-0A65D08B5FDB}" destId="{D530D68A-D27A-40B8-98E6-8A830B6C77EE}" srcOrd="3" destOrd="0" presId="urn:microsoft.com/office/officeart/2005/8/layout/hierarchy1"/>
    <dgm:cxn modelId="{09CAB516-C8BB-4160-A256-A9AD4E70C03C}" type="presParOf" srcId="{D530D68A-D27A-40B8-98E6-8A830B6C77EE}" destId="{803B053F-53A4-433D-8E20-4762D09E15B7}" srcOrd="0" destOrd="0" presId="urn:microsoft.com/office/officeart/2005/8/layout/hierarchy1"/>
    <dgm:cxn modelId="{5EE92137-AC94-4A10-A079-80EF7150D1D4}" type="presParOf" srcId="{803B053F-53A4-433D-8E20-4762D09E15B7}" destId="{20664361-8023-454A-BCC5-70F628C115F3}" srcOrd="0" destOrd="0" presId="urn:microsoft.com/office/officeart/2005/8/layout/hierarchy1"/>
    <dgm:cxn modelId="{B861BDFF-1AA6-4D98-94B0-1E3029036530}" type="presParOf" srcId="{803B053F-53A4-433D-8E20-4762D09E15B7}" destId="{4577ADC9-FA13-4F5B-ACE5-81049C9B5182}" srcOrd="1" destOrd="0" presId="urn:microsoft.com/office/officeart/2005/8/layout/hierarchy1"/>
    <dgm:cxn modelId="{A6903182-2AFE-4FFC-B6BC-DC067C13D687}" type="presParOf" srcId="{D530D68A-D27A-40B8-98E6-8A830B6C77EE}" destId="{977FFEFA-3585-42C8-A8E9-4723DC3C18BB}" srcOrd="1" destOrd="0" presId="urn:microsoft.com/office/officeart/2005/8/layout/hierarchy1"/>
    <dgm:cxn modelId="{68557B49-80D1-4C62-B130-1556CEE09667}" type="presParOf" srcId="{634529CB-3F92-41C5-BAF1-0C4849C7AB2C}" destId="{C53F8E84-291B-4E60-A44A-EA1C6A367A95}" srcOrd="2" destOrd="0" presId="urn:microsoft.com/office/officeart/2005/8/layout/hierarchy1"/>
    <dgm:cxn modelId="{497FDFD6-2901-49B5-9E2D-77592863DFD1}" type="presParOf" srcId="{634529CB-3F92-41C5-BAF1-0C4849C7AB2C}" destId="{6E0A33A0-34C3-4889-AE9C-EBDF3D3CEBDB}" srcOrd="3" destOrd="0" presId="urn:microsoft.com/office/officeart/2005/8/layout/hierarchy1"/>
    <dgm:cxn modelId="{1D902B6C-D79C-4187-88A2-4016EE0D0051}" type="presParOf" srcId="{6E0A33A0-34C3-4889-AE9C-EBDF3D3CEBDB}" destId="{2ECD82A1-C23F-4632-ADCE-59E62DAFAF1B}" srcOrd="0" destOrd="0" presId="urn:microsoft.com/office/officeart/2005/8/layout/hierarchy1"/>
    <dgm:cxn modelId="{F6CF85B7-4C0A-41FE-93BA-52E6F669761E}" type="presParOf" srcId="{2ECD82A1-C23F-4632-ADCE-59E62DAFAF1B}" destId="{2906BBC0-14DA-47E5-B384-957320B41A3E}" srcOrd="0" destOrd="0" presId="urn:microsoft.com/office/officeart/2005/8/layout/hierarchy1"/>
    <dgm:cxn modelId="{C3B273FA-8E8A-4960-B89E-96AFE8940D15}" type="presParOf" srcId="{2ECD82A1-C23F-4632-ADCE-59E62DAFAF1B}" destId="{C15DC6F8-76AC-4AF4-A6F2-144F49A23186}" srcOrd="1" destOrd="0" presId="urn:microsoft.com/office/officeart/2005/8/layout/hierarchy1"/>
    <dgm:cxn modelId="{555B8592-E3BB-4480-9868-85C5FA550B24}" type="presParOf" srcId="{6E0A33A0-34C3-4889-AE9C-EBDF3D3CEBDB}" destId="{DCA87C76-5D8E-4DC8-A4AB-11F32C422711}" srcOrd="1" destOrd="0" presId="urn:microsoft.com/office/officeart/2005/8/layout/hierarchy1"/>
    <dgm:cxn modelId="{ECAB9685-BC21-4655-8E1D-06E9A5E69FF9}" type="presParOf" srcId="{DCA87C76-5D8E-4DC8-A4AB-11F32C422711}" destId="{A702FF5B-97B1-49B7-821E-6C9E9C7109E0}" srcOrd="0" destOrd="0" presId="urn:microsoft.com/office/officeart/2005/8/layout/hierarchy1"/>
    <dgm:cxn modelId="{CDE04AD2-1C8A-4DBF-A503-266C5C8D8F99}" type="presParOf" srcId="{DCA87C76-5D8E-4DC8-A4AB-11F32C422711}" destId="{64AA9ACA-9796-414F-9591-E208F8E7BFA1}" srcOrd="1" destOrd="0" presId="urn:microsoft.com/office/officeart/2005/8/layout/hierarchy1"/>
    <dgm:cxn modelId="{0D2786C7-8D64-4100-B87C-533D003059D1}" type="presParOf" srcId="{64AA9ACA-9796-414F-9591-E208F8E7BFA1}" destId="{AD3A5BA7-3298-49E3-A82E-709DBF50BFA9}" srcOrd="0" destOrd="0" presId="urn:microsoft.com/office/officeart/2005/8/layout/hierarchy1"/>
    <dgm:cxn modelId="{561CCCFE-CFCA-4D41-B298-C7F767F3B464}" type="presParOf" srcId="{AD3A5BA7-3298-49E3-A82E-709DBF50BFA9}" destId="{894FFA1D-38E5-4313-B5B3-5A10E48C2308}" srcOrd="0" destOrd="0" presId="urn:microsoft.com/office/officeart/2005/8/layout/hierarchy1"/>
    <dgm:cxn modelId="{C4629781-A730-4523-B978-D4B1CEC64469}" type="presParOf" srcId="{AD3A5BA7-3298-49E3-A82E-709DBF50BFA9}" destId="{7C5475FC-CB40-4515-AA06-B2A612A1295B}" srcOrd="1" destOrd="0" presId="urn:microsoft.com/office/officeart/2005/8/layout/hierarchy1"/>
    <dgm:cxn modelId="{E9219683-013E-46A4-802E-C12EF6A96967}" type="presParOf" srcId="{64AA9ACA-9796-414F-9591-E208F8E7BFA1}" destId="{96984121-92F8-451B-8FBD-9E2AA8494D91}" srcOrd="1" destOrd="0" presId="urn:microsoft.com/office/officeart/2005/8/layout/hierarchy1"/>
    <dgm:cxn modelId="{FD3118D8-AD8C-4B2E-96E6-C5CCC62F86CC}" type="presParOf" srcId="{DCA87C76-5D8E-4DC8-A4AB-11F32C422711}" destId="{EBCF793D-323B-4751-BF3A-52515AD914B5}" srcOrd="2" destOrd="0" presId="urn:microsoft.com/office/officeart/2005/8/layout/hierarchy1"/>
    <dgm:cxn modelId="{3E88EEBD-9892-4016-915A-D92646D7A42E}" type="presParOf" srcId="{DCA87C76-5D8E-4DC8-A4AB-11F32C422711}" destId="{806A2F13-31E4-4ACE-8103-785370A242F5}" srcOrd="3" destOrd="0" presId="urn:microsoft.com/office/officeart/2005/8/layout/hierarchy1"/>
    <dgm:cxn modelId="{119B290A-43EE-4C3F-AE32-F3B86F699F4E}" type="presParOf" srcId="{806A2F13-31E4-4ACE-8103-785370A242F5}" destId="{D6DC00A7-F873-4005-8AB9-3B7460BE4FDC}" srcOrd="0" destOrd="0" presId="urn:microsoft.com/office/officeart/2005/8/layout/hierarchy1"/>
    <dgm:cxn modelId="{B0245FF9-16BD-4674-8B36-5EDD73F7D402}" type="presParOf" srcId="{D6DC00A7-F873-4005-8AB9-3B7460BE4FDC}" destId="{6C5470E9-E748-432C-A4F7-F0E5BD4ADFF9}" srcOrd="0" destOrd="0" presId="urn:microsoft.com/office/officeart/2005/8/layout/hierarchy1"/>
    <dgm:cxn modelId="{A64EC8DF-9378-4A88-8FD7-33CB7EEF86C8}" type="presParOf" srcId="{D6DC00A7-F873-4005-8AB9-3B7460BE4FDC}" destId="{D3347C07-BF89-4978-994F-E16BE9CE99FD}" srcOrd="1" destOrd="0" presId="urn:microsoft.com/office/officeart/2005/8/layout/hierarchy1"/>
    <dgm:cxn modelId="{E93D2837-B918-4175-BA1F-F1583818E465}" type="presParOf" srcId="{806A2F13-31E4-4ACE-8103-785370A242F5}" destId="{AC26F7A7-F915-4014-AB5E-71D082E784B6}"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B30BDA-1B20-4A2D-91AA-0AB70CD245A3}" type="doc">
      <dgm:prSet loTypeId="urn:microsoft.com/office/officeart/2005/8/layout/hList7" loCatId="list" qsTypeId="urn:microsoft.com/office/officeart/2005/8/quickstyle/simple4" qsCatId="simple" csTypeId="urn:microsoft.com/office/officeart/2005/8/colors/colorful1" csCatId="colorful" phldr="1"/>
      <dgm:spPr/>
    </dgm:pt>
    <dgm:pt modelId="{97A470C3-D758-4402-B5A9-2AA7E882A960}">
      <dgm:prSet phldrT="[Текст]" custT="1"/>
      <dgm:spPr/>
      <dgm:t>
        <a:bodyPr/>
        <a:lstStyle/>
        <a:p>
          <a:r>
            <a:rPr lang="en-US" sz="2000"/>
            <a:t>S</a:t>
          </a:r>
        </a:p>
        <a:p>
          <a:r>
            <a:rPr lang="en-US" sz="1100"/>
            <a:t>Specific</a:t>
          </a:r>
        </a:p>
        <a:p>
          <a:r>
            <a:rPr lang="kk-KZ" sz="1100"/>
            <a:t>Қандай мақсатқа жету?</a:t>
          </a:r>
          <a:endParaRPr lang="ru-RU" sz="1100"/>
        </a:p>
      </dgm:t>
    </dgm:pt>
    <dgm:pt modelId="{D7A467AA-D99A-4414-96D9-F0D28A023E6D}" type="parTrans" cxnId="{5A9B184A-946A-43A2-9D0F-E83CAD2147D0}">
      <dgm:prSet/>
      <dgm:spPr/>
      <dgm:t>
        <a:bodyPr/>
        <a:lstStyle/>
        <a:p>
          <a:endParaRPr lang="ru-RU"/>
        </a:p>
      </dgm:t>
    </dgm:pt>
    <dgm:pt modelId="{771643D6-B668-4D35-B504-32A5A48931B1}" type="sibTrans" cxnId="{5A9B184A-946A-43A2-9D0F-E83CAD2147D0}">
      <dgm:prSet/>
      <dgm:spPr/>
      <dgm:t>
        <a:bodyPr/>
        <a:lstStyle/>
        <a:p>
          <a:endParaRPr lang="ru-RU"/>
        </a:p>
      </dgm:t>
    </dgm:pt>
    <dgm:pt modelId="{AEEDF1CE-8F8B-424F-AAA1-A04948528C1F}">
      <dgm:prSet phldrT="[Текст]" custT="1"/>
      <dgm:spPr/>
      <dgm:t>
        <a:bodyPr/>
        <a:lstStyle/>
        <a:p>
          <a:r>
            <a:rPr lang="en-US" sz="2000"/>
            <a:t>M</a:t>
          </a:r>
        </a:p>
        <a:p>
          <a:r>
            <a:rPr lang="en-US" sz="1100"/>
            <a:t>Measureable</a:t>
          </a:r>
          <a:endParaRPr lang="kk-KZ" sz="1100"/>
        </a:p>
        <a:p>
          <a:r>
            <a:rPr lang="kk-KZ" sz="1100"/>
            <a:t>Қай көрсеткіш мақсатқа жетуді көрсетеді?</a:t>
          </a:r>
          <a:endParaRPr lang="ru-RU" sz="1100"/>
        </a:p>
      </dgm:t>
    </dgm:pt>
    <dgm:pt modelId="{2DE54448-9101-469B-8F9E-65DF0170FE20}" type="parTrans" cxnId="{267C014D-D850-4076-944B-6C7C3ED4F4EE}">
      <dgm:prSet/>
      <dgm:spPr/>
      <dgm:t>
        <a:bodyPr/>
        <a:lstStyle/>
        <a:p>
          <a:endParaRPr lang="ru-RU"/>
        </a:p>
      </dgm:t>
    </dgm:pt>
    <dgm:pt modelId="{6000A95F-212E-4484-ABBD-C75FEF8F1467}" type="sibTrans" cxnId="{267C014D-D850-4076-944B-6C7C3ED4F4EE}">
      <dgm:prSet/>
      <dgm:spPr/>
      <dgm:t>
        <a:bodyPr/>
        <a:lstStyle/>
        <a:p>
          <a:endParaRPr lang="ru-RU"/>
        </a:p>
      </dgm:t>
    </dgm:pt>
    <dgm:pt modelId="{9B08E02F-8D89-477B-A547-950AF38A0309}">
      <dgm:prSet phldrT="[Текст]" custT="1"/>
      <dgm:spPr/>
      <dgm:t>
        <a:bodyPr/>
        <a:lstStyle/>
        <a:p>
          <a:r>
            <a:rPr lang="en-US" sz="2000"/>
            <a:t>A</a:t>
          </a:r>
        </a:p>
        <a:p>
          <a:r>
            <a:rPr lang="en-US" sz="1200"/>
            <a:t>Attainable </a:t>
          </a:r>
          <a:endParaRPr lang="kk-KZ" sz="1200"/>
        </a:p>
        <a:p>
          <a:r>
            <a:rPr lang="kk-KZ" sz="1200"/>
            <a:t>Мақсатқа жету ақылға қонымды ма?</a:t>
          </a:r>
          <a:endParaRPr lang="ru-RU" sz="1200"/>
        </a:p>
      </dgm:t>
    </dgm:pt>
    <dgm:pt modelId="{EA6C2674-F564-4721-8FD3-98FC32B963E8}" type="parTrans" cxnId="{790EE7B1-8C32-42A4-89EA-37D50E71C859}">
      <dgm:prSet/>
      <dgm:spPr/>
      <dgm:t>
        <a:bodyPr/>
        <a:lstStyle/>
        <a:p>
          <a:endParaRPr lang="ru-RU"/>
        </a:p>
      </dgm:t>
    </dgm:pt>
    <dgm:pt modelId="{1AE13711-0EEE-47B5-B577-9862EA1B3C71}" type="sibTrans" cxnId="{790EE7B1-8C32-42A4-89EA-37D50E71C859}">
      <dgm:prSet/>
      <dgm:spPr/>
      <dgm:t>
        <a:bodyPr/>
        <a:lstStyle/>
        <a:p>
          <a:endParaRPr lang="ru-RU"/>
        </a:p>
      </dgm:t>
    </dgm:pt>
    <dgm:pt modelId="{DBD05B2D-3B8C-404F-987F-F2001980871C}">
      <dgm:prSet custT="1"/>
      <dgm:spPr/>
      <dgm:t>
        <a:bodyPr/>
        <a:lstStyle/>
        <a:p>
          <a:r>
            <a:rPr lang="en-US" sz="2000"/>
            <a:t>R</a:t>
          </a:r>
        </a:p>
        <a:p>
          <a:r>
            <a:rPr lang="en-US" sz="1200"/>
            <a:t>Relevant</a:t>
          </a:r>
          <a:endParaRPr lang="kk-KZ" sz="1200"/>
        </a:p>
        <a:p>
          <a:r>
            <a:rPr lang="kk-KZ" sz="1200"/>
            <a:t>Бұл мақсат стратегияға сәйкес пе?</a:t>
          </a:r>
          <a:endParaRPr lang="ru-RU" sz="1200"/>
        </a:p>
      </dgm:t>
    </dgm:pt>
    <dgm:pt modelId="{D06B14D3-95E4-4737-ADF1-BF5B55FA4822}" type="parTrans" cxnId="{E629EF42-D4BA-4C13-9D89-673286E49A4D}">
      <dgm:prSet/>
      <dgm:spPr/>
      <dgm:t>
        <a:bodyPr/>
        <a:lstStyle/>
        <a:p>
          <a:endParaRPr lang="ru-RU"/>
        </a:p>
      </dgm:t>
    </dgm:pt>
    <dgm:pt modelId="{99955C3B-C428-469E-87CE-185C3D9AB2D8}" type="sibTrans" cxnId="{E629EF42-D4BA-4C13-9D89-673286E49A4D}">
      <dgm:prSet/>
      <dgm:spPr/>
      <dgm:t>
        <a:bodyPr/>
        <a:lstStyle/>
        <a:p>
          <a:endParaRPr lang="ru-RU"/>
        </a:p>
      </dgm:t>
    </dgm:pt>
    <dgm:pt modelId="{DAB26A08-FDC9-4F22-844D-0346406C65AB}">
      <dgm:prSet custT="1"/>
      <dgm:spPr/>
      <dgm:t>
        <a:bodyPr/>
        <a:lstStyle/>
        <a:p>
          <a:r>
            <a:rPr lang="en-US" sz="2000"/>
            <a:t>T</a:t>
          </a:r>
        </a:p>
        <a:p>
          <a:r>
            <a:rPr lang="en-US" sz="1200"/>
            <a:t>Time Based</a:t>
          </a:r>
          <a:endParaRPr lang="kk-KZ" sz="1200"/>
        </a:p>
        <a:p>
          <a:r>
            <a:rPr lang="kk-KZ" sz="1200"/>
            <a:t>Мақсатқа қашан жету керек?</a:t>
          </a:r>
          <a:endParaRPr lang="ru-RU" sz="1200"/>
        </a:p>
      </dgm:t>
    </dgm:pt>
    <dgm:pt modelId="{6BE5656B-97FC-44AE-BDF6-C220650B9BE3}" type="parTrans" cxnId="{E67DCEB1-F848-45D2-BEA5-C6B4B35D0131}">
      <dgm:prSet/>
      <dgm:spPr/>
      <dgm:t>
        <a:bodyPr/>
        <a:lstStyle/>
        <a:p>
          <a:endParaRPr lang="ru-RU"/>
        </a:p>
      </dgm:t>
    </dgm:pt>
    <dgm:pt modelId="{CC11D09D-CFA4-468D-AA44-0283BDEA66AF}" type="sibTrans" cxnId="{E67DCEB1-F848-45D2-BEA5-C6B4B35D0131}">
      <dgm:prSet/>
      <dgm:spPr/>
      <dgm:t>
        <a:bodyPr/>
        <a:lstStyle/>
        <a:p>
          <a:endParaRPr lang="ru-RU"/>
        </a:p>
      </dgm:t>
    </dgm:pt>
    <dgm:pt modelId="{D5A8FC25-0C74-4EAC-A6FB-6EDE609C8B6A}" type="pres">
      <dgm:prSet presAssocID="{03B30BDA-1B20-4A2D-91AA-0AB70CD245A3}" presName="Name0" presStyleCnt="0">
        <dgm:presLayoutVars>
          <dgm:dir/>
          <dgm:resizeHandles val="exact"/>
        </dgm:presLayoutVars>
      </dgm:prSet>
      <dgm:spPr/>
    </dgm:pt>
    <dgm:pt modelId="{87F413EE-714A-4898-8BF7-3F821302D206}" type="pres">
      <dgm:prSet presAssocID="{03B30BDA-1B20-4A2D-91AA-0AB70CD245A3}" presName="fgShape" presStyleLbl="fgShp" presStyleIdx="0" presStyleCnt="1"/>
      <dgm:spPr/>
    </dgm:pt>
    <dgm:pt modelId="{2A41BB06-F07B-4FB0-A313-9949E0348667}" type="pres">
      <dgm:prSet presAssocID="{03B30BDA-1B20-4A2D-91AA-0AB70CD245A3}" presName="linComp" presStyleCnt="0"/>
      <dgm:spPr/>
    </dgm:pt>
    <dgm:pt modelId="{D745A121-9289-4D2C-9F8D-9AB3DB27B6FF}" type="pres">
      <dgm:prSet presAssocID="{97A470C3-D758-4402-B5A9-2AA7E882A960}" presName="compNode" presStyleCnt="0"/>
      <dgm:spPr/>
    </dgm:pt>
    <dgm:pt modelId="{0A66C556-61D0-4904-896A-2BE52832898E}" type="pres">
      <dgm:prSet presAssocID="{97A470C3-D758-4402-B5A9-2AA7E882A960}" presName="bkgdShape" presStyleLbl="node1" presStyleIdx="0" presStyleCnt="5"/>
      <dgm:spPr/>
      <dgm:t>
        <a:bodyPr/>
        <a:lstStyle/>
        <a:p>
          <a:endParaRPr lang="ru-RU"/>
        </a:p>
      </dgm:t>
    </dgm:pt>
    <dgm:pt modelId="{C549AA35-859A-4D04-9027-92E15297A7D7}" type="pres">
      <dgm:prSet presAssocID="{97A470C3-D758-4402-B5A9-2AA7E882A960}" presName="nodeTx" presStyleLbl="node1" presStyleIdx="0" presStyleCnt="5">
        <dgm:presLayoutVars>
          <dgm:bulletEnabled val="1"/>
        </dgm:presLayoutVars>
      </dgm:prSet>
      <dgm:spPr/>
      <dgm:t>
        <a:bodyPr/>
        <a:lstStyle/>
        <a:p>
          <a:endParaRPr lang="ru-RU"/>
        </a:p>
      </dgm:t>
    </dgm:pt>
    <dgm:pt modelId="{6B2C2B72-C4A3-422E-BA71-9BA9D4F323E0}" type="pres">
      <dgm:prSet presAssocID="{97A470C3-D758-4402-B5A9-2AA7E882A960}" presName="invisiNode" presStyleLbl="node1" presStyleIdx="0" presStyleCnt="5"/>
      <dgm:spPr/>
    </dgm:pt>
    <dgm:pt modelId="{65502C95-4F67-445D-BBD3-B582C8D21196}" type="pres">
      <dgm:prSet presAssocID="{97A470C3-D758-4402-B5A9-2AA7E882A960}" presName="imagNode" presStyleLbl="fgImgPlace1" presStyleIdx="0" presStyleCnt="5"/>
      <dgm:spPr>
        <a:blipFill>
          <a:blip xmlns:r="http://schemas.openxmlformats.org/officeDocument/2006/relationships" r:embed="rId1">
            <a:extLs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id="0" name="" descr="В яблочко со сплошной заливкой"/>
        </a:ext>
      </dgm:extLst>
    </dgm:pt>
    <dgm:pt modelId="{3236B8B9-9CD0-4253-B674-7E5664977C2A}" type="pres">
      <dgm:prSet presAssocID="{771643D6-B668-4D35-B504-32A5A48931B1}" presName="sibTrans" presStyleLbl="sibTrans2D1" presStyleIdx="0" presStyleCnt="0"/>
      <dgm:spPr/>
      <dgm:t>
        <a:bodyPr/>
        <a:lstStyle/>
        <a:p>
          <a:endParaRPr lang="ru-RU"/>
        </a:p>
      </dgm:t>
    </dgm:pt>
    <dgm:pt modelId="{84A2C744-9CF7-45E3-B7AA-DB555AAFF328}" type="pres">
      <dgm:prSet presAssocID="{AEEDF1CE-8F8B-424F-AAA1-A04948528C1F}" presName="compNode" presStyleCnt="0"/>
      <dgm:spPr/>
    </dgm:pt>
    <dgm:pt modelId="{AFCAC168-68A5-42D0-A04F-E693BFF3551A}" type="pres">
      <dgm:prSet presAssocID="{AEEDF1CE-8F8B-424F-AAA1-A04948528C1F}" presName="bkgdShape" presStyleLbl="node1" presStyleIdx="1" presStyleCnt="5"/>
      <dgm:spPr/>
      <dgm:t>
        <a:bodyPr/>
        <a:lstStyle/>
        <a:p>
          <a:endParaRPr lang="ru-RU"/>
        </a:p>
      </dgm:t>
    </dgm:pt>
    <dgm:pt modelId="{9077D5BF-F571-4981-B210-38B879DB6A1A}" type="pres">
      <dgm:prSet presAssocID="{AEEDF1CE-8F8B-424F-AAA1-A04948528C1F}" presName="nodeTx" presStyleLbl="node1" presStyleIdx="1" presStyleCnt="5">
        <dgm:presLayoutVars>
          <dgm:bulletEnabled val="1"/>
        </dgm:presLayoutVars>
      </dgm:prSet>
      <dgm:spPr/>
      <dgm:t>
        <a:bodyPr/>
        <a:lstStyle/>
        <a:p>
          <a:endParaRPr lang="ru-RU"/>
        </a:p>
      </dgm:t>
    </dgm:pt>
    <dgm:pt modelId="{CF19A233-9EEC-425B-AFBB-143F615E1C95}" type="pres">
      <dgm:prSet presAssocID="{AEEDF1CE-8F8B-424F-AAA1-A04948528C1F}" presName="invisiNode" presStyleLbl="node1" presStyleIdx="1" presStyleCnt="5"/>
      <dgm:spPr/>
    </dgm:pt>
    <dgm:pt modelId="{78E9EDB6-73EE-4DB2-A1D2-7C6AB1B22116}" type="pres">
      <dgm:prSet presAssocID="{AEEDF1CE-8F8B-424F-AAA1-A04948528C1F}" presName="imagNode" presStyleLbl="fgImgPlace1" presStyleIdx="1" presStyleCnt="5"/>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id="0" name="" descr="Диаграмма с подъемом со сплошной заливкой"/>
        </a:ext>
      </dgm:extLst>
    </dgm:pt>
    <dgm:pt modelId="{67A8AD32-DA11-4608-BA4B-FCEDC4946FD6}" type="pres">
      <dgm:prSet presAssocID="{6000A95F-212E-4484-ABBD-C75FEF8F1467}" presName="sibTrans" presStyleLbl="sibTrans2D1" presStyleIdx="0" presStyleCnt="0"/>
      <dgm:spPr/>
      <dgm:t>
        <a:bodyPr/>
        <a:lstStyle/>
        <a:p>
          <a:endParaRPr lang="ru-RU"/>
        </a:p>
      </dgm:t>
    </dgm:pt>
    <dgm:pt modelId="{D32782CD-ACCC-4926-B5F2-39868E9D2718}" type="pres">
      <dgm:prSet presAssocID="{9B08E02F-8D89-477B-A547-950AF38A0309}" presName="compNode" presStyleCnt="0"/>
      <dgm:spPr/>
    </dgm:pt>
    <dgm:pt modelId="{620EFC7B-F136-428D-976A-5BBD96F6B7C1}" type="pres">
      <dgm:prSet presAssocID="{9B08E02F-8D89-477B-A547-950AF38A0309}" presName="bkgdShape" presStyleLbl="node1" presStyleIdx="2" presStyleCnt="5"/>
      <dgm:spPr/>
      <dgm:t>
        <a:bodyPr/>
        <a:lstStyle/>
        <a:p>
          <a:endParaRPr lang="ru-RU"/>
        </a:p>
      </dgm:t>
    </dgm:pt>
    <dgm:pt modelId="{E69BB3C5-2785-4117-848C-D48C69C68F1F}" type="pres">
      <dgm:prSet presAssocID="{9B08E02F-8D89-477B-A547-950AF38A0309}" presName="nodeTx" presStyleLbl="node1" presStyleIdx="2" presStyleCnt="5">
        <dgm:presLayoutVars>
          <dgm:bulletEnabled val="1"/>
        </dgm:presLayoutVars>
      </dgm:prSet>
      <dgm:spPr/>
      <dgm:t>
        <a:bodyPr/>
        <a:lstStyle/>
        <a:p>
          <a:endParaRPr lang="ru-RU"/>
        </a:p>
      </dgm:t>
    </dgm:pt>
    <dgm:pt modelId="{DFCF6492-990D-4AFD-9589-4D49ECF2500C}" type="pres">
      <dgm:prSet presAssocID="{9B08E02F-8D89-477B-A547-950AF38A0309}" presName="invisiNode" presStyleLbl="node1" presStyleIdx="2" presStyleCnt="5"/>
      <dgm:spPr/>
    </dgm:pt>
    <dgm:pt modelId="{C38E8AC6-1EC8-46E4-95B4-FDFC0B2BFE12}" type="pres">
      <dgm:prSet presAssocID="{9B08E02F-8D89-477B-A547-950AF38A0309}" presName="imagNode" presStyleLbl="fgImgPlac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id="0" name="" descr="Культурист  со сплошной заливкой"/>
        </a:ext>
      </dgm:extLst>
    </dgm:pt>
    <dgm:pt modelId="{D589E85E-DD12-4E2F-8DD1-1D369A50180B}" type="pres">
      <dgm:prSet presAssocID="{1AE13711-0EEE-47B5-B577-9862EA1B3C71}" presName="sibTrans" presStyleLbl="sibTrans2D1" presStyleIdx="0" presStyleCnt="0"/>
      <dgm:spPr/>
      <dgm:t>
        <a:bodyPr/>
        <a:lstStyle/>
        <a:p>
          <a:endParaRPr lang="ru-RU"/>
        </a:p>
      </dgm:t>
    </dgm:pt>
    <dgm:pt modelId="{C7691599-A011-4AA0-B6DD-E9DB2150469E}" type="pres">
      <dgm:prSet presAssocID="{DBD05B2D-3B8C-404F-987F-F2001980871C}" presName="compNode" presStyleCnt="0"/>
      <dgm:spPr/>
    </dgm:pt>
    <dgm:pt modelId="{45188740-9F6C-49E7-A29C-DE2BA60E6538}" type="pres">
      <dgm:prSet presAssocID="{DBD05B2D-3B8C-404F-987F-F2001980871C}" presName="bkgdShape" presStyleLbl="node1" presStyleIdx="3" presStyleCnt="5"/>
      <dgm:spPr/>
      <dgm:t>
        <a:bodyPr/>
        <a:lstStyle/>
        <a:p>
          <a:endParaRPr lang="ru-RU"/>
        </a:p>
      </dgm:t>
    </dgm:pt>
    <dgm:pt modelId="{DC0374AA-04B2-4DA1-8395-3B77D7764F58}" type="pres">
      <dgm:prSet presAssocID="{DBD05B2D-3B8C-404F-987F-F2001980871C}" presName="nodeTx" presStyleLbl="node1" presStyleIdx="3" presStyleCnt="5">
        <dgm:presLayoutVars>
          <dgm:bulletEnabled val="1"/>
        </dgm:presLayoutVars>
      </dgm:prSet>
      <dgm:spPr/>
      <dgm:t>
        <a:bodyPr/>
        <a:lstStyle/>
        <a:p>
          <a:endParaRPr lang="ru-RU"/>
        </a:p>
      </dgm:t>
    </dgm:pt>
    <dgm:pt modelId="{08FE66DE-3AE6-4368-BFD3-3F871DE1F9B7}" type="pres">
      <dgm:prSet presAssocID="{DBD05B2D-3B8C-404F-987F-F2001980871C}" presName="invisiNode" presStyleLbl="node1" presStyleIdx="3" presStyleCnt="5"/>
      <dgm:spPr/>
    </dgm:pt>
    <dgm:pt modelId="{0CF22335-C8A1-4F41-9D5B-54FFFA0EE5C9}" type="pres">
      <dgm:prSet presAssocID="{DBD05B2D-3B8C-404F-987F-F2001980871C}" presName="imagNode" presStyleLbl="fgImgPlac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dgm:spPr>
      <dgm:extLst>
        <a:ext uri="{E40237B7-FDA0-4F09-8148-C483321AD2D9}">
          <dgm14:cNvPr xmlns:dgm14="http://schemas.microsoft.com/office/drawing/2010/diagram" id="0" name="" descr="Мозговой штурм группы со сплошной заливкой"/>
        </a:ext>
      </dgm:extLst>
    </dgm:pt>
    <dgm:pt modelId="{80510F1E-80B8-4D39-B0DA-A27D8EA8401A}" type="pres">
      <dgm:prSet presAssocID="{99955C3B-C428-469E-87CE-185C3D9AB2D8}" presName="sibTrans" presStyleLbl="sibTrans2D1" presStyleIdx="0" presStyleCnt="0"/>
      <dgm:spPr/>
      <dgm:t>
        <a:bodyPr/>
        <a:lstStyle/>
        <a:p>
          <a:endParaRPr lang="ru-RU"/>
        </a:p>
      </dgm:t>
    </dgm:pt>
    <dgm:pt modelId="{CB83B968-31AE-46F4-81B4-95874B221B62}" type="pres">
      <dgm:prSet presAssocID="{DAB26A08-FDC9-4F22-844D-0346406C65AB}" presName="compNode" presStyleCnt="0"/>
      <dgm:spPr/>
    </dgm:pt>
    <dgm:pt modelId="{2513672B-558A-45FF-936D-140DC528E1F6}" type="pres">
      <dgm:prSet presAssocID="{DAB26A08-FDC9-4F22-844D-0346406C65AB}" presName="bkgdShape" presStyleLbl="node1" presStyleIdx="4" presStyleCnt="5"/>
      <dgm:spPr/>
      <dgm:t>
        <a:bodyPr/>
        <a:lstStyle/>
        <a:p>
          <a:endParaRPr lang="ru-RU"/>
        </a:p>
      </dgm:t>
    </dgm:pt>
    <dgm:pt modelId="{EF5E6C2F-D64D-4743-8017-EA2824A0BC3F}" type="pres">
      <dgm:prSet presAssocID="{DAB26A08-FDC9-4F22-844D-0346406C65AB}" presName="nodeTx" presStyleLbl="node1" presStyleIdx="4" presStyleCnt="5">
        <dgm:presLayoutVars>
          <dgm:bulletEnabled val="1"/>
        </dgm:presLayoutVars>
      </dgm:prSet>
      <dgm:spPr/>
      <dgm:t>
        <a:bodyPr/>
        <a:lstStyle/>
        <a:p>
          <a:endParaRPr lang="ru-RU"/>
        </a:p>
      </dgm:t>
    </dgm:pt>
    <dgm:pt modelId="{E58A1FE0-86F1-4E96-B4C7-73F02AFAC549}" type="pres">
      <dgm:prSet presAssocID="{DAB26A08-FDC9-4F22-844D-0346406C65AB}" presName="invisiNode" presStyleLbl="node1" presStyleIdx="4" presStyleCnt="5"/>
      <dgm:spPr/>
    </dgm:pt>
    <dgm:pt modelId="{4C2EF440-0366-4769-A3E5-877B32CC9045}" type="pres">
      <dgm:prSet presAssocID="{DAB26A08-FDC9-4F22-844D-0346406C65AB}" presName="imagNode" presStyleLbl="fgImgPlac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a:stretch>
        </a:blipFill>
      </dgm:spPr>
      <dgm:extLst>
        <a:ext uri="{E40237B7-FDA0-4F09-8148-C483321AD2D9}">
          <dgm14:cNvPr xmlns:dgm14="http://schemas.microsoft.com/office/drawing/2010/diagram" id="0" name="" descr="Песочные часы с истекшим временем со сплошной заливкой"/>
        </a:ext>
      </dgm:extLst>
    </dgm:pt>
  </dgm:ptLst>
  <dgm:cxnLst>
    <dgm:cxn modelId="{520094F3-6528-4CB7-A7D3-B7EE965B1AE9}" type="presOf" srcId="{6000A95F-212E-4484-ABBD-C75FEF8F1467}" destId="{67A8AD32-DA11-4608-BA4B-FCEDC4946FD6}" srcOrd="0" destOrd="0" presId="urn:microsoft.com/office/officeart/2005/8/layout/hList7"/>
    <dgm:cxn modelId="{1B201897-1980-4680-B6DF-4C10B0E52B51}" type="presOf" srcId="{AEEDF1CE-8F8B-424F-AAA1-A04948528C1F}" destId="{AFCAC168-68A5-42D0-A04F-E693BFF3551A}" srcOrd="0" destOrd="0" presId="urn:microsoft.com/office/officeart/2005/8/layout/hList7"/>
    <dgm:cxn modelId="{87549C83-DA57-49E6-B01F-A85F47FD7DAA}" type="presOf" srcId="{771643D6-B668-4D35-B504-32A5A48931B1}" destId="{3236B8B9-9CD0-4253-B674-7E5664977C2A}" srcOrd="0" destOrd="0" presId="urn:microsoft.com/office/officeart/2005/8/layout/hList7"/>
    <dgm:cxn modelId="{4D74A0F6-473C-4227-AEE4-CD4F170988FF}" type="presOf" srcId="{DBD05B2D-3B8C-404F-987F-F2001980871C}" destId="{45188740-9F6C-49E7-A29C-DE2BA60E6538}" srcOrd="0" destOrd="0" presId="urn:microsoft.com/office/officeart/2005/8/layout/hList7"/>
    <dgm:cxn modelId="{E629EF42-D4BA-4C13-9D89-673286E49A4D}" srcId="{03B30BDA-1B20-4A2D-91AA-0AB70CD245A3}" destId="{DBD05B2D-3B8C-404F-987F-F2001980871C}" srcOrd="3" destOrd="0" parTransId="{D06B14D3-95E4-4737-ADF1-BF5B55FA4822}" sibTransId="{99955C3B-C428-469E-87CE-185C3D9AB2D8}"/>
    <dgm:cxn modelId="{2FB4C42E-45E2-426D-842D-38AB266E1D8E}" type="presOf" srcId="{97A470C3-D758-4402-B5A9-2AA7E882A960}" destId="{C549AA35-859A-4D04-9027-92E15297A7D7}" srcOrd="1" destOrd="0" presId="urn:microsoft.com/office/officeart/2005/8/layout/hList7"/>
    <dgm:cxn modelId="{E67DCEB1-F848-45D2-BEA5-C6B4B35D0131}" srcId="{03B30BDA-1B20-4A2D-91AA-0AB70CD245A3}" destId="{DAB26A08-FDC9-4F22-844D-0346406C65AB}" srcOrd="4" destOrd="0" parTransId="{6BE5656B-97FC-44AE-BDF6-C220650B9BE3}" sibTransId="{CC11D09D-CFA4-468D-AA44-0283BDEA66AF}"/>
    <dgm:cxn modelId="{9228E34C-1F05-45BE-962C-27BEDF329DB9}" type="presOf" srcId="{DAB26A08-FDC9-4F22-844D-0346406C65AB}" destId="{2513672B-558A-45FF-936D-140DC528E1F6}" srcOrd="0" destOrd="0" presId="urn:microsoft.com/office/officeart/2005/8/layout/hList7"/>
    <dgm:cxn modelId="{738671F7-9C81-41D4-BCEE-0159F0CDF0A1}" type="presOf" srcId="{AEEDF1CE-8F8B-424F-AAA1-A04948528C1F}" destId="{9077D5BF-F571-4981-B210-38B879DB6A1A}" srcOrd="1" destOrd="0" presId="urn:microsoft.com/office/officeart/2005/8/layout/hList7"/>
    <dgm:cxn modelId="{89962422-8104-46B9-B8BA-B7A35CEA173D}" type="presOf" srcId="{99955C3B-C428-469E-87CE-185C3D9AB2D8}" destId="{80510F1E-80B8-4D39-B0DA-A27D8EA8401A}" srcOrd="0" destOrd="0" presId="urn:microsoft.com/office/officeart/2005/8/layout/hList7"/>
    <dgm:cxn modelId="{745DC145-B5DC-4474-A4F3-FEE5B8E23B3B}" type="presOf" srcId="{03B30BDA-1B20-4A2D-91AA-0AB70CD245A3}" destId="{D5A8FC25-0C74-4EAC-A6FB-6EDE609C8B6A}" srcOrd="0" destOrd="0" presId="urn:microsoft.com/office/officeart/2005/8/layout/hList7"/>
    <dgm:cxn modelId="{282F1BFC-28B0-4DA0-80B8-C1DE8DAF58F9}" type="presOf" srcId="{9B08E02F-8D89-477B-A547-950AF38A0309}" destId="{620EFC7B-F136-428D-976A-5BBD96F6B7C1}" srcOrd="0" destOrd="0" presId="urn:microsoft.com/office/officeart/2005/8/layout/hList7"/>
    <dgm:cxn modelId="{5A9B184A-946A-43A2-9D0F-E83CAD2147D0}" srcId="{03B30BDA-1B20-4A2D-91AA-0AB70CD245A3}" destId="{97A470C3-D758-4402-B5A9-2AA7E882A960}" srcOrd="0" destOrd="0" parTransId="{D7A467AA-D99A-4414-96D9-F0D28A023E6D}" sibTransId="{771643D6-B668-4D35-B504-32A5A48931B1}"/>
    <dgm:cxn modelId="{706643A2-A98E-4DCB-94B0-D17F6CCA9C9B}" type="presOf" srcId="{DAB26A08-FDC9-4F22-844D-0346406C65AB}" destId="{EF5E6C2F-D64D-4743-8017-EA2824A0BC3F}" srcOrd="1" destOrd="0" presId="urn:microsoft.com/office/officeart/2005/8/layout/hList7"/>
    <dgm:cxn modelId="{790EE7B1-8C32-42A4-89EA-37D50E71C859}" srcId="{03B30BDA-1B20-4A2D-91AA-0AB70CD245A3}" destId="{9B08E02F-8D89-477B-A547-950AF38A0309}" srcOrd="2" destOrd="0" parTransId="{EA6C2674-F564-4721-8FD3-98FC32B963E8}" sibTransId="{1AE13711-0EEE-47B5-B577-9862EA1B3C71}"/>
    <dgm:cxn modelId="{BF50DD78-06FC-44CB-B8CA-B34740704A48}" type="presOf" srcId="{1AE13711-0EEE-47B5-B577-9862EA1B3C71}" destId="{D589E85E-DD12-4E2F-8DD1-1D369A50180B}" srcOrd="0" destOrd="0" presId="urn:microsoft.com/office/officeart/2005/8/layout/hList7"/>
    <dgm:cxn modelId="{267C014D-D850-4076-944B-6C7C3ED4F4EE}" srcId="{03B30BDA-1B20-4A2D-91AA-0AB70CD245A3}" destId="{AEEDF1CE-8F8B-424F-AAA1-A04948528C1F}" srcOrd="1" destOrd="0" parTransId="{2DE54448-9101-469B-8F9E-65DF0170FE20}" sibTransId="{6000A95F-212E-4484-ABBD-C75FEF8F1467}"/>
    <dgm:cxn modelId="{EBFBE4A4-692F-4636-A71F-1907E6FD678B}" type="presOf" srcId="{97A470C3-D758-4402-B5A9-2AA7E882A960}" destId="{0A66C556-61D0-4904-896A-2BE52832898E}" srcOrd="0" destOrd="0" presId="urn:microsoft.com/office/officeart/2005/8/layout/hList7"/>
    <dgm:cxn modelId="{D61D964E-55DC-48A9-937D-27E78FC83256}" type="presOf" srcId="{9B08E02F-8D89-477B-A547-950AF38A0309}" destId="{E69BB3C5-2785-4117-848C-D48C69C68F1F}" srcOrd="1" destOrd="0" presId="urn:microsoft.com/office/officeart/2005/8/layout/hList7"/>
    <dgm:cxn modelId="{B5258BF0-4767-4B5E-BABC-F82E2B80D174}" type="presOf" srcId="{DBD05B2D-3B8C-404F-987F-F2001980871C}" destId="{DC0374AA-04B2-4DA1-8395-3B77D7764F58}" srcOrd="1" destOrd="0" presId="urn:microsoft.com/office/officeart/2005/8/layout/hList7"/>
    <dgm:cxn modelId="{53E2AF93-BCD7-4353-9C94-2D81FA391065}" type="presParOf" srcId="{D5A8FC25-0C74-4EAC-A6FB-6EDE609C8B6A}" destId="{87F413EE-714A-4898-8BF7-3F821302D206}" srcOrd="0" destOrd="0" presId="urn:microsoft.com/office/officeart/2005/8/layout/hList7"/>
    <dgm:cxn modelId="{A99C46B0-CAA1-48BE-A05E-B066BC9CD231}" type="presParOf" srcId="{D5A8FC25-0C74-4EAC-A6FB-6EDE609C8B6A}" destId="{2A41BB06-F07B-4FB0-A313-9949E0348667}" srcOrd="1" destOrd="0" presId="urn:microsoft.com/office/officeart/2005/8/layout/hList7"/>
    <dgm:cxn modelId="{AF14EA5B-6493-4F58-A472-67AA577CF952}" type="presParOf" srcId="{2A41BB06-F07B-4FB0-A313-9949E0348667}" destId="{D745A121-9289-4D2C-9F8D-9AB3DB27B6FF}" srcOrd="0" destOrd="0" presId="urn:microsoft.com/office/officeart/2005/8/layout/hList7"/>
    <dgm:cxn modelId="{7EA16B49-70CE-42DD-B4A9-259A85F658CE}" type="presParOf" srcId="{D745A121-9289-4D2C-9F8D-9AB3DB27B6FF}" destId="{0A66C556-61D0-4904-896A-2BE52832898E}" srcOrd="0" destOrd="0" presId="urn:microsoft.com/office/officeart/2005/8/layout/hList7"/>
    <dgm:cxn modelId="{B3001902-7189-4E44-891E-31B03651D4DA}" type="presParOf" srcId="{D745A121-9289-4D2C-9F8D-9AB3DB27B6FF}" destId="{C549AA35-859A-4D04-9027-92E15297A7D7}" srcOrd="1" destOrd="0" presId="urn:microsoft.com/office/officeart/2005/8/layout/hList7"/>
    <dgm:cxn modelId="{F5ECB6C6-965E-4B56-8B93-FC0070476F31}" type="presParOf" srcId="{D745A121-9289-4D2C-9F8D-9AB3DB27B6FF}" destId="{6B2C2B72-C4A3-422E-BA71-9BA9D4F323E0}" srcOrd="2" destOrd="0" presId="urn:microsoft.com/office/officeart/2005/8/layout/hList7"/>
    <dgm:cxn modelId="{09839D4C-CE3C-45B7-916D-17DA546280A5}" type="presParOf" srcId="{D745A121-9289-4D2C-9F8D-9AB3DB27B6FF}" destId="{65502C95-4F67-445D-BBD3-B582C8D21196}" srcOrd="3" destOrd="0" presId="urn:microsoft.com/office/officeart/2005/8/layout/hList7"/>
    <dgm:cxn modelId="{87849BDD-A761-4A84-B61B-44FBD6D98814}" type="presParOf" srcId="{2A41BB06-F07B-4FB0-A313-9949E0348667}" destId="{3236B8B9-9CD0-4253-B674-7E5664977C2A}" srcOrd="1" destOrd="0" presId="urn:microsoft.com/office/officeart/2005/8/layout/hList7"/>
    <dgm:cxn modelId="{FFBB6F26-FBD7-4131-8F84-B478A47F4964}" type="presParOf" srcId="{2A41BB06-F07B-4FB0-A313-9949E0348667}" destId="{84A2C744-9CF7-45E3-B7AA-DB555AAFF328}" srcOrd="2" destOrd="0" presId="urn:microsoft.com/office/officeart/2005/8/layout/hList7"/>
    <dgm:cxn modelId="{7672BBE2-D00C-4A8F-847B-B5DC52606F56}" type="presParOf" srcId="{84A2C744-9CF7-45E3-B7AA-DB555AAFF328}" destId="{AFCAC168-68A5-42D0-A04F-E693BFF3551A}" srcOrd="0" destOrd="0" presId="urn:microsoft.com/office/officeart/2005/8/layout/hList7"/>
    <dgm:cxn modelId="{7B64CE2C-8A82-42B8-842E-D012B8F60BDB}" type="presParOf" srcId="{84A2C744-9CF7-45E3-B7AA-DB555AAFF328}" destId="{9077D5BF-F571-4981-B210-38B879DB6A1A}" srcOrd="1" destOrd="0" presId="urn:microsoft.com/office/officeart/2005/8/layout/hList7"/>
    <dgm:cxn modelId="{691CBF14-5850-40C1-909C-95E3B1F7BF7C}" type="presParOf" srcId="{84A2C744-9CF7-45E3-B7AA-DB555AAFF328}" destId="{CF19A233-9EEC-425B-AFBB-143F615E1C95}" srcOrd="2" destOrd="0" presId="urn:microsoft.com/office/officeart/2005/8/layout/hList7"/>
    <dgm:cxn modelId="{508D5E11-0F76-46E2-89A4-7E5E8F4C2814}" type="presParOf" srcId="{84A2C744-9CF7-45E3-B7AA-DB555AAFF328}" destId="{78E9EDB6-73EE-4DB2-A1D2-7C6AB1B22116}" srcOrd="3" destOrd="0" presId="urn:microsoft.com/office/officeart/2005/8/layout/hList7"/>
    <dgm:cxn modelId="{D3284758-6775-4C85-9200-42FDF6C70AEB}" type="presParOf" srcId="{2A41BB06-F07B-4FB0-A313-9949E0348667}" destId="{67A8AD32-DA11-4608-BA4B-FCEDC4946FD6}" srcOrd="3" destOrd="0" presId="urn:microsoft.com/office/officeart/2005/8/layout/hList7"/>
    <dgm:cxn modelId="{80671DD9-36FC-42B8-BC29-31A587BCDE35}" type="presParOf" srcId="{2A41BB06-F07B-4FB0-A313-9949E0348667}" destId="{D32782CD-ACCC-4926-B5F2-39868E9D2718}" srcOrd="4" destOrd="0" presId="urn:microsoft.com/office/officeart/2005/8/layout/hList7"/>
    <dgm:cxn modelId="{7DC3314F-6403-4A12-A21E-6A64A99E7544}" type="presParOf" srcId="{D32782CD-ACCC-4926-B5F2-39868E9D2718}" destId="{620EFC7B-F136-428D-976A-5BBD96F6B7C1}" srcOrd="0" destOrd="0" presId="urn:microsoft.com/office/officeart/2005/8/layout/hList7"/>
    <dgm:cxn modelId="{990F4190-C913-4650-95CC-000A35437A21}" type="presParOf" srcId="{D32782CD-ACCC-4926-B5F2-39868E9D2718}" destId="{E69BB3C5-2785-4117-848C-D48C69C68F1F}" srcOrd="1" destOrd="0" presId="urn:microsoft.com/office/officeart/2005/8/layout/hList7"/>
    <dgm:cxn modelId="{7822AE13-5896-4A66-9715-7BAE90ACA673}" type="presParOf" srcId="{D32782CD-ACCC-4926-B5F2-39868E9D2718}" destId="{DFCF6492-990D-4AFD-9589-4D49ECF2500C}" srcOrd="2" destOrd="0" presId="urn:microsoft.com/office/officeart/2005/8/layout/hList7"/>
    <dgm:cxn modelId="{F08F6624-15C5-4126-9E2B-EE8D6AB47EC2}" type="presParOf" srcId="{D32782CD-ACCC-4926-B5F2-39868E9D2718}" destId="{C38E8AC6-1EC8-46E4-95B4-FDFC0B2BFE12}" srcOrd="3" destOrd="0" presId="urn:microsoft.com/office/officeart/2005/8/layout/hList7"/>
    <dgm:cxn modelId="{E22A7232-43DF-4B42-9D8F-FF84447CCB9E}" type="presParOf" srcId="{2A41BB06-F07B-4FB0-A313-9949E0348667}" destId="{D589E85E-DD12-4E2F-8DD1-1D369A50180B}" srcOrd="5" destOrd="0" presId="urn:microsoft.com/office/officeart/2005/8/layout/hList7"/>
    <dgm:cxn modelId="{B02FC908-99EC-4253-8CCE-A9342B197C7B}" type="presParOf" srcId="{2A41BB06-F07B-4FB0-A313-9949E0348667}" destId="{C7691599-A011-4AA0-B6DD-E9DB2150469E}" srcOrd="6" destOrd="0" presId="urn:microsoft.com/office/officeart/2005/8/layout/hList7"/>
    <dgm:cxn modelId="{4199AA63-2ADD-4E00-A52B-49277BBE872C}" type="presParOf" srcId="{C7691599-A011-4AA0-B6DD-E9DB2150469E}" destId="{45188740-9F6C-49E7-A29C-DE2BA60E6538}" srcOrd="0" destOrd="0" presId="urn:microsoft.com/office/officeart/2005/8/layout/hList7"/>
    <dgm:cxn modelId="{7538ADB1-FF98-422B-847E-CB27F525B43D}" type="presParOf" srcId="{C7691599-A011-4AA0-B6DD-E9DB2150469E}" destId="{DC0374AA-04B2-4DA1-8395-3B77D7764F58}" srcOrd="1" destOrd="0" presId="urn:microsoft.com/office/officeart/2005/8/layout/hList7"/>
    <dgm:cxn modelId="{E81E2D23-BFAF-4B31-8020-D187778352A6}" type="presParOf" srcId="{C7691599-A011-4AA0-B6DD-E9DB2150469E}" destId="{08FE66DE-3AE6-4368-BFD3-3F871DE1F9B7}" srcOrd="2" destOrd="0" presId="urn:microsoft.com/office/officeart/2005/8/layout/hList7"/>
    <dgm:cxn modelId="{140B0561-966C-4615-BBF3-47094CCE57C0}" type="presParOf" srcId="{C7691599-A011-4AA0-B6DD-E9DB2150469E}" destId="{0CF22335-C8A1-4F41-9D5B-54FFFA0EE5C9}" srcOrd="3" destOrd="0" presId="urn:microsoft.com/office/officeart/2005/8/layout/hList7"/>
    <dgm:cxn modelId="{DEE6E6E4-84FA-4C5A-BD13-25BBEC1AA9C4}" type="presParOf" srcId="{2A41BB06-F07B-4FB0-A313-9949E0348667}" destId="{80510F1E-80B8-4D39-B0DA-A27D8EA8401A}" srcOrd="7" destOrd="0" presId="urn:microsoft.com/office/officeart/2005/8/layout/hList7"/>
    <dgm:cxn modelId="{F535CCBB-1F53-4FCA-9814-B9734C62F046}" type="presParOf" srcId="{2A41BB06-F07B-4FB0-A313-9949E0348667}" destId="{CB83B968-31AE-46F4-81B4-95874B221B62}" srcOrd="8" destOrd="0" presId="urn:microsoft.com/office/officeart/2005/8/layout/hList7"/>
    <dgm:cxn modelId="{0F74695B-9BE2-4273-BA82-8EB6C4D4DBAA}" type="presParOf" srcId="{CB83B968-31AE-46F4-81B4-95874B221B62}" destId="{2513672B-558A-45FF-936D-140DC528E1F6}" srcOrd="0" destOrd="0" presId="urn:microsoft.com/office/officeart/2005/8/layout/hList7"/>
    <dgm:cxn modelId="{BB904B2E-D73F-423B-BC2E-26782828D9D0}" type="presParOf" srcId="{CB83B968-31AE-46F4-81B4-95874B221B62}" destId="{EF5E6C2F-D64D-4743-8017-EA2824A0BC3F}" srcOrd="1" destOrd="0" presId="urn:microsoft.com/office/officeart/2005/8/layout/hList7"/>
    <dgm:cxn modelId="{BC077AC7-93F1-48A3-89D8-9DA3E10B1672}" type="presParOf" srcId="{CB83B968-31AE-46F4-81B4-95874B221B62}" destId="{E58A1FE0-86F1-4E96-B4C7-73F02AFAC549}" srcOrd="2" destOrd="0" presId="urn:microsoft.com/office/officeart/2005/8/layout/hList7"/>
    <dgm:cxn modelId="{1A3552CF-5E7E-48AB-9801-6F082A342760}" type="presParOf" srcId="{CB83B968-31AE-46F4-81B4-95874B221B62}" destId="{4C2EF440-0366-4769-A3E5-877B32CC9045}" srcOrd="3" destOrd="0" presId="urn:microsoft.com/office/officeart/2005/8/layout/hList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CF793D-323B-4751-BF3A-52515AD914B5}">
      <dsp:nvSpPr>
        <dsp:cNvPr id="0" name=""/>
        <dsp:cNvSpPr/>
      </dsp:nvSpPr>
      <dsp:spPr>
        <a:xfrm>
          <a:off x="4137941" y="1441687"/>
          <a:ext cx="841914" cy="277305"/>
        </a:xfrm>
        <a:custGeom>
          <a:avLst/>
          <a:gdLst/>
          <a:ahLst/>
          <a:cxnLst/>
          <a:rect l="0" t="0" r="0" b="0"/>
          <a:pathLst>
            <a:path>
              <a:moveTo>
                <a:pt x="0" y="0"/>
              </a:moveTo>
              <a:lnTo>
                <a:pt x="0" y="188975"/>
              </a:lnTo>
              <a:lnTo>
                <a:pt x="841914" y="188975"/>
              </a:lnTo>
              <a:lnTo>
                <a:pt x="841914" y="2773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2FF5B-97B1-49B7-821E-6C9E9C7109E0}">
      <dsp:nvSpPr>
        <dsp:cNvPr id="0" name=""/>
        <dsp:cNvSpPr/>
      </dsp:nvSpPr>
      <dsp:spPr>
        <a:xfrm>
          <a:off x="3271060" y="1441687"/>
          <a:ext cx="866881" cy="277305"/>
        </a:xfrm>
        <a:custGeom>
          <a:avLst/>
          <a:gdLst/>
          <a:ahLst/>
          <a:cxnLst/>
          <a:rect l="0" t="0" r="0" b="0"/>
          <a:pathLst>
            <a:path>
              <a:moveTo>
                <a:pt x="866881" y="0"/>
              </a:moveTo>
              <a:lnTo>
                <a:pt x="866881" y="188975"/>
              </a:lnTo>
              <a:lnTo>
                <a:pt x="0" y="188975"/>
              </a:lnTo>
              <a:lnTo>
                <a:pt x="0" y="2773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3F8E84-291B-4E60-A44A-EA1C6A367A95}">
      <dsp:nvSpPr>
        <dsp:cNvPr id="0" name=""/>
        <dsp:cNvSpPr/>
      </dsp:nvSpPr>
      <dsp:spPr>
        <a:xfrm>
          <a:off x="2691592" y="558919"/>
          <a:ext cx="1446349" cy="277305"/>
        </a:xfrm>
        <a:custGeom>
          <a:avLst/>
          <a:gdLst/>
          <a:ahLst/>
          <a:cxnLst/>
          <a:rect l="0" t="0" r="0" b="0"/>
          <a:pathLst>
            <a:path>
              <a:moveTo>
                <a:pt x="0" y="0"/>
              </a:moveTo>
              <a:lnTo>
                <a:pt x="0" y="188975"/>
              </a:lnTo>
              <a:lnTo>
                <a:pt x="1446349" y="188975"/>
              </a:lnTo>
              <a:lnTo>
                <a:pt x="1446349" y="277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8B5C1-C07F-42BD-B79D-AD79D19D3D15}">
      <dsp:nvSpPr>
        <dsp:cNvPr id="0" name=""/>
        <dsp:cNvSpPr/>
      </dsp:nvSpPr>
      <dsp:spPr>
        <a:xfrm>
          <a:off x="1251989" y="1431170"/>
          <a:ext cx="574066" cy="287822"/>
        </a:xfrm>
        <a:custGeom>
          <a:avLst/>
          <a:gdLst/>
          <a:ahLst/>
          <a:cxnLst/>
          <a:rect l="0" t="0" r="0" b="0"/>
          <a:pathLst>
            <a:path>
              <a:moveTo>
                <a:pt x="0" y="0"/>
              </a:moveTo>
              <a:lnTo>
                <a:pt x="0" y="199492"/>
              </a:lnTo>
              <a:lnTo>
                <a:pt x="574066" y="199492"/>
              </a:lnTo>
              <a:lnTo>
                <a:pt x="574066" y="2878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7E7940-1B8B-423C-AC53-159BB42BEDC5}">
      <dsp:nvSpPr>
        <dsp:cNvPr id="0" name=""/>
        <dsp:cNvSpPr/>
      </dsp:nvSpPr>
      <dsp:spPr>
        <a:xfrm>
          <a:off x="640279" y="1431170"/>
          <a:ext cx="611709" cy="287822"/>
        </a:xfrm>
        <a:custGeom>
          <a:avLst/>
          <a:gdLst/>
          <a:ahLst/>
          <a:cxnLst/>
          <a:rect l="0" t="0" r="0" b="0"/>
          <a:pathLst>
            <a:path>
              <a:moveTo>
                <a:pt x="611709" y="0"/>
              </a:moveTo>
              <a:lnTo>
                <a:pt x="611709" y="199492"/>
              </a:lnTo>
              <a:lnTo>
                <a:pt x="0" y="199492"/>
              </a:lnTo>
              <a:lnTo>
                <a:pt x="0" y="2878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A230B-C7E3-4137-8E65-881C8D2CB895}">
      <dsp:nvSpPr>
        <dsp:cNvPr id="0" name=""/>
        <dsp:cNvSpPr/>
      </dsp:nvSpPr>
      <dsp:spPr>
        <a:xfrm>
          <a:off x="1251989" y="558919"/>
          <a:ext cx="1439603" cy="266788"/>
        </a:xfrm>
        <a:custGeom>
          <a:avLst/>
          <a:gdLst/>
          <a:ahLst/>
          <a:cxnLst/>
          <a:rect l="0" t="0" r="0" b="0"/>
          <a:pathLst>
            <a:path>
              <a:moveTo>
                <a:pt x="1439603" y="0"/>
              </a:moveTo>
              <a:lnTo>
                <a:pt x="1439603" y="178458"/>
              </a:lnTo>
              <a:lnTo>
                <a:pt x="0" y="178458"/>
              </a:lnTo>
              <a:lnTo>
                <a:pt x="0" y="2667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5F2508-3D6E-4DC2-B96D-7C5F9893BFB2}">
      <dsp:nvSpPr>
        <dsp:cNvPr id="0" name=""/>
        <dsp:cNvSpPr/>
      </dsp:nvSpPr>
      <dsp:spPr>
        <a:xfrm>
          <a:off x="1185033" y="1911"/>
          <a:ext cx="3013119" cy="557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6FC34B-40E5-48BF-8C79-AB34306814A1}">
      <dsp:nvSpPr>
        <dsp:cNvPr id="0" name=""/>
        <dsp:cNvSpPr/>
      </dsp:nvSpPr>
      <dsp:spPr>
        <a:xfrm>
          <a:off x="1290976" y="102556"/>
          <a:ext cx="3013119" cy="557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a:latin typeface="Times New Roman" panose="02020603050405020304" pitchFamily="18" charset="0"/>
              <a:cs typeface="Times New Roman" panose="02020603050405020304" pitchFamily="18" charset="0"/>
            </a:rPr>
            <a:t>АӨК </a:t>
          </a:r>
          <a:r>
            <a:rPr lang="ru-RU" sz="1000" kern="1200" dirty="0" err="1">
              <a:latin typeface="Times New Roman" panose="02020603050405020304" pitchFamily="18" charset="0"/>
              <a:cs typeface="Times New Roman" panose="02020603050405020304" pitchFamily="18" charset="0"/>
            </a:rPr>
            <a:t>дамытуға</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жұмсалған</a:t>
          </a:r>
          <a:r>
            <a:rPr lang="ru-RU" sz="1000" kern="1200" dirty="0">
              <a:latin typeface="Times New Roman" panose="02020603050405020304" pitchFamily="18" charset="0"/>
              <a:cs typeface="Times New Roman" panose="02020603050405020304" pitchFamily="18" charset="0"/>
            </a:rPr>
            <a:t> бюджет </a:t>
          </a:r>
          <a:r>
            <a:rPr lang="ru-RU" sz="1000" kern="1200" dirty="0" err="1">
              <a:latin typeface="Times New Roman" panose="02020603050405020304" pitchFamily="18" charset="0"/>
              <a:cs typeface="Times New Roman" panose="02020603050405020304" pitchFamily="18" charset="0"/>
            </a:rPr>
            <a:t>қаражаттарын</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пайдалану</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тиімділігі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аудитінің</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кезеңдері</a:t>
          </a:r>
          <a:endParaRPr lang="ru-RU" sz="1000" kern="1200" dirty="0">
            <a:latin typeface="Times New Roman" panose="02020603050405020304" pitchFamily="18" charset="0"/>
            <a:cs typeface="Times New Roman" panose="02020603050405020304" pitchFamily="18" charset="0"/>
          </a:endParaRPr>
        </a:p>
      </dsp:txBody>
      <dsp:txXfrm>
        <a:off x="1307290" y="118870"/>
        <a:ext cx="2980491" cy="524380"/>
      </dsp:txXfrm>
    </dsp:sp>
    <dsp:sp modelId="{36CD7535-0DE6-48DD-B31F-EB6803DC35CB}">
      <dsp:nvSpPr>
        <dsp:cNvPr id="0" name=""/>
        <dsp:cNvSpPr/>
      </dsp:nvSpPr>
      <dsp:spPr>
        <a:xfrm>
          <a:off x="430452" y="825707"/>
          <a:ext cx="1643074" cy="6054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5C2270-7427-46D8-B344-794D50B83A90}">
      <dsp:nvSpPr>
        <dsp:cNvPr id="0" name=""/>
        <dsp:cNvSpPr/>
      </dsp:nvSpPr>
      <dsp:spPr>
        <a:xfrm>
          <a:off x="536395" y="926353"/>
          <a:ext cx="1643074" cy="6054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dirty="0">
              <a:latin typeface="Times New Roman" panose="02020603050405020304" pitchFamily="18" charset="0"/>
              <a:cs typeface="Times New Roman" panose="02020603050405020304" pitchFamily="18" charset="0"/>
            </a:rPr>
            <a:t>Ішкі аудит қызметтері</a:t>
          </a:r>
          <a:endParaRPr lang="ru-RU" sz="1000" kern="1200" dirty="0">
            <a:latin typeface="Times New Roman" panose="02020603050405020304" pitchFamily="18" charset="0"/>
            <a:cs typeface="Times New Roman" panose="02020603050405020304" pitchFamily="18" charset="0"/>
          </a:endParaRPr>
        </a:p>
      </dsp:txBody>
      <dsp:txXfrm>
        <a:off x="554128" y="944086"/>
        <a:ext cx="1607608" cy="569997"/>
      </dsp:txXfrm>
    </dsp:sp>
    <dsp:sp modelId="{90EE0507-0157-45F3-BF2D-7390FE8ED7A0}">
      <dsp:nvSpPr>
        <dsp:cNvPr id="0" name=""/>
        <dsp:cNvSpPr/>
      </dsp:nvSpPr>
      <dsp:spPr>
        <a:xfrm>
          <a:off x="163537" y="1718993"/>
          <a:ext cx="953485" cy="1069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60A35B-2782-4523-948E-505698C31B21}">
      <dsp:nvSpPr>
        <dsp:cNvPr id="0" name=""/>
        <dsp:cNvSpPr/>
      </dsp:nvSpPr>
      <dsp:spPr>
        <a:xfrm>
          <a:off x="269480" y="1819638"/>
          <a:ext cx="953485" cy="1069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АӨК дамытуға арналған ұлттық жобаның тиімділігін алдын ала бағалау</a:t>
          </a:r>
          <a:endParaRPr lang="ru-RU" sz="1000" kern="1200" dirty="0">
            <a:solidFill>
              <a:schemeClr val="tx1"/>
            </a:solidFill>
          </a:endParaRPr>
        </a:p>
      </dsp:txBody>
      <dsp:txXfrm>
        <a:off x="297407" y="1847565"/>
        <a:ext cx="897631" cy="1013539"/>
      </dsp:txXfrm>
    </dsp:sp>
    <dsp:sp modelId="{20664361-8023-454A-BCC5-70F628C115F3}">
      <dsp:nvSpPr>
        <dsp:cNvPr id="0" name=""/>
        <dsp:cNvSpPr/>
      </dsp:nvSpPr>
      <dsp:spPr>
        <a:xfrm>
          <a:off x="1328908" y="1718993"/>
          <a:ext cx="994294" cy="11423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77ADC9-FA13-4F5B-ACE5-81049C9B5182}">
      <dsp:nvSpPr>
        <dsp:cNvPr id="0" name=""/>
        <dsp:cNvSpPr/>
      </dsp:nvSpPr>
      <dsp:spPr>
        <a:xfrm>
          <a:off x="1434851" y="1819638"/>
          <a:ext cx="994294" cy="11423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Қабылданған</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ұлттық</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жобаны</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орындау</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барысында</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ағымдық</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тексерісті</a:t>
          </a:r>
          <a:r>
            <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rPr>
            <a:t> </a:t>
          </a:r>
          <a:r>
            <a:rPr lang="ru-RU" sz="1000" kern="1200" dirty="0" err="1">
              <a:solidFill>
                <a:schemeClr val="tx1"/>
              </a:solidFill>
              <a:latin typeface="Times New Roman" panose="02020603050405020304" pitchFamily="18" charset="0"/>
              <a:ea typeface="SimSun" panose="02010600030101010101" pitchFamily="2" charset="-122"/>
              <a:cs typeface="Times New Roman" panose="02020603050405020304" pitchFamily="18" charset="0"/>
            </a:rPr>
            <a:t>жүргізу</a:t>
          </a:r>
          <a:endParaRPr lang="ru-RU" sz="1000" kern="1200" dirty="0">
            <a:solidFill>
              <a:schemeClr val="tx1"/>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1463973" y="1848760"/>
        <a:ext cx="936050" cy="1084107"/>
      </dsp:txXfrm>
    </dsp:sp>
    <dsp:sp modelId="{2906BBC0-14DA-47E5-B384-957320B41A3E}">
      <dsp:nvSpPr>
        <dsp:cNvPr id="0" name=""/>
        <dsp:cNvSpPr/>
      </dsp:nvSpPr>
      <dsp:spPr>
        <a:xfrm>
          <a:off x="3314530" y="836224"/>
          <a:ext cx="1646822" cy="6054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5DC6F8-76AC-4AF4-A6F2-144F49A23186}">
      <dsp:nvSpPr>
        <dsp:cNvPr id="0" name=""/>
        <dsp:cNvSpPr/>
      </dsp:nvSpPr>
      <dsp:spPr>
        <a:xfrm>
          <a:off x="3420473" y="936870"/>
          <a:ext cx="1646822" cy="6054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dirty="0">
              <a:latin typeface="Times New Roman" panose="02020603050405020304" pitchFamily="18" charset="0"/>
              <a:cs typeface="Times New Roman" panose="02020603050405020304" pitchFamily="18" charset="0"/>
            </a:rPr>
            <a:t>Сыртқы аудит органдары </a:t>
          </a:r>
          <a:endParaRPr lang="ru-RU" sz="1000" kern="1200" dirty="0">
            <a:latin typeface="Times New Roman" panose="02020603050405020304" pitchFamily="18" charset="0"/>
            <a:cs typeface="Times New Roman" panose="02020603050405020304" pitchFamily="18" charset="0"/>
          </a:endParaRPr>
        </a:p>
      </dsp:txBody>
      <dsp:txXfrm>
        <a:off x="3438206" y="954603"/>
        <a:ext cx="1611356" cy="569997"/>
      </dsp:txXfrm>
    </dsp:sp>
    <dsp:sp modelId="{894FFA1D-38E5-4313-B5B3-5A10E48C2308}">
      <dsp:nvSpPr>
        <dsp:cNvPr id="0" name=""/>
        <dsp:cNvSpPr/>
      </dsp:nvSpPr>
      <dsp:spPr>
        <a:xfrm>
          <a:off x="2535088" y="1718993"/>
          <a:ext cx="1471943" cy="11788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5475FC-CB40-4515-AA06-B2A612A1295B}">
      <dsp:nvSpPr>
        <dsp:cNvPr id="0" name=""/>
        <dsp:cNvSpPr/>
      </dsp:nvSpPr>
      <dsp:spPr>
        <a:xfrm>
          <a:off x="2641031" y="1819638"/>
          <a:ext cx="1471943" cy="11788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err="1">
              <a:latin typeface="Times New Roman" panose="02020603050405020304" pitchFamily="18" charset="0"/>
              <a:cs typeface="Times New Roman" panose="02020603050405020304" pitchFamily="18" charset="0"/>
            </a:rPr>
            <a:t>Ұлттық</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жобаны</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жүзеге</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асырудың</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қорытынды</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есептерін</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талдау</a:t>
          </a:r>
          <a:r>
            <a:rPr lang="ru-RU" sz="1000" kern="1200" dirty="0">
              <a:latin typeface="Times New Roman" panose="02020603050405020304" pitchFamily="18" charset="0"/>
              <a:cs typeface="Times New Roman" panose="02020603050405020304" pitchFamily="18" charset="0"/>
            </a:rPr>
            <a:t>, осы </a:t>
          </a:r>
          <a:r>
            <a:rPr lang="ru-RU" sz="1000" kern="1200" dirty="0" err="1">
              <a:latin typeface="Times New Roman" panose="02020603050405020304" pitchFamily="18" charset="0"/>
              <a:cs typeface="Times New Roman" panose="02020603050405020304" pitchFamily="18" charset="0"/>
            </a:rPr>
            <a:t>бағыттағы</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мемлекеттік</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саясаттың</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тиімділігін</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бағалау</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кемшіліктерін</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анықтау</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және</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ұсыныстар</a:t>
          </a:r>
          <a:r>
            <a:rPr lang="ru-RU" sz="1000" kern="1200" dirty="0">
              <a:latin typeface="Times New Roman" panose="02020603050405020304" pitchFamily="18" charset="0"/>
              <a:cs typeface="Times New Roman" panose="02020603050405020304" pitchFamily="18" charset="0"/>
            </a:rPr>
            <a:t> беру; </a:t>
          </a:r>
          <a:br>
            <a:rPr lang="ru-RU" sz="1000" kern="1200" dirty="0">
              <a:latin typeface="Times New Roman" panose="02020603050405020304" pitchFamily="18" charset="0"/>
              <a:cs typeface="Times New Roman" panose="02020603050405020304" pitchFamily="18" charset="0"/>
            </a:rPr>
          </a:br>
          <a:endParaRPr lang="ru-RU" sz="1000" kern="1200" dirty="0">
            <a:latin typeface="Times New Roman" panose="02020603050405020304" pitchFamily="18" charset="0"/>
            <a:cs typeface="Times New Roman" panose="02020603050405020304" pitchFamily="18" charset="0"/>
          </a:endParaRPr>
        </a:p>
      </dsp:txBody>
      <dsp:txXfrm>
        <a:off x="2675558" y="1854165"/>
        <a:ext cx="1402889" cy="1109770"/>
      </dsp:txXfrm>
    </dsp:sp>
    <dsp:sp modelId="{6C5470E9-E748-432C-A4F7-F0E5BD4ADFF9}">
      <dsp:nvSpPr>
        <dsp:cNvPr id="0" name=""/>
        <dsp:cNvSpPr/>
      </dsp:nvSpPr>
      <dsp:spPr>
        <a:xfrm>
          <a:off x="4218917" y="1718993"/>
          <a:ext cx="1521877" cy="11120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347C07-BF89-4978-994F-E16BE9CE99FD}">
      <dsp:nvSpPr>
        <dsp:cNvPr id="0" name=""/>
        <dsp:cNvSpPr/>
      </dsp:nvSpPr>
      <dsp:spPr>
        <a:xfrm>
          <a:off x="4324860" y="1819638"/>
          <a:ext cx="1521877" cy="11120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a:latin typeface="Times New Roman" panose="02020603050405020304" pitchFamily="18" charset="0"/>
              <a:cs typeface="Times New Roman" panose="02020603050405020304" pitchFamily="18" charset="0"/>
            </a:rPr>
            <a:t>АӨК </a:t>
          </a:r>
          <a:r>
            <a:rPr lang="ru-RU" sz="1000" kern="1200" dirty="0" err="1">
              <a:latin typeface="Times New Roman" panose="02020603050405020304" pitchFamily="18" charset="0"/>
              <a:cs typeface="Times New Roman" panose="02020603050405020304" pitchFamily="18" charset="0"/>
            </a:rPr>
            <a:t>дамытуға</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бағытталған</a:t>
          </a:r>
          <a:r>
            <a:rPr lang="ru-RU" sz="1000" kern="1200" dirty="0">
              <a:latin typeface="Times New Roman" panose="02020603050405020304" pitchFamily="18" charset="0"/>
              <a:cs typeface="Times New Roman" panose="02020603050405020304" pitchFamily="18" charset="0"/>
            </a:rPr>
            <a:t> бюджет </a:t>
          </a:r>
          <a:r>
            <a:rPr lang="ru-RU" sz="1000" kern="1200" dirty="0" err="1">
              <a:latin typeface="Times New Roman" panose="02020603050405020304" pitchFamily="18" charset="0"/>
              <a:cs typeface="Times New Roman" panose="02020603050405020304" pitchFamily="18" charset="0"/>
            </a:rPr>
            <a:t>қаражаттарының</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игерілінуінің</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мемлекеттің</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әлеуметтік-экономикалық</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дамуына</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ықпалын</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талдау</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және</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бағалау</a:t>
          </a:r>
          <a:r>
            <a:rPr lang="ru-RU" sz="1000" kern="1200" dirty="0">
              <a:latin typeface="Times New Roman" panose="02020603050405020304" pitchFamily="18" charset="0"/>
              <a:cs typeface="Times New Roman" panose="02020603050405020304" pitchFamily="18" charset="0"/>
            </a:rPr>
            <a:t>.</a:t>
          </a:r>
        </a:p>
      </dsp:txBody>
      <dsp:txXfrm>
        <a:off x="4357430" y="1852208"/>
        <a:ext cx="1456737" cy="10468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6C556-61D0-4904-896A-2BE52832898E}">
      <dsp:nvSpPr>
        <dsp:cNvPr id="0" name=""/>
        <dsp:cNvSpPr/>
      </dsp:nvSpPr>
      <dsp:spPr>
        <a:xfrm>
          <a:off x="0" y="0"/>
          <a:ext cx="1177230" cy="31089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S</a:t>
          </a:r>
        </a:p>
        <a:p>
          <a:pPr lvl="0" algn="ctr" defTabSz="889000">
            <a:lnSpc>
              <a:spcPct val="90000"/>
            </a:lnSpc>
            <a:spcBef>
              <a:spcPct val="0"/>
            </a:spcBef>
            <a:spcAft>
              <a:spcPct val="35000"/>
            </a:spcAft>
          </a:pPr>
          <a:r>
            <a:rPr lang="en-US" sz="1100" kern="1200"/>
            <a:t>Specific</a:t>
          </a:r>
        </a:p>
        <a:p>
          <a:pPr lvl="0" algn="ctr" defTabSz="889000">
            <a:lnSpc>
              <a:spcPct val="90000"/>
            </a:lnSpc>
            <a:spcBef>
              <a:spcPct val="0"/>
            </a:spcBef>
            <a:spcAft>
              <a:spcPct val="35000"/>
            </a:spcAft>
          </a:pPr>
          <a:r>
            <a:rPr lang="kk-KZ" sz="1100" kern="1200"/>
            <a:t>Қандай мақсатқа жету?</a:t>
          </a:r>
          <a:endParaRPr lang="ru-RU" sz="1100" kern="1200"/>
        </a:p>
      </dsp:txBody>
      <dsp:txXfrm>
        <a:off x="0" y="1243584"/>
        <a:ext cx="1177230" cy="1243584"/>
      </dsp:txXfrm>
    </dsp:sp>
    <dsp:sp modelId="{65502C95-4F67-445D-BBD3-B582C8D21196}">
      <dsp:nvSpPr>
        <dsp:cNvPr id="0" name=""/>
        <dsp:cNvSpPr/>
      </dsp:nvSpPr>
      <dsp:spPr>
        <a:xfrm>
          <a:off x="70973" y="186537"/>
          <a:ext cx="1035283" cy="1035283"/>
        </a:xfrm>
        <a:prstGeom prst="ellipse">
          <a:avLst/>
        </a:prstGeom>
        <a:blipFill>
          <a:blip xmlns:r="http://schemas.openxmlformats.org/officeDocument/2006/relationships" r:embed="rId1">
            <a:extLst>
              <a:ext uri="{96DAC541-7B7A-43D3-8B79-37D633B846F1}">
                <asvg:svgBlip xmlns:asvg="http://schemas.microsoft.com/office/drawing/2016/SVG/main" xmlns="" r:embed="rId2"/>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FCAC168-68A5-42D0-A04F-E693BFF3551A}">
      <dsp:nvSpPr>
        <dsp:cNvPr id="0" name=""/>
        <dsp:cNvSpPr/>
      </dsp:nvSpPr>
      <dsp:spPr>
        <a:xfrm>
          <a:off x="1212547" y="0"/>
          <a:ext cx="1177230" cy="310896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M</a:t>
          </a:r>
        </a:p>
        <a:p>
          <a:pPr lvl="0" algn="ctr" defTabSz="889000">
            <a:lnSpc>
              <a:spcPct val="90000"/>
            </a:lnSpc>
            <a:spcBef>
              <a:spcPct val="0"/>
            </a:spcBef>
            <a:spcAft>
              <a:spcPct val="35000"/>
            </a:spcAft>
          </a:pPr>
          <a:r>
            <a:rPr lang="en-US" sz="1100" kern="1200"/>
            <a:t>Measureable</a:t>
          </a:r>
          <a:endParaRPr lang="kk-KZ" sz="1100" kern="1200"/>
        </a:p>
        <a:p>
          <a:pPr lvl="0" algn="ctr" defTabSz="889000">
            <a:lnSpc>
              <a:spcPct val="90000"/>
            </a:lnSpc>
            <a:spcBef>
              <a:spcPct val="0"/>
            </a:spcBef>
            <a:spcAft>
              <a:spcPct val="35000"/>
            </a:spcAft>
          </a:pPr>
          <a:r>
            <a:rPr lang="kk-KZ" sz="1100" kern="1200"/>
            <a:t>Қай көрсеткіш мақсатқа жетуді көрсетеді?</a:t>
          </a:r>
          <a:endParaRPr lang="ru-RU" sz="1100" kern="1200"/>
        </a:p>
      </dsp:txBody>
      <dsp:txXfrm>
        <a:off x="1212547" y="1243584"/>
        <a:ext cx="1177230" cy="1243584"/>
      </dsp:txXfrm>
    </dsp:sp>
    <dsp:sp modelId="{78E9EDB6-73EE-4DB2-A1D2-7C6AB1B22116}">
      <dsp:nvSpPr>
        <dsp:cNvPr id="0" name=""/>
        <dsp:cNvSpPr/>
      </dsp:nvSpPr>
      <dsp:spPr>
        <a:xfrm>
          <a:off x="1283520" y="186537"/>
          <a:ext cx="1035283" cy="103528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20EFC7B-F136-428D-976A-5BBD96F6B7C1}">
      <dsp:nvSpPr>
        <dsp:cNvPr id="0" name=""/>
        <dsp:cNvSpPr/>
      </dsp:nvSpPr>
      <dsp:spPr>
        <a:xfrm>
          <a:off x="2425094" y="0"/>
          <a:ext cx="1177230" cy="310896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A</a:t>
          </a:r>
        </a:p>
        <a:p>
          <a:pPr lvl="0" algn="ctr" defTabSz="889000">
            <a:lnSpc>
              <a:spcPct val="90000"/>
            </a:lnSpc>
            <a:spcBef>
              <a:spcPct val="0"/>
            </a:spcBef>
            <a:spcAft>
              <a:spcPct val="35000"/>
            </a:spcAft>
          </a:pPr>
          <a:r>
            <a:rPr lang="en-US" sz="1200" kern="1200"/>
            <a:t>Attainable </a:t>
          </a:r>
          <a:endParaRPr lang="kk-KZ" sz="1200" kern="1200"/>
        </a:p>
        <a:p>
          <a:pPr lvl="0" algn="ctr" defTabSz="889000">
            <a:lnSpc>
              <a:spcPct val="90000"/>
            </a:lnSpc>
            <a:spcBef>
              <a:spcPct val="0"/>
            </a:spcBef>
            <a:spcAft>
              <a:spcPct val="35000"/>
            </a:spcAft>
          </a:pPr>
          <a:r>
            <a:rPr lang="kk-KZ" sz="1200" kern="1200"/>
            <a:t>Мақсатқа жету ақылға қонымды ма?</a:t>
          </a:r>
          <a:endParaRPr lang="ru-RU" sz="1200" kern="1200"/>
        </a:p>
      </dsp:txBody>
      <dsp:txXfrm>
        <a:off x="2425094" y="1243584"/>
        <a:ext cx="1177230" cy="1243584"/>
      </dsp:txXfrm>
    </dsp:sp>
    <dsp:sp modelId="{C38E8AC6-1EC8-46E4-95B4-FDFC0B2BFE12}">
      <dsp:nvSpPr>
        <dsp:cNvPr id="0" name=""/>
        <dsp:cNvSpPr/>
      </dsp:nvSpPr>
      <dsp:spPr>
        <a:xfrm>
          <a:off x="2496068" y="186537"/>
          <a:ext cx="1035283" cy="103528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5188740-9F6C-49E7-A29C-DE2BA60E6538}">
      <dsp:nvSpPr>
        <dsp:cNvPr id="0" name=""/>
        <dsp:cNvSpPr/>
      </dsp:nvSpPr>
      <dsp:spPr>
        <a:xfrm>
          <a:off x="3637642" y="0"/>
          <a:ext cx="1177230" cy="310896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R</a:t>
          </a:r>
        </a:p>
        <a:p>
          <a:pPr lvl="0" algn="ctr" defTabSz="889000">
            <a:lnSpc>
              <a:spcPct val="90000"/>
            </a:lnSpc>
            <a:spcBef>
              <a:spcPct val="0"/>
            </a:spcBef>
            <a:spcAft>
              <a:spcPct val="35000"/>
            </a:spcAft>
          </a:pPr>
          <a:r>
            <a:rPr lang="en-US" sz="1200" kern="1200"/>
            <a:t>Relevant</a:t>
          </a:r>
          <a:endParaRPr lang="kk-KZ" sz="1200" kern="1200"/>
        </a:p>
        <a:p>
          <a:pPr lvl="0" algn="ctr" defTabSz="889000">
            <a:lnSpc>
              <a:spcPct val="90000"/>
            </a:lnSpc>
            <a:spcBef>
              <a:spcPct val="0"/>
            </a:spcBef>
            <a:spcAft>
              <a:spcPct val="35000"/>
            </a:spcAft>
          </a:pPr>
          <a:r>
            <a:rPr lang="kk-KZ" sz="1200" kern="1200"/>
            <a:t>Бұл мақсат стратегияға сәйкес пе?</a:t>
          </a:r>
          <a:endParaRPr lang="ru-RU" sz="1200" kern="1200"/>
        </a:p>
      </dsp:txBody>
      <dsp:txXfrm>
        <a:off x="3637642" y="1243584"/>
        <a:ext cx="1177230" cy="1243584"/>
      </dsp:txXfrm>
    </dsp:sp>
    <dsp:sp modelId="{0CF22335-C8A1-4F41-9D5B-54FFFA0EE5C9}">
      <dsp:nvSpPr>
        <dsp:cNvPr id="0" name=""/>
        <dsp:cNvSpPr/>
      </dsp:nvSpPr>
      <dsp:spPr>
        <a:xfrm>
          <a:off x="3708615" y="186537"/>
          <a:ext cx="1035283" cy="1035283"/>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13672B-558A-45FF-936D-140DC528E1F6}">
      <dsp:nvSpPr>
        <dsp:cNvPr id="0" name=""/>
        <dsp:cNvSpPr/>
      </dsp:nvSpPr>
      <dsp:spPr>
        <a:xfrm>
          <a:off x="4850189" y="0"/>
          <a:ext cx="1177230" cy="310896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T</a:t>
          </a:r>
        </a:p>
        <a:p>
          <a:pPr lvl="0" algn="ctr" defTabSz="889000">
            <a:lnSpc>
              <a:spcPct val="90000"/>
            </a:lnSpc>
            <a:spcBef>
              <a:spcPct val="0"/>
            </a:spcBef>
            <a:spcAft>
              <a:spcPct val="35000"/>
            </a:spcAft>
          </a:pPr>
          <a:r>
            <a:rPr lang="en-US" sz="1200" kern="1200"/>
            <a:t>Time Based</a:t>
          </a:r>
          <a:endParaRPr lang="kk-KZ" sz="1200" kern="1200"/>
        </a:p>
        <a:p>
          <a:pPr lvl="0" algn="ctr" defTabSz="889000">
            <a:lnSpc>
              <a:spcPct val="90000"/>
            </a:lnSpc>
            <a:spcBef>
              <a:spcPct val="0"/>
            </a:spcBef>
            <a:spcAft>
              <a:spcPct val="35000"/>
            </a:spcAft>
          </a:pPr>
          <a:r>
            <a:rPr lang="kk-KZ" sz="1200" kern="1200"/>
            <a:t>Мақсатқа қашан жету керек?</a:t>
          </a:r>
          <a:endParaRPr lang="ru-RU" sz="1200" kern="1200"/>
        </a:p>
      </dsp:txBody>
      <dsp:txXfrm>
        <a:off x="4850189" y="1243584"/>
        <a:ext cx="1177230" cy="1243584"/>
      </dsp:txXfrm>
    </dsp:sp>
    <dsp:sp modelId="{4C2EF440-0366-4769-A3E5-877B32CC9045}">
      <dsp:nvSpPr>
        <dsp:cNvPr id="0" name=""/>
        <dsp:cNvSpPr/>
      </dsp:nvSpPr>
      <dsp:spPr>
        <a:xfrm>
          <a:off x="4921162" y="186537"/>
          <a:ext cx="1035283" cy="1035283"/>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7F413EE-714A-4898-8BF7-3F821302D206}">
      <dsp:nvSpPr>
        <dsp:cNvPr id="0" name=""/>
        <dsp:cNvSpPr/>
      </dsp:nvSpPr>
      <dsp:spPr>
        <a:xfrm>
          <a:off x="241096" y="2487167"/>
          <a:ext cx="5545226" cy="466344"/>
        </a:xfrm>
        <a:prstGeom prst="lef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122EB-1B64-4093-B4F2-A4844DD9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90315</Words>
  <Characters>514796</Characters>
  <Application>Microsoft Office Word</Application>
  <DocSecurity>0</DocSecurity>
  <Lines>4289</Lines>
  <Paragraphs>1207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603904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Saule</dc:creator>
  <cp:lastModifiedBy>user</cp:lastModifiedBy>
  <cp:revision>2</cp:revision>
  <cp:lastPrinted>2024-01-12T02:25:00Z</cp:lastPrinted>
  <dcterms:created xsi:type="dcterms:W3CDTF">2024-01-25T08:09:00Z</dcterms:created>
  <dcterms:modified xsi:type="dcterms:W3CDTF">2024-01-25T08:09:00Z</dcterms:modified>
</cp:coreProperties>
</file>